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C0524" w14:textId="77777777" w:rsidR="006F558B" w:rsidRPr="007A2C3A" w:rsidRDefault="006F558B" w:rsidP="006F558B">
      <w:pPr>
        <w:spacing w:after="140" w:line="240" w:lineRule="auto"/>
        <w:textboxTightWrap w:val="lastLineOnly"/>
        <w:rPr>
          <w:rFonts w:ascii="Arial" w:eastAsia="Times New Roman" w:hAnsi="Arial" w:cs="Arial"/>
          <w:b/>
          <w:noProof/>
          <w:sz w:val="35"/>
          <w:szCs w:val="42"/>
          <w:lang w:eastAsia="en-GB"/>
        </w:rPr>
      </w:pPr>
      <w:bookmarkStart w:id="0" w:name="_GoBack"/>
      <w:bookmarkEnd w:id="0"/>
    </w:p>
    <w:p w14:paraId="609E2A11" w14:textId="77777777" w:rsidR="006F558B" w:rsidRPr="007A2C3A" w:rsidRDefault="006F558B" w:rsidP="006F558B">
      <w:pPr>
        <w:spacing w:after="140" w:line="240" w:lineRule="auto"/>
        <w:textboxTightWrap w:val="lastLineOnly"/>
        <w:rPr>
          <w:rFonts w:ascii="Arial" w:eastAsia="Times New Roman" w:hAnsi="Arial" w:cs="Arial"/>
          <w:b/>
          <w:noProof/>
          <w:sz w:val="35"/>
          <w:szCs w:val="42"/>
          <w:lang w:eastAsia="en-GB"/>
        </w:rPr>
      </w:pPr>
    </w:p>
    <w:p w14:paraId="2EC0AEE9" w14:textId="1F2A0757" w:rsidR="006F558B" w:rsidRPr="007A2C3A" w:rsidRDefault="006F558B" w:rsidP="006F558B">
      <w:pPr>
        <w:spacing w:after="140" w:line="240" w:lineRule="auto"/>
        <w:textboxTightWrap w:val="lastLineOnly"/>
        <w:rPr>
          <w:rFonts w:ascii="Arial" w:eastAsia="Times New Roman" w:hAnsi="Arial" w:cs="Arial"/>
          <w:b/>
          <w:sz w:val="35"/>
          <w:szCs w:val="42"/>
        </w:rPr>
      </w:pPr>
    </w:p>
    <w:p w14:paraId="13221483" w14:textId="77777777" w:rsidR="005F24FE" w:rsidRPr="007A2C3A" w:rsidRDefault="005F24FE" w:rsidP="005F24FE">
      <w:pPr>
        <w:jc w:val="center"/>
        <w:rPr>
          <w:rFonts w:ascii="Arial" w:hAnsi="Arial" w:cs="Arial"/>
          <w:b/>
          <w:bCs/>
          <w:sz w:val="28"/>
          <w:szCs w:val="28"/>
        </w:rPr>
      </w:pPr>
      <w:bookmarkStart w:id="1" w:name="_Hlk34653293"/>
      <w:r w:rsidRPr="007A2C3A">
        <w:rPr>
          <w:rFonts w:ascii="Arial" w:hAnsi="Arial" w:cs="Arial"/>
          <w:b/>
          <w:bCs/>
          <w:sz w:val="28"/>
          <w:szCs w:val="28"/>
        </w:rPr>
        <w:t>NHS Digital</w:t>
      </w:r>
    </w:p>
    <w:p w14:paraId="1D79989E" w14:textId="77777777" w:rsidR="005F24FE" w:rsidRPr="007A2C3A" w:rsidRDefault="005F24FE" w:rsidP="005F24FE">
      <w:pPr>
        <w:jc w:val="center"/>
        <w:rPr>
          <w:rFonts w:ascii="Arial" w:hAnsi="Arial" w:cs="Arial"/>
          <w:b/>
          <w:bCs/>
          <w:sz w:val="28"/>
          <w:szCs w:val="28"/>
        </w:rPr>
      </w:pPr>
      <w:r w:rsidRPr="007A2C3A">
        <w:rPr>
          <w:rFonts w:ascii="Arial" w:hAnsi="Arial" w:cs="Arial"/>
          <w:b/>
          <w:bCs/>
          <w:sz w:val="28"/>
          <w:szCs w:val="28"/>
        </w:rPr>
        <w:t>Indicator Supporting Documentation</w:t>
      </w:r>
    </w:p>
    <w:p w14:paraId="48125FEB" w14:textId="215136D7" w:rsidR="006F558B" w:rsidRPr="007A2C3A" w:rsidRDefault="005F24FE" w:rsidP="005F24FE">
      <w:pPr>
        <w:jc w:val="center"/>
        <w:rPr>
          <w:rFonts w:ascii="Arial" w:hAnsi="Arial" w:cs="Arial"/>
          <w:b/>
          <w:bCs/>
          <w:sz w:val="28"/>
          <w:szCs w:val="28"/>
        </w:rPr>
      </w:pPr>
      <w:r w:rsidRPr="007A2C3A">
        <w:rPr>
          <w:rFonts w:ascii="Arial" w:hAnsi="Arial" w:cs="Arial"/>
          <w:b/>
          <w:bCs/>
          <w:sz w:val="28"/>
          <w:szCs w:val="28"/>
        </w:rPr>
        <w:t>IAP00</w:t>
      </w:r>
      <w:bookmarkEnd w:id="1"/>
      <w:r w:rsidRPr="007A2C3A">
        <w:rPr>
          <w:rFonts w:ascii="Arial" w:hAnsi="Arial" w:cs="Arial"/>
          <w:b/>
          <w:bCs/>
          <w:sz w:val="28"/>
          <w:szCs w:val="28"/>
        </w:rPr>
        <w:t>369 Hip fracture: proportion of patients recovering to their previous levels of mobility / walking ability at 30 days</w:t>
      </w:r>
    </w:p>
    <w:p w14:paraId="6C01B43F" w14:textId="77777777" w:rsidR="005F24FE" w:rsidRPr="007A2C3A" w:rsidRDefault="005F24FE" w:rsidP="005F24FE">
      <w:pPr>
        <w:jc w:val="center"/>
        <w:rPr>
          <w:rFonts w:ascii="Arial" w:hAnsi="Arial" w:cs="Arial"/>
          <w:b/>
          <w:bCs/>
          <w:sz w:val="28"/>
          <w:szCs w:val="28"/>
        </w:rPr>
      </w:pPr>
    </w:p>
    <w:p w14:paraId="05A4D35B" w14:textId="77777777" w:rsidR="005F24FE" w:rsidRPr="007A2C3A" w:rsidRDefault="005F24FE" w:rsidP="005F24FE">
      <w:pPr>
        <w:jc w:val="center"/>
        <w:rPr>
          <w:rFonts w:ascii="Arial" w:hAnsi="Arial" w:cs="Arial"/>
          <w:b/>
          <w:bCs/>
          <w:sz w:val="28"/>
          <w:szCs w:val="28"/>
        </w:rPr>
      </w:pPr>
    </w:p>
    <w:p w14:paraId="6A47E42D" w14:textId="0608C79C" w:rsidR="005F24FE" w:rsidRPr="007A2C3A" w:rsidRDefault="005F24FE" w:rsidP="005F24FE">
      <w:pPr>
        <w:jc w:val="center"/>
        <w:rPr>
          <w:rFonts w:ascii="Arial" w:hAnsi="Arial" w:cs="Arial"/>
          <w:b/>
          <w:bCs/>
          <w:sz w:val="28"/>
          <w:szCs w:val="28"/>
        </w:rPr>
      </w:pPr>
    </w:p>
    <w:p w14:paraId="63098CDB" w14:textId="464C9605" w:rsidR="005F24FE" w:rsidRPr="007A2C3A" w:rsidRDefault="005F24FE" w:rsidP="005F24FE">
      <w:pPr>
        <w:pStyle w:val="Frontpagesubhead"/>
        <w:rPr>
          <w:rFonts w:cs="Arial"/>
          <w:color w:val="auto"/>
        </w:rPr>
      </w:pPr>
      <w:r w:rsidRPr="007A2C3A">
        <w:rPr>
          <w:rFonts w:cs="Arial"/>
          <w:color w:val="auto"/>
        </w:rPr>
        <w:t>Indicator Assurance Service</w:t>
      </w:r>
    </w:p>
    <w:p w14:paraId="006D86BA" w14:textId="2E258C33" w:rsidR="005F24FE" w:rsidRPr="007A2C3A" w:rsidRDefault="005F24FE" w:rsidP="005F24FE">
      <w:pPr>
        <w:textboxTightWrap w:val="allLines"/>
        <w:rPr>
          <w:rFonts w:ascii="Arial" w:hAnsi="Arial" w:cs="Arial"/>
        </w:rPr>
      </w:pPr>
    </w:p>
    <w:p w14:paraId="2D7BCA44" w14:textId="3E54850F" w:rsidR="005F24FE" w:rsidRPr="007A2C3A" w:rsidRDefault="005F24FE" w:rsidP="005F24FE">
      <w:pPr>
        <w:spacing w:line="360" w:lineRule="auto"/>
        <w:textboxTightWrap w:val="allLines"/>
        <w:rPr>
          <w:rFonts w:ascii="Arial" w:hAnsi="Arial" w:cs="Arial"/>
          <w:b/>
          <w:sz w:val="36"/>
        </w:rPr>
      </w:pPr>
      <w:r w:rsidRPr="007A2C3A">
        <w:rPr>
          <w:rFonts w:ascii="Arial" w:hAnsi="Arial" w:cs="Arial"/>
          <w:b/>
          <w:sz w:val="36"/>
        </w:rPr>
        <w:t>Title</w:t>
      </w:r>
      <w:r w:rsidR="00FF2C4E">
        <w:rPr>
          <w:rFonts w:ascii="Arial" w:hAnsi="Arial" w:cs="Arial"/>
          <w:b/>
          <w:sz w:val="36"/>
        </w:rPr>
        <w:t xml:space="preserve"> -</w:t>
      </w:r>
      <w:r w:rsidRPr="007A2C3A">
        <w:rPr>
          <w:rFonts w:ascii="Arial" w:hAnsi="Arial" w:cs="Arial"/>
          <w:b/>
          <w:sz w:val="36"/>
        </w:rPr>
        <w:t xml:space="preserve"> Hip fracture: proportion of patients recovering to their previous levels of mobility / walking ability at 30 days</w:t>
      </w:r>
    </w:p>
    <w:p w14:paraId="010B5ECC" w14:textId="0AF40AFE" w:rsidR="005F24FE" w:rsidRPr="007A2C3A" w:rsidRDefault="005F24FE" w:rsidP="005F24FE">
      <w:pPr>
        <w:spacing w:line="360" w:lineRule="auto"/>
        <w:textboxTightWrap w:val="allLines"/>
        <w:rPr>
          <w:rFonts w:ascii="Arial" w:hAnsi="Arial" w:cs="Arial"/>
          <w:b/>
          <w:sz w:val="28"/>
        </w:rPr>
      </w:pPr>
      <w:r w:rsidRPr="007A2C3A">
        <w:rPr>
          <w:rFonts w:ascii="Arial" w:hAnsi="Arial" w:cs="Arial"/>
          <w:b/>
          <w:sz w:val="28"/>
        </w:rPr>
        <w:t>Set or domain: CCG OIS</w:t>
      </w:r>
    </w:p>
    <w:p w14:paraId="2C4069E7" w14:textId="6817E6AF" w:rsidR="005F24FE" w:rsidRPr="007A2C3A" w:rsidRDefault="005F24FE" w:rsidP="005F24FE">
      <w:pPr>
        <w:spacing w:line="360" w:lineRule="auto"/>
        <w:textboxTightWrap w:val="allLines"/>
        <w:rPr>
          <w:rFonts w:ascii="Arial" w:hAnsi="Arial" w:cs="Arial"/>
          <w:b/>
          <w:sz w:val="28"/>
        </w:rPr>
      </w:pPr>
      <w:r w:rsidRPr="007A2C3A">
        <w:rPr>
          <w:rFonts w:ascii="Arial" w:hAnsi="Arial" w:cs="Arial"/>
          <w:b/>
          <w:sz w:val="28"/>
        </w:rPr>
        <w:t>IAS Reference Code: IAP00369</w:t>
      </w:r>
    </w:p>
    <w:p w14:paraId="77F9BFD5" w14:textId="43413CAC" w:rsidR="005F24FE" w:rsidRPr="007A2C3A" w:rsidRDefault="005F24FE" w:rsidP="005F24FE">
      <w:pPr>
        <w:spacing w:line="360" w:lineRule="auto"/>
        <w:textboxTightWrap w:val="allLines"/>
        <w:rPr>
          <w:rFonts w:ascii="Arial" w:hAnsi="Arial" w:cs="Arial"/>
          <w:b/>
          <w:sz w:val="28"/>
        </w:rPr>
      </w:pPr>
    </w:p>
    <w:p w14:paraId="38C17AB6" w14:textId="718D64FE" w:rsidR="005F24FE" w:rsidRPr="007A2C3A" w:rsidRDefault="005F24FE" w:rsidP="005F24FE">
      <w:pPr>
        <w:spacing w:line="360" w:lineRule="auto"/>
        <w:textboxTightWrap w:val="allLines"/>
        <w:rPr>
          <w:rFonts w:ascii="Arial" w:hAnsi="Arial" w:cs="Arial"/>
          <w:b/>
          <w:sz w:val="28"/>
        </w:rPr>
      </w:pPr>
    </w:p>
    <w:p w14:paraId="58684C0C" w14:textId="77777777" w:rsidR="005F24FE" w:rsidRPr="007A2C3A" w:rsidRDefault="005F24FE" w:rsidP="005F24FE">
      <w:pPr>
        <w:spacing w:line="360" w:lineRule="auto"/>
        <w:textboxTightWrap w:val="allLines"/>
        <w:rPr>
          <w:rFonts w:ascii="Arial" w:hAnsi="Arial" w:cs="Arial"/>
          <w:b/>
          <w:sz w:val="28"/>
        </w:rPr>
      </w:pPr>
    </w:p>
    <w:p w14:paraId="2590809C" w14:textId="6A72D6D3" w:rsidR="005F24FE" w:rsidRPr="007A2C3A" w:rsidRDefault="005F24FE" w:rsidP="005F24FE">
      <w:pPr>
        <w:jc w:val="center"/>
        <w:rPr>
          <w:rFonts w:ascii="Arial" w:hAnsi="Arial" w:cs="Arial"/>
          <w:b/>
          <w:bCs/>
          <w:sz w:val="28"/>
          <w:szCs w:val="28"/>
        </w:rPr>
      </w:pPr>
    </w:p>
    <w:p w14:paraId="040B0E94" w14:textId="77777777" w:rsidR="005F24FE" w:rsidRPr="007A2C3A" w:rsidRDefault="005F24FE" w:rsidP="005F24FE">
      <w:pPr>
        <w:jc w:val="center"/>
        <w:rPr>
          <w:rFonts w:ascii="Arial" w:hAnsi="Arial" w:cs="Arial"/>
          <w:b/>
          <w:bCs/>
          <w:sz w:val="28"/>
          <w:szCs w:val="28"/>
        </w:rPr>
      </w:pPr>
    </w:p>
    <w:p w14:paraId="3102E73A" w14:textId="33A2B51E" w:rsidR="005F24FE" w:rsidRPr="007A2C3A" w:rsidRDefault="005F24FE" w:rsidP="005F24FE">
      <w:pPr>
        <w:jc w:val="center"/>
        <w:rPr>
          <w:rFonts w:ascii="Arial" w:hAnsi="Arial" w:cs="Arial"/>
          <w:b/>
          <w:bCs/>
          <w:sz w:val="28"/>
          <w:szCs w:val="28"/>
        </w:rPr>
        <w:sectPr w:rsidR="005F24FE" w:rsidRPr="007A2C3A" w:rsidSect="005F24FE">
          <w:headerReference w:type="default" r:id="rId7"/>
          <w:footerReference w:type="default" r:id="rId8"/>
          <w:pgSz w:w="11906" w:h="16838"/>
          <w:pgMar w:top="1021" w:right="1021" w:bottom="1021" w:left="1021" w:header="454" w:footer="680" w:gutter="0"/>
          <w:cols w:space="708"/>
          <w:docGrid w:linePitch="360"/>
        </w:sectPr>
      </w:pPr>
    </w:p>
    <w:p w14:paraId="576D79F4" w14:textId="15A970EC" w:rsidR="006F558B" w:rsidRPr="007A2C3A" w:rsidRDefault="006F558B" w:rsidP="006F558B">
      <w:pPr>
        <w:keepNext/>
        <w:spacing w:before="140" w:after="280" w:line="240" w:lineRule="auto"/>
        <w:outlineLvl w:val="0"/>
        <w:rPr>
          <w:rFonts w:ascii="Arial" w:eastAsia="MS Mincho" w:hAnsi="Arial" w:cs="Arial"/>
          <w:b/>
          <w:bCs/>
          <w:spacing w:val="-14"/>
          <w:kern w:val="28"/>
          <w:sz w:val="42"/>
          <w:szCs w:val="32"/>
          <w14:ligatures w14:val="standardContextual"/>
        </w:rPr>
      </w:pPr>
      <w:r w:rsidRPr="007A2C3A">
        <w:rPr>
          <w:rFonts w:ascii="Arial" w:eastAsia="MS Mincho" w:hAnsi="Arial" w:cs="Arial"/>
          <w:b/>
          <w:bCs/>
          <w:spacing w:val="-14"/>
          <w:kern w:val="28"/>
          <w:sz w:val="42"/>
          <w:szCs w:val="32"/>
          <w14:ligatures w14:val="standardContextual"/>
        </w:rPr>
        <w:lastRenderedPageBreak/>
        <w:t>Application Form</w:t>
      </w:r>
    </w:p>
    <w:tbl>
      <w:tblPr>
        <w:tblStyle w:val="TableGrid"/>
        <w:tblW w:w="0" w:type="auto"/>
        <w:tblLook w:val="04A0" w:firstRow="1" w:lastRow="0" w:firstColumn="1" w:lastColumn="0" w:noHBand="0" w:noVBand="1"/>
      </w:tblPr>
      <w:tblGrid>
        <w:gridCol w:w="3256"/>
        <w:gridCol w:w="6598"/>
      </w:tblGrid>
      <w:tr w:rsidR="000C5E58" w:rsidRPr="007A2C3A" w14:paraId="52802282" w14:textId="77777777" w:rsidTr="000C5E58">
        <w:tc>
          <w:tcPr>
            <w:tcW w:w="3256" w:type="dxa"/>
          </w:tcPr>
          <w:p w14:paraId="7C37CC44" w14:textId="3D7299E7" w:rsidR="000C5E58" w:rsidRPr="007A2C3A" w:rsidRDefault="000C5E58" w:rsidP="000C5E58">
            <w:pPr>
              <w:keepNext/>
              <w:spacing w:before="140" w:after="280"/>
              <w:outlineLvl w:val="0"/>
              <w:rPr>
                <w:rFonts w:ascii="Arial" w:eastAsia="MS Mincho" w:hAnsi="Arial" w:cs="Arial"/>
                <w:b/>
                <w:bCs/>
                <w:spacing w:val="-14"/>
                <w:kern w:val="28"/>
                <w:sz w:val="22"/>
                <w:szCs w:val="22"/>
                <w14:ligatures w14:val="standardContextual"/>
              </w:rPr>
            </w:pPr>
            <w:r w:rsidRPr="007A2C3A">
              <w:rPr>
                <w:rFonts w:ascii="Arial" w:hAnsi="Arial" w:cs="Arial"/>
                <w:b/>
                <w:sz w:val="22"/>
                <w:szCs w:val="22"/>
              </w:rPr>
              <w:t>Title</w:t>
            </w:r>
          </w:p>
        </w:tc>
        <w:tc>
          <w:tcPr>
            <w:tcW w:w="6598" w:type="dxa"/>
          </w:tcPr>
          <w:p w14:paraId="03A455E7" w14:textId="7087003E" w:rsidR="000C5E58" w:rsidRPr="007A2C3A" w:rsidRDefault="000C5E58" w:rsidP="000C5E58">
            <w:pPr>
              <w:keepNext/>
              <w:spacing w:before="140" w:after="280"/>
              <w:outlineLvl w:val="0"/>
              <w:rPr>
                <w:rFonts w:ascii="Arial" w:eastAsia="MS Mincho" w:hAnsi="Arial" w:cs="Arial"/>
                <w:b/>
                <w:bCs/>
                <w:spacing w:val="-14"/>
                <w:kern w:val="28"/>
                <w:sz w:val="22"/>
                <w:szCs w:val="22"/>
                <w14:ligatures w14:val="standardContextual"/>
              </w:rPr>
            </w:pPr>
            <w:r w:rsidRPr="007A2C3A">
              <w:rPr>
                <w:rFonts w:ascii="Arial" w:hAnsi="Arial" w:cs="Arial"/>
                <w:sz w:val="22"/>
                <w:szCs w:val="22"/>
              </w:rPr>
              <w:t>Hip fracture: proportion of patients recovering to their previous levels of mobility / walking ability at 30 days</w:t>
            </w:r>
          </w:p>
        </w:tc>
      </w:tr>
      <w:tr w:rsidR="000C5E58" w:rsidRPr="007A2C3A" w14:paraId="2419B497" w14:textId="77777777" w:rsidTr="000C5E58">
        <w:tc>
          <w:tcPr>
            <w:tcW w:w="3256" w:type="dxa"/>
          </w:tcPr>
          <w:p w14:paraId="18B8B9C8" w14:textId="062135C0" w:rsidR="000C5E58" w:rsidRPr="007A2C3A" w:rsidRDefault="000C5E58" w:rsidP="000C5E58">
            <w:pPr>
              <w:keepNext/>
              <w:spacing w:before="140" w:after="280"/>
              <w:outlineLvl w:val="0"/>
              <w:rPr>
                <w:rFonts w:ascii="Arial" w:eastAsia="MS Mincho" w:hAnsi="Arial" w:cs="Arial"/>
                <w:b/>
                <w:bCs/>
                <w:spacing w:val="-14"/>
                <w:kern w:val="28"/>
                <w:sz w:val="22"/>
                <w:szCs w:val="22"/>
                <w14:ligatures w14:val="standardContextual"/>
              </w:rPr>
            </w:pPr>
            <w:r w:rsidRPr="007A2C3A">
              <w:rPr>
                <w:rFonts w:ascii="Arial" w:hAnsi="Arial" w:cs="Arial"/>
                <w:b/>
                <w:sz w:val="22"/>
                <w:szCs w:val="22"/>
              </w:rPr>
              <w:t>Set or domain</w:t>
            </w:r>
          </w:p>
        </w:tc>
        <w:tc>
          <w:tcPr>
            <w:tcW w:w="6598" w:type="dxa"/>
          </w:tcPr>
          <w:p w14:paraId="01BBFE5C" w14:textId="4317B787" w:rsidR="000C5E58" w:rsidRPr="007A2C3A" w:rsidRDefault="000C5E58" w:rsidP="000C5E58">
            <w:pPr>
              <w:keepNext/>
              <w:spacing w:before="140" w:after="280"/>
              <w:outlineLvl w:val="0"/>
              <w:rPr>
                <w:rFonts w:ascii="Arial" w:eastAsia="MS Mincho" w:hAnsi="Arial" w:cs="Arial"/>
                <w:b/>
                <w:bCs/>
                <w:spacing w:val="-14"/>
                <w:kern w:val="28"/>
                <w:sz w:val="22"/>
                <w:szCs w:val="22"/>
                <w14:ligatures w14:val="standardContextual"/>
              </w:rPr>
            </w:pPr>
            <w:r w:rsidRPr="007A2C3A">
              <w:rPr>
                <w:rFonts w:ascii="Arial" w:hAnsi="Arial" w:cs="Arial"/>
                <w:sz w:val="22"/>
                <w:szCs w:val="22"/>
              </w:rPr>
              <w:t>CCG OIS</w:t>
            </w:r>
          </w:p>
        </w:tc>
      </w:tr>
      <w:tr w:rsidR="000C5E58" w:rsidRPr="007A2C3A" w14:paraId="24065BAA" w14:textId="77777777" w:rsidTr="000C5E58">
        <w:tc>
          <w:tcPr>
            <w:tcW w:w="3256" w:type="dxa"/>
          </w:tcPr>
          <w:p w14:paraId="0931BBEF" w14:textId="7FE89965" w:rsidR="000C5E58" w:rsidRPr="007A2C3A" w:rsidRDefault="000C5E58" w:rsidP="000C5E58">
            <w:pPr>
              <w:keepNext/>
              <w:spacing w:before="140" w:after="280"/>
              <w:outlineLvl w:val="0"/>
              <w:rPr>
                <w:rFonts w:ascii="Arial" w:eastAsia="MS Mincho" w:hAnsi="Arial" w:cs="Arial"/>
                <w:b/>
                <w:bCs/>
                <w:spacing w:val="-14"/>
                <w:kern w:val="28"/>
                <w:sz w:val="22"/>
                <w:szCs w:val="22"/>
                <w14:ligatures w14:val="standardContextual"/>
              </w:rPr>
            </w:pPr>
            <w:r w:rsidRPr="007A2C3A">
              <w:rPr>
                <w:rFonts w:ascii="Arial" w:hAnsi="Arial" w:cs="Arial"/>
                <w:b/>
                <w:sz w:val="22"/>
                <w:szCs w:val="22"/>
              </w:rPr>
              <w:t>Topic area</w:t>
            </w:r>
          </w:p>
        </w:tc>
        <w:tc>
          <w:tcPr>
            <w:tcW w:w="6598" w:type="dxa"/>
          </w:tcPr>
          <w:p w14:paraId="54037758" w14:textId="1951B25A" w:rsidR="000C5E58" w:rsidRPr="007A2C3A" w:rsidRDefault="000C5E58" w:rsidP="000C5E58">
            <w:pPr>
              <w:keepNext/>
              <w:spacing w:before="140" w:after="280"/>
              <w:outlineLvl w:val="0"/>
              <w:rPr>
                <w:rFonts w:ascii="Arial" w:eastAsia="MS Mincho" w:hAnsi="Arial" w:cs="Arial"/>
                <w:b/>
                <w:bCs/>
                <w:spacing w:val="-14"/>
                <w:kern w:val="28"/>
                <w:sz w:val="22"/>
                <w:szCs w:val="22"/>
                <w14:ligatures w14:val="standardContextual"/>
              </w:rPr>
            </w:pPr>
            <w:r w:rsidRPr="007A2C3A">
              <w:rPr>
                <w:rFonts w:ascii="Arial" w:hAnsi="Arial" w:cs="Arial"/>
                <w:sz w:val="22"/>
                <w:szCs w:val="22"/>
              </w:rPr>
              <w:t>Hip fracture</w:t>
            </w:r>
          </w:p>
        </w:tc>
      </w:tr>
      <w:tr w:rsidR="000C5E58" w:rsidRPr="007A2C3A" w14:paraId="0CC6E074" w14:textId="77777777" w:rsidTr="000C5E58">
        <w:tc>
          <w:tcPr>
            <w:tcW w:w="3256" w:type="dxa"/>
          </w:tcPr>
          <w:p w14:paraId="7466F5F5" w14:textId="449D84D4" w:rsidR="000C5E58" w:rsidRPr="007A2C3A" w:rsidRDefault="000C5E58" w:rsidP="000C5E58">
            <w:pPr>
              <w:keepNext/>
              <w:spacing w:before="140" w:after="280"/>
              <w:outlineLvl w:val="0"/>
              <w:rPr>
                <w:rFonts w:ascii="Arial" w:hAnsi="Arial" w:cs="Arial"/>
                <w:b/>
                <w:sz w:val="22"/>
                <w:szCs w:val="22"/>
              </w:rPr>
            </w:pPr>
            <w:r w:rsidRPr="007A2C3A">
              <w:rPr>
                <w:rFonts w:ascii="Arial" w:hAnsi="Arial" w:cs="Arial"/>
                <w:b/>
                <w:sz w:val="22"/>
                <w:szCs w:val="22"/>
              </w:rPr>
              <w:t>Definition</w:t>
            </w:r>
          </w:p>
        </w:tc>
        <w:tc>
          <w:tcPr>
            <w:tcW w:w="6598" w:type="dxa"/>
          </w:tcPr>
          <w:p w14:paraId="69FD85D1" w14:textId="77777777"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The indicators measure the proportion of patients aged 60 or over recovering to a level of mobility at (</w:t>
            </w:r>
            <w:proofErr w:type="spellStart"/>
            <w:r w:rsidRPr="007A2C3A">
              <w:rPr>
                <w:rFonts w:ascii="Arial" w:hAnsi="Arial" w:cs="Arial"/>
                <w:sz w:val="22"/>
                <w:szCs w:val="22"/>
              </w:rPr>
              <w:t>i</w:t>
            </w:r>
            <w:proofErr w:type="spellEnd"/>
            <w:r w:rsidRPr="007A2C3A">
              <w:rPr>
                <w:rFonts w:ascii="Arial" w:hAnsi="Arial" w:cs="Arial"/>
                <w:sz w:val="22"/>
                <w:szCs w:val="22"/>
              </w:rPr>
              <w:t xml:space="preserve">) 30 and (ii) 120 days after their hip fracture, which was better, the same or only one mobility category worse than mobility category prior to the hip fracture. </w:t>
            </w:r>
          </w:p>
          <w:p w14:paraId="3E0383BC" w14:textId="77777777"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 xml:space="preserve">The indicators are reported annually by calendar year from 2013 onwards, are reported at CCG, and national level, where national is an aggregation of all the England CCG values. </w:t>
            </w:r>
          </w:p>
          <w:p w14:paraId="27E190D9" w14:textId="77777777"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 xml:space="preserve">It excludes patients whose pre-fracture mobility was classified as category 4 or 5, or patients who have no pre-fracture mobility category recorded or where the mobility category at </w:t>
            </w:r>
            <w:proofErr w:type="gramStart"/>
            <w:r w:rsidRPr="007A2C3A">
              <w:rPr>
                <w:rFonts w:ascii="Arial" w:hAnsi="Arial" w:cs="Arial"/>
                <w:sz w:val="22"/>
                <w:szCs w:val="22"/>
              </w:rPr>
              <w:t>30 or 120 days</w:t>
            </w:r>
            <w:proofErr w:type="gramEnd"/>
            <w:r w:rsidRPr="007A2C3A">
              <w:rPr>
                <w:rFonts w:ascii="Arial" w:hAnsi="Arial" w:cs="Arial"/>
                <w:sz w:val="22"/>
                <w:szCs w:val="22"/>
              </w:rPr>
              <w:t xml:space="preserve"> post admission was not recorded. </w:t>
            </w:r>
          </w:p>
          <w:p w14:paraId="2CF6A28E" w14:textId="137EAE99" w:rsidR="000C5E58" w:rsidRPr="007A2C3A" w:rsidRDefault="000C5E58" w:rsidP="000C5E58">
            <w:pPr>
              <w:keepNext/>
              <w:spacing w:before="140" w:after="280"/>
              <w:outlineLvl w:val="0"/>
              <w:rPr>
                <w:rFonts w:ascii="Arial" w:hAnsi="Arial" w:cs="Arial"/>
                <w:sz w:val="22"/>
                <w:szCs w:val="22"/>
              </w:rPr>
            </w:pPr>
            <w:r w:rsidRPr="007A2C3A">
              <w:rPr>
                <w:rFonts w:ascii="Arial" w:hAnsi="Arial" w:cs="Arial"/>
                <w:sz w:val="22"/>
                <w:szCs w:val="22"/>
              </w:rPr>
              <w:t xml:space="preserve">The indicator is calculated using data from the National Hip Fracture Database (NHFD).  </w:t>
            </w:r>
          </w:p>
        </w:tc>
      </w:tr>
      <w:tr w:rsidR="000C5E58" w:rsidRPr="007A2C3A" w14:paraId="185651CD" w14:textId="77777777" w:rsidTr="000C5E58">
        <w:tc>
          <w:tcPr>
            <w:tcW w:w="3256" w:type="dxa"/>
          </w:tcPr>
          <w:p w14:paraId="4539E888" w14:textId="17A05D83"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b/>
                <w:sz w:val="22"/>
                <w:szCs w:val="22"/>
              </w:rPr>
              <w:t>Indicator owner &amp; contact details</w:t>
            </w:r>
          </w:p>
        </w:tc>
        <w:tc>
          <w:tcPr>
            <w:tcW w:w="6598" w:type="dxa"/>
          </w:tcPr>
          <w:p w14:paraId="599A87BD" w14:textId="7E3026D4"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 xml:space="preserve">Alison Roe, Senior Service Delivery Manager, HSCIC </w:t>
            </w:r>
            <w:hyperlink r:id="rId9" w:history="1">
              <w:r w:rsidRPr="007A2C3A">
                <w:rPr>
                  <w:rFonts w:ascii="Arial" w:hAnsi="Arial" w:cs="Arial"/>
                  <w:sz w:val="22"/>
                  <w:szCs w:val="22"/>
                </w:rPr>
                <w:t>ccgois@hscic.gov.uk</w:t>
              </w:r>
            </w:hyperlink>
          </w:p>
        </w:tc>
      </w:tr>
      <w:tr w:rsidR="000C5E58" w:rsidRPr="007A2C3A" w14:paraId="60932B13" w14:textId="77777777" w:rsidTr="000C5E58">
        <w:tc>
          <w:tcPr>
            <w:tcW w:w="3256" w:type="dxa"/>
          </w:tcPr>
          <w:p w14:paraId="7A81A186" w14:textId="08E85138" w:rsidR="000C5E58" w:rsidRPr="007A2C3A" w:rsidRDefault="000C5E58" w:rsidP="000C5E58">
            <w:pPr>
              <w:spacing w:before="240" w:after="140"/>
              <w:textboxTightWrap w:val="lastLineOnly"/>
              <w:rPr>
                <w:rFonts w:ascii="Arial" w:hAnsi="Arial" w:cs="Arial"/>
                <w:b/>
                <w:sz w:val="22"/>
                <w:szCs w:val="22"/>
              </w:rPr>
            </w:pPr>
            <w:r w:rsidRPr="007A2C3A">
              <w:rPr>
                <w:rFonts w:ascii="Arial" w:hAnsi="Arial" w:cs="Arial"/>
                <w:b/>
                <w:sz w:val="22"/>
                <w:szCs w:val="22"/>
              </w:rPr>
              <w:t>Publication status</w:t>
            </w:r>
          </w:p>
        </w:tc>
        <w:sdt>
          <w:sdtPr>
            <w:rPr>
              <w:rFonts w:ascii="Arial" w:hAnsi="Arial" w:cs="Arial"/>
              <w:sz w:val="22"/>
              <w:szCs w:val="22"/>
            </w:rPr>
            <w:alias w:val="Publication status"/>
            <w:tag w:val="Publication status"/>
            <w:id w:val="-694159432"/>
            <w:placeholder>
              <w:docPart w:val="04BCD1FE3D2042DBB758231863E159D1"/>
            </w:placeholder>
            <w:comboBox>
              <w:listItem w:value="Choose an item."/>
              <w:listItem w:displayText="Currently in publication" w:value="Currently in publication"/>
              <w:listItem w:displayText="Not currently in publication" w:value="Not currently in publication"/>
            </w:comboBox>
          </w:sdtPr>
          <w:sdtContent>
            <w:tc>
              <w:tcPr>
                <w:tcW w:w="6598" w:type="dxa"/>
              </w:tcPr>
              <w:p w14:paraId="5A1E89A3" w14:textId="5380989A"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Currently in publication</w:t>
                </w:r>
              </w:p>
            </w:tc>
          </w:sdtContent>
        </w:sdt>
      </w:tr>
      <w:tr w:rsidR="000C5E58" w:rsidRPr="007A2C3A" w14:paraId="700E2534" w14:textId="77777777" w:rsidTr="000C5E58">
        <w:tc>
          <w:tcPr>
            <w:tcW w:w="3256" w:type="dxa"/>
          </w:tcPr>
          <w:p w14:paraId="0210E498" w14:textId="69B63CD7" w:rsidR="000C5E58" w:rsidRPr="007A2C3A" w:rsidRDefault="000C5E58" w:rsidP="000C5E58">
            <w:pPr>
              <w:spacing w:before="240" w:after="140"/>
              <w:textboxTightWrap w:val="lastLineOnly"/>
              <w:rPr>
                <w:rFonts w:ascii="Arial" w:hAnsi="Arial" w:cs="Arial"/>
                <w:b/>
                <w:sz w:val="22"/>
                <w:szCs w:val="22"/>
              </w:rPr>
            </w:pPr>
            <w:r w:rsidRPr="007A2C3A">
              <w:rPr>
                <w:rFonts w:ascii="Arial" w:hAnsi="Arial" w:cs="Arial"/>
                <w:b/>
                <w:sz w:val="22"/>
                <w:szCs w:val="22"/>
              </w:rPr>
              <w:t>Rationale</w:t>
            </w:r>
          </w:p>
        </w:tc>
        <w:tc>
          <w:tcPr>
            <w:tcW w:w="6598" w:type="dxa"/>
          </w:tcPr>
          <w:p w14:paraId="5D1E5776" w14:textId="77777777" w:rsidR="000C5E58" w:rsidRPr="007A2C3A" w:rsidRDefault="000C5E58" w:rsidP="000C5E58">
            <w:pPr>
              <w:spacing w:before="240" w:after="140"/>
              <w:textboxTightWrap w:val="lastLineOnly"/>
              <w:rPr>
                <w:rFonts w:ascii="Arial" w:hAnsi="Arial" w:cs="Arial"/>
                <w:sz w:val="22"/>
                <w:szCs w:val="22"/>
              </w:rPr>
            </w:pPr>
          </w:p>
        </w:tc>
      </w:tr>
      <w:tr w:rsidR="000C5E58" w:rsidRPr="007A2C3A" w14:paraId="5A258B9A" w14:textId="77777777" w:rsidTr="000C5E58">
        <w:tc>
          <w:tcPr>
            <w:tcW w:w="3256" w:type="dxa"/>
          </w:tcPr>
          <w:p w14:paraId="7CB8B3FC" w14:textId="6D6974CD" w:rsidR="000C5E58" w:rsidRPr="007A2C3A" w:rsidRDefault="000C5E58" w:rsidP="000C5E58">
            <w:pPr>
              <w:spacing w:before="240" w:after="140"/>
              <w:textboxTightWrap w:val="lastLineOnly"/>
              <w:rPr>
                <w:rFonts w:ascii="Arial" w:hAnsi="Arial" w:cs="Arial"/>
                <w:b/>
                <w:sz w:val="22"/>
                <w:szCs w:val="22"/>
              </w:rPr>
            </w:pPr>
            <w:r w:rsidRPr="007A2C3A">
              <w:rPr>
                <w:rFonts w:ascii="Arial" w:hAnsi="Arial" w:cs="Arial"/>
                <w:b/>
                <w:sz w:val="22"/>
                <w:szCs w:val="22"/>
              </w:rPr>
              <w:t>Purpose</w:t>
            </w:r>
          </w:p>
        </w:tc>
        <w:tc>
          <w:tcPr>
            <w:tcW w:w="6598" w:type="dxa"/>
          </w:tcPr>
          <w:p w14:paraId="54DDC042" w14:textId="01B2BEDC"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Identifying levels of mobility at 30 and 120 days are indicators of the effectiveness of rehabilitation after discharge from the hospital admission. The time required for recovery from hip fracture surgery means that, if previous levels of mobility are likely to be regained, this will require appropriate rehabilitation services to be provided some time after discharge. The indicator is therefore an important measure of the effectiveness of rehabilitation within the wider local healthcare system outside of the inpatient setting, and the quality and availability of this are matters within the purview of CCG commissioning. CCGs can use this indicator to track their scores over time and compare themselves with other CCGs.</w:t>
            </w:r>
          </w:p>
        </w:tc>
      </w:tr>
      <w:tr w:rsidR="000C5E58" w:rsidRPr="007A2C3A" w14:paraId="6AAD1C34" w14:textId="77777777" w:rsidTr="000C5E58">
        <w:tc>
          <w:tcPr>
            <w:tcW w:w="3256" w:type="dxa"/>
          </w:tcPr>
          <w:p w14:paraId="674B832B" w14:textId="0E1FD8D3" w:rsidR="000C5E58" w:rsidRPr="007A2C3A" w:rsidRDefault="000C5E58" w:rsidP="000C5E58">
            <w:pPr>
              <w:spacing w:before="240" w:after="140"/>
              <w:textboxTightWrap w:val="lastLineOnly"/>
              <w:rPr>
                <w:rFonts w:ascii="Arial" w:hAnsi="Arial" w:cs="Arial"/>
                <w:b/>
                <w:sz w:val="22"/>
                <w:szCs w:val="22"/>
              </w:rPr>
            </w:pPr>
            <w:r w:rsidRPr="007A2C3A">
              <w:rPr>
                <w:rFonts w:ascii="Arial" w:hAnsi="Arial" w:cs="Arial"/>
                <w:b/>
                <w:sz w:val="22"/>
                <w:szCs w:val="22"/>
              </w:rPr>
              <w:lastRenderedPageBreak/>
              <w:t>Sponsor</w:t>
            </w:r>
          </w:p>
        </w:tc>
        <w:tc>
          <w:tcPr>
            <w:tcW w:w="6598" w:type="dxa"/>
          </w:tcPr>
          <w:p w14:paraId="56F40693" w14:textId="76CDD9A3"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NHS England, Contact name tbc.</w:t>
            </w:r>
          </w:p>
        </w:tc>
      </w:tr>
      <w:tr w:rsidR="000C5E58" w:rsidRPr="007A2C3A" w14:paraId="4BBABB64" w14:textId="77777777" w:rsidTr="000C5E58">
        <w:tc>
          <w:tcPr>
            <w:tcW w:w="3256" w:type="dxa"/>
          </w:tcPr>
          <w:p w14:paraId="3E06B017" w14:textId="55B3CCCF" w:rsidR="000C5E58" w:rsidRPr="007A2C3A" w:rsidRDefault="000C5E58" w:rsidP="000C5E58">
            <w:pPr>
              <w:spacing w:before="240" w:after="140"/>
              <w:textboxTightWrap w:val="lastLineOnly"/>
              <w:rPr>
                <w:rFonts w:ascii="Arial" w:hAnsi="Arial" w:cs="Arial"/>
                <w:b/>
                <w:sz w:val="22"/>
                <w:szCs w:val="22"/>
              </w:rPr>
            </w:pPr>
            <w:r w:rsidRPr="007A2C3A">
              <w:rPr>
                <w:rFonts w:ascii="Arial" w:hAnsi="Arial" w:cs="Arial"/>
                <w:b/>
                <w:sz w:val="22"/>
                <w:szCs w:val="22"/>
              </w:rPr>
              <w:t>Endorsement</w:t>
            </w:r>
          </w:p>
        </w:tc>
        <w:tc>
          <w:tcPr>
            <w:tcW w:w="6598" w:type="dxa"/>
          </w:tcPr>
          <w:p w14:paraId="219E29EA" w14:textId="77777777" w:rsidR="000C5E58" w:rsidRPr="007A2C3A" w:rsidRDefault="000C5E58" w:rsidP="000C5E58">
            <w:pPr>
              <w:spacing w:before="240" w:after="140"/>
              <w:textboxTightWrap w:val="lastLineOnly"/>
              <w:rPr>
                <w:rFonts w:ascii="Arial" w:hAnsi="Arial" w:cs="Arial"/>
                <w:sz w:val="22"/>
                <w:szCs w:val="22"/>
              </w:rPr>
            </w:pPr>
          </w:p>
        </w:tc>
      </w:tr>
      <w:tr w:rsidR="000C5E58" w:rsidRPr="007A2C3A" w14:paraId="6ED42429" w14:textId="77777777" w:rsidTr="000C5E58">
        <w:tc>
          <w:tcPr>
            <w:tcW w:w="3256" w:type="dxa"/>
          </w:tcPr>
          <w:p w14:paraId="5B7C1967" w14:textId="77777777" w:rsidR="000C5E58" w:rsidRPr="007A2C3A" w:rsidRDefault="000C5E58" w:rsidP="000C5E58">
            <w:pPr>
              <w:spacing w:before="240" w:after="140"/>
              <w:textboxTightWrap w:val="lastLineOnly"/>
              <w:rPr>
                <w:rFonts w:ascii="Arial" w:hAnsi="Arial" w:cs="Arial"/>
                <w:b/>
                <w:sz w:val="22"/>
                <w:szCs w:val="22"/>
              </w:rPr>
            </w:pPr>
            <w:r w:rsidRPr="007A2C3A">
              <w:rPr>
                <w:rFonts w:ascii="Arial" w:hAnsi="Arial" w:cs="Arial"/>
                <w:b/>
                <w:sz w:val="22"/>
                <w:szCs w:val="22"/>
              </w:rPr>
              <w:t>Evidence and Policy base</w:t>
            </w:r>
          </w:p>
          <w:p w14:paraId="4B92A232" w14:textId="42E75C75" w:rsidR="000C5E58" w:rsidRPr="007A2C3A" w:rsidRDefault="000C5E58" w:rsidP="000C5E58">
            <w:pPr>
              <w:spacing w:before="240" w:after="140"/>
              <w:textboxTightWrap w:val="lastLineOnly"/>
              <w:rPr>
                <w:rFonts w:ascii="Arial" w:hAnsi="Arial" w:cs="Arial"/>
                <w:b/>
                <w:sz w:val="22"/>
                <w:szCs w:val="22"/>
              </w:rPr>
            </w:pPr>
            <w:r w:rsidRPr="007A2C3A">
              <w:rPr>
                <w:rFonts w:ascii="Arial" w:hAnsi="Arial" w:cs="Arial"/>
                <w:sz w:val="22"/>
                <w:szCs w:val="22"/>
              </w:rPr>
              <w:t>Including related national incentives, critical business question, NICE quality standard and set or domain rationale, if appropriate</w:t>
            </w:r>
          </w:p>
        </w:tc>
        <w:tc>
          <w:tcPr>
            <w:tcW w:w="6598" w:type="dxa"/>
          </w:tcPr>
          <w:p w14:paraId="40D2DEC1" w14:textId="77777777"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The rapid restoration of physical and self-care functions is critical to recovery from hip fracture, particularly where the goal is to return the patient to preoperative levels of function and residence. Loss of pre-fracture mobility and independence currently results in between a quarter and one third of such patients requiring a permanent change in residence. Early surgery, good perioperative care, supported multidisciplinary rehabilitation and falls risk intervention can reduce hospital stay, improve early return to function affecting both readmission rates and the levels of Social Care or NHS Continuing care-funded care support. Mortality following hip fracture is high (as a result of comorbidities).</w:t>
            </w:r>
          </w:p>
          <w:p w14:paraId="74B85B51" w14:textId="77777777" w:rsidR="000C5E58" w:rsidRPr="007A2C3A" w:rsidRDefault="000C5E58" w:rsidP="000C5E58">
            <w:pPr>
              <w:spacing w:before="240" w:after="140"/>
              <w:textboxTightWrap w:val="lastLineOnly"/>
              <w:rPr>
                <w:rFonts w:ascii="Arial" w:hAnsi="Arial" w:cs="Arial"/>
                <w:bCs/>
                <w:sz w:val="22"/>
                <w:szCs w:val="22"/>
              </w:rPr>
            </w:pPr>
            <w:r w:rsidRPr="007A2C3A">
              <w:rPr>
                <w:rFonts w:ascii="Arial" w:hAnsi="Arial" w:cs="Arial"/>
                <w:bCs/>
                <w:sz w:val="22"/>
                <w:szCs w:val="22"/>
              </w:rPr>
              <w:t xml:space="preserve">The </w:t>
            </w:r>
            <w:r w:rsidRPr="007A2C3A">
              <w:rPr>
                <w:rFonts w:ascii="Arial" w:hAnsi="Arial" w:cs="Arial"/>
                <w:sz w:val="22"/>
                <w:szCs w:val="22"/>
              </w:rPr>
              <w:t>indicators</w:t>
            </w:r>
            <w:r w:rsidRPr="007A2C3A">
              <w:rPr>
                <w:rFonts w:ascii="Arial" w:hAnsi="Arial" w:cs="Arial"/>
                <w:bCs/>
                <w:sz w:val="22"/>
                <w:szCs w:val="22"/>
              </w:rPr>
              <w:t xml:space="preserve"> form part of domain 3 of the CCG OIS. The Fragility Fractures Programme at DH was initiated in 2009, clinically led by NCD for Trauma Care, Prof Keith Willett, and the NCD for Older People, Prof David Oliver. The issues the programme sought to address were the care of hip fracture patients and the prevention of fractures amongst the </w:t>
            </w:r>
            <w:proofErr w:type="gramStart"/>
            <w:r w:rsidRPr="007A2C3A">
              <w:rPr>
                <w:rFonts w:ascii="Arial" w:hAnsi="Arial" w:cs="Arial"/>
                <w:bCs/>
                <w:sz w:val="22"/>
                <w:szCs w:val="22"/>
              </w:rPr>
              <w:t>high risk</w:t>
            </w:r>
            <w:proofErr w:type="gramEnd"/>
            <w:r w:rsidRPr="007A2C3A">
              <w:rPr>
                <w:rFonts w:ascii="Arial" w:hAnsi="Arial" w:cs="Arial"/>
                <w:bCs/>
                <w:sz w:val="22"/>
                <w:szCs w:val="22"/>
              </w:rPr>
              <w:t xml:space="preserve"> population. The programme looked for system architecture improvements that would improve the priority given across the NHS to those at risk of fragility fractures, and reduce the effect of delays, co-morbidities and lengthy stays in hospitals or care facilities.</w:t>
            </w:r>
          </w:p>
          <w:p w14:paraId="53654350" w14:textId="5F941E05" w:rsidR="000C5E58" w:rsidRPr="007A2C3A" w:rsidRDefault="000C5E58" w:rsidP="000C5E58">
            <w:pPr>
              <w:spacing w:before="240" w:after="140"/>
              <w:textboxTightWrap w:val="lastLineOnly"/>
              <w:rPr>
                <w:rFonts w:ascii="Arial" w:hAnsi="Arial" w:cs="Arial"/>
                <w:sz w:val="22"/>
                <w:szCs w:val="22"/>
              </w:rPr>
            </w:pPr>
            <w:r w:rsidRPr="007A2C3A">
              <w:rPr>
                <w:rFonts w:ascii="Arial" w:hAnsi="Arial" w:cs="Arial"/>
                <w:sz w:val="22"/>
                <w:szCs w:val="22"/>
              </w:rPr>
              <w:t xml:space="preserve">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7A2C3A">
              <w:rPr>
                <w:rFonts w:ascii="Arial" w:hAnsi="Arial" w:cs="Arial"/>
                <w:sz w:val="22"/>
                <w:szCs w:val="22"/>
              </w:rPr>
              <w:t>All of</w:t>
            </w:r>
            <w:proofErr w:type="gramEnd"/>
            <w:r w:rsidRPr="007A2C3A">
              <w:rPr>
                <w:rFonts w:ascii="Arial" w:hAnsi="Arial" w:cs="Arial"/>
                <w:sz w:val="22"/>
                <w:szCs w:val="22"/>
              </w:rPr>
              <w:t xml:space="preserve"> the CCG Outcomes indicators have been chosen on the basis that they contribute to the overarching aims of the five domains in the NHS Outcomes Framework and it is intended as a tool for CCGs to drive local improvement and set priorities.  </w:t>
            </w:r>
          </w:p>
        </w:tc>
      </w:tr>
      <w:tr w:rsidR="00E27CFC" w:rsidRPr="007A2C3A" w14:paraId="45DD8A46" w14:textId="77777777" w:rsidTr="000C5E58">
        <w:tc>
          <w:tcPr>
            <w:tcW w:w="3256" w:type="dxa"/>
          </w:tcPr>
          <w:p w14:paraId="4C987FB0" w14:textId="4AF9AB2F"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b/>
                <w:sz w:val="22"/>
                <w:szCs w:val="22"/>
              </w:rPr>
              <w:t>Data source</w:t>
            </w:r>
          </w:p>
        </w:tc>
        <w:tc>
          <w:tcPr>
            <w:tcW w:w="6598" w:type="dxa"/>
          </w:tcPr>
          <w:p w14:paraId="11676014" w14:textId="672902B6"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National Hip Fracture Database (NHFD)</w:t>
            </w:r>
          </w:p>
        </w:tc>
      </w:tr>
      <w:tr w:rsidR="00E27CFC" w:rsidRPr="007A2C3A" w14:paraId="09DC3E23" w14:textId="77777777" w:rsidTr="000C5E58">
        <w:tc>
          <w:tcPr>
            <w:tcW w:w="3256" w:type="dxa"/>
          </w:tcPr>
          <w:p w14:paraId="62221BED" w14:textId="614887A0"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b/>
                <w:sz w:val="22"/>
                <w:szCs w:val="22"/>
              </w:rPr>
              <w:t>Justification of source and others considered</w:t>
            </w:r>
          </w:p>
        </w:tc>
        <w:tc>
          <w:tcPr>
            <w:tcW w:w="6598" w:type="dxa"/>
          </w:tcPr>
          <w:p w14:paraId="3687E6D5"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The National Hip Fracture Database (NHFD) is a clinically led, web-based quality improvement initiative commissioned by the Healthcare Quality Improvement Partnership (HQIP) and managed by the Royal College of Physicians (RCP).</w:t>
            </w:r>
          </w:p>
          <w:p w14:paraId="16AF4DD3"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All 182 eligible hospitals in England, Wales and Northern Ireland are now regularly submitting data to NHFD, the largest hip fracture database in the world, with:</w:t>
            </w:r>
          </w:p>
          <w:p w14:paraId="5E496653"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lastRenderedPageBreak/>
              <w:t>• a third of a million cases recorded since its launch in 2007</w:t>
            </w:r>
          </w:p>
          <w:p w14:paraId="40E773B7"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over 95% of all new hip fracture cases being documented</w:t>
            </w:r>
          </w:p>
          <w:p w14:paraId="519630D5" w14:textId="0A4F0D19"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5,700 records being added every month.</w:t>
            </w:r>
          </w:p>
        </w:tc>
      </w:tr>
      <w:tr w:rsidR="00E27CFC" w:rsidRPr="007A2C3A" w14:paraId="7CDCB932" w14:textId="77777777" w:rsidTr="000C5E58">
        <w:tc>
          <w:tcPr>
            <w:tcW w:w="3256" w:type="dxa"/>
          </w:tcPr>
          <w:p w14:paraId="14D19D99" w14:textId="3AB9B4CA"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b/>
                <w:sz w:val="22"/>
                <w:szCs w:val="22"/>
              </w:rPr>
              <w:lastRenderedPageBreak/>
              <w:t>Data availability</w:t>
            </w:r>
          </w:p>
        </w:tc>
        <w:tc>
          <w:tcPr>
            <w:tcW w:w="6598" w:type="dxa"/>
          </w:tcPr>
          <w:p w14:paraId="01598C84"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The data is provided on request by Health Quality Improvement Partnership (HQIP). A data sharing agreement between the HSCIC and HQIP is set up.</w:t>
            </w:r>
          </w:p>
          <w:p w14:paraId="63706357"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Data is expected to be available 6 months after the end of the reporting period (calendar year) to allow for a follow up period of 120 days</w:t>
            </w:r>
          </w:p>
          <w:p w14:paraId="4897A689" w14:textId="699FF412"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Data is supplied at CCG level by data sharing agreement and is not </w:t>
            </w:r>
            <w:proofErr w:type="spellStart"/>
            <w:r w:rsidRPr="007A2C3A">
              <w:rPr>
                <w:rFonts w:ascii="Arial" w:hAnsi="Arial" w:cs="Arial"/>
                <w:sz w:val="22"/>
                <w:szCs w:val="22"/>
              </w:rPr>
              <w:t>publically</w:t>
            </w:r>
            <w:proofErr w:type="spellEnd"/>
            <w:r w:rsidRPr="007A2C3A">
              <w:rPr>
                <w:rFonts w:ascii="Arial" w:hAnsi="Arial" w:cs="Arial"/>
                <w:sz w:val="22"/>
                <w:szCs w:val="22"/>
              </w:rPr>
              <w:t xml:space="preserve"> available.  </w:t>
            </w:r>
          </w:p>
        </w:tc>
      </w:tr>
      <w:tr w:rsidR="00E27CFC" w:rsidRPr="007A2C3A" w14:paraId="24FF0228" w14:textId="77777777" w:rsidTr="000C5E58">
        <w:tc>
          <w:tcPr>
            <w:tcW w:w="3256" w:type="dxa"/>
          </w:tcPr>
          <w:p w14:paraId="7CF3FE71" w14:textId="66026EA1"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b/>
                <w:sz w:val="22"/>
                <w:szCs w:val="22"/>
              </w:rPr>
              <w:t>Data quality</w:t>
            </w:r>
          </w:p>
        </w:tc>
        <w:tc>
          <w:tcPr>
            <w:tcW w:w="6598" w:type="dxa"/>
          </w:tcPr>
          <w:p w14:paraId="065AF5E0" w14:textId="77777777" w:rsidR="00E27CFC" w:rsidRPr="007A2C3A" w:rsidRDefault="00E27CFC" w:rsidP="00E27CFC">
            <w:pPr>
              <w:spacing w:before="240" w:after="140"/>
              <w:textboxTightWrap w:val="lastLineOnly"/>
              <w:rPr>
                <w:rFonts w:ascii="Arial" w:hAnsi="Arial" w:cs="Arial"/>
                <w:bCs/>
                <w:sz w:val="22"/>
                <w:szCs w:val="22"/>
              </w:rPr>
            </w:pPr>
            <w:r w:rsidRPr="007A2C3A">
              <w:rPr>
                <w:rFonts w:ascii="Arial" w:hAnsi="Arial" w:cs="Arial"/>
                <w:bCs/>
                <w:sz w:val="22"/>
                <w:szCs w:val="22"/>
              </w:rPr>
              <w:t>The assumption is that more data will be submitted to NHFD. The risk is that walking ability at 120 days is timely and costly to collect.</w:t>
            </w:r>
          </w:p>
          <w:p w14:paraId="6A974E9D" w14:textId="77777777"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b/>
                <w:sz w:val="22"/>
                <w:szCs w:val="22"/>
              </w:rPr>
              <w:t>Low recording rates of mobility category</w:t>
            </w:r>
          </w:p>
          <w:p w14:paraId="49AFDEBC"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When these indicators were previously discussed for inclusion in the NHS Outcomes Framework an issue was raised regarding low recording rates of mobility category at 30/120 days in the NHFD.</w:t>
            </w:r>
          </w:p>
          <w:p w14:paraId="7B00BC3E"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For a record to be included in either the 30 day or the </w:t>
            </w:r>
            <w:proofErr w:type="gramStart"/>
            <w:r w:rsidRPr="007A2C3A">
              <w:rPr>
                <w:rFonts w:ascii="Arial" w:hAnsi="Arial" w:cs="Arial"/>
                <w:sz w:val="22"/>
                <w:szCs w:val="22"/>
              </w:rPr>
              <w:t>120 day</w:t>
            </w:r>
            <w:proofErr w:type="gramEnd"/>
            <w:r w:rsidRPr="007A2C3A">
              <w:rPr>
                <w:rFonts w:ascii="Arial" w:hAnsi="Arial" w:cs="Arial"/>
                <w:sz w:val="22"/>
                <w:szCs w:val="22"/>
              </w:rPr>
              <w:t xml:space="preserve"> analysis there must be a record of mobility status at both time of admission and at the 30/120 day point (after admission). </w:t>
            </w:r>
          </w:p>
          <w:p w14:paraId="66429094"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A sample analysis was undertaken on 2014 data to determine the numbers involved. </w:t>
            </w:r>
          </w:p>
          <w:p w14:paraId="22B179ED"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The results can be seen in table 1 below.</w:t>
            </w:r>
          </w:p>
          <w:p w14:paraId="37752AFD" w14:textId="77777777" w:rsidR="00E27CFC" w:rsidRPr="007A2C3A" w:rsidRDefault="00E27CFC" w:rsidP="00E27CFC">
            <w:pPr>
              <w:spacing w:before="240" w:after="140"/>
              <w:textboxTightWrap w:val="lastLineOnly"/>
              <w:rPr>
                <w:rFonts w:ascii="Arial" w:hAnsi="Arial" w:cs="Arial"/>
                <w:sz w:val="22"/>
                <w:szCs w:val="22"/>
              </w:rPr>
            </w:pPr>
          </w:p>
        </w:tc>
      </w:tr>
    </w:tbl>
    <w:p w14:paraId="49B51FFE" w14:textId="77777777" w:rsidR="001E26B6" w:rsidRPr="007A2C3A" w:rsidRDefault="001E26B6" w:rsidP="001E26B6">
      <w:pPr>
        <w:spacing w:before="240" w:after="140"/>
        <w:textboxTightWrap w:val="lastLineOnly"/>
        <w:rPr>
          <w:rFonts w:ascii="Arial" w:hAnsi="Arial" w:cs="Arial"/>
          <w:sz w:val="24"/>
          <w:szCs w:val="24"/>
        </w:rPr>
      </w:pPr>
      <w:r w:rsidRPr="007A2C3A">
        <w:rPr>
          <w:rFonts w:ascii="Arial" w:hAnsi="Arial" w:cs="Arial"/>
          <w:sz w:val="24"/>
          <w:szCs w:val="24"/>
        </w:rPr>
        <w:t>Table 1: Number of total patients with valid CCG and valid mobility categories (1, 2 or 3) from NHFD 2014</w:t>
      </w:r>
    </w:p>
    <w:p w14:paraId="463A7E38" w14:textId="256F8C07" w:rsidR="001E26B6" w:rsidRPr="007A2C3A" w:rsidRDefault="001E26B6">
      <w:pPr>
        <w:rPr>
          <w:rFonts w:ascii="Arial" w:hAnsi="Arial" w:cs="Arial"/>
        </w:rPr>
      </w:pPr>
    </w:p>
    <w:tbl>
      <w:tblPr>
        <w:tblStyle w:val="TableGrid"/>
        <w:tblW w:w="6771" w:type="dxa"/>
        <w:tblLayout w:type="fixed"/>
        <w:tblLook w:val="04A0" w:firstRow="1" w:lastRow="0" w:firstColumn="1" w:lastColumn="0" w:noHBand="0" w:noVBand="1"/>
      </w:tblPr>
      <w:tblGrid>
        <w:gridCol w:w="774"/>
        <w:gridCol w:w="951"/>
        <w:gridCol w:w="1484"/>
        <w:gridCol w:w="1128"/>
        <w:gridCol w:w="1073"/>
        <w:gridCol w:w="1361"/>
      </w:tblGrid>
      <w:tr w:rsidR="00AC3D72" w:rsidRPr="007A2C3A" w14:paraId="4149EA72" w14:textId="77777777" w:rsidTr="001E26B6">
        <w:trPr>
          <w:trHeight w:val="285"/>
        </w:trPr>
        <w:tc>
          <w:tcPr>
            <w:tcW w:w="774" w:type="dxa"/>
            <w:noWrap/>
            <w:hideMark/>
          </w:tcPr>
          <w:p w14:paraId="433056B0"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Follow-up Period</w:t>
            </w:r>
          </w:p>
        </w:tc>
        <w:tc>
          <w:tcPr>
            <w:tcW w:w="951" w:type="dxa"/>
            <w:hideMark/>
          </w:tcPr>
          <w:p w14:paraId="307A8138"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Cases of Hip Fracture</w:t>
            </w:r>
          </w:p>
        </w:tc>
        <w:tc>
          <w:tcPr>
            <w:tcW w:w="1484" w:type="dxa"/>
            <w:noWrap/>
            <w:hideMark/>
          </w:tcPr>
          <w:p w14:paraId="66BC0EAB"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Eligible for Indicator</w:t>
            </w:r>
          </w:p>
        </w:tc>
        <w:tc>
          <w:tcPr>
            <w:tcW w:w="1128" w:type="dxa"/>
            <w:noWrap/>
            <w:hideMark/>
          </w:tcPr>
          <w:p w14:paraId="578BA158"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Recovered (of eligible)</w:t>
            </w:r>
          </w:p>
        </w:tc>
        <w:tc>
          <w:tcPr>
            <w:tcW w:w="1073" w:type="dxa"/>
            <w:noWrap/>
            <w:hideMark/>
          </w:tcPr>
          <w:p w14:paraId="22B9840A"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Excluded</w:t>
            </w:r>
          </w:p>
        </w:tc>
        <w:tc>
          <w:tcPr>
            <w:tcW w:w="1361" w:type="dxa"/>
          </w:tcPr>
          <w:p w14:paraId="420B29A8"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Pre-fracture mobility score of 4 or 5 (filter, included in ‘Excluded’ total)</w:t>
            </w:r>
          </w:p>
        </w:tc>
      </w:tr>
      <w:tr w:rsidR="00AC3D72" w:rsidRPr="007A2C3A" w14:paraId="19208DAA" w14:textId="77777777" w:rsidTr="001E26B6">
        <w:trPr>
          <w:trHeight w:val="285"/>
        </w:trPr>
        <w:tc>
          <w:tcPr>
            <w:tcW w:w="774" w:type="dxa"/>
            <w:noWrap/>
            <w:hideMark/>
          </w:tcPr>
          <w:p w14:paraId="4BB3FE24"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30 Days</w:t>
            </w:r>
          </w:p>
        </w:tc>
        <w:tc>
          <w:tcPr>
            <w:tcW w:w="951" w:type="dxa"/>
            <w:noWrap/>
            <w:hideMark/>
          </w:tcPr>
          <w:p w14:paraId="5329860A" w14:textId="77777777" w:rsidR="001E26B6" w:rsidRPr="007A2C3A" w:rsidRDefault="001E26B6" w:rsidP="00AC3D72">
            <w:pPr>
              <w:rPr>
                <w:rFonts w:ascii="Arial" w:hAnsi="Arial" w:cs="Arial"/>
                <w:lang w:eastAsia="en-GB"/>
              </w:rPr>
            </w:pPr>
            <w:r w:rsidRPr="007A2C3A">
              <w:rPr>
                <w:rFonts w:ascii="Arial" w:hAnsi="Arial" w:cs="Arial"/>
                <w:lang w:eastAsia="en-GB"/>
              </w:rPr>
              <w:t>57,680</w:t>
            </w:r>
          </w:p>
        </w:tc>
        <w:tc>
          <w:tcPr>
            <w:tcW w:w="1484" w:type="dxa"/>
            <w:noWrap/>
            <w:hideMark/>
          </w:tcPr>
          <w:p w14:paraId="7B081B1A" w14:textId="77777777" w:rsidR="001E26B6" w:rsidRPr="007A2C3A" w:rsidRDefault="001E26B6" w:rsidP="00AC3D72">
            <w:pPr>
              <w:rPr>
                <w:rFonts w:ascii="Arial" w:hAnsi="Arial" w:cs="Arial"/>
                <w:lang w:eastAsia="en-GB"/>
              </w:rPr>
            </w:pPr>
            <w:r w:rsidRPr="007A2C3A">
              <w:rPr>
                <w:rFonts w:ascii="Arial" w:hAnsi="Arial" w:cs="Arial"/>
                <w:lang w:eastAsia="en-GB"/>
              </w:rPr>
              <w:t>9,880 (17.1%)</w:t>
            </w:r>
          </w:p>
        </w:tc>
        <w:tc>
          <w:tcPr>
            <w:tcW w:w="1128" w:type="dxa"/>
            <w:noWrap/>
            <w:hideMark/>
          </w:tcPr>
          <w:p w14:paraId="01049CC0" w14:textId="77777777" w:rsidR="001E26B6" w:rsidRPr="007A2C3A" w:rsidRDefault="001E26B6" w:rsidP="00AC3D72">
            <w:pPr>
              <w:rPr>
                <w:rFonts w:ascii="Arial" w:hAnsi="Arial" w:cs="Arial"/>
                <w:lang w:eastAsia="en-GB"/>
              </w:rPr>
            </w:pPr>
            <w:r w:rsidRPr="007A2C3A">
              <w:rPr>
                <w:rFonts w:ascii="Arial" w:hAnsi="Arial" w:cs="Arial"/>
                <w:lang w:eastAsia="en-GB"/>
              </w:rPr>
              <w:t>2,375 (24%)</w:t>
            </w:r>
          </w:p>
        </w:tc>
        <w:tc>
          <w:tcPr>
            <w:tcW w:w="1073" w:type="dxa"/>
            <w:noWrap/>
            <w:hideMark/>
          </w:tcPr>
          <w:p w14:paraId="28FE1F3C" w14:textId="77777777" w:rsidR="001E26B6" w:rsidRPr="007A2C3A" w:rsidRDefault="001E26B6" w:rsidP="00AC3D72">
            <w:pPr>
              <w:rPr>
                <w:rFonts w:ascii="Arial" w:hAnsi="Arial" w:cs="Arial"/>
                <w:lang w:eastAsia="en-GB"/>
              </w:rPr>
            </w:pPr>
            <w:r w:rsidRPr="007A2C3A">
              <w:rPr>
                <w:rFonts w:ascii="Arial" w:hAnsi="Arial" w:cs="Arial"/>
                <w:lang w:eastAsia="en-GB"/>
              </w:rPr>
              <w:t>47,800(82.9%)</w:t>
            </w:r>
          </w:p>
        </w:tc>
        <w:tc>
          <w:tcPr>
            <w:tcW w:w="1361" w:type="dxa"/>
          </w:tcPr>
          <w:p w14:paraId="3800FE17" w14:textId="77777777" w:rsidR="001E26B6" w:rsidRPr="007A2C3A" w:rsidRDefault="001E26B6" w:rsidP="00AC3D72">
            <w:pPr>
              <w:rPr>
                <w:rFonts w:ascii="Arial" w:hAnsi="Arial" w:cs="Arial"/>
                <w:lang w:eastAsia="en-GB"/>
              </w:rPr>
            </w:pPr>
            <w:r w:rsidRPr="007A2C3A">
              <w:rPr>
                <w:rFonts w:ascii="Arial" w:hAnsi="Arial" w:cs="Arial"/>
                <w:lang w:eastAsia="en-GB"/>
              </w:rPr>
              <w:t>23,260 (40.3%)</w:t>
            </w:r>
          </w:p>
        </w:tc>
      </w:tr>
      <w:tr w:rsidR="001E26B6" w:rsidRPr="007A2C3A" w14:paraId="520F9BBD" w14:textId="77777777" w:rsidTr="001E26B6">
        <w:trPr>
          <w:trHeight w:val="300"/>
        </w:trPr>
        <w:tc>
          <w:tcPr>
            <w:tcW w:w="774" w:type="dxa"/>
            <w:noWrap/>
            <w:hideMark/>
          </w:tcPr>
          <w:p w14:paraId="10E771B3"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120 Days</w:t>
            </w:r>
          </w:p>
        </w:tc>
        <w:tc>
          <w:tcPr>
            <w:tcW w:w="951" w:type="dxa"/>
            <w:noWrap/>
            <w:hideMark/>
          </w:tcPr>
          <w:p w14:paraId="1A01A9AF" w14:textId="77777777" w:rsidR="001E26B6" w:rsidRPr="007A2C3A" w:rsidRDefault="001E26B6" w:rsidP="00AC3D72">
            <w:pPr>
              <w:rPr>
                <w:rFonts w:ascii="Arial" w:hAnsi="Arial" w:cs="Arial"/>
                <w:lang w:eastAsia="en-GB"/>
              </w:rPr>
            </w:pPr>
            <w:r w:rsidRPr="007A2C3A">
              <w:rPr>
                <w:rFonts w:ascii="Arial" w:hAnsi="Arial" w:cs="Arial"/>
                <w:lang w:eastAsia="en-GB"/>
              </w:rPr>
              <w:t>57,680</w:t>
            </w:r>
          </w:p>
        </w:tc>
        <w:tc>
          <w:tcPr>
            <w:tcW w:w="1484" w:type="dxa"/>
            <w:noWrap/>
            <w:hideMark/>
          </w:tcPr>
          <w:p w14:paraId="4CD76741" w14:textId="77777777" w:rsidR="001E26B6" w:rsidRPr="007A2C3A" w:rsidRDefault="001E26B6" w:rsidP="00AC3D72">
            <w:pPr>
              <w:rPr>
                <w:rFonts w:ascii="Arial" w:hAnsi="Arial" w:cs="Arial"/>
                <w:lang w:eastAsia="en-GB"/>
              </w:rPr>
            </w:pPr>
            <w:r w:rsidRPr="007A2C3A">
              <w:rPr>
                <w:rFonts w:ascii="Arial" w:hAnsi="Arial" w:cs="Arial"/>
                <w:lang w:eastAsia="en-GB"/>
              </w:rPr>
              <w:t xml:space="preserve">  7,172(12.4%)</w:t>
            </w:r>
          </w:p>
        </w:tc>
        <w:tc>
          <w:tcPr>
            <w:tcW w:w="1128" w:type="dxa"/>
            <w:noWrap/>
            <w:hideMark/>
          </w:tcPr>
          <w:p w14:paraId="7EA109CB" w14:textId="77777777" w:rsidR="001E26B6" w:rsidRPr="007A2C3A" w:rsidRDefault="001E26B6" w:rsidP="00AC3D72">
            <w:pPr>
              <w:rPr>
                <w:rFonts w:ascii="Arial" w:hAnsi="Arial" w:cs="Arial"/>
                <w:lang w:eastAsia="en-GB"/>
              </w:rPr>
            </w:pPr>
            <w:r w:rsidRPr="007A2C3A">
              <w:rPr>
                <w:rFonts w:ascii="Arial" w:hAnsi="Arial" w:cs="Arial"/>
                <w:lang w:eastAsia="en-GB"/>
              </w:rPr>
              <w:t>3,609 (50.3%)</w:t>
            </w:r>
          </w:p>
        </w:tc>
        <w:tc>
          <w:tcPr>
            <w:tcW w:w="1073" w:type="dxa"/>
            <w:noWrap/>
            <w:hideMark/>
          </w:tcPr>
          <w:p w14:paraId="0301A124" w14:textId="77777777" w:rsidR="001E26B6" w:rsidRPr="007A2C3A" w:rsidRDefault="001E26B6" w:rsidP="00AC3D72">
            <w:pPr>
              <w:rPr>
                <w:rFonts w:ascii="Arial" w:hAnsi="Arial" w:cs="Arial"/>
                <w:lang w:eastAsia="en-GB"/>
              </w:rPr>
            </w:pPr>
            <w:r w:rsidRPr="007A2C3A">
              <w:rPr>
                <w:rFonts w:ascii="Arial" w:hAnsi="Arial" w:cs="Arial"/>
                <w:lang w:eastAsia="en-GB"/>
              </w:rPr>
              <w:t>50,508(87.6%)</w:t>
            </w:r>
          </w:p>
        </w:tc>
        <w:tc>
          <w:tcPr>
            <w:tcW w:w="1361" w:type="dxa"/>
          </w:tcPr>
          <w:p w14:paraId="708FA73C" w14:textId="77777777" w:rsidR="001E26B6" w:rsidRPr="007A2C3A" w:rsidRDefault="001E26B6" w:rsidP="00AC3D72">
            <w:pPr>
              <w:rPr>
                <w:rFonts w:ascii="Arial" w:hAnsi="Arial" w:cs="Arial"/>
                <w:lang w:eastAsia="en-GB"/>
              </w:rPr>
            </w:pPr>
            <w:r w:rsidRPr="007A2C3A">
              <w:rPr>
                <w:rFonts w:ascii="Arial" w:hAnsi="Arial" w:cs="Arial"/>
                <w:lang w:eastAsia="en-GB"/>
              </w:rPr>
              <w:t>23,260 (40.3%)</w:t>
            </w:r>
          </w:p>
        </w:tc>
      </w:tr>
    </w:tbl>
    <w:p w14:paraId="435BB199" w14:textId="42D46A18" w:rsidR="001E26B6" w:rsidRPr="007A2C3A" w:rsidRDefault="001E26B6">
      <w:pPr>
        <w:rPr>
          <w:rFonts w:ascii="Arial" w:hAnsi="Arial" w:cs="Arial"/>
        </w:rPr>
      </w:pPr>
    </w:p>
    <w:p w14:paraId="69F6FC0C" w14:textId="549CBB2B" w:rsidR="001E26B6" w:rsidRPr="007A2C3A" w:rsidRDefault="001E26B6">
      <w:pPr>
        <w:rPr>
          <w:rFonts w:ascii="Arial" w:hAnsi="Arial" w:cs="Arial"/>
          <w:sz w:val="24"/>
          <w:szCs w:val="24"/>
        </w:rPr>
      </w:pPr>
      <w:r w:rsidRPr="007A2C3A">
        <w:rPr>
          <w:rFonts w:ascii="Arial" w:hAnsi="Arial" w:cs="Arial"/>
          <w:sz w:val="24"/>
          <w:szCs w:val="24"/>
        </w:rPr>
        <w:lastRenderedPageBreak/>
        <w:t>Table 2: Breakdown of reasons for exclusion from hip fracture indicators 3.</w:t>
      </w:r>
      <w:proofErr w:type="gramStart"/>
      <w:r w:rsidRPr="007A2C3A">
        <w:rPr>
          <w:rFonts w:ascii="Arial" w:hAnsi="Arial" w:cs="Arial"/>
          <w:sz w:val="24"/>
          <w:szCs w:val="24"/>
        </w:rPr>
        <w:t>10.i</w:t>
      </w:r>
      <w:proofErr w:type="gramEnd"/>
      <w:r w:rsidRPr="007A2C3A">
        <w:rPr>
          <w:rFonts w:ascii="Arial" w:hAnsi="Arial" w:cs="Arial"/>
          <w:sz w:val="24"/>
          <w:szCs w:val="24"/>
        </w:rPr>
        <w:t xml:space="preserve"> and 3.10.ii from NHFD 2014</w:t>
      </w:r>
    </w:p>
    <w:tbl>
      <w:tblPr>
        <w:tblStyle w:val="TableGrid"/>
        <w:tblW w:w="6686" w:type="dxa"/>
        <w:tblLayout w:type="fixed"/>
        <w:tblLook w:val="04A0" w:firstRow="1" w:lastRow="0" w:firstColumn="1" w:lastColumn="0" w:noHBand="0" w:noVBand="1"/>
      </w:tblPr>
      <w:tblGrid>
        <w:gridCol w:w="985"/>
        <w:gridCol w:w="1059"/>
        <w:gridCol w:w="1026"/>
        <w:gridCol w:w="1190"/>
        <w:gridCol w:w="1289"/>
        <w:gridCol w:w="1137"/>
      </w:tblGrid>
      <w:tr w:rsidR="00AC3D72" w:rsidRPr="007A2C3A" w14:paraId="33AF091B" w14:textId="77777777" w:rsidTr="001E26B6">
        <w:trPr>
          <w:trHeight w:val="450"/>
        </w:trPr>
        <w:tc>
          <w:tcPr>
            <w:tcW w:w="985" w:type="dxa"/>
            <w:noWrap/>
            <w:hideMark/>
          </w:tcPr>
          <w:p w14:paraId="0310904A"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8"/>
                <w:szCs w:val="16"/>
                <w:lang w:eastAsia="en-GB"/>
              </w:rPr>
              <w:t>Exclusion reasons</w:t>
            </w:r>
          </w:p>
        </w:tc>
        <w:tc>
          <w:tcPr>
            <w:tcW w:w="1059" w:type="dxa"/>
            <w:hideMark/>
          </w:tcPr>
          <w:p w14:paraId="2D7C169D"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Missing score pre-fracture</w:t>
            </w:r>
          </w:p>
        </w:tc>
        <w:tc>
          <w:tcPr>
            <w:tcW w:w="1026" w:type="dxa"/>
            <w:hideMark/>
          </w:tcPr>
          <w:p w14:paraId="0C7C5391"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Missing score at pre-fracture and 30/120 days</w:t>
            </w:r>
          </w:p>
        </w:tc>
        <w:tc>
          <w:tcPr>
            <w:tcW w:w="1190" w:type="dxa"/>
            <w:hideMark/>
          </w:tcPr>
          <w:p w14:paraId="189E9395"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 xml:space="preserve">Missing </w:t>
            </w:r>
            <w:proofErr w:type="gramStart"/>
            <w:r w:rsidRPr="007A2C3A">
              <w:rPr>
                <w:rFonts w:ascii="Arial" w:hAnsi="Arial" w:cs="Arial"/>
                <w:b/>
                <w:bCs/>
                <w:sz w:val="16"/>
                <w:szCs w:val="16"/>
                <w:lang w:eastAsia="en-GB"/>
              </w:rPr>
              <w:t>score  at</w:t>
            </w:r>
            <w:proofErr w:type="gramEnd"/>
            <w:r w:rsidRPr="007A2C3A">
              <w:rPr>
                <w:rFonts w:ascii="Arial" w:hAnsi="Arial" w:cs="Arial"/>
                <w:b/>
                <w:bCs/>
                <w:sz w:val="16"/>
                <w:szCs w:val="16"/>
                <w:lang w:eastAsia="en-GB"/>
              </w:rPr>
              <w:t xml:space="preserve"> 30/120 days only</w:t>
            </w:r>
          </w:p>
        </w:tc>
        <w:tc>
          <w:tcPr>
            <w:tcW w:w="1289" w:type="dxa"/>
            <w:hideMark/>
          </w:tcPr>
          <w:p w14:paraId="16906D8F"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Missing CCG Code(exclusion)</w:t>
            </w:r>
          </w:p>
        </w:tc>
        <w:tc>
          <w:tcPr>
            <w:tcW w:w="1137" w:type="dxa"/>
            <w:hideMark/>
          </w:tcPr>
          <w:p w14:paraId="3DC7C3CB"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Invalid CCG Code(exclusion)</w:t>
            </w:r>
          </w:p>
        </w:tc>
      </w:tr>
      <w:tr w:rsidR="00AC3D72" w:rsidRPr="007A2C3A" w14:paraId="3639EF72" w14:textId="77777777" w:rsidTr="001E26B6">
        <w:trPr>
          <w:trHeight w:val="285"/>
        </w:trPr>
        <w:tc>
          <w:tcPr>
            <w:tcW w:w="985" w:type="dxa"/>
            <w:noWrap/>
            <w:hideMark/>
          </w:tcPr>
          <w:p w14:paraId="5CFD19CA"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30 Days</w:t>
            </w:r>
          </w:p>
        </w:tc>
        <w:tc>
          <w:tcPr>
            <w:tcW w:w="1059" w:type="dxa"/>
            <w:noWrap/>
            <w:hideMark/>
          </w:tcPr>
          <w:p w14:paraId="74D33112" w14:textId="77777777" w:rsidR="001E26B6" w:rsidRPr="007A2C3A" w:rsidRDefault="001E26B6" w:rsidP="00AC3D72">
            <w:pPr>
              <w:jc w:val="right"/>
              <w:rPr>
                <w:rFonts w:ascii="Arial" w:hAnsi="Arial" w:cs="Arial"/>
                <w:lang w:eastAsia="en-GB"/>
              </w:rPr>
            </w:pPr>
            <w:r w:rsidRPr="007A2C3A">
              <w:rPr>
                <w:rFonts w:ascii="Arial" w:hAnsi="Arial" w:cs="Arial"/>
                <w:lang w:eastAsia="en-GB"/>
              </w:rPr>
              <w:t>697</w:t>
            </w:r>
          </w:p>
        </w:tc>
        <w:tc>
          <w:tcPr>
            <w:tcW w:w="1026" w:type="dxa"/>
            <w:noWrap/>
            <w:hideMark/>
          </w:tcPr>
          <w:p w14:paraId="650E85CF" w14:textId="77777777" w:rsidR="001E26B6" w:rsidRPr="007A2C3A" w:rsidRDefault="001E26B6" w:rsidP="00AC3D72">
            <w:pPr>
              <w:jc w:val="right"/>
              <w:rPr>
                <w:rFonts w:ascii="Arial" w:hAnsi="Arial" w:cs="Arial"/>
                <w:lang w:eastAsia="en-GB"/>
              </w:rPr>
            </w:pPr>
            <w:r w:rsidRPr="007A2C3A">
              <w:rPr>
                <w:rFonts w:ascii="Arial" w:hAnsi="Arial" w:cs="Arial"/>
                <w:lang w:eastAsia="en-GB"/>
              </w:rPr>
              <w:t>3,747</w:t>
            </w:r>
          </w:p>
        </w:tc>
        <w:tc>
          <w:tcPr>
            <w:tcW w:w="1190" w:type="dxa"/>
            <w:noWrap/>
            <w:hideMark/>
          </w:tcPr>
          <w:p w14:paraId="79304337" w14:textId="77777777" w:rsidR="001E26B6" w:rsidRPr="007A2C3A" w:rsidRDefault="001E26B6" w:rsidP="00AC3D72">
            <w:pPr>
              <w:jc w:val="right"/>
              <w:rPr>
                <w:rFonts w:ascii="Arial" w:hAnsi="Arial" w:cs="Arial"/>
                <w:b/>
                <w:lang w:eastAsia="en-GB"/>
              </w:rPr>
            </w:pPr>
            <w:r w:rsidRPr="007A2C3A">
              <w:rPr>
                <w:rFonts w:ascii="Arial" w:hAnsi="Arial" w:cs="Arial"/>
                <w:b/>
                <w:lang w:eastAsia="en-GB"/>
              </w:rPr>
              <w:t>35,968</w:t>
            </w:r>
          </w:p>
        </w:tc>
        <w:tc>
          <w:tcPr>
            <w:tcW w:w="1289" w:type="dxa"/>
            <w:noWrap/>
            <w:hideMark/>
          </w:tcPr>
          <w:p w14:paraId="4B8FA032" w14:textId="77777777" w:rsidR="001E26B6" w:rsidRPr="007A2C3A" w:rsidRDefault="001E26B6" w:rsidP="00AC3D72">
            <w:pPr>
              <w:jc w:val="right"/>
              <w:rPr>
                <w:rFonts w:ascii="Arial" w:hAnsi="Arial" w:cs="Arial"/>
                <w:lang w:eastAsia="en-GB"/>
              </w:rPr>
            </w:pPr>
            <w:r w:rsidRPr="007A2C3A">
              <w:rPr>
                <w:rFonts w:ascii="Arial" w:hAnsi="Arial" w:cs="Arial"/>
                <w:lang w:eastAsia="en-GB"/>
              </w:rPr>
              <w:t>2,590</w:t>
            </w:r>
          </w:p>
        </w:tc>
        <w:tc>
          <w:tcPr>
            <w:tcW w:w="1137" w:type="dxa"/>
            <w:noWrap/>
            <w:hideMark/>
          </w:tcPr>
          <w:p w14:paraId="60018AE2" w14:textId="77777777" w:rsidR="001E26B6" w:rsidRPr="007A2C3A" w:rsidRDefault="001E26B6" w:rsidP="00AC3D72">
            <w:pPr>
              <w:jc w:val="right"/>
              <w:rPr>
                <w:rFonts w:ascii="Arial" w:hAnsi="Arial" w:cs="Arial"/>
                <w:lang w:eastAsia="en-GB"/>
              </w:rPr>
            </w:pPr>
            <w:r w:rsidRPr="007A2C3A">
              <w:rPr>
                <w:rFonts w:ascii="Arial" w:hAnsi="Arial" w:cs="Arial"/>
                <w:lang w:eastAsia="en-GB"/>
              </w:rPr>
              <w:t>360</w:t>
            </w:r>
          </w:p>
        </w:tc>
      </w:tr>
      <w:tr w:rsidR="001E26B6" w:rsidRPr="007A2C3A" w14:paraId="5F034A1B" w14:textId="77777777" w:rsidTr="001E26B6">
        <w:trPr>
          <w:trHeight w:val="300"/>
        </w:trPr>
        <w:tc>
          <w:tcPr>
            <w:tcW w:w="985" w:type="dxa"/>
            <w:noWrap/>
            <w:hideMark/>
          </w:tcPr>
          <w:p w14:paraId="67A3BF1B" w14:textId="77777777" w:rsidR="001E26B6" w:rsidRPr="007A2C3A" w:rsidRDefault="001E26B6" w:rsidP="00AC3D72">
            <w:pPr>
              <w:rPr>
                <w:rFonts w:ascii="Arial" w:hAnsi="Arial" w:cs="Arial"/>
                <w:b/>
                <w:bCs/>
                <w:sz w:val="16"/>
                <w:szCs w:val="16"/>
                <w:lang w:eastAsia="en-GB"/>
              </w:rPr>
            </w:pPr>
            <w:r w:rsidRPr="007A2C3A">
              <w:rPr>
                <w:rFonts w:ascii="Arial" w:hAnsi="Arial" w:cs="Arial"/>
                <w:b/>
                <w:bCs/>
                <w:sz w:val="16"/>
                <w:szCs w:val="16"/>
                <w:lang w:eastAsia="en-GB"/>
              </w:rPr>
              <w:t>120 Days</w:t>
            </w:r>
          </w:p>
        </w:tc>
        <w:tc>
          <w:tcPr>
            <w:tcW w:w="1059" w:type="dxa"/>
            <w:noWrap/>
            <w:hideMark/>
          </w:tcPr>
          <w:p w14:paraId="0FE74EB8" w14:textId="77777777" w:rsidR="001E26B6" w:rsidRPr="007A2C3A" w:rsidRDefault="001E26B6" w:rsidP="00AC3D72">
            <w:pPr>
              <w:jc w:val="right"/>
              <w:rPr>
                <w:rFonts w:ascii="Arial" w:hAnsi="Arial" w:cs="Arial"/>
                <w:lang w:eastAsia="en-GB"/>
              </w:rPr>
            </w:pPr>
            <w:r w:rsidRPr="007A2C3A">
              <w:rPr>
                <w:rFonts w:ascii="Arial" w:hAnsi="Arial" w:cs="Arial"/>
                <w:lang w:eastAsia="en-GB"/>
              </w:rPr>
              <w:t>349</w:t>
            </w:r>
          </w:p>
        </w:tc>
        <w:tc>
          <w:tcPr>
            <w:tcW w:w="1026" w:type="dxa"/>
            <w:noWrap/>
            <w:hideMark/>
          </w:tcPr>
          <w:p w14:paraId="37C3AF81" w14:textId="77777777" w:rsidR="001E26B6" w:rsidRPr="007A2C3A" w:rsidRDefault="001E26B6" w:rsidP="00AC3D72">
            <w:pPr>
              <w:jc w:val="right"/>
              <w:rPr>
                <w:rFonts w:ascii="Arial" w:hAnsi="Arial" w:cs="Arial"/>
                <w:lang w:eastAsia="en-GB"/>
              </w:rPr>
            </w:pPr>
            <w:r w:rsidRPr="007A2C3A">
              <w:rPr>
                <w:rFonts w:ascii="Arial" w:hAnsi="Arial" w:cs="Arial"/>
                <w:lang w:eastAsia="en-GB"/>
              </w:rPr>
              <w:t>4,095</w:t>
            </w:r>
          </w:p>
        </w:tc>
        <w:tc>
          <w:tcPr>
            <w:tcW w:w="1190" w:type="dxa"/>
            <w:noWrap/>
            <w:hideMark/>
          </w:tcPr>
          <w:p w14:paraId="6930A65A" w14:textId="77777777" w:rsidR="001E26B6" w:rsidRPr="007A2C3A" w:rsidRDefault="001E26B6" w:rsidP="00AC3D72">
            <w:pPr>
              <w:jc w:val="right"/>
              <w:rPr>
                <w:rFonts w:ascii="Arial" w:hAnsi="Arial" w:cs="Arial"/>
                <w:b/>
                <w:lang w:eastAsia="en-GB"/>
              </w:rPr>
            </w:pPr>
            <w:r w:rsidRPr="007A2C3A">
              <w:rPr>
                <w:rFonts w:ascii="Arial" w:hAnsi="Arial" w:cs="Arial"/>
                <w:b/>
                <w:lang w:eastAsia="en-GB"/>
              </w:rPr>
              <w:t>27,248</w:t>
            </w:r>
          </w:p>
        </w:tc>
        <w:tc>
          <w:tcPr>
            <w:tcW w:w="1289" w:type="dxa"/>
            <w:noWrap/>
            <w:hideMark/>
          </w:tcPr>
          <w:p w14:paraId="0A6AB745" w14:textId="77777777" w:rsidR="001E26B6" w:rsidRPr="007A2C3A" w:rsidRDefault="001E26B6" w:rsidP="00AC3D72">
            <w:pPr>
              <w:jc w:val="right"/>
              <w:rPr>
                <w:rFonts w:ascii="Arial" w:hAnsi="Arial" w:cs="Arial"/>
                <w:lang w:eastAsia="en-GB"/>
              </w:rPr>
            </w:pPr>
            <w:r w:rsidRPr="007A2C3A">
              <w:rPr>
                <w:rFonts w:ascii="Arial" w:hAnsi="Arial" w:cs="Arial"/>
                <w:lang w:eastAsia="en-GB"/>
              </w:rPr>
              <w:t>1,574</w:t>
            </w:r>
          </w:p>
        </w:tc>
        <w:tc>
          <w:tcPr>
            <w:tcW w:w="1137" w:type="dxa"/>
            <w:noWrap/>
            <w:hideMark/>
          </w:tcPr>
          <w:p w14:paraId="3B058D1C" w14:textId="77777777" w:rsidR="001E26B6" w:rsidRPr="007A2C3A" w:rsidRDefault="001E26B6" w:rsidP="00AC3D72">
            <w:pPr>
              <w:jc w:val="right"/>
              <w:rPr>
                <w:rFonts w:ascii="Arial" w:hAnsi="Arial" w:cs="Arial"/>
                <w:lang w:eastAsia="en-GB"/>
              </w:rPr>
            </w:pPr>
            <w:r w:rsidRPr="007A2C3A">
              <w:rPr>
                <w:rFonts w:ascii="Arial" w:hAnsi="Arial" w:cs="Arial"/>
                <w:lang w:eastAsia="en-GB"/>
              </w:rPr>
              <w:t>360</w:t>
            </w:r>
          </w:p>
        </w:tc>
      </w:tr>
    </w:tbl>
    <w:p w14:paraId="1BC545A1" w14:textId="489376C0" w:rsidR="001E26B6" w:rsidRPr="007A2C3A" w:rsidRDefault="001E26B6">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2547"/>
        <w:gridCol w:w="7307"/>
      </w:tblGrid>
      <w:tr w:rsidR="00E27CFC" w:rsidRPr="007A2C3A" w14:paraId="0FF7CC30" w14:textId="77777777" w:rsidTr="00E27CFC">
        <w:tc>
          <w:tcPr>
            <w:tcW w:w="2547" w:type="dxa"/>
          </w:tcPr>
          <w:p w14:paraId="0B6E53C5" w14:textId="0551D19A"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b/>
                <w:sz w:val="22"/>
                <w:szCs w:val="22"/>
              </w:rPr>
              <w:t>Data quality</w:t>
            </w:r>
          </w:p>
        </w:tc>
        <w:tc>
          <w:tcPr>
            <w:tcW w:w="7307" w:type="dxa"/>
          </w:tcPr>
          <w:p w14:paraId="25240DF3" w14:textId="77777777" w:rsidR="00E27CFC" w:rsidRPr="007A2C3A" w:rsidRDefault="00E27CFC" w:rsidP="00E27CFC">
            <w:pPr>
              <w:spacing w:before="240" w:after="140"/>
              <w:textboxTightWrap w:val="lastLineOnly"/>
              <w:rPr>
                <w:rFonts w:ascii="Arial" w:hAnsi="Arial" w:cs="Arial"/>
                <w:sz w:val="22"/>
                <w:szCs w:val="22"/>
              </w:rPr>
            </w:pPr>
            <w:hyperlink r:id="rId10" w:history="1">
              <w:r w:rsidRPr="007A2C3A">
                <w:rPr>
                  <w:rFonts w:ascii="Arial" w:hAnsi="Arial" w:cs="Arial"/>
                  <w:sz w:val="22"/>
                  <w:szCs w:val="22"/>
                </w:rPr>
                <w:t>http://www.nhfd.co.uk/20/hipfractureR.nsf/4e9601565a8ebbaa802579ea0035b25d/e83e76b2128bd42a80257da90083996b/$FILE/NHFDCCGindicators.pdf</w:t>
              </w:r>
            </w:hyperlink>
            <w:r w:rsidRPr="007A2C3A">
              <w:rPr>
                <w:rFonts w:ascii="Arial" w:hAnsi="Arial" w:cs="Arial"/>
                <w:sz w:val="22"/>
                <w:szCs w:val="22"/>
              </w:rPr>
              <w:t xml:space="preserve"> </w:t>
            </w:r>
          </w:p>
          <w:p w14:paraId="7337D82D"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Although the majority of trusts complete the pre-injury mobility scoring at the time of the admission, the </w:t>
            </w:r>
            <w:proofErr w:type="gramStart"/>
            <w:r w:rsidRPr="007A2C3A">
              <w:rPr>
                <w:rFonts w:ascii="Arial" w:hAnsi="Arial" w:cs="Arial"/>
                <w:sz w:val="22"/>
                <w:szCs w:val="22"/>
              </w:rPr>
              <w:t>30 and 120 day</w:t>
            </w:r>
            <w:proofErr w:type="gramEnd"/>
            <w:r w:rsidRPr="007A2C3A">
              <w:rPr>
                <w:rFonts w:ascii="Arial" w:hAnsi="Arial" w:cs="Arial"/>
                <w:sz w:val="22"/>
                <w:szCs w:val="22"/>
              </w:rPr>
              <w:t xml:space="preserve"> follow-up is generally done by phone or letter. It is self-</w:t>
            </w:r>
            <w:proofErr w:type="gramStart"/>
            <w:r w:rsidRPr="007A2C3A">
              <w:rPr>
                <w:rFonts w:ascii="Arial" w:hAnsi="Arial" w:cs="Arial"/>
                <w:sz w:val="22"/>
                <w:szCs w:val="22"/>
              </w:rPr>
              <w:t>reported</w:t>
            </w:r>
            <w:proofErr w:type="gramEnd"/>
            <w:r w:rsidRPr="007A2C3A">
              <w:rPr>
                <w:rFonts w:ascii="Arial" w:hAnsi="Arial" w:cs="Arial"/>
                <w:sz w:val="22"/>
                <w:szCs w:val="22"/>
              </w:rPr>
              <w:t xml:space="preserve"> and some hospitals do not undertake any follow-up. However, it is hoped that with the inclusion of these indicators in the CCG OIS CCGs will 'encourage' an increase in their follow-up reporting.</w:t>
            </w:r>
          </w:p>
          <w:p w14:paraId="406D1954"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This issue is highlighted in the Indicator Quality Statement. This is already being done for the NHS Outcomes indicators 3.5.i and 3.</w:t>
            </w:r>
            <w:proofErr w:type="gramStart"/>
            <w:r w:rsidRPr="007A2C3A">
              <w:rPr>
                <w:rFonts w:ascii="Arial" w:hAnsi="Arial" w:cs="Arial"/>
                <w:sz w:val="22"/>
                <w:szCs w:val="22"/>
              </w:rPr>
              <w:t>5.ii.</w:t>
            </w:r>
            <w:proofErr w:type="gramEnd"/>
          </w:p>
          <w:p w14:paraId="34718368"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NHFD data quality issues are highlighted in the National Hip Fracture Database</w:t>
            </w:r>
          </w:p>
          <w:p w14:paraId="01CB0919"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National Report 2011 (p.33)</w:t>
            </w:r>
          </w:p>
          <w:p w14:paraId="2FC4121E" w14:textId="6528AF2A" w:rsidR="00E27CFC" w:rsidRPr="007A2C3A" w:rsidRDefault="00E27CFC" w:rsidP="00E27CFC">
            <w:pPr>
              <w:spacing w:before="240" w:after="140"/>
              <w:textboxTightWrap w:val="lastLineOnly"/>
              <w:rPr>
                <w:rFonts w:ascii="Arial" w:hAnsi="Arial" w:cs="Arial"/>
                <w:sz w:val="22"/>
                <w:szCs w:val="22"/>
              </w:rPr>
            </w:pPr>
            <w:hyperlink r:id="rId11" w:history="1">
              <w:r w:rsidRPr="007A2C3A">
                <w:rPr>
                  <w:rFonts w:ascii="Arial" w:hAnsi="Arial" w:cs="Arial"/>
                  <w:sz w:val="22"/>
                  <w:szCs w:val="22"/>
                </w:rPr>
                <w:t>http://www.nhfd.co.uk/003/hipfracturer.nsf/NHFDNationalReport2011_Final.pdf</w:t>
              </w:r>
            </w:hyperlink>
          </w:p>
        </w:tc>
      </w:tr>
      <w:tr w:rsidR="00E27CFC" w:rsidRPr="007A2C3A" w14:paraId="44D3D11F" w14:textId="77777777" w:rsidTr="00E27CFC">
        <w:tc>
          <w:tcPr>
            <w:tcW w:w="2547" w:type="dxa"/>
          </w:tcPr>
          <w:p w14:paraId="304CEAFB" w14:textId="0D0A5A32"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b/>
                <w:sz w:val="22"/>
                <w:szCs w:val="22"/>
              </w:rPr>
              <w:t>Quality assurance</w:t>
            </w:r>
          </w:p>
        </w:tc>
        <w:tc>
          <w:tcPr>
            <w:tcW w:w="7307" w:type="dxa"/>
          </w:tcPr>
          <w:p w14:paraId="6132F206"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The numerator, denominator and indicator value data supplied is sense checked before we publish it on our Portal.</w:t>
            </w:r>
          </w:p>
          <w:p w14:paraId="7A7BC36B"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The confidence intervals are independently dual calculated by HSCIC analysts.</w:t>
            </w:r>
          </w:p>
          <w:p w14:paraId="11DF768E" w14:textId="7904C7A5"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CCG rates with numerator and denominator are published by the HSCIC, with suppression of small numbers in the numerators &amp; denominators</w:t>
            </w:r>
          </w:p>
        </w:tc>
      </w:tr>
      <w:tr w:rsidR="00E27CFC" w:rsidRPr="007A2C3A" w14:paraId="730B4EAA" w14:textId="77777777" w:rsidTr="00E27CFC">
        <w:tc>
          <w:tcPr>
            <w:tcW w:w="2547" w:type="dxa"/>
          </w:tcPr>
          <w:p w14:paraId="13D5C207" w14:textId="77777777"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b/>
                <w:sz w:val="22"/>
                <w:szCs w:val="22"/>
              </w:rPr>
              <w:t xml:space="preserve">Quality improvement plan </w:t>
            </w:r>
          </w:p>
          <w:p w14:paraId="51189BA1" w14:textId="0A813A2C" w:rsidR="00E27CFC" w:rsidRPr="007A2C3A" w:rsidRDefault="00E27CFC" w:rsidP="00E27CFC">
            <w:pPr>
              <w:spacing w:before="240" w:after="140"/>
              <w:textboxTightWrap w:val="lastLineOnly"/>
              <w:rPr>
                <w:rFonts w:ascii="Arial" w:hAnsi="Arial" w:cs="Arial"/>
                <w:b/>
                <w:sz w:val="22"/>
                <w:szCs w:val="22"/>
              </w:rPr>
            </w:pPr>
            <w:r w:rsidRPr="007A2C3A">
              <w:rPr>
                <w:rFonts w:ascii="Arial" w:hAnsi="Arial" w:cs="Arial"/>
                <w:sz w:val="22"/>
                <w:szCs w:val="22"/>
              </w:rPr>
              <w:t>If appropriate</w:t>
            </w:r>
          </w:p>
        </w:tc>
        <w:tc>
          <w:tcPr>
            <w:tcW w:w="7307" w:type="dxa"/>
          </w:tcPr>
          <w:p w14:paraId="38175B03" w14:textId="1AA1633B"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Whilst the aim is to improve data quality in the recording of mobility status at 30 and120 days post fracture, while these metrics falls outside of the Best Practice Tariff, it is unlikely that quality will improve.</w:t>
            </w:r>
          </w:p>
        </w:tc>
      </w:tr>
      <w:tr w:rsidR="00E27CFC" w:rsidRPr="007A2C3A" w14:paraId="7BC1CE4D" w14:textId="77777777" w:rsidTr="00E27CFC">
        <w:tc>
          <w:tcPr>
            <w:tcW w:w="2547" w:type="dxa"/>
          </w:tcPr>
          <w:p w14:paraId="473D8319" w14:textId="0B6BDFFA"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b/>
                <w:sz w:val="22"/>
                <w:szCs w:val="22"/>
              </w:rPr>
              <w:lastRenderedPageBreak/>
              <w:t>Data linkage</w:t>
            </w:r>
          </w:p>
        </w:tc>
        <w:tc>
          <w:tcPr>
            <w:tcW w:w="7307" w:type="dxa"/>
          </w:tcPr>
          <w:p w14:paraId="1DDB2908" w14:textId="447C334A"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None</w:t>
            </w:r>
          </w:p>
        </w:tc>
      </w:tr>
      <w:tr w:rsidR="00E27CFC" w:rsidRPr="007A2C3A" w14:paraId="197906C6" w14:textId="77777777" w:rsidTr="00E27CFC">
        <w:tc>
          <w:tcPr>
            <w:tcW w:w="2547" w:type="dxa"/>
          </w:tcPr>
          <w:p w14:paraId="1D7A8E62" w14:textId="5305913A"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b/>
                <w:sz w:val="22"/>
                <w:szCs w:val="22"/>
              </w:rPr>
              <w:t>Quality of data linkage</w:t>
            </w:r>
          </w:p>
        </w:tc>
        <w:tc>
          <w:tcPr>
            <w:tcW w:w="7307" w:type="dxa"/>
          </w:tcPr>
          <w:p w14:paraId="01B50B24" w14:textId="17A150DD"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N/A</w:t>
            </w:r>
          </w:p>
        </w:tc>
      </w:tr>
      <w:tr w:rsidR="00E27CFC" w:rsidRPr="007A2C3A" w14:paraId="790EDB8E" w14:textId="77777777" w:rsidTr="00E27CFC">
        <w:tc>
          <w:tcPr>
            <w:tcW w:w="2547" w:type="dxa"/>
          </w:tcPr>
          <w:p w14:paraId="0B50AEAD" w14:textId="4A09C16F"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b/>
                <w:sz w:val="22"/>
                <w:szCs w:val="22"/>
              </w:rPr>
              <w:t>Data fields</w:t>
            </w:r>
          </w:p>
        </w:tc>
        <w:tc>
          <w:tcPr>
            <w:tcW w:w="7307" w:type="dxa"/>
          </w:tcPr>
          <w:p w14:paraId="734E9A0F"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1. Age</w:t>
            </w:r>
            <w:r w:rsidRPr="007A2C3A">
              <w:rPr>
                <w:rFonts w:ascii="Arial" w:hAnsi="Arial" w:cs="Arial"/>
                <w:sz w:val="22"/>
                <w:szCs w:val="22"/>
              </w:rPr>
              <w:br/>
              <w:t>2. Date and time of admission to A&amp;E</w:t>
            </w:r>
            <w:r w:rsidRPr="007A2C3A">
              <w:rPr>
                <w:rFonts w:ascii="Arial" w:hAnsi="Arial" w:cs="Arial"/>
                <w:sz w:val="22"/>
                <w:szCs w:val="22"/>
              </w:rPr>
              <w:br/>
              <w:t>3. Discharge destination from acute orthopaedic ward</w:t>
            </w:r>
            <w:r w:rsidRPr="007A2C3A">
              <w:rPr>
                <w:rFonts w:ascii="Arial" w:hAnsi="Arial" w:cs="Arial"/>
                <w:sz w:val="22"/>
                <w:szCs w:val="22"/>
              </w:rPr>
              <w:br/>
              <w:t>4. Discharge destination from hospital trust</w:t>
            </w:r>
            <w:r w:rsidRPr="007A2C3A">
              <w:rPr>
                <w:rFonts w:ascii="Arial" w:hAnsi="Arial" w:cs="Arial"/>
                <w:sz w:val="22"/>
                <w:szCs w:val="22"/>
              </w:rPr>
              <w:br/>
              <w:t>5. Walking ability indoors</w:t>
            </w:r>
            <w:r w:rsidRPr="007A2C3A">
              <w:rPr>
                <w:rFonts w:ascii="Arial" w:hAnsi="Arial" w:cs="Arial"/>
                <w:sz w:val="22"/>
                <w:szCs w:val="22"/>
              </w:rPr>
              <w:br/>
              <w:t>6. Walking ability outdoors</w:t>
            </w:r>
            <w:r w:rsidRPr="007A2C3A">
              <w:rPr>
                <w:rFonts w:ascii="Arial" w:hAnsi="Arial" w:cs="Arial"/>
                <w:sz w:val="22"/>
                <w:szCs w:val="22"/>
              </w:rPr>
              <w:br/>
              <w:t xml:space="preserve">7. Accompanied to walk indoors </w:t>
            </w:r>
          </w:p>
          <w:p w14:paraId="29793061"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 xml:space="preserve">8. Accompanied to walk outdoors </w:t>
            </w:r>
          </w:p>
          <w:p w14:paraId="2941C7B1"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 xml:space="preserve">9. Walking ability indoors at 30 days </w:t>
            </w:r>
          </w:p>
          <w:p w14:paraId="5B968B98"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 xml:space="preserve">10. Walking ability outdoors at 30 days </w:t>
            </w:r>
          </w:p>
          <w:p w14:paraId="39762C32"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 xml:space="preserve">11. Accompanied to walk indoors at 30 days </w:t>
            </w:r>
          </w:p>
          <w:p w14:paraId="058A5C2D"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 xml:space="preserve">12. Accompanied to walk outdoors at 30 days </w:t>
            </w:r>
          </w:p>
          <w:p w14:paraId="27FECDF1"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 xml:space="preserve">13. Mobility at admission (derived from fields 5 to 8) </w:t>
            </w:r>
          </w:p>
          <w:p w14:paraId="752F54BD" w14:textId="77777777"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 xml:space="preserve">14. Mobility at 30 days (derived from fields 9 to 12) </w:t>
            </w:r>
          </w:p>
          <w:p w14:paraId="3149D8CC" w14:textId="77777777" w:rsidR="00E27CFC" w:rsidRPr="007A2C3A" w:rsidRDefault="00E27CFC" w:rsidP="00E27CFC">
            <w:pPr>
              <w:spacing w:before="240" w:after="140"/>
              <w:textboxTightWrap w:val="lastLineOnly"/>
              <w:rPr>
                <w:rFonts w:ascii="Arial" w:hAnsi="Arial" w:cs="Arial"/>
                <w:sz w:val="22"/>
                <w:szCs w:val="22"/>
              </w:rPr>
            </w:pPr>
          </w:p>
        </w:tc>
      </w:tr>
      <w:tr w:rsidR="00E27CFC" w:rsidRPr="007A2C3A" w14:paraId="20AE5150" w14:textId="77777777" w:rsidTr="00E27CFC">
        <w:tc>
          <w:tcPr>
            <w:tcW w:w="2547" w:type="dxa"/>
          </w:tcPr>
          <w:p w14:paraId="4157D29A" w14:textId="5A722062"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b/>
                <w:sz w:val="22"/>
                <w:szCs w:val="22"/>
              </w:rPr>
              <w:t>Data filters</w:t>
            </w:r>
          </w:p>
        </w:tc>
        <w:tc>
          <w:tcPr>
            <w:tcW w:w="7307" w:type="dxa"/>
          </w:tcPr>
          <w:p w14:paraId="675143E3"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1. Field: Age</w:t>
            </w:r>
          </w:p>
          <w:p w14:paraId="33A65812"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Conditions: Between 60 and 110</w:t>
            </w:r>
          </w:p>
          <w:p w14:paraId="0F8D8701"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Rationale: Restricts the data to patients aged 60 to 110 years inclusive.</w:t>
            </w:r>
          </w:p>
          <w:p w14:paraId="4380EA62"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2. Field: Hospital admission date</w:t>
            </w:r>
          </w:p>
          <w:p w14:paraId="43AC9435"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Conditions: Between 1 January and 31 December inclusive for the year being reported</w:t>
            </w:r>
          </w:p>
          <w:p w14:paraId="4EBE9097"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Rationale: Selects only those admitted during the relevant calendar year.</w:t>
            </w:r>
          </w:p>
          <w:p w14:paraId="7FBDDACD"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3. Field: Pre-fracture mobility category</w:t>
            </w:r>
          </w:p>
          <w:p w14:paraId="317FE488"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Conditions: Equal to 1 or 2 or 3</w:t>
            </w:r>
          </w:p>
          <w:p w14:paraId="126F0B34"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Rationale: Excludes patients whose pre-fracture mobility was classified as category 4 or 5, or patients who have no pre-fracture mobility category recorded.</w:t>
            </w:r>
          </w:p>
          <w:p w14:paraId="490D7C8B"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4. Field: Mobility category 30/120 days post admission</w:t>
            </w:r>
          </w:p>
          <w:p w14:paraId="256FB23F"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Conditions: Is not NULL</w:t>
            </w:r>
          </w:p>
          <w:p w14:paraId="61374711" w14:textId="4915D4E2" w:rsidR="00E27CFC" w:rsidRPr="007A2C3A" w:rsidRDefault="00E27CFC" w:rsidP="00E27CFC">
            <w:pPr>
              <w:autoSpaceDE w:val="0"/>
              <w:autoSpaceDN w:val="0"/>
              <w:adjustRightInd w:val="0"/>
              <w:rPr>
                <w:rFonts w:ascii="Arial" w:hAnsi="Arial" w:cs="Arial"/>
                <w:sz w:val="22"/>
                <w:szCs w:val="22"/>
              </w:rPr>
            </w:pPr>
            <w:r w:rsidRPr="007A2C3A">
              <w:rPr>
                <w:rFonts w:ascii="Arial" w:hAnsi="Arial" w:cs="Arial"/>
                <w:sz w:val="22"/>
                <w:szCs w:val="22"/>
              </w:rPr>
              <w:t>Rationale: Excludes records where mobility category 30 days post admission was not recorded.</w:t>
            </w:r>
          </w:p>
        </w:tc>
      </w:tr>
      <w:tr w:rsidR="00E27CFC" w:rsidRPr="007A2C3A" w14:paraId="4FA280E9" w14:textId="77777777" w:rsidTr="00E27CFC">
        <w:tc>
          <w:tcPr>
            <w:tcW w:w="2547" w:type="dxa"/>
          </w:tcPr>
          <w:p w14:paraId="0EECAB7A" w14:textId="77777777"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b/>
                <w:sz w:val="22"/>
                <w:szCs w:val="22"/>
              </w:rPr>
              <w:t xml:space="preserve">Justifications of inclusions and exclusions </w:t>
            </w:r>
          </w:p>
          <w:p w14:paraId="6B032064" w14:textId="287B1E8B"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sz w:val="22"/>
                <w:szCs w:val="22"/>
              </w:rPr>
              <w:t>and how these adhere to standard definitions</w:t>
            </w:r>
          </w:p>
        </w:tc>
        <w:tc>
          <w:tcPr>
            <w:tcW w:w="7307" w:type="dxa"/>
          </w:tcPr>
          <w:p w14:paraId="71FE9B8E" w14:textId="164F8F51"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The indicator only includes patients aged 60 or over with a pre- hip fracture mobility score in either category 1, 2 or 3. This is because any patient in either category 4 or 5 cannot fall more than 1 mobility category and therefore will always be determined to have recovered.</w:t>
            </w:r>
          </w:p>
        </w:tc>
      </w:tr>
      <w:tr w:rsidR="00E27CFC" w:rsidRPr="007A2C3A" w14:paraId="2BA7EDE4" w14:textId="77777777" w:rsidTr="00E27CFC">
        <w:tc>
          <w:tcPr>
            <w:tcW w:w="2547" w:type="dxa"/>
          </w:tcPr>
          <w:p w14:paraId="5F8753B1" w14:textId="645E1A4B" w:rsidR="00E27CFC" w:rsidRPr="007A2C3A" w:rsidRDefault="00E27CFC" w:rsidP="00E27CFC">
            <w:pPr>
              <w:spacing w:before="240" w:after="140"/>
              <w:ind w:left="34"/>
              <w:textboxTightWrap w:val="lastLineOnly"/>
              <w:rPr>
                <w:rFonts w:ascii="Arial" w:hAnsi="Arial" w:cs="Arial"/>
                <w:b/>
                <w:sz w:val="22"/>
                <w:szCs w:val="22"/>
              </w:rPr>
            </w:pPr>
            <w:r w:rsidRPr="007A2C3A">
              <w:rPr>
                <w:rFonts w:ascii="Arial" w:hAnsi="Arial" w:cs="Arial"/>
                <w:b/>
                <w:sz w:val="22"/>
                <w:szCs w:val="22"/>
              </w:rPr>
              <w:t>Data processing</w:t>
            </w:r>
          </w:p>
        </w:tc>
        <w:tc>
          <w:tcPr>
            <w:tcW w:w="7307" w:type="dxa"/>
          </w:tcPr>
          <w:p w14:paraId="0923A09E"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The NHFD current dataset records walking ability indoors, walking ability outdoors and whether a patient is accompanied to walk outdoors at admission and at </w:t>
            </w:r>
            <w:proofErr w:type="gramStart"/>
            <w:r w:rsidRPr="007A2C3A">
              <w:rPr>
                <w:rFonts w:ascii="Arial" w:hAnsi="Arial" w:cs="Arial"/>
                <w:sz w:val="22"/>
                <w:szCs w:val="22"/>
              </w:rPr>
              <w:t>30 and 120 days</w:t>
            </w:r>
            <w:proofErr w:type="gramEnd"/>
            <w:r w:rsidRPr="007A2C3A">
              <w:rPr>
                <w:rFonts w:ascii="Arial" w:hAnsi="Arial" w:cs="Arial"/>
                <w:sz w:val="22"/>
                <w:szCs w:val="22"/>
              </w:rPr>
              <w:t xml:space="preserve"> post-admission.</w:t>
            </w:r>
          </w:p>
          <w:p w14:paraId="36D57A0E"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For walking ability </w:t>
            </w:r>
            <w:proofErr w:type="gramStart"/>
            <w:r w:rsidRPr="007A2C3A">
              <w:rPr>
                <w:rFonts w:ascii="Arial" w:hAnsi="Arial" w:cs="Arial"/>
                <w:sz w:val="22"/>
                <w:szCs w:val="22"/>
              </w:rPr>
              <w:t>indoors</w:t>
            </w:r>
            <w:proofErr w:type="gramEnd"/>
            <w:r w:rsidRPr="007A2C3A">
              <w:rPr>
                <w:rFonts w:ascii="Arial" w:hAnsi="Arial" w:cs="Arial"/>
                <w:sz w:val="22"/>
                <w:szCs w:val="22"/>
              </w:rPr>
              <w:t xml:space="preserve"> the available options are:</w:t>
            </w:r>
          </w:p>
          <w:p w14:paraId="36B84ED1"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Regularly walked without aids</w:t>
            </w:r>
          </w:p>
          <w:p w14:paraId="57B478B3"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Regularly walked with one aid</w:t>
            </w:r>
          </w:p>
          <w:p w14:paraId="41873D86"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Regularly walked with two aids or frame</w:t>
            </w:r>
          </w:p>
          <w:p w14:paraId="7C5016FE"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Wheelchair or bedbound</w:t>
            </w:r>
          </w:p>
          <w:p w14:paraId="278EFBE5"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For walking ability </w:t>
            </w:r>
            <w:proofErr w:type="gramStart"/>
            <w:r w:rsidRPr="007A2C3A">
              <w:rPr>
                <w:rFonts w:ascii="Arial" w:hAnsi="Arial" w:cs="Arial"/>
                <w:sz w:val="22"/>
                <w:szCs w:val="22"/>
              </w:rPr>
              <w:t>outdoors</w:t>
            </w:r>
            <w:proofErr w:type="gramEnd"/>
            <w:r w:rsidRPr="007A2C3A">
              <w:rPr>
                <w:rFonts w:ascii="Arial" w:hAnsi="Arial" w:cs="Arial"/>
                <w:sz w:val="22"/>
                <w:szCs w:val="22"/>
              </w:rPr>
              <w:t xml:space="preserve"> the available options are:</w:t>
            </w:r>
          </w:p>
          <w:p w14:paraId="33625024"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Regularly walked without aids</w:t>
            </w:r>
          </w:p>
          <w:p w14:paraId="5DA947A6"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Regularly walked with one aid</w:t>
            </w:r>
          </w:p>
          <w:p w14:paraId="422E8B96"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Regularly walked with two aids or frame</w:t>
            </w:r>
          </w:p>
          <w:p w14:paraId="0EADE2FF"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Electric buggy</w:t>
            </w:r>
          </w:p>
          <w:p w14:paraId="3FE9FA86"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Wheelchair or bedbound</w:t>
            </w:r>
          </w:p>
          <w:p w14:paraId="0E3CAEC4"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Never goes outdoors</w:t>
            </w:r>
          </w:p>
          <w:p w14:paraId="49093EA3"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For whether the patient is accompanied to walk outdoors the available options are:</w:t>
            </w:r>
          </w:p>
          <w:p w14:paraId="02B4DE37"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No</w:t>
            </w:r>
          </w:p>
          <w:p w14:paraId="6FBDA624"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Yes</w:t>
            </w:r>
          </w:p>
          <w:p w14:paraId="599B9BD4"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Wheelchair or bedbound</w:t>
            </w:r>
          </w:p>
          <w:p w14:paraId="41B60263" w14:textId="77777777" w:rsidR="00E27CFC" w:rsidRPr="007A2C3A" w:rsidRDefault="00E27CFC" w:rsidP="00E27CFC">
            <w:pPr>
              <w:numPr>
                <w:ilvl w:val="0"/>
                <w:numId w:val="2"/>
              </w:numPr>
              <w:spacing w:after="60"/>
              <w:ind w:left="573" w:hanging="284"/>
              <w:textboxTightWrap w:val="allLines"/>
              <w:rPr>
                <w:rFonts w:ascii="Arial" w:hAnsi="Arial" w:cs="Arial"/>
                <w:sz w:val="22"/>
                <w:szCs w:val="22"/>
              </w:rPr>
            </w:pPr>
            <w:r w:rsidRPr="007A2C3A">
              <w:rPr>
                <w:rFonts w:ascii="Arial" w:hAnsi="Arial" w:cs="Arial"/>
                <w:sz w:val="22"/>
                <w:szCs w:val="22"/>
              </w:rPr>
              <w:t>Never goes outdoors</w:t>
            </w:r>
          </w:p>
          <w:p w14:paraId="65A2A52F" w14:textId="7E8658CB"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For this outcome indicator patients with the above characteristics will be placed into five categories according to a simple algorithm for mobility. A summary of the category derivations from the above is provided below.</w:t>
            </w:r>
          </w:p>
        </w:tc>
      </w:tr>
    </w:tbl>
    <w:p w14:paraId="5C3F8215" w14:textId="77777777" w:rsidR="00E27CFC" w:rsidRPr="007A2C3A" w:rsidRDefault="00E27CFC">
      <w:pPr>
        <w:rPr>
          <w:rFonts w:ascii="Arial" w:hAnsi="Arial" w:cs="Arial"/>
          <w:sz w:val="24"/>
          <w:szCs w:val="24"/>
        </w:rPr>
      </w:pPr>
    </w:p>
    <w:p w14:paraId="19C28FB0" w14:textId="15085D1D" w:rsidR="001E26B6" w:rsidRPr="007A2C3A" w:rsidRDefault="001E26B6" w:rsidP="006F558B">
      <w:pPr>
        <w:spacing w:after="140" w:line="240" w:lineRule="auto"/>
        <w:textboxTightWrap w:val="lastLineOnly"/>
        <w:rPr>
          <w:rFonts w:ascii="Arial" w:eastAsia="Times New Roman" w:hAnsi="Arial" w:cs="Arial"/>
          <w:sz w:val="24"/>
          <w:szCs w:val="24"/>
        </w:rPr>
      </w:pPr>
    </w:p>
    <w:tbl>
      <w:tblPr>
        <w:tblStyle w:val="TableGrid"/>
        <w:tblW w:w="9776" w:type="dxa"/>
        <w:tblLayout w:type="fixed"/>
        <w:tblLook w:val="0020" w:firstRow="1" w:lastRow="0" w:firstColumn="0" w:lastColumn="0" w:noHBand="0" w:noVBand="0"/>
      </w:tblPr>
      <w:tblGrid>
        <w:gridCol w:w="1026"/>
        <w:gridCol w:w="1418"/>
        <w:gridCol w:w="7332"/>
      </w:tblGrid>
      <w:tr w:rsidR="00AC3D72" w:rsidRPr="007A2C3A" w14:paraId="4C470069" w14:textId="77777777" w:rsidTr="00E27CFC">
        <w:trPr>
          <w:trHeight w:val="502"/>
        </w:trPr>
        <w:tc>
          <w:tcPr>
            <w:tcW w:w="525" w:type="pct"/>
          </w:tcPr>
          <w:p w14:paraId="5E0C90EC" w14:textId="77777777" w:rsidR="001E26B6" w:rsidRPr="007A2C3A" w:rsidRDefault="001E26B6" w:rsidP="00AC3D72">
            <w:pPr>
              <w:tabs>
                <w:tab w:val="right" w:pos="14580"/>
              </w:tabs>
              <w:spacing w:before="60" w:after="60"/>
              <w:ind w:right="-108"/>
              <w:textboxTightWrap w:val="allLines"/>
              <w:rPr>
                <w:rFonts w:ascii="Arial" w:hAnsi="Arial" w:cs="Arial"/>
                <w:b/>
              </w:rPr>
            </w:pPr>
            <w:r w:rsidRPr="007A2C3A">
              <w:rPr>
                <w:rFonts w:ascii="Arial" w:hAnsi="Arial" w:cs="Arial"/>
                <w:b/>
              </w:rPr>
              <w:t>Mobility category</w:t>
            </w:r>
          </w:p>
        </w:tc>
        <w:tc>
          <w:tcPr>
            <w:tcW w:w="725" w:type="pct"/>
          </w:tcPr>
          <w:p w14:paraId="23209AAF" w14:textId="77777777" w:rsidR="001E26B6" w:rsidRPr="007A2C3A" w:rsidRDefault="001E26B6" w:rsidP="00AC3D72">
            <w:pPr>
              <w:tabs>
                <w:tab w:val="right" w:pos="14580"/>
              </w:tabs>
              <w:spacing w:before="60" w:after="60"/>
              <w:ind w:right="-108"/>
              <w:textboxTightWrap w:val="allLines"/>
              <w:rPr>
                <w:rFonts w:ascii="Arial" w:eastAsia="SimSun" w:hAnsi="Arial" w:cs="Arial"/>
                <w:b/>
                <w:bCs/>
                <w:lang w:eastAsia="en-GB"/>
              </w:rPr>
            </w:pPr>
            <w:r w:rsidRPr="007A2C3A">
              <w:rPr>
                <w:rFonts w:ascii="Arial" w:hAnsi="Arial" w:cs="Arial"/>
                <w:b/>
              </w:rPr>
              <w:t>Mobility category description</w:t>
            </w:r>
          </w:p>
        </w:tc>
        <w:tc>
          <w:tcPr>
            <w:tcW w:w="3750" w:type="pct"/>
          </w:tcPr>
          <w:p w14:paraId="34DAE319" w14:textId="77777777" w:rsidR="001E26B6" w:rsidRPr="007A2C3A" w:rsidRDefault="001E26B6" w:rsidP="00AC3D72">
            <w:pPr>
              <w:tabs>
                <w:tab w:val="right" w:pos="14580"/>
              </w:tabs>
              <w:spacing w:before="60" w:after="60"/>
              <w:ind w:right="-108"/>
              <w:textboxTightWrap w:val="allLines"/>
              <w:rPr>
                <w:rFonts w:ascii="Arial" w:hAnsi="Arial" w:cs="Arial"/>
                <w:b/>
              </w:rPr>
            </w:pPr>
            <w:r w:rsidRPr="007A2C3A">
              <w:rPr>
                <w:rFonts w:ascii="Arial" w:hAnsi="Arial" w:cs="Arial"/>
                <w:b/>
              </w:rPr>
              <w:t>Definition as per NHFD data fields</w:t>
            </w:r>
          </w:p>
        </w:tc>
      </w:tr>
      <w:tr w:rsidR="00AC3D72" w:rsidRPr="007A2C3A" w14:paraId="2EFA6E9E" w14:textId="77777777" w:rsidTr="00E27CFC">
        <w:trPr>
          <w:trHeight w:val="1441"/>
        </w:trPr>
        <w:tc>
          <w:tcPr>
            <w:tcW w:w="525" w:type="pct"/>
          </w:tcPr>
          <w:p w14:paraId="5AE79D2D" w14:textId="77777777" w:rsidR="001E26B6" w:rsidRPr="007A2C3A" w:rsidRDefault="001E26B6" w:rsidP="00AC3D72">
            <w:pPr>
              <w:rPr>
                <w:rFonts w:ascii="Arial" w:hAnsi="Arial" w:cs="Arial"/>
              </w:rPr>
            </w:pPr>
            <w:r w:rsidRPr="007A2C3A">
              <w:rPr>
                <w:rFonts w:ascii="Arial" w:hAnsi="Arial" w:cs="Arial"/>
              </w:rPr>
              <w:t>1</w:t>
            </w:r>
          </w:p>
        </w:tc>
        <w:tc>
          <w:tcPr>
            <w:tcW w:w="725" w:type="pct"/>
          </w:tcPr>
          <w:p w14:paraId="0285A9CF" w14:textId="77777777" w:rsidR="001E26B6" w:rsidRPr="007A2C3A" w:rsidRDefault="001E26B6" w:rsidP="00AC3D72">
            <w:pPr>
              <w:rPr>
                <w:rFonts w:ascii="Arial" w:hAnsi="Arial" w:cs="Arial"/>
              </w:rPr>
            </w:pPr>
            <w:r w:rsidRPr="007A2C3A">
              <w:rPr>
                <w:rFonts w:ascii="Arial" w:hAnsi="Arial" w:cs="Arial"/>
              </w:rPr>
              <w:t>Regularly mobile outdoors without aids (or assistance)</w:t>
            </w:r>
          </w:p>
        </w:tc>
        <w:tc>
          <w:tcPr>
            <w:tcW w:w="3750" w:type="pct"/>
          </w:tcPr>
          <w:p w14:paraId="5CD0113C" w14:textId="77777777" w:rsidR="001E26B6" w:rsidRPr="007A2C3A" w:rsidRDefault="001E26B6" w:rsidP="00AC3D72">
            <w:pPr>
              <w:jc w:val="both"/>
              <w:rPr>
                <w:rFonts w:ascii="Arial" w:hAnsi="Arial" w:cs="Arial"/>
              </w:rPr>
            </w:pPr>
            <w:r w:rsidRPr="007A2C3A">
              <w:rPr>
                <w:rFonts w:ascii="Arial" w:hAnsi="Arial" w:cs="Arial"/>
              </w:rPr>
              <w:t>Walking ability outdoors = ‘</w:t>
            </w:r>
            <w:r w:rsidRPr="007A2C3A">
              <w:rPr>
                <w:rFonts w:ascii="Arial" w:hAnsi="Arial" w:cs="Arial"/>
                <w:i/>
              </w:rPr>
              <w:t>Regularly walked without aids</w:t>
            </w:r>
            <w:r w:rsidRPr="007A2C3A">
              <w:rPr>
                <w:rFonts w:ascii="Arial" w:hAnsi="Arial" w:cs="Arial"/>
              </w:rPr>
              <w:t>’</w:t>
            </w:r>
          </w:p>
          <w:p w14:paraId="35321CFE" w14:textId="77777777" w:rsidR="001E26B6" w:rsidRPr="007A2C3A" w:rsidRDefault="001E26B6" w:rsidP="00AC3D72">
            <w:pPr>
              <w:jc w:val="both"/>
              <w:rPr>
                <w:rFonts w:ascii="Arial" w:hAnsi="Arial" w:cs="Arial"/>
              </w:rPr>
            </w:pPr>
            <w:r w:rsidRPr="007A2C3A">
              <w:rPr>
                <w:rFonts w:ascii="Arial" w:hAnsi="Arial" w:cs="Arial"/>
              </w:rPr>
              <w:t>AND</w:t>
            </w:r>
          </w:p>
          <w:p w14:paraId="5E8EFFDB" w14:textId="77777777" w:rsidR="001E26B6" w:rsidRPr="007A2C3A" w:rsidRDefault="001E26B6" w:rsidP="00AC3D72">
            <w:pPr>
              <w:jc w:val="both"/>
              <w:rPr>
                <w:rFonts w:ascii="Arial" w:hAnsi="Arial" w:cs="Arial"/>
              </w:rPr>
            </w:pPr>
            <w:r w:rsidRPr="007A2C3A">
              <w:rPr>
                <w:rFonts w:ascii="Arial" w:hAnsi="Arial" w:cs="Arial"/>
              </w:rPr>
              <w:t>Accompanied to walk outdoors = ‘</w:t>
            </w:r>
            <w:r w:rsidRPr="007A2C3A">
              <w:rPr>
                <w:rFonts w:ascii="Arial" w:hAnsi="Arial" w:cs="Arial"/>
                <w:i/>
              </w:rPr>
              <w:t>No</w:t>
            </w:r>
            <w:r w:rsidRPr="007A2C3A">
              <w:rPr>
                <w:rFonts w:ascii="Arial" w:hAnsi="Arial" w:cs="Arial"/>
              </w:rPr>
              <w:t>’</w:t>
            </w:r>
          </w:p>
        </w:tc>
      </w:tr>
      <w:tr w:rsidR="00AC3D72" w:rsidRPr="007A2C3A" w14:paraId="61D0529F" w14:textId="77777777" w:rsidTr="00E27CFC">
        <w:trPr>
          <w:trHeight w:val="1276"/>
        </w:trPr>
        <w:tc>
          <w:tcPr>
            <w:tcW w:w="525" w:type="pct"/>
          </w:tcPr>
          <w:p w14:paraId="5872791E" w14:textId="77777777" w:rsidR="001E26B6" w:rsidRPr="007A2C3A" w:rsidRDefault="001E26B6" w:rsidP="00AC3D72">
            <w:pPr>
              <w:rPr>
                <w:rFonts w:ascii="Arial" w:hAnsi="Arial" w:cs="Arial"/>
              </w:rPr>
            </w:pPr>
            <w:r w:rsidRPr="007A2C3A">
              <w:rPr>
                <w:rFonts w:ascii="Arial" w:hAnsi="Arial" w:cs="Arial"/>
              </w:rPr>
              <w:t>2</w:t>
            </w:r>
          </w:p>
        </w:tc>
        <w:tc>
          <w:tcPr>
            <w:tcW w:w="725" w:type="pct"/>
          </w:tcPr>
          <w:p w14:paraId="3A9D45F2" w14:textId="77777777" w:rsidR="001E26B6" w:rsidRPr="007A2C3A" w:rsidRDefault="001E26B6" w:rsidP="00AC3D72">
            <w:pPr>
              <w:rPr>
                <w:rFonts w:ascii="Arial" w:hAnsi="Arial" w:cs="Arial"/>
              </w:rPr>
            </w:pPr>
            <w:r w:rsidRPr="007A2C3A">
              <w:rPr>
                <w:rFonts w:ascii="Arial" w:hAnsi="Arial" w:cs="Arial"/>
              </w:rPr>
              <w:t>Mobile outdoors with only one aid</w:t>
            </w:r>
          </w:p>
        </w:tc>
        <w:tc>
          <w:tcPr>
            <w:tcW w:w="3750" w:type="pct"/>
          </w:tcPr>
          <w:p w14:paraId="3E912AC8" w14:textId="77777777" w:rsidR="001E26B6" w:rsidRPr="007A2C3A" w:rsidRDefault="001E26B6" w:rsidP="00AC3D72">
            <w:pPr>
              <w:jc w:val="both"/>
              <w:rPr>
                <w:rFonts w:ascii="Arial" w:hAnsi="Arial" w:cs="Arial"/>
              </w:rPr>
            </w:pPr>
            <w:r w:rsidRPr="007A2C3A">
              <w:rPr>
                <w:rFonts w:ascii="Arial" w:hAnsi="Arial" w:cs="Arial"/>
              </w:rPr>
              <w:t>Walking ability outdoors = ‘</w:t>
            </w:r>
            <w:r w:rsidRPr="007A2C3A">
              <w:rPr>
                <w:rFonts w:ascii="Arial" w:hAnsi="Arial" w:cs="Arial"/>
                <w:i/>
              </w:rPr>
              <w:t>Regularly walked with one aid</w:t>
            </w:r>
            <w:r w:rsidRPr="007A2C3A">
              <w:rPr>
                <w:rFonts w:ascii="Arial" w:hAnsi="Arial" w:cs="Arial"/>
              </w:rPr>
              <w:t>’</w:t>
            </w:r>
          </w:p>
          <w:p w14:paraId="62231AA3" w14:textId="77777777" w:rsidR="001E26B6" w:rsidRPr="007A2C3A" w:rsidRDefault="001E26B6" w:rsidP="00AC3D72">
            <w:pPr>
              <w:jc w:val="both"/>
              <w:rPr>
                <w:rFonts w:ascii="Arial" w:hAnsi="Arial" w:cs="Arial"/>
              </w:rPr>
            </w:pPr>
            <w:r w:rsidRPr="007A2C3A">
              <w:rPr>
                <w:rFonts w:ascii="Arial" w:hAnsi="Arial" w:cs="Arial"/>
              </w:rPr>
              <w:t>AND</w:t>
            </w:r>
          </w:p>
          <w:p w14:paraId="77C1D333" w14:textId="77777777" w:rsidR="001E26B6" w:rsidRPr="007A2C3A" w:rsidRDefault="001E26B6" w:rsidP="00AC3D72">
            <w:pPr>
              <w:jc w:val="both"/>
              <w:rPr>
                <w:rFonts w:ascii="Arial" w:hAnsi="Arial" w:cs="Arial"/>
              </w:rPr>
            </w:pPr>
            <w:r w:rsidRPr="007A2C3A">
              <w:rPr>
                <w:rFonts w:ascii="Arial" w:hAnsi="Arial" w:cs="Arial"/>
              </w:rPr>
              <w:t>Accompanied to walk outdoors = ‘</w:t>
            </w:r>
            <w:r w:rsidRPr="007A2C3A">
              <w:rPr>
                <w:rFonts w:ascii="Arial" w:hAnsi="Arial" w:cs="Arial"/>
                <w:i/>
              </w:rPr>
              <w:t>No</w:t>
            </w:r>
            <w:r w:rsidRPr="007A2C3A">
              <w:rPr>
                <w:rFonts w:ascii="Arial" w:hAnsi="Arial" w:cs="Arial"/>
              </w:rPr>
              <w:t>’</w:t>
            </w:r>
          </w:p>
        </w:tc>
      </w:tr>
      <w:tr w:rsidR="00AC3D72" w:rsidRPr="007A2C3A" w14:paraId="56B4AE9F" w14:textId="77777777" w:rsidTr="00E27CFC">
        <w:trPr>
          <w:trHeight w:val="1276"/>
        </w:trPr>
        <w:tc>
          <w:tcPr>
            <w:tcW w:w="525" w:type="pct"/>
          </w:tcPr>
          <w:p w14:paraId="0FFE8AC9" w14:textId="77777777" w:rsidR="001E26B6" w:rsidRPr="007A2C3A" w:rsidRDefault="001E26B6" w:rsidP="00AC3D72">
            <w:pPr>
              <w:rPr>
                <w:rFonts w:ascii="Arial" w:hAnsi="Arial" w:cs="Arial"/>
              </w:rPr>
            </w:pPr>
            <w:r w:rsidRPr="007A2C3A">
              <w:rPr>
                <w:rFonts w:ascii="Arial" w:hAnsi="Arial" w:cs="Arial"/>
              </w:rPr>
              <w:t>3</w:t>
            </w:r>
          </w:p>
        </w:tc>
        <w:tc>
          <w:tcPr>
            <w:tcW w:w="725" w:type="pct"/>
          </w:tcPr>
          <w:p w14:paraId="331EFF83" w14:textId="77777777" w:rsidR="001E26B6" w:rsidRPr="007A2C3A" w:rsidRDefault="001E26B6" w:rsidP="00AC3D72">
            <w:pPr>
              <w:rPr>
                <w:rFonts w:ascii="Arial" w:hAnsi="Arial" w:cs="Arial"/>
              </w:rPr>
            </w:pPr>
            <w:r w:rsidRPr="007A2C3A">
              <w:rPr>
                <w:rFonts w:ascii="Arial" w:hAnsi="Arial" w:cs="Arial"/>
              </w:rPr>
              <w:t>Mobile outdoors with two aids or a frame</w:t>
            </w:r>
          </w:p>
        </w:tc>
        <w:tc>
          <w:tcPr>
            <w:tcW w:w="3750" w:type="pct"/>
          </w:tcPr>
          <w:p w14:paraId="473D0ACC" w14:textId="77777777" w:rsidR="001E26B6" w:rsidRPr="007A2C3A" w:rsidRDefault="001E26B6" w:rsidP="00AC3D72">
            <w:pPr>
              <w:jc w:val="both"/>
              <w:rPr>
                <w:rFonts w:ascii="Arial" w:hAnsi="Arial" w:cs="Arial"/>
              </w:rPr>
            </w:pPr>
            <w:r w:rsidRPr="007A2C3A">
              <w:rPr>
                <w:rFonts w:ascii="Arial" w:hAnsi="Arial" w:cs="Arial"/>
              </w:rPr>
              <w:t>Walking ability outdoors = ‘</w:t>
            </w:r>
            <w:r w:rsidRPr="007A2C3A">
              <w:rPr>
                <w:rFonts w:ascii="Arial" w:hAnsi="Arial" w:cs="Arial"/>
                <w:i/>
              </w:rPr>
              <w:t>Regularly walked with two aids or frame</w:t>
            </w:r>
            <w:r w:rsidRPr="007A2C3A">
              <w:rPr>
                <w:rFonts w:ascii="Arial" w:hAnsi="Arial" w:cs="Arial"/>
              </w:rPr>
              <w:t>’</w:t>
            </w:r>
          </w:p>
          <w:p w14:paraId="0BD41585" w14:textId="77777777" w:rsidR="001E26B6" w:rsidRPr="007A2C3A" w:rsidRDefault="001E26B6" w:rsidP="00AC3D72">
            <w:pPr>
              <w:jc w:val="both"/>
              <w:rPr>
                <w:rFonts w:ascii="Arial" w:hAnsi="Arial" w:cs="Arial"/>
              </w:rPr>
            </w:pPr>
            <w:r w:rsidRPr="007A2C3A">
              <w:rPr>
                <w:rFonts w:ascii="Arial" w:hAnsi="Arial" w:cs="Arial"/>
              </w:rPr>
              <w:t>AND</w:t>
            </w:r>
          </w:p>
          <w:p w14:paraId="624A47E3" w14:textId="77777777" w:rsidR="001E26B6" w:rsidRPr="007A2C3A" w:rsidRDefault="001E26B6" w:rsidP="00AC3D72">
            <w:pPr>
              <w:jc w:val="both"/>
              <w:rPr>
                <w:rFonts w:ascii="Arial" w:hAnsi="Arial" w:cs="Arial"/>
              </w:rPr>
            </w:pPr>
            <w:r w:rsidRPr="007A2C3A">
              <w:rPr>
                <w:rFonts w:ascii="Arial" w:hAnsi="Arial" w:cs="Arial"/>
              </w:rPr>
              <w:t>Accompanied to walk outdoors = ‘</w:t>
            </w:r>
            <w:r w:rsidRPr="007A2C3A">
              <w:rPr>
                <w:rFonts w:ascii="Arial" w:hAnsi="Arial" w:cs="Arial"/>
                <w:i/>
              </w:rPr>
              <w:t>No</w:t>
            </w:r>
            <w:r w:rsidRPr="007A2C3A">
              <w:rPr>
                <w:rFonts w:ascii="Arial" w:hAnsi="Arial" w:cs="Arial"/>
              </w:rPr>
              <w:t>’</w:t>
            </w:r>
          </w:p>
        </w:tc>
      </w:tr>
      <w:tr w:rsidR="00AC3D72" w:rsidRPr="007A2C3A" w14:paraId="59AB0584" w14:textId="77777777" w:rsidTr="00E27CFC">
        <w:trPr>
          <w:trHeight w:val="1266"/>
        </w:trPr>
        <w:tc>
          <w:tcPr>
            <w:tcW w:w="525" w:type="pct"/>
          </w:tcPr>
          <w:p w14:paraId="6C9BFDD3" w14:textId="77777777" w:rsidR="001E26B6" w:rsidRPr="007A2C3A" w:rsidRDefault="001E26B6" w:rsidP="00AC3D72">
            <w:pPr>
              <w:rPr>
                <w:rFonts w:ascii="Arial" w:hAnsi="Arial" w:cs="Arial"/>
              </w:rPr>
            </w:pPr>
            <w:r w:rsidRPr="007A2C3A">
              <w:rPr>
                <w:rFonts w:ascii="Arial" w:hAnsi="Arial" w:cs="Arial"/>
              </w:rPr>
              <w:t>4</w:t>
            </w:r>
          </w:p>
        </w:tc>
        <w:tc>
          <w:tcPr>
            <w:tcW w:w="725" w:type="pct"/>
          </w:tcPr>
          <w:p w14:paraId="37656F5B" w14:textId="77777777" w:rsidR="001E26B6" w:rsidRPr="007A2C3A" w:rsidRDefault="001E26B6" w:rsidP="00AC3D72">
            <w:pPr>
              <w:rPr>
                <w:rFonts w:ascii="Arial" w:hAnsi="Arial" w:cs="Arial"/>
              </w:rPr>
            </w:pPr>
            <w:r w:rsidRPr="007A2C3A">
              <w:rPr>
                <w:rFonts w:ascii="Arial" w:hAnsi="Arial" w:cs="Arial"/>
              </w:rPr>
              <w:t>Indoor mobility only, but never goes out unassisted</w:t>
            </w:r>
          </w:p>
        </w:tc>
        <w:tc>
          <w:tcPr>
            <w:tcW w:w="3750" w:type="pct"/>
          </w:tcPr>
          <w:p w14:paraId="496DB885" w14:textId="77777777" w:rsidR="001E26B6" w:rsidRPr="007A2C3A" w:rsidRDefault="001E26B6" w:rsidP="00AC3D72">
            <w:pPr>
              <w:jc w:val="both"/>
              <w:rPr>
                <w:rFonts w:ascii="Arial" w:hAnsi="Arial" w:cs="Arial"/>
              </w:rPr>
            </w:pPr>
            <w:r w:rsidRPr="007A2C3A">
              <w:rPr>
                <w:rFonts w:ascii="Arial" w:hAnsi="Arial" w:cs="Arial"/>
              </w:rPr>
              <w:t>Walking ability indoors IN (‘</w:t>
            </w:r>
            <w:r w:rsidRPr="007A2C3A">
              <w:rPr>
                <w:rFonts w:ascii="Arial" w:hAnsi="Arial" w:cs="Arial"/>
                <w:i/>
              </w:rPr>
              <w:t>Regularly walked without aids</w:t>
            </w:r>
            <w:r w:rsidRPr="007A2C3A">
              <w:rPr>
                <w:rFonts w:ascii="Arial" w:hAnsi="Arial" w:cs="Arial"/>
              </w:rPr>
              <w:t>’, ‘</w:t>
            </w:r>
            <w:r w:rsidRPr="007A2C3A">
              <w:rPr>
                <w:rFonts w:ascii="Arial" w:hAnsi="Arial" w:cs="Arial"/>
                <w:i/>
              </w:rPr>
              <w:t>Regularly walked with one aid</w:t>
            </w:r>
            <w:r w:rsidRPr="007A2C3A">
              <w:rPr>
                <w:rFonts w:ascii="Arial" w:hAnsi="Arial" w:cs="Arial"/>
              </w:rPr>
              <w:t>’, ‘</w:t>
            </w:r>
            <w:r w:rsidRPr="007A2C3A">
              <w:rPr>
                <w:rFonts w:ascii="Arial" w:hAnsi="Arial" w:cs="Arial"/>
                <w:i/>
              </w:rPr>
              <w:t>Regularly walked with two aids or frame</w:t>
            </w:r>
            <w:r w:rsidRPr="007A2C3A">
              <w:rPr>
                <w:rFonts w:ascii="Arial" w:hAnsi="Arial" w:cs="Arial"/>
              </w:rPr>
              <w:t>’)</w:t>
            </w:r>
          </w:p>
          <w:p w14:paraId="114CA494" w14:textId="77777777" w:rsidR="001E26B6" w:rsidRPr="007A2C3A" w:rsidRDefault="001E26B6" w:rsidP="00AC3D72">
            <w:pPr>
              <w:jc w:val="both"/>
              <w:rPr>
                <w:rFonts w:ascii="Arial" w:hAnsi="Arial" w:cs="Arial"/>
              </w:rPr>
            </w:pPr>
            <w:r w:rsidRPr="007A2C3A">
              <w:rPr>
                <w:rFonts w:ascii="Arial" w:hAnsi="Arial" w:cs="Arial"/>
              </w:rPr>
              <w:t>AND</w:t>
            </w:r>
          </w:p>
          <w:p w14:paraId="44528893" w14:textId="77777777" w:rsidR="001E26B6" w:rsidRPr="007A2C3A" w:rsidRDefault="001E26B6" w:rsidP="00AC3D72">
            <w:pPr>
              <w:jc w:val="both"/>
              <w:rPr>
                <w:rFonts w:ascii="Arial" w:hAnsi="Arial" w:cs="Arial"/>
              </w:rPr>
            </w:pPr>
            <w:r w:rsidRPr="007A2C3A">
              <w:rPr>
                <w:rFonts w:ascii="Arial" w:hAnsi="Arial" w:cs="Arial"/>
              </w:rPr>
              <w:t>(Walking ability outdoors IN (‘</w:t>
            </w:r>
            <w:r w:rsidRPr="007A2C3A">
              <w:rPr>
                <w:rFonts w:ascii="Arial" w:hAnsi="Arial" w:cs="Arial"/>
                <w:i/>
              </w:rPr>
              <w:t>Electric buggy</w:t>
            </w:r>
            <w:r w:rsidRPr="007A2C3A">
              <w:rPr>
                <w:rFonts w:ascii="Arial" w:hAnsi="Arial" w:cs="Arial"/>
              </w:rPr>
              <w:t>’, ‘</w:t>
            </w:r>
            <w:r w:rsidRPr="007A2C3A">
              <w:rPr>
                <w:rFonts w:ascii="Arial" w:hAnsi="Arial" w:cs="Arial"/>
                <w:i/>
              </w:rPr>
              <w:t>Wheelchair or bed bound</w:t>
            </w:r>
            <w:r w:rsidRPr="007A2C3A">
              <w:rPr>
                <w:rFonts w:ascii="Arial" w:hAnsi="Arial" w:cs="Arial"/>
              </w:rPr>
              <w:t>’, ‘</w:t>
            </w:r>
            <w:r w:rsidRPr="007A2C3A">
              <w:rPr>
                <w:rFonts w:ascii="Arial" w:hAnsi="Arial" w:cs="Arial"/>
                <w:i/>
              </w:rPr>
              <w:t>Never goes outdoors</w:t>
            </w:r>
            <w:r w:rsidRPr="007A2C3A">
              <w:rPr>
                <w:rFonts w:ascii="Arial" w:hAnsi="Arial" w:cs="Arial"/>
              </w:rPr>
              <w:t xml:space="preserve">’) </w:t>
            </w:r>
          </w:p>
          <w:p w14:paraId="2D4E3BD5" w14:textId="77777777" w:rsidR="001E26B6" w:rsidRPr="007A2C3A" w:rsidRDefault="001E26B6" w:rsidP="00AC3D72">
            <w:pPr>
              <w:jc w:val="both"/>
              <w:rPr>
                <w:rFonts w:ascii="Arial" w:hAnsi="Arial" w:cs="Arial"/>
              </w:rPr>
            </w:pPr>
            <w:r w:rsidRPr="007A2C3A">
              <w:rPr>
                <w:rFonts w:ascii="Arial" w:hAnsi="Arial" w:cs="Arial"/>
              </w:rPr>
              <w:t xml:space="preserve">OR </w:t>
            </w:r>
          </w:p>
          <w:p w14:paraId="2D5A1859" w14:textId="77777777" w:rsidR="001E26B6" w:rsidRPr="007A2C3A" w:rsidRDefault="001E26B6" w:rsidP="00AC3D72">
            <w:pPr>
              <w:jc w:val="both"/>
              <w:rPr>
                <w:rFonts w:ascii="Arial" w:hAnsi="Arial" w:cs="Arial"/>
              </w:rPr>
            </w:pPr>
            <w:r w:rsidRPr="007A2C3A">
              <w:rPr>
                <w:rFonts w:ascii="Arial" w:hAnsi="Arial" w:cs="Arial"/>
              </w:rPr>
              <w:t>Accompanied to walk outdoors = ‘</w:t>
            </w:r>
            <w:r w:rsidRPr="007A2C3A">
              <w:rPr>
                <w:rFonts w:ascii="Arial" w:hAnsi="Arial" w:cs="Arial"/>
                <w:i/>
              </w:rPr>
              <w:t>Yes</w:t>
            </w:r>
            <w:r w:rsidRPr="007A2C3A">
              <w:rPr>
                <w:rFonts w:ascii="Arial" w:hAnsi="Arial" w:cs="Arial"/>
              </w:rPr>
              <w:t>’)</w:t>
            </w:r>
          </w:p>
          <w:p w14:paraId="7464CA1F" w14:textId="77777777" w:rsidR="001E26B6" w:rsidRPr="007A2C3A" w:rsidRDefault="001E26B6" w:rsidP="00AC3D72">
            <w:pPr>
              <w:jc w:val="both"/>
              <w:rPr>
                <w:rFonts w:ascii="Arial" w:hAnsi="Arial" w:cs="Arial"/>
              </w:rPr>
            </w:pPr>
          </w:p>
        </w:tc>
      </w:tr>
      <w:tr w:rsidR="00AC3D72" w:rsidRPr="007A2C3A" w14:paraId="2242B353" w14:textId="77777777" w:rsidTr="00E27CFC">
        <w:trPr>
          <w:trHeight w:val="1695"/>
        </w:trPr>
        <w:tc>
          <w:tcPr>
            <w:tcW w:w="525" w:type="pct"/>
          </w:tcPr>
          <w:p w14:paraId="10FF7558" w14:textId="77777777" w:rsidR="001E26B6" w:rsidRPr="007A2C3A" w:rsidRDefault="001E26B6" w:rsidP="00AC3D72">
            <w:pPr>
              <w:rPr>
                <w:rFonts w:ascii="Arial" w:hAnsi="Arial" w:cs="Arial"/>
              </w:rPr>
            </w:pPr>
            <w:r w:rsidRPr="007A2C3A">
              <w:rPr>
                <w:rFonts w:ascii="Arial" w:hAnsi="Arial" w:cs="Arial"/>
              </w:rPr>
              <w:t>5</w:t>
            </w:r>
          </w:p>
        </w:tc>
        <w:tc>
          <w:tcPr>
            <w:tcW w:w="725" w:type="pct"/>
          </w:tcPr>
          <w:p w14:paraId="33456306" w14:textId="77777777" w:rsidR="001E26B6" w:rsidRPr="007A2C3A" w:rsidRDefault="001E26B6" w:rsidP="00AC3D72">
            <w:pPr>
              <w:rPr>
                <w:rFonts w:ascii="Arial" w:hAnsi="Arial" w:cs="Arial"/>
              </w:rPr>
            </w:pPr>
            <w:r w:rsidRPr="007A2C3A">
              <w:rPr>
                <w:rFonts w:ascii="Arial" w:hAnsi="Arial" w:cs="Arial"/>
              </w:rPr>
              <w:t>No functional mobility (wheelchair or assisted transfers or bedbound)</w:t>
            </w:r>
          </w:p>
        </w:tc>
        <w:tc>
          <w:tcPr>
            <w:tcW w:w="3750" w:type="pct"/>
          </w:tcPr>
          <w:p w14:paraId="07F49D8C" w14:textId="77777777" w:rsidR="001E26B6" w:rsidRPr="007A2C3A" w:rsidRDefault="001E26B6" w:rsidP="00AC3D72">
            <w:pPr>
              <w:jc w:val="both"/>
              <w:rPr>
                <w:rFonts w:ascii="Arial" w:hAnsi="Arial" w:cs="Arial"/>
              </w:rPr>
            </w:pPr>
            <w:r w:rsidRPr="007A2C3A">
              <w:rPr>
                <w:rFonts w:ascii="Arial" w:hAnsi="Arial" w:cs="Arial"/>
              </w:rPr>
              <w:t>Walking ability indoors = ‘</w:t>
            </w:r>
            <w:r w:rsidRPr="007A2C3A">
              <w:rPr>
                <w:rFonts w:ascii="Arial" w:hAnsi="Arial" w:cs="Arial"/>
                <w:i/>
              </w:rPr>
              <w:t>Wheelchair or bedbound</w:t>
            </w:r>
            <w:r w:rsidRPr="007A2C3A">
              <w:rPr>
                <w:rFonts w:ascii="Arial" w:hAnsi="Arial" w:cs="Arial"/>
              </w:rPr>
              <w:t>’</w:t>
            </w:r>
          </w:p>
          <w:p w14:paraId="4E4CB875" w14:textId="77777777" w:rsidR="001E26B6" w:rsidRPr="007A2C3A" w:rsidRDefault="001E26B6" w:rsidP="00AC3D72">
            <w:pPr>
              <w:jc w:val="both"/>
              <w:rPr>
                <w:rFonts w:ascii="Arial" w:hAnsi="Arial" w:cs="Arial"/>
              </w:rPr>
            </w:pPr>
            <w:r w:rsidRPr="007A2C3A">
              <w:rPr>
                <w:rFonts w:ascii="Arial" w:hAnsi="Arial" w:cs="Arial"/>
              </w:rPr>
              <w:t>AND</w:t>
            </w:r>
          </w:p>
          <w:p w14:paraId="704D4DF9" w14:textId="77777777" w:rsidR="001E26B6" w:rsidRPr="007A2C3A" w:rsidRDefault="001E26B6" w:rsidP="00AC3D72">
            <w:pPr>
              <w:jc w:val="both"/>
              <w:rPr>
                <w:rFonts w:ascii="Arial" w:hAnsi="Arial" w:cs="Arial"/>
              </w:rPr>
            </w:pPr>
            <w:r w:rsidRPr="007A2C3A">
              <w:rPr>
                <w:rFonts w:ascii="Arial" w:hAnsi="Arial" w:cs="Arial"/>
              </w:rPr>
              <w:t>Walking ability outdoors IN (‘</w:t>
            </w:r>
            <w:r w:rsidRPr="007A2C3A">
              <w:rPr>
                <w:rFonts w:ascii="Arial" w:hAnsi="Arial" w:cs="Arial"/>
                <w:i/>
              </w:rPr>
              <w:t>Electric buggy</w:t>
            </w:r>
            <w:r w:rsidRPr="007A2C3A">
              <w:rPr>
                <w:rFonts w:ascii="Arial" w:hAnsi="Arial" w:cs="Arial"/>
              </w:rPr>
              <w:t>’, ‘</w:t>
            </w:r>
            <w:r w:rsidRPr="007A2C3A">
              <w:rPr>
                <w:rFonts w:ascii="Arial" w:hAnsi="Arial" w:cs="Arial"/>
                <w:i/>
              </w:rPr>
              <w:t>Wheelchair or bed bound</w:t>
            </w:r>
            <w:r w:rsidRPr="007A2C3A">
              <w:rPr>
                <w:rFonts w:ascii="Arial" w:hAnsi="Arial" w:cs="Arial"/>
              </w:rPr>
              <w:t>’, ‘</w:t>
            </w:r>
            <w:r w:rsidRPr="007A2C3A">
              <w:rPr>
                <w:rFonts w:ascii="Arial" w:hAnsi="Arial" w:cs="Arial"/>
                <w:i/>
              </w:rPr>
              <w:t>Never goes outdoors</w:t>
            </w:r>
            <w:r w:rsidRPr="007A2C3A">
              <w:rPr>
                <w:rFonts w:ascii="Arial" w:hAnsi="Arial" w:cs="Arial"/>
              </w:rPr>
              <w:t xml:space="preserve">’) </w:t>
            </w:r>
          </w:p>
          <w:p w14:paraId="60B531C1" w14:textId="77777777" w:rsidR="001E26B6" w:rsidRPr="007A2C3A" w:rsidRDefault="001E26B6" w:rsidP="00AC3D72">
            <w:pPr>
              <w:jc w:val="both"/>
              <w:rPr>
                <w:rFonts w:ascii="Arial" w:hAnsi="Arial" w:cs="Arial"/>
              </w:rPr>
            </w:pPr>
          </w:p>
        </w:tc>
      </w:tr>
    </w:tbl>
    <w:p w14:paraId="5DD1A540" w14:textId="77777777" w:rsidR="00E27CFC" w:rsidRPr="007A2C3A" w:rsidRDefault="00E27CFC">
      <w:pPr>
        <w:rPr>
          <w:rFonts w:ascii="Arial" w:hAnsi="Arial" w:cs="Arial"/>
        </w:rPr>
      </w:pPr>
      <w:r w:rsidRPr="007A2C3A">
        <w:rPr>
          <w:rFonts w:ascii="Arial" w:hAnsi="Arial" w:cs="Arial"/>
        </w:rPr>
        <w:br w:type="page"/>
      </w:r>
    </w:p>
    <w:tbl>
      <w:tblPr>
        <w:tblStyle w:val="TableGrid"/>
        <w:tblW w:w="0" w:type="auto"/>
        <w:tblLayout w:type="fixed"/>
        <w:tblLook w:val="04A0" w:firstRow="1" w:lastRow="0" w:firstColumn="1" w:lastColumn="0" w:noHBand="0" w:noVBand="1"/>
      </w:tblPr>
      <w:tblGrid>
        <w:gridCol w:w="2547"/>
        <w:gridCol w:w="7307"/>
      </w:tblGrid>
      <w:tr w:rsidR="00E27CFC" w:rsidRPr="007A2C3A" w14:paraId="57ED178F" w14:textId="77777777" w:rsidTr="00C479EC">
        <w:tc>
          <w:tcPr>
            <w:tcW w:w="2547" w:type="dxa"/>
          </w:tcPr>
          <w:p w14:paraId="520CE22A" w14:textId="11B6C744"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Numerator</w:t>
            </w:r>
          </w:p>
        </w:tc>
        <w:tc>
          <w:tcPr>
            <w:tcW w:w="7307" w:type="dxa"/>
          </w:tcPr>
          <w:p w14:paraId="2C073746"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Count of all patients aged 60 or over recorded in the NHFD who have survived to 30 / 120 days and who have either:</w:t>
            </w:r>
          </w:p>
          <w:p w14:paraId="2BE03B6B" w14:textId="77777777" w:rsidR="00E27CFC" w:rsidRPr="007A2C3A" w:rsidRDefault="00E27CFC" w:rsidP="00E27CFC">
            <w:pPr>
              <w:numPr>
                <w:ilvl w:val="0"/>
                <w:numId w:val="2"/>
              </w:numPr>
              <w:spacing w:after="60"/>
              <w:ind w:left="0" w:hanging="284"/>
              <w:textboxTightWrap w:val="allLines"/>
              <w:rPr>
                <w:rFonts w:ascii="Arial" w:hAnsi="Arial" w:cs="Arial"/>
                <w:sz w:val="22"/>
                <w:szCs w:val="22"/>
              </w:rPr>
            </w:pPr>
            <w:r w:rsidRPr="007A2C3A">
              <w:rPr>
                <w:rFonts w:ascii="Arial" w:hAnsi="Arial" w:cs="Arial"/>
                <w:sz w:val="22"/>
                <w:szCs w:val="22"/>
              </w:rPr>
              <w:t xml:space="preserve">improved (lower mobility category after 30/120 days than pre- hip fracture) </w:t>
            </w:r>
          </w:p>
          <w:p w14:paraId="54543A2F" w14:textId="77777777" w:rsidR="00E27CFC" w:rsidRPr="007A2C3A" w:rsidRDefault="00E27CFC" w:rsidP="00E27CFC">
            <w:pPr>
              <w:numPr>
                <w:ilvl w:val="0"/>
                <w:numId w:val="2"/>
              </w:numPr>
              <w:spacing w:after="60"/>
              <w:ind w:left="0" w:hanging="284"/>
              <w:textboxTightWrap w:val="allLines"/>
              <w:rPr>
                <w:rFonts w:ascii="Arial" w:hAnsi="Arial" w:cs="Arial"/>
                <w:sz w:val="22"/>
                <w:szCs w:val="22"/>
              </w:rPr>
            </w:pPr>
            <w:r w:rsidRPr="007A2C3A">
              <w:rPr>
                <w:rFonts w:ascii="Arial" w:hAnsi="Arial" w:cs="Arial"/>
                <w:sz w:val="22"/>
                <w:szCs w:val="22"/>
              </w:rPr>
              <w:t>remained the same (same mobility category after 30/120 days as pre- hip fracture)</w:t>
            </w:r>
          </w:p>
          <w:p w14:paraId="534D4F6E" w14:textId="3E48ED66"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or deteriorated (only 1 mobility category higher after 30/120 days than pre- hip fracture).</w:t>
            </w:r>
          </w:p>
        </w:tc>
      </w:tr>
      <w:tr w:rsidR="00E27CFC" w:rsidRPr="007A2C3A" w14:paraId="6E8D3284" w14:textId="77777777" w:rsidTr="00C479EC">
        <w:tc>
          <w:tcPr>
            <w:tcW w:w="2547" w:type="dxa"/>
          </w:tcPr>
          <w:p w14:paraId="6683146B" w14:textId="39D7F17B"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Denominator</w:t>
            </w:r>
          </w:p>
        </w:tc>
        <w:tc>
          <w:tcPr>
            <w:tcW w:w="7307" w:type="dxa"/>
          </w:tcPr>
          <w:p w14:paraId="2C57DB85"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 xml:space="preserve">Count of all patients aged 60 or over recorded in the NHFD as having had a hip fracture in the designated </w:t>
            </w:r>
            <w:proofErr w:type="gramStart"/>
            <w:r w:rsidRPr="007A2C3A">
              <w:rPr>
                <w:rFonts w:ascii="Arial" w:hAnsi="Arial" w:cs="Arial"/>
                <w:sz w:val="22"/>
                <w:szCs w:val="22"/>
              </w:rPr>
              <w:t>12 month</w:t>
            </w:r>
            <w:proofErr w:type="gramEnd"/>
            <w:r w:rsidRPr="007A2C3A">
              <w:rPr>
                <w:rFonts w:ascii="Arial" w:hAnsi="Arial" w:cs="Arial"/>
                <w:sz w:val="22"/>
                <w:szCs w:val="22"/>
              </w:rPr>
              <w:t xml:space="preserve"> period plus 30/120 days for their follow-up where:</w:t>
            </w:r>
          </w:p>
          <w:p w14:paraId="418D3D01" w14:textId="77777777" w:rsidR="00E27CFC" w:rsidRPr="007A2C3A" w:rsidRDefault="00E27CFC" w:rsidP="00E27CFC">
            <w:pPr>
              <w:numPr>
                <w:ilvl w:val="0"/>
                <w:numId w:val="2"/>
              </w:numPr>
              <w:spacing w:after="60"/>
              <w:ind w:left="0" w:hanging="284"/>
              <w:textboxTightWrap w:val="allLines"/>
              <w:rPr>
                <w:rFonts w:ascii="Arial" w:hAnsi="Arial" w:cs="Arial"/>
                <w:sz w:val="22"/>
                <w:szCs w:val="22"/>
              </w:rPr>
            </w:pPr>
            <w:r w:rsidRPr="007A2C3A">
              <w:rPr>
                <w:rFonts w:ascii="Arial" w:hAnsi="Arial" w:cs="Arial"/>
                <w:sz w:val="22"/>
                <w:szCs w:val="22"/>
              </w:rPr>
              <w:t>The patient has survived to 30 / 120 days</w:t>
            </w:r>
          </w:p>
          <w:p w14:paraId="4DB331E0" w14:textId="626A3856"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There is a completed data field for pre-hip fracture mobility and for mobility 30/120 days after the hip fracture</w:t>
            </w:r>
          </w:p>
        </w:tc>
      </w:tr>
      <w:tr w:rsidR="00E27CFC" w:rsidRPr="007A2C3A" w14:paraId="45EF153F" w14:textId="77777777" w:rsidTr="00C479EC">
        <w:tc>
          <w:tcPr>
            <w:tcW w:w="2547" w:type="dxa"/>
          </w:tcPr>
          <w:p w14:paraId="3283F293" w14:textId="000EED8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Computation</w:t>
            </w:r>
          </w:p>
        </w:tc>
        <w:tc>
          <w:tcPr>
            <w:tcW w:w="7307" w:type="dxa"/>
          </w:tcPr>
          <w:p w14:paraId="57BB0D23" w14:textId="77777777" w:rsidR="00E27CFC" w:rsidRPr="007A2C3A" w:rsidRDefault="00E27CFC" w:rsidP="00E27CFC">
            <w:pPr>
              <w:textboxTightWrap w:val="lastLineOnly"/>
              <w:rPr>
                <w:rFonts w:ascii="Arial" w:hAnsi="Arial" w:cs="Arial"/>
                <w:sz w:val="22"/>
                <w:szCs w:val="22"/>
              </w:rPr>
            </w:pPr>
            <w:r w:rsidRPr="007A2C3A">
              <w:rPr>
                <w:rFonts w:ascii="Arial" w:hAnsi="Arial" w:cs="Arial"/>
                <w:sz w:val="22"/>
                <w:szCs w:val="22"/>
              </w:rPr>
              <w:t>The indicator is aggregated by Clinical Commissioning Group (CCG) and is a numerator / denominator construct, reported as a percentage.</w:t>
            </w:r>
          </w:p>
          <w:p w14:paraId="3DF3E14A" w14:textId="77777777" w:rsidR="00E27CFC" w:rsidRPr="007A2C3A" w:rsidRDefault="00E27CFC" w:rsidP="00E27CFC">
            <w:pPr>
              <w:textboxTightWrap w:val="lastLineOnly"/>
              <w:rPr>
                <w:rFonts w:ascii="Arial" w:hAnsi="Arial" w:cs="Arial"/>
                <w:sz w:val="22"/>
                <w:szCs w:val="22"/>
              </w:rPr>
            </w:pPr>
          </w:p>
          <w:p w14:paraId="5016B8BC" w14:textId="77777777" w:rsidR="00E27CFC" w:rsidRPr="007A2C3A" w:rsidRDefault="00E27CFC" w:rsidP="00E27CFC">
            <w:pPr>
              <w:textboxTightWrap w:val="lastLineOnly"/>
              <w:rPr>
                <w:rFonts w:ascii="Arial" w:hAnsi="Arial" w:cs="Arial"/>
                <w:sz w:val="22"/>
                <w:szCs w:val="22"/>
              </w:rPr>
            </w:pPr>
            <w:r w:rsidRPr="007A2C3A">
              <w:rPr>
                <w:rFonts w:ascii="Arial" w:hAnsi="Arial" w:cs="Arial"/>
                <w:sz w:val="22"/>
                <w:szCs w:val="22"/>
              </w:rPr>
              <w:t>The indicators measure the proportion of patients aged 60 or over recovering to a level of mobility at (</w:t>
            </w:r>
            <w:proofErr w:type="spellStart"/>
            <w:r w:rsidRPr="007A2C3A">
              <w:rPr>
                <w:rFonts w:ascii="Arial" w:hAnsi="Arial" w:cs="Arial"/>
                <w:sz w:val="22"/>
                <w:szCs w:val="22"/>
              </w:rPr>
              <w:t>i</w:t>
            </w:r>
            <w:proofErr w:type="spellEnd"/>
            <w:r w:rsidRPr="007A2C3A">
              <w:rPr>
                <w:rFonts w:ascii="Arial" w:hAnsi="Arial" w:cs="Arial"/>
                <w:sz w:val="22"/>
                <w:szCs w:val="22"/>
              </w:rPr>
              <w:t xml:space="preserve">) 30 and (ii) 120 days after their hip fracture, which was better, the same or only one mobility category worse than mobility category prior to the hip fracture. </w:t>
            </w:r>
          </w:p>
          <w:p w14:paraId="0AFDCEB1" w14:textId="77777777" w:rsidR="00E27CFC" w:rsidRPr="007A2C3A" w:rsidRDefault="00E27CFC" w:rsidP="00E27CFC">
            <w:pPr>
              <w:spacing w:before="240" w:after="140"/>
              <w:textboxTightWrap w:val="lastLineOnly"/>
              <w:rPr>
                <w:rFonts w:ascii="Arial" w:hAnsi="Arial" w:cs="Arial"/>
                <w:sz w:val="22"/>
                <w:szCs w:val="22"/>
              </w:rPr>
            </w:pPr>
          </w:p>
        </w:tc>
      </w:tr>
      <w:tr w:rsidR="00E27CFC" w:rsidRPr="007A2C3A" w14:paraId="49652786" w14:textId="77777777" w:rsidTr="00C479EC">
        <w:tc>
          <w:tcPr>
            <w:tcW w:w="2547" w:type="dxa"/>
          </w:tcPr>
          <w:p w14:paraId="5EA43605" w14:textId="48AA1E50"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Risk adjustment or standardisation type and methodology</w:t>
            </w:r>
          </w:p>
        </w:tc>
        <w:tc>
          <w:tcPr>
            <w:tcW w:w="7307" w:type="dxa"/>
          </w:tcPr>
          <w:sdt>
            <w:sdtPr>
              <w:rPr>
                <w:rFonts w:ascii="Arial" w:hAnsi="Arial" w:cs="Arial"/>
                <w:sz w:val="22"/>
                <w:szCs w:val="22"/>
              </w:rPr>
              <w:alias w:val="Risk adjustment type"/>
              <w:tag w:val="Risk adjustment type"/>
              <w:id w:val="578491201"/>
              <w:placeholder>
                <w:docPart w:val="82284EBEF130439891C78877B68AB592"/>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Content>
              <w:p w14:paraId="4159CCB6"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None</w:t>
                </w:r>
              </w:p>
            </w:sdtContent>
          </w:sdt>
          <w:p w14:paraId="2D0F404E" w14:textId="77777777" w:rsidR="00E27CFC" w:rsidRPr="007A2C3A" w:rsidRDefault="00E27CFC" w:rsidP="00E27CFC">
            <w:pPr>
              <w:spacing w:before="240" w:after="140"/>
              <w:textboxTightWrap w:val="lastLineOnly"/>
              <w:rPr>
                <w:rFonts w:ascii="Arial" w:hAnsi="Arial" w:cs="Arial"/>
                <w:sz w:val="22"/>
                <w:szCs w:val="22"/>
              </w:rPr>
            </w:pPr>
            <w:r w:rsidRPr="007A2C3A">
              <w:rPr>
                <w:rFonts w:ascii="Arial" w:hAnsi="Arial" w:cs="Arial"/>
                <w:sz w:val="22"/>
                <w:szCs w:val="22"/>
              </w:rPr>
              <w:t>Variables and methodology:</w:t>
            </w:r>
          </w:p>
          <w:p w14:paraId="5CB93CFA" w14:textId="77777777" w:rsidR="00E27CFC" w:rsidRPr="007A2C3A" w:rsidRDefault="00E27CFC" w:rsidP="00E27CFC">
            <w:pPr>
              <w:textboxTightWrap w:val="lastLineOnly"/>
              <w:rPr>
                <w:rFonts w:ascii="Arial" w:hAnsi="Arial" w:cs="Arial"/>
                <w:sz w:val="22"/>
                <w:szCs w:val="22"/>
              </w:rPr>
            </w:pPr>
          </w:p>
        </w:tc>
      </w:tr>
      <w:tr w:rsidR="00E27CFC" w:rsidRPr="007A2C3A" w14:paraId="46167B16" w14:textId="77777777" w:rsidTr="00C479EC">
        <w:tc>
          <w:tcPr>
            <w:tcW w:w="2547" w:type="dxa"/>
          </w:tcPr>
          <w:p w14:paraId="76F92BF3" w14:textId="35A93485" w:rsidR="00E27CFC" w:rsidRPr="007A2C3A" w:rsidRDefault="00E27CFC" w:rsidP="00E27CFC">
            <w:pPr>
              <w:spacing w:before="240" w:after="140"/>
              <w:textboxTightWrap w:val="lastLineOnly"/>
              <w:rPr>
                <w:rFonts w:ascii="Arial" w:hAnsi="Arial" w:cs="Arial"/>
              </w:rPr>
            </w:pPr>
            <w:r w:rsidRPr="007A2C3A">
              <w:rPr>
                <w:rFonts w:ascii="Arial" w:hAnsi="Arial" w:cs="Arial"/>
                <w:b/>
              </w:rPr>
              <w:t>Risk adjustment or standardisation type and methodology</w:t>
            </w:r>
          </w:p>
        </w:tc>
        <w:tc>
          <w:tcPr>
            <w:tcW w:w="7307" w:type="dxa"/>
          </w:tcPr>
          <w:sdt>
            <w:sdtPr>
              <w:rPr>
                <w:rFonts w:ascii="Arial" w:hAnsi="Arial" w:cs="Arial"/>
              </w:rPr>
              <w:alias w:val="Risk adjustment type"/>
              <w:tag w:val="Risk adjustment type"/>
              <w:id w:val="1214319314"/>
              <w:placeholder>
                <w:docPart w:val="229639533B044E5F8BF350B1B9621C9A"/>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Content>
              <w:p w14:paraId="3750B3A6" w14:textId="77777777" w:rsidR="00E27CFC" w:rsidRPr="007A2C3A" w:rsidRDefault="00E27CFC" w:rsidP="00E27CFC">
                <w:pPr>
                  <w:spacing w:before="240" w:after="140"/>
                  <w:textboxTightWrap w:val="lastLineOnly"/>
                  <w:rPr>
                    <w:rFonts w:ascii="Arial" w:hAnsi="Arial" w:cs="Arial"/>
                  </w:rPr>
                </w:pPr>
                <w:r w:rsidRPr="007A2C3A">
                  <w:rPr>
                    <w:rFonts w:ascii="Arial" w:hAnsi="Arial" w:cs="Arial"/>
                  </w:rPr>
                  <w:t>None</w:t>
                </w:r>
              </w:p>
            </w:sdtContent>
          </w:sdt>
          <w:p w14:paraId="2E08BF46" w14:textId="77777777" w:rsidR="00E27CFC" w:rsidRPr="007A2C3A" w:rsidRDefault="00E27CFC" w:rsidP="00E27CFC">
            <w:pPr>
              <w:spacing w:before="240" w:after="140"/>
              <w:textboxTightWrap w:val="lastLineOnly"/>
              <w:rPr>
                <w:rFonts w:ascii="Arial" w:hAnsi="Arial" w:cs="Arial"/>
                <w:i/>
              </w:rPr>
            </w:pPr>
            <w:r w:rsidRPr="007A2C3A">
              <w:rPr>
                <w:rFonts w:ascii="Arial" w:hAnsi="Arial" w:cs="Arial"/>
                <w:i/>
              </w:rPr>
              <w:t>Variables and methodology:</w:t>
            </w:r>
          </w:p>
          <w:p w14:paraId="50180F79" w14:textId="77777777" w:rsidR="00E27CFC" w:rsidRPr="007A2C3A" w:rsidRDefault="00E27CFC" w:rsidP="00E27CFC">
            <w:pPr>
              <w:spacing w:before="240" w:after="140"/>
              <w:textboxTightWrap w:val="lastLineOnly"/>
              <w:rPr>
                <w:rFonts w:ascii="Arial" w:hAnsi="Arial" w:cs="Arial"/>
              </w:rPr>
            </w:pPr>
          </w:p>
        </w:tc>
      </w:tr>
      <w:tr w:rsidR="00E27CFC" w:rsidRPr="007A2C3A" w14:paraId="6BAA219A" w14:textId="77777777" w:rsidTr="00C479EC">
        <w:tc>
          <w:tcPr>
            <w:tcW w:w="2547" w:type="dxa"/>
          </w:tcPr>
          <w:p w14:paraId="78D801B6" w14:textId="77777777"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Justification of risk adjustment type and variables</w:t>
            </w:r>
          </w:p>
          <w:p w14:paraId="533881D5" w14:textId="11C68B32" w:rsidR="00E27CFC" w:rsidRPr="007A2C3A" w:rsidRDefault="00E27CFC" w:rsidP="00E27CFC">
            <w:pPr>
              <w:spacing w:before="240" w:after="140"/>
              <w:textboxTightWrap w:val="lastLineOnly"/>
              <w:rPr>
                <w:rFonts w:ascii="Arial" w:hAnsi="Arial" w:cs="Arial"/>
                <w:b/>
              </w:rPr>
            </w:pPr>
            <w:r w:rsidRPr="007A2C3A">
              <w:rPr>
                <w:rFonts w:ascii="Arial" w:hAnsi="Arial" w:cs="Arial"/>
              </w:rPr>
              <w:t>or why risk adjustment is not used</w:t>
            </w:r>
          </w:p>
        </w:tc>
        <w:tc>
          <w:tcPr>
            <w:tcW w:w="7307" w:type="dxa"/>
          </w:tcPr>
          <w:p w14:paraId="39D99807" w14:textId="08D6BC2F" w:rsidR="00E27CFC" w:rsidRPr="007A2C3A" w:rsidRDefault="00E27CFC" w:rsidP="00E27CFC">
            <w:pPr>
              <w:spacing w:before="240" w:after="140"/>
              <w:textboxTightWrap w:val="lastLineOnly"/>
              <w:rPr>
                <w:rFonts w:ascii="Arial" w:hAnsi="Arial" w:cs="Arial"/>
              </w:rPr>
            </w:pPr>
            <w:r w:rsidRPr="007A2C3A">
              <w:rPr>
                <w:rFonts w:ascii="Arial" w:hAnsi="Arial" w:cs="Arial"/>
                <w:sz w:val="24"/>
                <w:szCs w:val="24"/>
              </w:rPr>
              <w:t>The use of risk adjustment is not applicable as eligibility criteria are contained within the audit question (i.e. non-applicable patients are excluded as part of the calculation</w:t>
            </w:r>
          </w:p>
        </w:tc>
      </w:tr>
      <w:tr w:rsidR="00E27CFC" w:rsidRPr="007A2C3A" w14:paraId="76D22C7F" w14:textId="77777777" w:rsidTr="00C479EC">
        <w:tc>
          <w:tcPr>
            <w:tcW w:w="2547" w:type="dxa"/>
          </w:tcPr>
          <w:p w14:paraId="7F730E07" w14:textId="7801FFFD"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Confidence interval / control limit use and methodology</w:t>
            </w:r>
          </w:p>
        </w:tc>
        <w:tc>
          <w:tcPr>
            <w:tcW w:w="7307" w:type="dxa"/>
          </w:tcPr>
          <w:sdt>
            <w:sdtPr>
              <w:rPr>
                <w:rFonts w:ascii="Arial" w:hAnsi="Arial" w:cs="Arial"/>
              </w:rPr>
              <w:alias w:val="Confidence Interval/control limit use"/>
              <w:tag w:val="Confidence Interval/control limit use"/>
              <w:id w:val="1287858884"/>
              <w:placeholder>
                <w:docPart w:val="B36C327DE8FF4F06B706AFEA33DCC7A0"/>
              </w:placeholder>
              <w:dropDownList>
                <w:listItem w:value="Choose an item."/>
                <w:listItem w:displayText="Confidence Intervals" w:value="Confidence Intervals"/>
                <w:listItem w:displayText="Control Limits" w:value="Control Limits"/>
                <w:listItem w:displayText="None" w:value="None"/>
              </w:dropDownList>
            </w:sdtPr>
            <w:sdtContent>
              <w:p w14:paraId="7FC696D9" w14:textId="77777777" w:rsidR="00E27CFC" w:rsidRPr="007A2C3A" w:rsidRDefault="00E27CFC" w:rsidP="00E27CFC">
                <w:pPr>
                  <w:spacing w:before="240" w:after="140"/>
                  <w:textboxTightWrap w:val="lastLineOnly"/>
                  <w:rPr>
                    <w:rFonts w:ascii="Arial" w:hAnsi="Arial" w:cs="Arial"/>
                  </w:rPr>
                </w:pPr>
                <w:r w:rsidRPr="007A2C3A">
                  <w:rPr>
                    <w:rFonts w:ascii="Arial" w:hAnsi="Arial" w:cs="Arial"/>
                  </w:rPr>
                  <w:t>Confidence Intervals</w:t>
                </w:r>
              </w:p>
            </w:sdtContent>
          </w:sdt>
          <w:p w14:paraId="00961279"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sz w:val="24"/>
                <w:szCs w:val="24"/>
              </w:rPr>
              <w:t>The confidence intervals follow the method for proportions as stated in the APHO technical briefing 3 - Commonly used public health statistics and their confidence intervals</w:t>
            </w:r>
          </w:p>
          <w:p w14:paraId="184F6761"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sz w:val="24"/>
                <w:szCs w:val="24"/>
              </w:rPr>
              <w:t>95% confidence intervals are calculated using Wilson Score method</w:t>
            </w:r>
            <w:r w:rsidRPr="007A2C3A">
              <w:rPr>
                <w:rFonts w:ascii="Arial" w:hAnsi="Arial" w:cs="Arial"/>
                <w:sz w:val="24"/>
                <w:szCs w:val="24"/>
                <w:vertAlign w:val="superscript"/>
              </w:rPr>
              <w:t>1,2</w:t>
            </w:r>
            <w:r w:rsidRPr="007A2C3A">
              <w:rPr>
                <w:rFonts w:ascii="Arial" w:hAnsi="Arial" w:cs="Arial"/>
                <w:sz w:val="24"/>
                <w:szCs w:val="24"/>
              </w:rPr>
              <w:t xml:space="preserve"> using the following formulae: </w:t>
            </w:r>
          </w:p>
          <w:p w14:paraId="393DA94A"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noProof/>
                <w:sz w:val="24"/>
                <w:szCs w:val="24"/>
                <w:lang w:eastAsia="en-GB"/>
              </w:rPr>
              <w:drawing>
                <wp:inline distT="0" distB="0" distL="0" distR="0" wp14:anchorId="6A02100A" wp14:editId="6C2E4771">
                  <wp:extent cx="2725947" cy="469306"/>
                  <wp:effectExtent l="0" t="0" r="0" b="6985"/>
                  <wp:docPr id="6" name="Picture 6" descr="Formula to calculate 95% confidence intervals using the Wilson scor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6294" cy="469366"/>
                          </a:xfrm>
                          <a:prstGeom prst="rect">
                            <a:avLst/>
                          </a:prstGeom>
                          <a:noFill/>
                        </pic:spPr>
                      </pic:pic>
                    </a:graphicData>
                  </a:graphic>
                </wp:inline>
              </w:drawing>
            </w:r>
          </w:p>
          <w:p w14:paraId="0D9451F1"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noProof/>
                <w:sz w:val="24"/>
                <w:szCs w:val="24"/>
                <w:lang w:eastAsia="en-GB"/>
              </w:rPr>
              <w:drawing>
                <wp:inline distT="0" distB="0" distL="0" distR="0" wp14:anchorId="4677A4E6" wp14:editId="76FDE64A">
                  <wp:extent cx="2725947" cy="462980"/>
                  <wp:effectExtent l="0" t="0" r="0" b="0"/>
                  <wp:docPr id="8" name="Picture 8" descr="Formula to calculate 95% confidence intervals using Wilson scor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3103" cy="462497"/>
                          </a:xfrm>
                          <a:prstGeom prst="rect">
                            <a:avLst/>
                          </a:prstGeom>
                          <a:noFill/>
                        </pic:spPr>
                      </pic:pic>
                    </a:graphicData>
                  </a:graphic>
                </wp:inline>
              </w:drawing>
            </w:r>
          </w:p>
          <w:p w14:paraId="0E184273" w14:textId="77777777" w:rsidR="00E27CFC" w:rsidRPr="007A2C3A" w:rsidRDefault="00E27CFC" w:rsidP="00E27CFC">
            <w:pPr>
              <w:spacing w:before="240" w:after="140"/>
              <w:textboxTightWrap w:val="lastLineOnly"/>
              <w:rPr>
                <w:rFonts w:ascii="Arial" w:hAnsi="Arial" w:cs="Arial"/>
              </w:rPr>
            </w:pPr>
            <w:r w:rsidRPr="007A2C3A">
              <w:rPr>
                <w:rFonts w:ascii="Arial" w:hAnsi="Arial" w:cs="Arial"/>
                <w:sz w:val="24"/>
                <w:szCs w:val="24"/>
                <w:vertAlign w:val="superscript"/>
              </w:rPr>
              <w:t xml:space="preserve">1 </w:t>
            </w:r>
            <w:r w:rsidRPr="007A2C3A">
              <w:rPr>
                <w:rFonts w:ascii="Arial" w:hAnsi="Arial" w:cs="Arial"/>
              </w:rPr>
              <w:t xml:space="preserve">Wilson EB. Probable inference, the law of succession, and statistical inference. J Am Stat Assoc 1927; 22: 209–12. </w:t>
            </w:r>
          </w:p>
          <w:p w14:paraId="53B9FC95" w14:textId="77777777" w:rsidR="00E27CFC" w:rsidRPr="007A2C3A" w:rsidRDefault="00E27CFC" w:rsidP="00E27CFC">
            <w:pPr>
              <w:spacing w:before="240" w:after="140"/>
              <w:textboxTightWrap w:val="lastLineOnly"/>
              <w:rPr>
                <w:rFonts w:ascii="Arial" w:hAnsi="Arial" w:cs="Arial"/>
              </w:rPr>
            </w:pPr>
            <w:r w:rsidRPr="007A2C3A">
              <w:rPr>
                <w:rFonts w:ascii="Arial" w:hAnsi="Arial" w:cs="Arial"/>
                <w:vertAlign w:val="superscript"/>
              </w:rPr>
              <w:t>2</w:t>
            </w:r>
            <w:r w:rsidRPr="007A2C3A">
              <w:rPr>
                <w:rFonts w:ascii="Arial" w:hAnsi="Arial" w:cs="Arial"/>
              </w:rPr>
              <w:t xml:space="preserve"> Newcombe RG, Altman DG. Proportions and their differences. In Altman DG et al. (eds). Statistics with confidence (2nd </w:t>
            </w:r>
            <w:proofErr w:type="spellStart"/>
            <w:r w:rsidRPr="007A2C3A">
              <w:rPr>
                <w:rFonts w:ascii="Arial" w:hAnsi="Arial" w:cs="Arial"/>
              </w:rPr>
              <w:t>edn</w:t>
            </w:r>
            <w:proofErr w:type="spellEnd"/>
            <w:r w:rsidRPr="007A2C3A">
              <w:rPr>
                <w:rFonts w:ascii="Arial" w:hAnsi="Arial" w:cs="Arial"/>
              </w:rPr>
              <w:t xml:space="preserve">). London: BMJ Books; 2000: 46–8. </w:t>
            </w:r>
          </w:p>
          <w:p w14:paraId="211BD2EC"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sz w:val="24"/>
                <w:szCs w:val="24"/>
              </w:rPr>
              <w:t xml:space="preserve">where: </w:t>
            </w:r>
          </w:p>
          <w:p w14:paraId="437765B3"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i/>
                <w:sz w:val="24"/>
                <w:szCs w:val="24"/>
              </w:rPr>
              <w:t>q</w:t>
            </w:r>
            <w:r w:rsidRPr="007A2C3A">
              <w:rPr>
                <w:rFonts w:ascii="Arial" w:hAnsi="Arial" w:cs="Arial"/>
                <w:sz w:val="24"/>
                <w:szCs w:val="24"/>
              </w:rPr>
              <w:t xml:space="preserve"> is 1– </w:t>
            </w:r>
            <w:proofErr w:type="gramStart"/>
            <w:r w:rsidRPr="007A2C3A">
              <w:rPr>
                <w:rFonts w:ascii="Arial" w:hAnsi="Arial" w:cs="Arial"/>
                <w:sz w:val="24"/>
                <w:szCs w:val="24"/>
              </w:rPr>
              <w:t>( /</w:t>
            </w:r>
            <w:proofErr w:type="gramEnd"/>
            <w:r w:rsidRPr="007A2C3A">
              <w:rPr>
                <w:rFonts w:ascii="Arial" w:hAnsi="Arial" w:cs="Arial"/>
                <w:sz w:val="24"/>
                <w:szCs w:val="24"/>
              </w:rPr>
              <w:t xml:space="preserve">100); p </w:t>
            </w:r>
          </w:p>
          <w:p w14:paraId="5685662F"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i/>
                <w:sz w:val="24"/>
                <w:szCs w:val="24"/>
              </w:rPr>
              <w:t>o</w:t>
            </w:r>
            <w:r w:rsidRPr="007A2C3A">
              <w:rPr>
                <w:rFonts w:ascii="Arial" w:hAnsi="Arial" w:cs="Arial"/>
                <w:sz w:val="24"/>
                <w:szCs w:val="24"/>
              </w:rPr>
              <w:t xml:space="preserve"> is the numerator observed number of individuals in the </w:t>
            </w:r>
            <w:proofErr w:type="gramStart"/>
            <w:r w:rsidRPr="007A2C3A">
              <w:rPr>
                <w:rFonts w:ascii="Arial" w:hAnsi="Arial" w:cs="Arial"/>
                <w:sz w:val="24"/>
                <w:szCs w:val="24"/>
              </w:rPr>
              <w:t>sample;</w:t>
            </w:r>
            <w:proofErr w:type="gramEnd"/>
            <w:r w:rsidRPr="007A2C3A">
              <w:rPr>
                <w:rFonts w:ascii="Arial" w:hAnsi="Arial" w:cs="Arial"/>
                <w:sz w:val="24"/>
                <w:szCs w:val="24"/>
              </w:rPr>
              <w:t xml:space="preserve"> </w:t>
            </w:r>
          </w:p>
          <w:p w14:paraId="7BEE0F69" w14:textId="56ADF0F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i/>
                <w:sz w:val="24"/>
                <w:szCs w:val="24"/>
              </w:rPr>
              <w:t>n</w:t>
            </w:r>
            <w:r w:rsidRPr="007A2C3A">
              <w:rPr>
                <w:rFonts w:ascii="Arial" w:hAnsi="Arial" w:cs="Arial"/>
                <w:sz w:val="24"/>
                <w:szCs w:val="24"/>
              </w:rPr>
              <w:t xml:space="preserve"> is the denominator total number of individuals in the sample.</w:t>
            </w:r>
          </w:p>
        </w:tc>
      </w:tr>
      <w:tr w:rsidR="00E27CFC" w:rsidRPr="007A2C3A" w14:paraId="38A4D086" w14:textId="77777777" w:rsidTr="00C479EC">
        <w:tc>
          <w:tcPr>
            <w:tcW w:w="2547" w:type="dxa"/>
          </w:tcPr>
          <w:p w14:paraId="7DB847B8" w14:textId="25E06AAA"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Justification of confidence intervals / control limits used</w:t>
            </w:r>
          </w:p>
        </w:tc>
        <w:tc>
          <w:tcPr>
            <w:tcW w:w="7307" w:type="dxa"/>
          </w:tcPr>
          <w:p w14:paraId="21A456DB" w14:textId="2D68C843" w:rsidR="00E27CFC" w:rsidRPr="007A2C3A" w:rsidRDefault="00E27CFC" w:rsidP="00E27CFC">
            <w:pPr>
              <w:spacing w:before="240" w:after="140"/>
              <w:textboxTightWrap w:val="lastLineOnly"/>
              <w:rPr>
                <w:rFonts w:ascii="Arial" w:hAnsi="Arial" w:cs="Arial"/>
              </w:rPr>
            </w:pPr>
            <w:r w:rsidRPr="007A2C3A">
              <w:rPr>
                <w:rFonts w:ascii="Arial" w:hAnsi="Arial" w:cs="Arial"/>
                <w:sz w:val="24"/>
                <w:szCs w:val="24"/>
              </w:rPr>
              <w:t>The confidence intervals follow the method for proportions as stated in the APHO technical briefing 3 - Commonly used public health statistics and their confidence intervals</w:t>
            </w:r>
          </w:p>
        </w:tc>
      </w:tr>
      <w:tr w:rsidR="00E27CFC" w:rsidRPr="007A2C3A" w14:paraId="14298A4E" w14:textId="77777777" w:rsidTr="00C479EC">
        <w:tc>
          <w:tcPr>
            <w:tcW w:w="2547" w:type="dxa"/>
          </w:tcPr>
          <w:p w14:paraId="0E242B80" w14:textId="18AB98B2"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Presentation of indicator</w:t>
            </w:r>
          </w:p>
        </w:tc>
        <w:tc>
          <w:tcPr>
            <w:tcW w:w="7307" w:type="dxa"/>
          </w:tcPr>
          <w:p w14:paraId="0A0DADA6"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sz w:val="24"/>
                <w:szCs w:val="24"/>
              </w:rPr>
              <w:t>The calculated CCG indicators, including numerator and denominator, will be publicly available on the HSCIC indicator portal. Excel and csv files will be published for each of the indicators.</w:t>
            </w:r>
          </w:p>
          <w:p w14:paraId="49CB69A2" w14:textId="77777777" w:rsidR="00E27CFC" w:rsidRPr="007A2C3A" w:rsidRDefault="00E27CFC" w:rsidP="00E27CFC">
            <w:pPr>
              <w:kinsoku w:val="0"/>
              <w:overflowPunct w:val="0"/>
              <w:autoSpaceDE w:val="0"/>
              <w:autoSpaceDN w:val="0"/>
              <w:adjustRightInd w:val="0"/>
              <w:spacing w:line="245" w:lineRule="exact"/>
              <w:ind w:left="40"/>
              <w:rPr>
                <w:rFonts w:ascii="Arial" w:hAnsi="Arial" w:cs="Arial"/>
                <w:b/>
                <w:bCs/>
                <w:spacing w:val="-7"/>
                <w:sz w:val="24"/>
                <w:szCs w:val="24"/>
              </w:rPr>
            </w:pPr>
            <w:r w:rsidRPr="007A2C3A">
              <w:rPr>
                <w:rFonts w:ascii="Arial" w:hAnsi="Arial" w:cs="Arial"/>
                <w:b/>
                <w:bCs/>
                <w:spacing w:val="-7"/>
                <w:sz w:val="24"/>
                <w:szCs w:val="24"/>
              </w:rPr>
              <w:t>Excel</w:t>
            </w:r>
            <w:r w:rsidRPr="007A2C3A">
              <w:rPr>
                <w:rFonts w:ascii="Arial" w:hAnsi="Arial" w:cs="Arial"/>
                <w:b/>
                <w:bCs/>
                <w:spacing w:val="-19"/>
                <w:sz w:val="24"/>
                <w:szCs w:val="24"/>
              </w:rPr>
              <w:t xml:space="preserve"> </w:t>
            </w:r>
            <w:r w:rsidRPr="007A2C3A">
              <w:rPr>
                <w:rFonts w:ascii="Arial" w:hAnsi="Arial" w:cs="Arial"/>
                <w:b/>
                <w:bCs/>
                <w:spacing w:val="-5"/>
                <w:sz w:val="24"/>
                <w:szCs w:val="24"/>
              </w:rPr>
              <w:t>and</w:t>
            </w:r>
            <w:r w:rsidRPr="007A2C3A">
              <w:rPr>
                <w:rFonts w:ascii="Arial" w:hAnsi="Arial" w:cs="Arial"/>
                <w:b/>
                <w:bCs/>
                <w:spacing w:val="-17"/>
                <w:sz w:val="24"/>
                <w:szCs w:val="24"/>
              </w:rPr>
              <w:t xml:space="preserve"> </w:t>
            </w:r>
            <w:r w:rsidRPr="007A2C3A">
              <w:rPr>
                <w:rFonts w:ascii="Arial" w:hAnsi="Arial" w:cs="Arial"/>
                <w:b/>
                <w:bCs/>
                <w:spacing w:val="-6"/>
                <w:sz w:val="24"/>
                <w:szCs w:val="24"/>
              </w:rPr>
              <w:t>CSV</w:t>
            </w:r>
            <w:r w:rsidRPr="007A2C3A">
              <w:rPr>
                <w:rFonts w:ascii="Arial" w:hAnsi="Arial" w:cs="Arial"/>
                <w:b/>
                <w:bCs/>
                <w:spacing w:val="-16"/>
                <w:sz w:val="24"/>
                <w:szCs w:val="24"/>
              </w:rPr>
              <w:t xml:space="preserve"> </w:t>
            </w:r>
            <w:r w:rsidRPr="007A2C3A">
              <w:rPr>
                <w:rFonts w:ascii="Arial" w:hAnsi="Arial" w:cs="Arial"/>
                <w:b/>
                <w:bCs/>
                <w:spacing w:val="-7"/>
                <w:sz w:val="24"/>
                <w:szCs w:val="24"/>
              </w:rPr>
              <w:t>output</w:t>
            </w:r>
          </w:p>
          <w:p w14:paraId="1BA04BC3" w14:textId="77777777" w:rsidR="00E27CFC" w:rsidRPr="007A2C3A" w:rsidRDefault="00E27CFC" w:rsidP="00E27CFC">
            <w:pPr>
              <w:kinsoku w:val="0"/>
              <w:overflowPunct w:val="0"/>
              <w:autoSpaceDE w:val="0"/>
              <w:autoSpaceDN w:val="0"/>
              <w:adjustRightInd w:val="0"/>
              <w:spacing w:line="245" w:lineRule="exact"/>
              <w:ind w:left="40"/>
              <w:rPr>
                <w:rFonts w:ascii="Arial" w:hAnsi="Arial" w:cs="Arial"/>
                <w:sz w:val="24"/>
                <w:szCs w:val="24"/>
              </w:rPr>
            </w:pPr>
          </w:p>
          <w:p w14:paraId="1CA57FEE" w14:textId="77777777" w:rsidR="00E27CFC" w:rsidRPr="007A2C3A" w:rsidRDefault="00E27CFC" w:rsidP="00E27CFC">
            <w:pPr>
              <w:spacing w:before="240" w:after="140"/>
              <w:textboxTightWrap w:val="lastLineOnly"/>
              <w:rPr>
                <w:rFonts w:ascii="Arial" w:hAnsi="Arial" w:cs="Arial"/>
                <w:sz w:val="24"/>
                <w:szCs w:val="24"/>
              </w:rPr>
            </w:pPr>
          </w:p>
        </w:tc>
      </w:tr>
    </w:tbl>
    <w:p w14:paraId="18ACDBC1" w14:textId="2FD6C85F" w:rsidR="00E27CFC" w:rsidRPr="007A2C3A" w:rsidRDefault="00E27CFC">
      <w:pPr>
        <w:rPr>
          <w:rFonts w:ascii="Arial" w:hAnsi="Arial" w:cs="Arial"/>
        </w:rPr>
      </w:pPr>
    </w:p>
    <w:p w14:paraId="7BD17BEB" w14:textId="77777777" w:rsidR="00E27CFC" w:rsidRPr="007A2C3A" w:rsidRDefault="00E27CFC">
      <w:pPr>
        <w:rPr>
          <w:rFonts w:ascii="Arial" w:hAnsi="Arial" w:cs="Arial"/>
        </w:rPr>
      </w:pPr>
    </w:p>
    <w:p w14:paraId="7D24051D" w14:textId="77777777" w:rsidR="00E27CFC" w:rsidRPr="007A2C3A" w:rsidRDefault="00E27CFC">
      <w:pPr>
        <w:rPr>
          <w:rFonts w:ascii="Arial" w:hAnsi="Arial" w:cs="Arial"/>
        </w:rPr>
      </w:pPr>
    </w:p>
    <w:p w14:paraId="495AC359" w14:textId="3D38123B" w:rsidR="001E26B6" w:rsidRPr="007A2C3A" w:rsidRDefault="006F558B" w:rsidP="00AC3D72">
      <w:pPr>
        <w:spacing w:after="140" w:line="240" w:lineRule="auto"/>
        <w:textboxTightWrap w:val="lastLineOnly"/>
        <w:rPr>
          <w:rFonts w:ascii="Arial" w:eastAsia="Times New Roman" w:hAnsi="Arial" w:cs="Arial"/>
          <w:sz w:val="24"/>
          <w:szCs w:val="24"/>
        </w:rPr>
      </w:pPr>
      <w:r w:rsidRPr="007A2C3A">
        <w:rPr>
          <w:rFonts w:ascii="Arial" w:eastAsia="Times New Roman" w:hAnsi="Arial" w:cs="Arial"/>
          <w:sz w:val="24"/>
          <w:szCs w:val="24"/>
        </w:rPr>
        <w:br w:type="page"/>
      </w:r>
    </w:p>
    <w:tbl>
      <w:tblPr>
        <w:tblStyle w:val="TableGrid"/>
        <w:tblW w:w="0" w:type="auto"/>
        <w:tblLayout w:type="fixed"/>
        <w:tblLook w:val="0020" w:firstRow="1" w:lastRow="0" w:firstColumn="0" w:lastColumn="0" w:noHBand="0" w:noVBand="0"/>
      </w:tblPr>
      <w:tblGrid>
        <w:gridCol w:w="1479"/>
        <w:gridCol w:w="7872"/>
      </w:tblGrid>
      <w:tr w:rsidR="00AC3D72" w:rsidRPr="007A2C3A" w14:paraId="567B3114" w14:textId="77777777" w:rsidTr="00E27CFC">
        <w:trPr>
          <w:trHeight w:hRule="exact" w:val="490"/>
        </w:trPr>
        <w:tc>
          <w:tcPr>
            <w:tcW w:w="1479" w:type="dxa"/>
          </w:tcPr>
          <w:p w14:paraId="11A2E4BF" w14:textId="77777777" w:rsidR="001E26B6" w:rsidRPr="007A2C3A" w:rsidRDefault="001E26B6" w:rsidP="00AC3D72">
            <w:pPr>
              <w:kinsoku w:val="0"/>
              <w:overflowPunct w:val="0"/>
              <w:autoSpaceDE w:val="0"/>
              <w:autoSpaceDN w:val="0"/>
              <w:adjustRightInd w:val="0"/>
              <w:spacing w:before="32"/>
              <w:ind w:left="122"/>
              <w:rPr>
                <w:rFonts w:ascii="Arial" w:hAnsi="Arial" w:cs="Arial"/>
                <w:sz w:val="24"/>
                <w:szCs w:val="24"/>
              </w:rPr>
            </w:pPr>
            <w:r w:rsidRPr="007A2C3A">
              <w:rPr>
                <w:rFonts w:ascii="Arial" w:hAnsi="Arial" w:cs="Arial"/>
                <w:b/>
                <w:bCs/>
                <w:spacing w:val="-1"/>
              </w:rPr>
              <w:t>Column</w:t>
            </w:r>
            <w:r w:rsidRPr="007A2C3A">
              <w:rPr>
                <w:rFonts w:ascii="Arial" w:hAnsi="Arial" w:cs="Arial"/>
                <w:b/>
                <w:bCs/>
                <w:spacing w:val="1"/>
              </w:rPr>
              <w:t xml:space="preserve"> </w:t>
            </w:r>
            <w:r w:rsidRPr="007A2C3A">
              <w:rPr>
                <w:rFonts w:ascii="Arial" w:hAnsi="Arial" w:cs="Arial"/>
                <w:b/>
                <w:bCs/>
                <w:spacing w:val="-1"/>
              </w:rPr>
              <w:t>name</w:t>
            </w:r>
          </w:p>
        </w:tc>
        <w:tc>
          <w:tcPr>
            <w:tcW w:w="7872" w:type="dxa"/>
          </w:tcPr>
          <w:p w14:paraId="312E40DD" w14:textId="77777777" w:rsidR="001E26B6" w:rsidRPr="007A2C3A" w:rsidRDefault="001E26B6" w:rsidP="00AC3D72">
            <w:pPr>
              <w:kinsoku w:val="0"/>
              <w:overflowPunct w:val="0"/>
              <w:autoSpaceDE w:val="0"/>
              <w:autoSpaceDN w:val="0"/>
              <w:adjustRightInd w:val="0"/>
              <w:spacing w:before="32"/>
              <w:ind w:left="107"/>
              <w:rPr>
                <w:rFonts w:ascii="Arial" w:hAnsi="Arial" w:cs="Arial"/>
                <w:sz w:val="24"/>
                <w:szCs w:val="24"/>
              </w:rPr>
            </w:pPr>
            <w:r w:rsidRPr="007A2C3A">
              <w:rPr>
                <w:rFonts w:ascii="Arial" w:hAnsi="Arial" w:cs="Arial"/>
                <w:b/>
                <w:bCs/>
                <w:spacing w:val="-1"/>
              </w:rPr>
              <w:t>Output</w:t>
            </w:r>
          </w:p>
        </w:tc>
      </w:tr>
      <w:tr w:rsidR="00AC3D72" w:rsidRPr="007A2C3A" w14:paraId="56C8E12A" w14:textId="77777777" w:rsidTr="00E27CFC">
        <w:trPr>
          <w:trHeight w:hRule="exact" w:val="511"/>
        </w:trPr>
        <w:tc>
          <w:tcPr>
            <w:tcW w:w="1479" w:type="dxa"/>
          </w:tcPr>
          <w:p w14:paraId="4F16C174" w14:textId="77777777" w:rsidR="001E26B6" w:rsidRPr="007A2C3A" w:rsidRDefault="001E26B6" w:rsidP="00AC3D72">
            <w:pPr>
              <w:kinsoku w:val="0"/>
              <w:overflowPunct w:val="0"/>
              <w:autoSpaceDE w:val="0"/>
              <w:autoSpaceDN w:val="0"/>
              <w:adjustRightInd w:val="0"/>
              <w:spacing w:before="184"/>
              <w:ind w:left="122"/>
              <w:rPr>
                <w:rFonts w:ascii="Arial" w:hAnsi="Arial" w:cs="Arial"/>
                <w:sz w:val="24"/>
                <w:szCs w:val="24"/>
              </w:rPr>
            </w:pPr>
            <w:r w:rsidRPr="007A2C3A">
              <w:rPr>
                <w:rFonts w:ascii="Arial" w:hAnsi="Arial" w:cs="Arial"/>
                <w:spacing w:val="-1"/>
              </w:rPr>
              <w:t>Year</w:t>
            </w:r>
          </w:p>
        </w:tc>
        <w:tc>
          <w:tcPr>
            <w:tcW w:w="7872" w:type="dxa"/>
          </w:tcPr>
          <w:p w14:paraId="37085C47" w14:textId="77777777" w:rsidR="001E26B6" w:rsidRPr="007A2C3A" w:rsidRDefault="001E26B6" w:rsidP="00AC3D72">
            <w:pPr>
              <w:kinsoku w:val="0"/>
              <w:overflowPunct w:val="0"/>
              <w:autoSpaceDE w:val="0"/>
              <w:autoSpaceDN w:val="0"/>
              <w:adjustRightInd w:val="0"/>
              <w:spacing w:before="184"/>
              <w:ind w:left="104"/>
              <w:rPr>
                <w:rFonts w:ascii="Arial" w:hAnsi="Arial" w:cs="Arial"/>
                <w:sz w:val="24"/>
                <w:szCs w:val="24"/>
              </w:rPr>
            </w:pPr>
            <w:r w:rsidRPr="007A2C3A">
              <w:rPr>
                <w:rFonts w:ascii="Arial" w:hAnsi="Arial" w:cs="Arial"/>
                <w:spacing w:val="-1"/>
              </w:rPr>
              <w:t>Calendar</w:t>
            </w:r>
            <w:r w:rsidRPr="007A2C3A">
              <w:rPr>
                <w:rFonts w:ascii="Arial" w:hAnsi="Arial" w:cs="Arial"/>
                <w:spacing w:val="1"/>
              </w:rPr>
              <w:t xml:space="preserve"> </w:t>
            </w:r>
            <w:r w:rsidRPr="007A2C3A">
              <w:rPr>
                <w:rFonts w:ascii="Arial" w:hAnsi="Arial" w:cs="Arial"/>
                <w:spacing w:val="-1"/>
              </w:rPr>
              <w:t>year</w:t>
            </w:r>
          </w:p>
        </w:tc>
      </w:tr>
      <w:tr w:rsidR="00AC3D72" w:rsidRPr="007A2C3A" w14:paraId="3276F4DA" w14:textId="77777777" w:rsidTr="00E27CFC">
        <w:trPr>
          <w:trHeight w:hRule="exact" w:val="773"/>
        </w:trPr>
        <w:tc>
          <w:tcPr>
            <w:tcW w:w="1479" w:type="dxa"/>
          </w:tcPr>
          <w:p w14:paraId="7372EC22" w14:textId="77777777" w:rsidR="001E26B6" w:rsidRPr="007A2C3A" w:rsidRDefault="001E26B6" w:rsidP="00AC3D72">
            <w:pPr>
              <w:kinsoku w:val="0"/>
              <w:overflowPunct w:val="0"/>
              <w:autoSpaceDE w:val="0"/>
              <w:autoSpaceDN w:val="0"/>
              <w:adjustRightInd w:val="0"/>
              <w:spacing w:before="176"/>
              <w:ind w:left="122"/>
              <w:rPr>
                <w:rFonts w:ascii="Arial" w:hAnsi="Arial" w:cs="Arial"/>
                <w:sz w:val="24"/>
                <w:szCs w:val="24"/>
              </w:rPr>
            </w:pPr>
            <w:r w:rsidRPr="007A2C3A">
              <w:rPr>
                <w:rFonts w:ascii="Arial" w:hAnsi="Arial" w:cs="Arial"/>
                <w:spacing w:val="-1"/>
              </w:rPr>
              <w:t>Period</w:t>
            </w:r>
            <w:r w:rsidRPr="007A2C3A">
              <w:rPr>
                <w:rFonts w:ascii="Arial" w:hAnsi="Arial" w:cs="Arial"/>
              </w:rPr>
              <w:t xml:space="preserve"> </w:t>
            </w:r>
            <w:r w:rsidRPr="007A2C3A">
              <w:rPr>
                <w:rFonts w:ascii="Arial" w:hAnsi="Arial" w:cs="Arial"/>
                <w:spacing w:val="-2"/>
              </w:rPr>
              <w:t>of</w:t>
            </w:r>
            <w:r w:rsidRPr="007A2C3A">
              <w:rPr>
                <w:rFonts w:ascii="Arial" w:hAnsi="Arial" w:cs="Arial"/>
                <w:spacing w:val="2"/>
              </w:rPr>
              <w:t xml:space="preserve"> </w:t>
            </w:r>
            <w:r w:rsidRPr="007A2C3A">
              <w:rPr>
                <w:rFonts w:ascii="Arial" w:hAnsi="Arial" w:cs="Arial"/>
                <w:spacing w:val="-1"/>
              </w:rPr>
              <w:t>coverage</w:t>
            </w:r>
          </w:p>
        </w:tc>
        <w:tc>
          <w:tcPr>
            <w:tcW w:w="7872" w:type="dxa"/>
          </w:tcPr>
          <w:p w14:paraId="1AD9D96D" w14:textId="77777777" w:rsidR="001E26B6" w:rsidRPr="007A2C3A" w:rsidRDefault="001E26B6" w:rsidP="00AC3D72">
            <w:pPr>
              <w:kinsoku w:val="0"/>
              <w:overflowPunct w:val="0"/>
              <w:autoSpaceDE w:val="0"/>
              <w:autoSpaceDN w:val="0"/>
              <w:adjustRightInd w:val="0"/>
              <w:spacing w:before="176"/>
              <w:ind w:left="104"/>
              <w:rPr>
                <w:rFonts w:ascii="Arial" w:hAnsi="Arial" w:cs="Arial"/>
                <w:sz w:val="24"/>
                <w:szCs w:val="24"/>
              </w:rPr>
            </w:pPr>
            <w:r w:rsidRPr="007A2C3A">
              <w:rPr>
                <w:rFonts w:ascii="Arial" w:hAnsi="Arial" w:cs="Arial"/>
                <w:spacing w:val="-1"/>
              </w:rPr>
              <w:t>01/01</w:t>
            </w:r>
            <w:r w:rsidRPr="007A2C3A">
              <w:rPr>
                <w:rFonts w:ascii="Arial" w:hAnsi="Arial" w:cs="Arial"/>
                <w:spacing w:val="-2"/>
              </w:rPr>
              <w:t xml:space="preserve"> </w:t>
            </w:r>
            <w:r w:rsidRPr="007A2C3A">
              <w:rPr>
                <w:rFonts w:ascii="Arial" w:hAnsi="Arial" w:cs="Arial"/>
              </w:rPr>
              <w:t xml:space="preserve">to </w:t>
            </w:r>
            <w:r w:rsidRPr="007A2C3A">
              <w:rPr>
                <w:rFonts w:ascii="Arial" w:hAnsi="Arial" w:cs="Arial"/>
                <w:spacing w:val="-1"/>
              </w:rPr>
              <w:t>31/12</w:t>
            </w:r>
            <w:r w:rsidRPr="007A2C3A">
              <w:rPr>
                <w:rFonts w:ascii="Arial" w:hAnsi="Arial" w:cs="Arial"/>
              </w:rPr>
              <w:t xml:space="preserve"> </w:t>
            </w:r>
            <w:r w:rsidRPr="007A2C3A">
              <w:rPr>
                <w:rFonts w:ascii="Arial" w:hAnsi="Arial" w:cs="Arial"/>
                <w:spacing w:val="-2"/>
              </w:rPr>
              <w:t>of</w:t>
            </w:r>
            <w:r w:rsidRPr="007A2C3A">
              <w:rPr>
                <w:rFonts w:ascii="Arial" w:hAnsi="Arial" w:cs="Arial"/>
                <w:spacing w:val="-1"/>
              </w:rPr>
              <w:t xml:space="preserve"> </w:t>
            </w:r>
            <w:r w:rsidRPr="007A2C3A">
              <w:rPr>
                <w:rFonts w:ascii="Arial" w:hAnsi="Arial" w:cs="Arial"/>
              </w:rPr>
              <w:t>the</w:t>
            </w:r>
            <w:r w:rsidRPr="007A2C3A">
              <w:rPr>
                <w:rFonts w:ascii="Arial" w:hAnsi="Arial" w:cs="Arial"/>
                <w:spacing w:val="-2"/>
              </w:rPr>
              <w:t xml:space="preserve"> </w:t>
            </w:r>
            <w:r w:rsidRPr="007A2C3A">
              <w:rPr>
                <w:rFonts w:ascii="Arial" w:hAnsi="Arial" w:cs="Arial"/>
                <w:spacing w:val="-1"/>
              </w:rPr>
              <w:t>respective</w:t>
            </w:r>
            <w:r w:rsidRPr="007A2C3A">
              <w:rPr>
                <w:rFonts w:ascii="Arial" w:hAnsi="Arial" w:cs="Arial"/>
              </w:rPr>
              <w:t xml:space="preserve"> </w:t>
            </w:r>
            <w:r w:rsidRPr="007A2C3A">
              <w:rPr>
                <w:rFonts w:ascii="Arial" w:hAnsi="Arial" w:cs="Arial"/>
                <w:spacing w:val="-1"/>
              </w:rPr>
              <w:t>year</w:t>
            </w:r>
          </w:p>
        </w:tc>
      </w:tr>
      <w:tr w:rsidR="00AC3D72" w:rsidRPr="007A2C3A" w14:paraId="0846A79E" w14:textId="77777777" w:rsidTr="00E27CFC">
        <w:trPr>
          <w:trHeight w:hRule="exact" w:val="499"/>
        </w:trPr>
        <w:tc>
          <w:tcPr>
            <w:tcW w:w="1479" w:type="dxa"/>
          </w:tcPr>
          <w:p w14:paraId="189C2943" w14:textId="77777777" w:rsidR="001E26B6" w:rsidRPr="007A2C3A" w:rsidRDefault="001E26B6" w:rsidP="00AC3D72">
            <w:pPr>
              <w:kinsoku w:val="0"/>
              <w:overflowPunct w:val="0"/>
              <w:autoSpaceDE w:val="0"/>
              <w:autoSpaceDN w:val="0"/>
              <w:adjustRightInd w:val="0"/>
              <w:spacing w:before="176"/>
              <w:ind w:left="122"/>
              <w:rPr>
                <w:rFonts w:ascii="Arial" w:hAnsi="Arial" w:cs="Arial"/>
                <w:sz w:val="24"/>
                <w:szCs w:val="24"/>
              </w:rPr>
            </w:pPr>
            <w:r w:rsidRPr="007A2C3A">
              <w:rPr>
                <w:rFonts w:ascii="Arial" w:hAnsi="Arial" w:cs="Arial"/>
                <w:spacing w:val="-1"/>
              </w:rPr>
              <w:t>Breakdown</w:t>
            </w:r>
          </w:p>
        </w:tc>
        <w:tc>
          <w:tcPr>
            <w:tcW w:w="7872" w:type="dxa"/>
          </w:tcPr>
          <w:p w14:paraId="39E7AF8E" w14:textId="77777777" w:rsidR="001E26B6" w:rsidRPr="007A2C3A" w:rsidRDefault="001E26B6" w:rsidP="00AC3D72">
            <w:pPr>
              <w:kinsoku w:val="0"/>
              <w:overflowPunct w:val="0"/>
              <w:autoSpaceDE w:val="0"/>
              <w:autoSpaceDN w:val="0"/>
              <w:adjustRightInd w:val="0"/>
              <w:spacing w:before="176"/>
              <w:ind w:left="104"/>
              <w:rPr>
                <w:rFonts w:ascii="Arial" w:hAnsi="Arial" w:cs="Arial"/>
                <w:sz w:val="24"/>
                <w:szCs w:val="24"/>
              </w:rPr>
            </w:pPr>
            <w:r w:rsidRPr="007A2C3A">
              <w:rPr>
                <w:rFonts w:ascii="Arial" w:hAnsi="Arial" w:cs="Arial"/>
                <w:spacing w:val="-1"/>
              </w:rPr>
              <w:t>CCG</w:t>
            </w:r>
          </w:p>
        </w:tc>
      </w:tr>
      <w:tr w:rsidR="00AC3D72" w:rsidRPr="007A2C3A" w14:paraId="5A61570E" w14:textId="77777777" w:rsidTr="00E27CFC">
        <w:trPr>
          <w:trHeight w:hRule="exact" w:val="497"/>
        </w:trPr>
        <w:tc>
          <w:tcPr>
            <w:tcW w:w="1479" w:type="dxa"/>
          </w:tcPr>
          <w:p w14:paraId="19990163" w14:textId="77777777" w:rsidR="001E26B6" w:rsidRPr="007A2C3A" w:rsidRDefault="001E26B6" w:rsidP="00AC3D72">
            <w:pPr>
              <w:kinsoku w:val="0"/>
              <w:overflowPunct w:val="0"/>
              <w:autoSpaceDE w:val="0"/>
              <w:autoSpaceDN w:val="0"/>
              <w:adjustRightInd w:val="0"/>
              <w:spacing w:before="174"/>
              <w:ind w:left="122"/>
              <w:rPr>
                <w:rFonts w:ascii="Arial" w:hAnsi="Arial" w:cs="Arial"/>
                <w:sz w:val="24"/>
                <w:szCs w:val="24"/>
              </w:rPr>
            </w:pPr>
            <w:r w:rsidRPr="007A2C3A">
              <w:rPr>
                <w:rFonts w:ascii="Arial" w:hAnsi="Arial" w:cs="Arial"/>
                <w:spacing w:val="-1"/>
              </w:rPr>
              <w:t>Level</w:t>
            </w:r>
          </w:p>
        </w:tc>
        <w:tc>
          <w:tcPr>
            <w:tcW w:w="7872" w:type="dxa"/>
          </w:tcPr>
          <w:p w14:paraId="1DD6F428" w14:textId="77777777" w:rsidR="001E26B6" w:rsidRPr="007A2C3A" w:rsidRDefault="001E26B6" w:rsidP="00AC3D72">
            <w:pPr>
              <w:kinsoku w:val="0"/>
              <w:overflowPunct w:val="0"/>
              <w:autoSpaceDE w:val="0"/>
              <w:autoSpaceDN w:val="0"/>
              <w:adjustRightInd w:val="0"/>
              <w:spacing w:before="174"/>
              <w:ind w:left="104"/>
              <w:rPr>
                <w:rFonts w:ascii="Arial" w:hAnsi="Arial" w:cs="Arial"/>
                <w:sz w:val="24"/>
                <w:szCs w:val="24"/>
              </w:rPr>
            </w:pPr>
            <w:r w:rsidRPr="007A2C3A">
              <w:rPr>
                <w:rFonts w:ascii="Arial" w:hAnsi="Arial" w:cs="Arial"/>
                <w:spacing w:val="-1"/>
              </w:rPr>
              <w:t>CCG code</w:t>
            </w:r>
          </w:p>
        </w:tc>
      </w:tr>
      <w:tr w:rsidR="00AC3D72" w:rsidRPr="007A2C3A" w14:paraId="4F17DC7A" w14:textId="77777777" w:rsidTr="00E27CFC">
        <w:trPr>
          <w:trHeight w:hRule="exact" w:val="497"/>
        </w:trPr>
        <w:tc>
          <w:tcPr>
            <w:tcW w:w="1479" w:type="dxa"/>
          </w:tcPr>
          <w:p w14:paraId="63559A96" w14:textId="77777777" w:rsidR="001E26B6" w:rsidRPr="007A2C3A" w:rsidRDefault="001E26B6" w:rsidP="00AC3D72">
            <w:pPr>
              <w:kinsoku w:val="0"/>
              <w:overflowPunct w:val="0"/>
              <w:autoSpaceDE w:val="0"/>
              <w:autoSpaceDN w:val="0"/>
              <w:adjustRightInd w:val="0"/>
              <w:spacing w:before="176"/>
              <w:ind w:left="122"/>
              <w:rPr>
                <w:rFonts w:ascii="Arial" w:hAnsi="Arial" w:cs="Arial"/>
                <w:sz w:val="24"/>
                <w:szCs w:val="24"/>
              </w:rPr>
            </w:pPr>
            <w:r w:rsidRPr="007A2C3A">
              <w:rPr>
                <w:rFonts w:ascii="Arial" w:hAnsi="Arial" w:cs="Arial"/>
                <w:spacing w:val="-1"/>
              </w:rPr>
              <w:t>Level description</w:t>
            </w:r>
          </w:p>
        </w:tc>
        <w:tc>
          <w:tcPr>
            <w:tcW w:w="7872" w:type="dxa"/>
          </w:tcPr>
          <w:p w14:paraId="661858E9" w14:textId="77777777" w:rsidR="001E26B6" w:rsidRPr="007A2C3A" w:rsidRDefault="001E26B6" w:rsidP="00AC3D72">
            <w:pPr>
              <w:kinsoku w:val="0"/>
              <w:overflowPunct w:val="0"/>
              <w:autoSpaceDE w:val="0"/>
              <w:autoSpaceDN w:val="0"/>
              <w:adjustRightInd w:val="0"/>
              <w:spacing w:before="176"/>
              <w:ind w:left="104"/>
              <w:rPr>
                <w:rFonts w:ascii="Arial" w:hAnsi="Arial" w:cs="Arial"/>
                <w:sz w:val="24"/>
                <w:szCs w:val="24"/>
              </w:rPr>
            </w:pPr>
            <w:r w:rsidRPr="007A2C3A">
              <w:rPr>
                <w:rFonts w:ascii="Arial" w:hAnsi="Arial" w:cs="Arial"/>
                <w:spacing w:val="-1"/>
              </w:rPr>
              <w:t>CCG name</w:t>
            </w:r>
          </w:p>
        </w:tc>
      </w:tr>
      <w:tr w:rsidR="00AC3D72" w:rsidRPr="007A2C3A" w14:paraId="3B524E92" w14:textId="77777777" w:rsidTr="00E27CFC">
        <w:trPr>
          <w:trHeight w:hRule="exact" w:val="883"/>
        </w:trPr>
        <w:tc>
          <w:tcPr>
            <w:tcW w:w="1479" w:type="dxa"/>
          </w:tcPr>
          <w:p w14:paraId="61721B7F" w14:textId="77777777" w:rsidR="001E26B6" w:rsidRPr="007A2C3A" w:rsidRDefault="001E26B6" w:rsidP="00AC3D72">
            <w:pPr>
              <w:kinsoku w:val="0"/>
              <w:overflowPunct w:val="0"/>
              <w:autoSpaceDE w:val="0"/>
              <w:autoSpaceDN w:val="0"/>
              <w:adjustRightInd w:val="0"/>
              <w:spacing w:before="9" w:line="140" w:lineRule="exact"/>
              <w:rPr>
                <w:rFonts w:ascii="Arial" w:hAnsi="Arial" w:cs="Arial"/>
                <w:sz w:val="14"/>
                <w:szCs w:val="14"/>
              </w:rPr>
            </w:pPr>
          </w:p>
          <w:p w14:paraId="7195B58B" w14:textId="77777777" w:rsidR="001E26B6" w:rsidRPr="007A2C3A" w:rsidRDefault="001E26B6" w:rsidP="00AC3D72">
            <w:pPr>
              <w:kinsoku w:val="0"/>
              <w:overflowPunct w:val="0"/>
              <w:autoSpaceDE w:val="0"/>
              <w:autoSpaceDN w:val="0"/>
              <w:adjustRightInd w:val="0"/>
              <w:ind w:left="122"/>
              <w:rPr>
                <w:rFonts w:ascii="Arial" w:hAnsi="Arial" w:cs="Arial"/>
                <w:sz w:val="24"/>
                <w:szCs w:val="24"/>
              </w:rPr>
            </w:pPr>
            <w:r w:rsidRPr="007A2C3A">
              <w:rPr>
                <w:rFonts w:ascii="Arial" w:hAnsi="Arial" w:cs="Arial"/>
                <w:spacing w:val="-1"/>
              </w:rPr>
              <w:t>Indicator value</w:t>
            </w:r>
          </w:p>
        </w:tc>
        <w:tc>
          <w:tcPr>
            <w:tcW w:w="7872" w:type="dxa"/>
          </w:tcPr>
          <w:p w14:paraId="1762909B" w14:textId="77777777" w:rsidR="001E26B6" w:rsidRPr="007A2C3A" w:rsidRDefault="001E26B6" w:rsidP="00AC3D72">
            <w:pPr>
              <w:kinsoku w:val="0"/>
              <w:overflowPunct w:val="0"/>
              <w:autoSpaceDE w:val="0"/>
              <w:autoSpaceDN w:val="0"/>
              <w:adjustRightInd w:val="0"/>
              <w:spacing w:before="116"/>
              <w:ind w:left="104" w:right="106"/>
              <w:jc w:val="both"/>
              <w:rPr>
                <w:rFonts w:ascii="Arial" w:hAnsi="Arial" w:cs="Arial"/>
                <w:sz w:val="24"/>
                <w:szCs w:val="24"/>
              </w:rPr>
            </w:pPr>
            <w:r w:rsidRPr="007A2C3A">
              <w:rPr>
                <w:rFonts w:ascii="Arial" w:hAnsi="Arial" w:cs="Arial"/>
                <w:spacing w:val="-1"/>
              </w:rPr>
              <w:t>Percentage</w:t>
            </w:r>
            <w:r w:rsidRPr="007A2C3A">
              <w:rPr>
                <w:rFonts w:ascii="Arial" w:hAnsi="Arial" w:cs="Arial"/>
                <w:spacing w:val="15"/>
              </w:rPr>
              <w:t xml:space="preserve"> </w:t>
            </w:r>
            <w:r w:rsidRPr="007A2C3A">
              <w:rPr>
                <w:rFonts w:ascii="Arial" w:hAnsi="Arial" w:cs="Arial"/>
                <w:spacing w:val="-2"/>
              </w:rPr>
              <w:t>of</w:t>
            </w:r>
            <w:r w:rsidRPr="007A2C3A">
              <w:rPr>
                <w:rFonts w:ascii="Arial" w:hAnsi="Arial" w:cs="Arial"/>
                <w:spacing w:val="16"/>
              </w:rPr>
              <w:t xml:space="preserve"> </w:t>
            </w:r>
            <w:r w:rsidRPr="007A2C3A">
              <w:rPr>
                <w:rFonts w:ascii="Arial" w:hAnsi="Arial" w:cs="Arial"/>
                <w:spacing w:val="-1"/>
              </w:rPr>
              <w:t>admitted</w:t>
            </w:r>
            <w:r w:rsidRPr="007A2C3A">
              <w:rPr>
                <w:rFonts w:ascii="Arial" w:hAnsi="Arial" w:cs="Arial"/>
                <w:spacing w:val="12"/>
              </w:rPr>
              <w:t xml:space="preserve"> </w:t>
            </w:r>
            <w:r w:rsidRPr="007A2C3A">
              <w:rPr>
                <w:rFonts w:ascii="Arial" w:hAnsi="Arial" w:cs="Arial"/>
                <w:spacing w:val="-1"/>
              </w:rPr>
              <w:t>patients</w:t>
            </w:r>
            <w:r w:rsidRPr="007A2C3A">
              <w:rPr>
                <w:rFonts w:ascii="Arial" w:hAnsi="Arial" w:cs="Arial"/>
                <w:spacing w:val="17"/>
              </w:rPr>
              <w:t xml:space="preserve"> </w:t>
            </w:r>
            <w:r w:rsidRPr="007A2C3A">
              <w:rPr>
                <w:rFonts w:ascii="Arial" w:hAnsi="Arial" w:cs="Arial"/>
                <w:spacing w:val="-1"/>
              </w:rPr>
              <w:t>whose</w:t>
            </w:r>
            <w:r w:rsidRPr="007A2C3A">
              <w:rPr>
                <w:rFonts w:ascii="Arial" w:hAnsi="Arial" w:cs="Arial"/>
                <w:spacing w:val="15"/>
              </w:rPr>
              <w:t xml:space="preserve"> </w:t>
            </w:r>
            <w:r w:rsidRPr="007A2C3A">
              <w:rPr>
                <w:rFonts w:ascii="Arial" w:hAnsi="Arial" w:cs="Arial"/>
                <w:spacing w:val="-1"/>
              </w:rPr>
              <w:t>mobility</w:t>
            </w:r>
            <w:r w:rsidRPr="007A2C3A">
              <w:rPr>
                <w:rFonts w:ascii="Arial" w:hAnsi="Arial" w:cs="Arial"/>
                <w:spacing w:val="13"/>
              </w:rPr>
              <w:t xml:space="preserve"> </w:t>
            </w:r>
            <w:r w:rsidRPr="007A2C3A">
              <w:rPr>
                <w:rFonts w:ascii="Arial" w:hAnsi="Arial" w:cs="Arial"/>
                <w:spacing w:val="-1"/>
              </w:rPr>
              <w:t>category</w:t>
            </w:r>
            <w:r w:rsidRPr="007A2C3A">
              <w:rPr>
                <w:rFonts w:ascii="Arial" w:hAnsi="Arial" w:cs="Arial"/>
                <w:spacing w:val="13"/>
              </w:rPr>
              <w:t xml:space="preserve"> </w:t>
            </w:r>
            <w:r w:rsidRPr="007A2C3A">
              <w:rPr>
                <w:rFonts w:ascii="Arial" w:hAnsi="Arial" w:cs="Arial"/>
                <w:spacing w:val="-2"/>
              </w:rPr>
              <w:t>at</w:t>
            </w:r>
            <w:r w:rsidRPr="007A2C3A">
              <w:rPr>
                <w:rFonts w:ascii="Arial" w:hAnsi="Arial" w:cs="Arial"/>
                <w:spacing w:val="41"/>
              </w:rPr>
              <w:t xml:space="preserve"> </w:t>
            </w:r>
            <w:r w:rsidRPr="007A2C3A">
              <w:rPr>
                <w:rFonts w:ascii="Arial" w:hAnsi="Arial" w:cs="Arial"/>
              </w:rPr>
              <w:t>30</w:t>
            </w:r>
            <w:r w:rsidRPr="007A2C3A">
              <w:rPr>
                <w:rFonts w:ascii="Arial" w:hAnsi="Arial" w:cs="Arial"/>
                <w:spacing w:val="14"/>
              </w:rPr>
              <w:t xml:space="preserve"> </w:t>
            </w:r>
            <w:r w:rsidRPr="007A2C3A">
              <w:rPr>
                <w:rFonts w:ascii="Arial" w:hAnsi="Arial" w:cs="Arial"/>
                <w:spacing w:val="-1"/>
              </w:rPr>
              <w:t>days</w:t>
            </w:r>
            <w:r w:rsidRPr="007A2C3A">
              <w:rPr>
                <w:rFonts w:ascii="Arial" w:hAnsi="Arial" w:cs="Arial"/>
                <w:spacing w:val="18"/>
              </w:rPr>
              <w:t xml:space="preserve"> </w:t>
            </w:r>
            <w:r w:rsidRPr="007A2C3A">
              <w:rPr>
                <w:rFonts w:ascii="Arial" w:hAnsi="Arial" w:cs="Arial"/>
                <w:spacing w:val="-1"/>
              </w:rPr>
              <w:t>was</w:t>
            </w:r>
            <w:r w:rsidRPr="007A2C3A">
              <w:rPr>
                <w:rFonts w:ascii="Arial" w:hAnsi="Arial" w:cs="Arial"/>
                <w:spacing w:val="15"/>
              </w:rPr>
              <w:t xml:space="preserve"> </w:t>
            </w:r>
            <w:r w:rsidRPr="007A2C3A">
              <w:rPr>
                <w:rFonts w:ascii="Arial" w:hAnsi="Arial" w:cs="Arial"/>
                <w:spacing w:val="-1"/>
              </w:rPr>
              <w:t>lower,</w:t>
            </w:r>
            <w:r w:rsidRPr="007A2C3A">
              <w:rPr>
                <w:rFonts w:ascii="Arial" w:hAnsi="Arial" w:cs="Arial"/>
                <w:spacing w:val="17"/>
              </w:rPr>
              <w:t xml:space="preserve"> </w:t>
            </w:r>
            <w:r w:rsidRPr="007A2C3A">
              <w:rPr>
                <w:rFonts w:ascii="Arial" w:hAnsi="Arial" w:cs="Arial"/>
              </w:rPr>
              <w:t>the</w:t>
            </w:r>
            <w:r w:rsidRPr="007A2C3A">
              <w:rPr>
                <w:rFonts w:ascii="Arial" w:hAnsi="Arial" w:cs="Arial"/>
                <w:spacing w:val="14"/>
              </w:rPr>
              <w:t xml:space="preserve"> </w:t>
            </w:r>
            <w:r w:rsidRPr="007A2C3A">
              <w:rPr>
                <w:rFonts w:ascii="Arial" w:hAnsi="Arial" w:cs="Arial"/>
              </w:rPr>
              <w:t>same</w:t>
            </w:r>
            <w:r w:rsidRPr="007A2C3A">
              <w:rPr>
                <w:rFonts w:ascii="Arial" w:hAnsi="Arial" w:cs="Arial"/>
                <w:spacing w:val="15"/>
              </w:rPr>
              <w:t xml:space="preserve"> </w:t>
            </w:r>
            <w:r w:rsidRPr="007A2C3A">
              <w:rPr>
                <w:rFonts w:ascii="Arial" w:hAnsi="Arial" w:cs="Arial"/>
              </w:rPr>
              <w:t>or</w:t>
            </w:r>
            <w:r w:rsidRPr="007A2C3A">
              <w:rPr>
                <w:rFonts w:ascii="Arial" w:hAnsi="Arial" w:cs="Arial"/>
                <w:spacing w:val="15"/>
              </w:rPr>
              <w:t xml:space="preserve"> </w:t>
            </w:r>
            <w:r w:rsidRPr="007A2C3A">
              <w:rPr>
                <w:rFonts w:ascii="Arial" w:hAnsi="Arial" w:cs="Arial"/>
                <w:spacing w:val="-1"/>
              </w:rPr>
              <w:t>only</w:t>
            </w:r>
            <w:r w:rsidRPr="007A2C3A">
              <w:rPr>
                <w:rFonts w:ascii="Arial" w:hAnsi="Arial" w:cs="Arial"/>
                <w:spacing w:val="13"/>
              </w:rPr>
              <w:t xml:space="preserve"> </w:t>
            </w:r>
            <w:r w:rsidRPr="007A2C3A">
              <w:rPr>
                <w:rFonts w:ascii="Arial" w:hAnsi="Arial" w:cs="Arial"/>
                <w:spacing w:val="-1"/>
              </w:rPr>
              <w:t>one</w:t>
            </w:r>
            <w:r w:rsidRPr="007A2C3A">
              <w:rPr>
                <w:rFonts w:ascii="Arial" w:hAnsi="Arial" w:cs="Arial"/>
                <w:spacing w:val="15"/>
              </w:rPr>
              <w:t xml:space="preserve"> </w:t>
            </w:r>
            <w:r w:rsidRPr="007A2C3A">
              <w:rPr>
                <w:rFonts w:ascii="Arial" w:hAnsi="Arial" w:cs="Arial"/>
                <w:spacing w:val="-1"/>
              </w:rPr>
              <w:t>mobility</w:t>
            </w:r>
            <w:r w:rsidRPr="007A2C3A">
              <w:rPr>
                <w:rFonts w:ascii="Arial" w:hAnsi="Arial" w:cs="Arial"/>
                <w:spacing w:val="16"/>
              </w:rPr>
              <w:t xml:space="preserve"> </w:t>
            </w:r>
            <w:r w:rsidRPr="007A2C3A">
              <w:rPr>
                <w:rFonts w:ascii="Arial" w:hAnsi="Arial" w:cs="Arial"/>
              </w:rPr>
              <w:t>category</w:t>
            </w:r>
            <w:r w:rsidRPr="007A2C3A">
              <w:rPr>
                <w:rFonts w:ascii="Arial" w:hAnsi="Arial" w:cs="Arial"/>
                <w:spacing w:val="23"/>
              </w:rPr>
              <w:t xml:space="preserve"> </w:t>
            </w:r>
            <w:r w:rsidRPr="007A2C3A">
              <w:rPr>
                <w:rFonts w:ascii="Arial" w:hAnsi="Arial" w:cs="Arial"/>
                <w:spacing w:val="-1"/>
              </w:rPr>
              <w:t>higher than</w:t>
            </w:r>
            <w:r w:rsidRPr="007A2C3A">
              <w:rPr>
                <w:rFonts w:ascii="Arial" w:hAnsi="Arial" w:cs="Arial"/>
                <w:spacing w:val="-2"/>
              </w:rPr>
              <w:t xml:space="preserve"> </w:t>
            </w:r>
            <w:r w:rsidRPr="007A2C3A">
              <w:rPr>
                <w:rFonts w:ascii="Arial" w:hAnsi="Arial" w:cs="Arial"/>
              </w:rPr>
              <w:t>the</w:t>
            </w:r>
            <w:r w:rsidRPr="007A2C3A">
              <w:rPr>
                <w:rFonts w:ascii="Arial" w:hAnsi="Arial" w:cs="Arial"/>
                <w:spacing w:val="-2"/>
              </w:rPr>
              <w:t xml:space="preserve"> </w:t>
            </w:r>
            <w:r w:rsidRPr="007A2C3A">
              <w:rPr>
                <w:rFonts w:ascii="Arial" w:hAnsi="Arial" w:cs="Arial"/>
                <w:spacing w:val="-1"/>
              </w:rPr>
              <w:t>pre-fracture</w:t>
            </w:r>
            <w:r w:rsidRPr="007A2C3A">
              <w:rPr>
                <w:rFonts w:ascii="Arial" w:hAnsi="Arial" w:cs="Arial"/>
                <w:spacing w:val="-2"/>
              </w:rPr>
              <w:t xml:space="preserve"> </w:t>
            </w:r>
            <w:r w:rsidRPr="007A2C3A">
              <w:rPr>
                <w:rFonts w:ascii="Arial" w:hAnsi="Arial" w:cs="Arial"/>
                <w:spacing w:val="-1"/>
              </w:rPr>
              <w:t>mobility</w:t>
            </w:r>
            <w:r w:rsidRPr="007A2C3A">
              <w:rPr>
                <w:rFonts w:ascii="Arial" w:hAnsi="Arial" w:cs="Arial"/>
                <w:spacing w:val="-2"/>
              </w:rPr>
              <w:t xml:space="preserve"> </w:t>
            </w:r>
            <w:r w:rsidRPr="007A2C3A">
              <w:rPr>
                <w:rFonts w:ascii="Arial" w:hAnsi="Arial" w:cs="Arial"/>
                <w:spacing w:val="-1"/>
              </w:rPr>
              <w:t>category</w:t>
            </w:r>
          </w:p>
        </w:tc>
      </w:tr>
      <w:tr w:rsidR="00AC3D72" w:rsidRPr="007A2C3A" w14:paraId="67B11173" w14:textId="77777777" w:rsidTr="00E27CFC">
        <w:trPr>
          <w:trHeight w:hRule="exact" w:val="884"/>
        </w:trPr>
        <w:tc>
          <w:tcPr>
            <w:tcW w:w="1479" w:type="dxa"/>
          </w:tcPr>
          <w:p w14:paraId="5F9CFCB9" w14:textId="77777777" w:rsidR="001E26B6" w:rsidRPr="007A2C3A" w:rsidRDefault="001E26B6" w:rsidP="00AC3D72">
            <w:pPr>
              <w:kinsoku w:val="0"/>
              <w:overflowPunct w:val="0"/>
              <w:autoSpaceDE w:val="0"/>
              <w:autoSpaceDN w:val="0"/>
              <w:adjustRightInd w:val="0"/>
              <w:spacing w:before="2" w:line="150" w:lineRule="exact"/>
              <w:rPr>
                <w:rFonts w:ascii="Arial" w:hAnsi="Arial" w:cs="Arial"/>
                <w:sz w:val="15"/>
                <w:szCs w:val="15"/>
              </w:rPr>
            </w:pPr>
          </w:p>
          <w:p w14:paraId="24981C33" w14:textId="77777777" w:rsidR="001E26B6" w:rsidRPr="007A2C3A" w:rsidRDefault="001E26B6" w:rsidP="00AC3D72">
            <w:pPr>
              <w:kinsoku w:val="0"/>
              <w:overflowPunct w:val="0"/>
              <w:autoSpaceDE w:val="0"/>
              <w:autoSpaceDN w:val="0"/>
              <w:adjustRightInd w:val="0"/>
              <w:ind w:left="122"/>
              <w:rPr>
                <w:rFonts w:ascii="Arial" w:hAnsi="Arial" w:cs="Arial"/>
                <w:sz w:val="24"/>
                <w:szCs w:val="24"/>
              </w:rPr>
            </w:pPr>
            <w:r w:rsidRPr="007A2C3A">
              <w:rPr>
                <w:rFonts w:ascii="Arial" w:hAnsi="Arial" w:cs="Arial"/>
                <w:spacing w:val="-1"/>
              </w:rPr>
              <w:t>Denominator</w:t>
            </w:r>
          </w:p>
        </w:tc>
        <w:tc>
          <w:tcPr>
            <w:tcW w:w="7872" w:type="dxa"/>
          </w:tcPr>
          <w:p w14:paraId="7A7EA5F1" w14:textId="77777777" w:rsidR="001E26B6" w:rsidRPr="007A2C3A" w:rsidRDefault="001E26B6" w:rsidP="00AC3D72">
            <w:pPr>
              <w:kinsoku w:val="0"/>
              <w:overflowPunct w:val="0"/>
              <w:autoSpaceDE w:val="0"/>
              <w:autoSpaceDN w:val="0"/>
              <w:adjustRightInd w:val="0"/>
              <w:spacing w:before="117"/>
              <w:ind w:left="104" w:right="111"/>
              <w:jc w:val="both"/>
              <w:rPr>
                <w:rFonts w:ascii="Arial" w:hAnsi="Arial" w:cs="Arial"/>
                <w:sz w:val="24"/>
                <w:szCs w:val="24"/>
              </w:rPr>
            </w:pPr>
            <w:r w:rsidRPr="007A2C3A">
              <w:rPr>
                <w:rFonts w:ascii="Arial" w:hAnsi="Arial" w:cs="Arial"/>
                <w:spacing w:val="-1"/>
              </w:rPr>
              <w:t>Number</w:t>
            </w:r>
            <w:r w:rsidRPr="007A2C3A">
              <w:rPr>
                <w:rFonts w:ascii="Arial" w:hAnsi="Arial" w:cs="Arial"/>
                <w:spacing w:val="11"/>
              </w:rPr>
              <w:t xml:space="preserve"> </w:t>
            </w:r>
            <w:r w:rsidRPr="007A2C3A">
              <w:rPr>
                <w:rFonts w:ascii="Arial" w:hAnsi="Arial" w:cs="Arial"/>
                <w:spacing w:val="-2"/>
              </w:rPr>
              <w:t>of</w:t>
            </w:r>
            <w:r w:rsidRPr="007A2C3A">
              <w:rPr>
                <w:rFonts w:ascii="Arial" w:hAnsi="Arial" w:cs="Arial"/>
                <w:spacing w:val="13"/>
              </w:rPr>
              <w:t xml:space="preserve"> </w:t>
            </w:r>
            <w:r w:rsidRPr="007A2C3A">
              <w:rPr>
                <w:rFonts w:ascii="Arial" w:hAnsi="Arial" w:cs="Arial"/>
                <w:spacing w:val="-1"/>
              </w:rPr>
              <w:t>admitted</w:t>
            </w:r>
            <w:r w:rsidRPr="007A2C3A">
              <w:rPr>
                <w:rFonts w:ascii="Arial" w:hAnsi="Arial" w:cs="Arial"/>
                <w:spacing w:val="9"/>
              </w:rPr>
              <w:t xml:space="preserve"> </w:t>
            </w:r>
            <w:r w:rsidRPr="007A2C3A">
              <w:rPr>
                <w:rFonts w:ascii="Arial" w:hAnsi="Arial" w:cs="Arial"/>
                <w:spacing w:val="-1"/>
              </w:rPr>
              <w:t>patients</w:t>
            </w:r>
            <w:r w:rsidRPr="007A2C3A">
              <w:rPr>
                <w:rFonts w:ascii="Arial" w:hAnsi="Arial" w:cs="Arial"/>
                <w:spacing w:val="10"/>
              </w:rPr>
              <w:t xml:space="preserve"> </w:t>
            </w:r>
            <w:r w:rsidRPr="007A2C3A">
              <w:rPr>
                <w:rFonts w:ascii="Arial" w:hAnsi="Arial" w:cs="Arial"/>
                <w:spacing w:val="-2"/>
              </w:rPr>
              <w:t>with</w:t>
            </w:r>
            <w:r w:rsidRPr="007A2C3A">
              <w:rPr>
                <w:rFonts w:ascii="Arial" w:hAnsi="Arial" w:cs="Arial"/>
                <w:spacing w:val="10"/>
              </w:rPr>
              <w:t xml:space="preserve"> </w:t>
            </w:r>
            <w:r w:rsidRPr="007A2C3A">
              <w:rPr>
                <w:rFonts w:ascii="Arial" w:hAnsi="Arial" w:cs="Arial"/>
              </w:rPr>
              <w:t>a</w:t>
            </w:r>
            <w:r w:rsidRPr="007A2C3A">
              <w:rPr>
                <w:rFonts w:ascii="Arial" w:hAnsi="Arial" w:cs="Arial"/>
                <w:spacing w:val="10"/>
              </w:rPr>
              <w:t xml:space="preserve"> </w:t>
            </w:r>
            <w:r w:rsidRPr="007A2C3A">
              <w:rPr>
                <w:rFonts w:ascii="Arial" w:hAnsi="Arial" w:cs="Arial"/>
                <w:spacing w:val="-1"/>
              </w:rPr>
              <w:t>mobility</w:t>
            </w:r>
            <w:r w:rsidRPr="007A2C3A">
              <w:rPr>
                <w:rFonts w:ascii="Arial" w:hAnsi="Arial" w:cs="Arial"/>
                <w:spacing w:val="8"/>
              </w:rPr>
              <w:t xml:space="preserve"> </w:t>
            </w:r>
            <w:r w:rsidRPr="007A2C3A">
              <w:rPr>
                <w:rFonts w:ascii="Arial" w:hAnsi="Arial" w:cs="Arial"/>
              </w:rPr>
              <w:t>score</w:t>
            </w:r>
            <w:r w:rsidRPr="007A2C3A">
              <w:rPr>
                <w:rFonts w:ascii="Arial" w:hAnsi="Arial" w:cs="Arial"/>
                <w:spacing w:val="10"/>
              </w:rPr>
              <w:t xml:space="preserve"> </w:t>
            </w:r>
            <w:r w:rsidRPr="007A2C3A">
              <w:rPr>
                <w:rFonts w:ascii="Arial" w:hAnsi="Arial" w:cs="Arial"/>
              </w:rPr>
              <w:t>of</w:t>
            </w:r>
            <w:r w:rsidRPr="007A2C3A">
              <w:rPr>
                <w:rFonts w:ascii="Arial" w:hAnsi="Arial" w:cs="Arial"/>
                <w:spacing w:val="13"/>
              </w:rPr>
              <w:t xml:space="preserve"> </w:t>
            </w:r>
            <w:r w:rsidRPr="007A2C3A">
              <w:rPr>
                <w:rFonts w:ascii="Arial" w:hAnsi="Arial" w:cs="Arial"/>
              </w:rPr>
              <w:t>1,</w:t>
            </w:r>
            <w:r w:rsidRPr="007A2C3A">
              <w:rPr>
                <w:rFonts w:ascii="Arial" w:hAnsi="Arial" w:cs="Arial"/>
                <w:spacing w:val="11"/>
              </w:rPr>
              <w:t xml:space="preserve"> </w:t>
            </w:r>
            <w:r w:rsidRPr="007A2C3A">
              <w:rPr>
                <w:rFonts w:ascii="Arial" w:hAnsi="Arial" w:cs="Arial"/>
              </w:rPr>
              <w:t>2</w:t>
            </w:r>
            <w:r w:rsidRPr="007A2C3A">
              <w:rPr>
                <w:rFonts w:ascii="Arial" w:hAnsi="Arial" w:cs="Arial"/>
                <w:spacing w:val="10"/>
              </w:rPr>
              <w:t xml:space="preserve"> </w:t>
            </w:r>
            <w:r w:rsidRPr="007A2C3A">
              <w:rPr>
                <w:rFonts w:ascii="Arial" w:hAnsi="Arial" w:cs="Arial"/>
                <w:spacing w:val="-2"/>
              </w:rPr>
              <w:t>or</w:t>
            </w:r>
            <w:r w:rsidRPr="007A2C3A">
              <w:rPr>
                <w:rFonts w:ascii="Arial" w:hAnsi="Arial" w:cs="Arial"/>
                <w:spacing w:val="39"/>
              </w:rPr>
              <w:t xml:space="preserve"> </w:t>
            </w:r>
            <w:r w:rsidRPr="007A2C3A">
              <w:rPr>
                <w:rFonts w:ascii="Arial" w:hAnsi="Arial" w:cs="Arial"/>
              </w:rPr>
              <w:t>3</w:t>
            </w:r>
            <w:r w:rsidRPr="007A2C3A">
              <w:rPr>
                <w:rFonts w:ascii="Arial" w:hAnsi="Arial" w:cs="Arial"/>
                <w:spacing w:val="29"/>
              </w:rPr>
              <w:t xml:space="preserve"> </w:t>
            </w:r>
            <w:r w:rsidRPr="007A2C3A">
              <w:rPr>
                <w:rFonts w:ascii="Arial" w:hAnsi="Arial" w:cs="Arial"/>
                <w:spacing w:val="-1"/>
              </w:rPr>
              <w:t>recorded</w:t>
            </w:r>
            <w:r w:rsidRPr="007A2C3A">
              <w:rPr>
                <w:rFonts w:ascii="Arial" w:hAnsi="Arial" w:cs="Arial"/>
                <w:spacing w:val="29"/>
              </w:rPr>
              <w:t xml:space="preserve"> </w:t>
            </w:r>
            <w:r w:rsidRPr="007A2C3A">
              <w:rPr>
                <w:rFonts w:ascii="Arial" w:hAnsi="Arial" w:cs="Arial"/>
              </w:rPr>
              <w:t>at</w:t>
            </w:r>
            <w:r w:rsidRPr="007A2C3A">
              <w:rPr>
                <w:rFonts w:ascii="Arial" w:hAnsi="Arial" w:cs="Arial"/>
                <w:spacing w:val="28"/>
              </w:rPr>
              <w:t xml:space="preserve"> </w:t>
            </w:r>
            <w:r w:rsidRPr="007A2C3A">
              <w:rPr>
                <w:rFonts w:ascii="Arial" w:hAnsi="Arial" w:cs="Arial"/>
                <w:spacing w:val="-1"/>
              </w:rPr>
              <w:t>admission,</w:t>
            </w:r>
            <w:r w:rsidRPr="007A2C3A">
              <w:rPr>
                <w:rFonts w:ascii="Arial" w:hAnsi="Arial" w:cs="Arial"/>
                <w:spacing w:val="30"/>
              </w:rPr>
              <w:t xml:space="preserve"> </w:t>
            </w:r>
            <w:r w:rsidRPr="007A2C3A">
              <w:rPr>
                <w:rFonts w:ascii="Arial" w:hAnsi="Arial" w:cs="Arial"/>
                <w:spacing w:val="-1"/>
              </w:rPr>
              <w:t>and</w:t>
            </w:r>
            <w:r w:rsidRPr="007A2C3A">
              <w:rPr>
                <w:rFonts w:ascii="Arial" w:hAnsi="Arial" w:cs="Arial"/>
                <w:spacing w:val="29"/>
              </w:rPr>
              <w:t xml:space="preserve"> </w:t>
            </w:r>
            <w:r w:rsidRPr="007A2C3A">
              <w:rPr>
                <w:rFonts w:ascii="Arial" w:hAnsi="Arial" w:cs="Arial"/>
              </w:rPr>
              <w:t>a</w:t>
            </w:r>
            <w:r w:rsidRPr="007A2C3A">
              <w:rPr>
                <w:rFonts w:ascii="Arial" w:hAnsi="Arial" w:cs="Arial"/>
                <w:spacing w:val="26"/>
              </w:rPr>
              <w:t xml:space="preserve"> </w:t>
            </w:r>
            <w:r w:rsidRPr="007A2C3A">
              <w:rPr>
                <w:rFonts w:ascii="Arial" w:hAnsi="Arial" w:cs="Arial"/>
                <w:spacing w:val="-1"/>
              </w:rPr>
              <w:t>mobility</w:t>
            </w:r>
            <w:r w:rsidRPr="007A2C3A">
              <w:rPr>
                <w:rFonts w:ascii="Arial" w:hAnsi="Arial" w:cs="Arial"/>
                <w:spacing w:val="27"/>
              </w:rPr>
              <w:t xml:space="preserve"> </w:t>
            </w:r>
            <w:r w:rsidRPr="007A2C3A">
              <w:rPr>
                <w:rFonts w:ascii="Arial" w:hAnsi="Arial" w:cs="Arial"/>
              </w:rPr>
              <w:t>score</w:t>
            </w:r>
            <w:r w:rsidRPr="007A2C3A">
              <w:rPr>
                <w:rFonts w:ascii="Arial" w:hAnsi="Arial" w:cs="Arial"/>
                <w:spacing w:val="27"/>
              </w:rPr>
              <w:t xml:space="preserve"> </w:t>
            </w:r>
            <w:r w:rsidRPr="007A2C3A">
              <w:rPr>
                <w:rFonts w:ascii="Arial" w:hAnsi="Arial" w:cs="Arial"/>
                <w:spacing w:val="-1"/>
              </w:rPr>
              <w:t>recorded</w:t>
            </w:r>
            <w:r w:rsidRPr="007A2C3A">
              <w:rPr>
                <w:rFonts w:ascii="Arial" w:hAnsi="Arial" w:cs="Arial"/>
                <w:spacing w:val="29"/>
              </w:rPr>
              <w:t xml:space="preserve"> </w:t>
            </w:r>
            <w:r w:rsidRPr="007A2C3A">
              <w:rPr>
                <w:rFonts w:ascii="Arial" w:hAnsi="Arial" w:cs="Arial"/>
                <w:spacing w:val="-2"/>
              </w:rPr>
              <w:t>at</w:t>
            </w:r>
            <w:r w:rsidRPr="007A2C3A">
              <w:rPr>
                <w:rFonts w:ascii="Arial" w:hAnsi="Arial" w:cs="Arial"/>
                <w:spacing w:val="27"/>
              </w:rPr>
              <w:t xml:space="preserve"> </w:t>
            </w:r>
            <w:r w:rsidRPr="007A2C3A">
              <w:rPr>
                <w:rFonts w:ascii="Arial" w:hAnsi="Arial" w:cs="Arial"/>
              </w:rPr>
              <w:t xml:space="preserve">30 </w:t>
            </w:r>
            <w:r w:rsidRPr="007A2C3A">
              <w:rPr>
                <w:rFonts w:ascii="Arial" w:hAnsi="Arial" w:cs="Arial"/>
                <w:spacing w:val="-1"/>
              </w:rPr>
              <w:t>days</w:t>
            </w:r>
          </w:p>
        </w:tc>
      </w:tr>
      <w:tr w:rsidR="001E26B6" w:rsidRPr="007A2C3A" w14:paraId="475B9AC0" w14:textId="77777777" w:rsidTr="00E27CFC">
        <w:trPr>
          <w:trHeight w:hRule="exact" w:val="1134"/>
        </w:trPr>
        <w:tc>
          <w:tcPr>
            <w:tcW w:w="1479" w:type="dxa"/>
          </w:tcPr>
          <w:p w14:paraId="0EF74F35" w14:textId="77777777" w:rsidR="001E26B6" w:rsidRPr="007A2C3A" w:rsidRDefault="001E26B6" w:rsidP="00AC3D72">
            <w:pPr>
              <w:kinsoku w:val="0"/>
              <w:overflowPunct w:val="0"/>
              <w:autoSpaceDE w:val="0"/>
              <w:autoSpaceDN w:val="0"/>
              <w:adjustRightInd w:val="0"/>
              <w:spacing w:before="1" w:line="150" w:lineRule="exact"/>
              <w:rPr>
                <w:rFonts w:ascii="Arial" w:hAnsi="Arial" w:cs="Arial"/>
                <w:sz w:val="15"/>
                <w:szCs w:val="15"/>
              </w:rPr>
            </w:pPr>
          </w:p>
          <w:p w14:paraId="40A66358" w14:textId="77777777" w:rsidR="001E26B6" w:rsidRPr="007A2C3A" w:rsidRDefault="001E26B6" w:rsidP="00AC3D72">
            <w:pPr>
              <w:kinsoku w:val="0"/>
              <w:overflowPunct w:val="0"/>
              <w:autoSpaceDE w:val="0"/>
              <w:autoSpaceDN w:val="0"/>
              <w:adjustRightInd w:val="0"/>
              <w:ind w:left="122"/>
              <w:rPr>
                <w:rFonts w:ascii="Arial" w:hAnsi="Arial" w:cs="Arial"/>
                <w:sz w:val="24"/>
                <w:szCs w:val="24"/>
              </w:rPr>
            </w:pPr>
            <w:r w:rsidRPr="007A2C3A">
              <w:rPr>
                <w:rFonts w:ascii="Arial" w:hAnsi="Arial" w:cs="Arial"/>
                <w:spacing w:val="-1"/>
              </w:rPr>
              <w:t>Numerator</w:t>
            </w:r>
          </w:p>
        </w:tc>
        <w:tc>
          <w:tcPr>
            <w:tcW w:w="7872" w:type="dxa"/>
          </w:tcPr>
          <w:p w14:paraId="4A3DFE8F" w14:textId="77777777" w:rsidR="001E26B6" w:rsidRPr="007A2C3A" w:rsidRDefault="001E26B6" w:rsidP="00AC3D72">
            <w:pPr>
              <w:kinsoku w:val="0"/>
              <w:overflowPunct w:val="0"/>
              <w:autoSpaceDE w:val="0"/>
              <w:autoSpaceDN w:val="0"/>
              <w:adjustRightInd w:val="0"/>
              <w:spacing w:before="116"/>
              <w:ind w:left="104" w:right="110"/>
              <w:jc w:val="both"/>
              <w:rPr>
                <w:rFonts w:ascii="Arial" w:hAnsi="Arial" w:cs="Arial"/>
                <w:sz w:val="24"/>
                <w:szCs w:val="24"/>
              </w:rPr>
            </w:pPr>
            <w:r w:rsidRPr="007A2C3A">
              <w:rPr>
                <w:rFonts w:ascii="Arial" w:hAnsi="Arial" w:cs="Arial"/>
                <w:spacing w:val="-1"/>
              </w:rPr>
              <w:t>Number</w:t>
            </w:r>
            <w:r w:rsidRPr="007A2C3A">
              <w:rPr>
                <w:rFonts w:ascii="Arial" w:hAnsi="Arial" w:cs="Arial"/>
                <w:spacing w:val="3"/>
              </w:rPr>
              <w:t xml:space="preserve"> </w:t>
            </w:r>
            <w:r w:rsidRPr="007A2C3A">
              <w:rPr>
                <w:rFonts w:ascii="Arial" w:hAnsi="Arial" w:cs="Arial"/>
                <w:spacing w:val="-2"/>
              </w:rPr>
              <w:t>of</w:t>
            </w:r>
            <w:r w:rsidRPr="007A2C3A">
              <w:rPr>
                <w:rFonts w:ascii="Arial" w:hAnsi="Arial" w:cs="Arial"/>
                <w:spacing w:val="4"/>
              </w:rPr>
              <w:t xml:space="preserve"> </w:t>
            </w:r>
            <w:r w:rsidRPr="007A2C3A">
              <w:rPr>
                <w:rFonts w:ascii="Arial" w:hAnsi="Arial" w:cs="Arial"/>
                <w:spacing w:val="-1"/>
              </w:rPr>
              <w:t>patients</w:t>
            </w:r>
            <w:r w:rsidRPr="007A2C3A">
              <w:rPr>
                <w:rFonts w:ascii="Arial" w:hAnsi="Arial" w:cs="Arial"/>
                <w:spacing w:val="3"/>
              </w:rPr>
              <w:t xml:space="preserve"> </w:t>
            </w:r>
            <w:r w:rsidRPr="007A2C3A">
              <w:rPr>
                <w:rFonts w:ascii="Arial" w:hAnsi="Arial" w:cs="Arial"/>
                <w:spacing w:val="-1"/>
              </w:rPr>
              <w:t>in</w:t>
            </w:r>
            <w:r w:rsidRPr="007A2C3A">
              <w:rPr>
                <w:rFonts w:ascii="Arial" w:hAnsi="Arial" w:cs="Arial"/>
                <w:spacing w:val="3"/>
              </w:rPr>
              <w:t xml:space="preserve"> </w:t>
            </w:r>
            <w:r w:rsidRPr="007A2C3A">
              <w:rPr>
                <w:rFonts w:ascii="Arial" w:hAnsi="Arial" w:cs="Arial"/>
                <w:spacing w:val="-1"/>
              </w:rPr>
              <w:t>the</w:t>
            </w:r>
            <w:r w:rsidRPr="007A2C3A">
              <w:rPr>
                <w:rFonts w:ascii="Arial" w:hAnsi="Arial" w:cs="Arial"/>
                <w:spacing w:val="3"/>
              </w:rPr>
              <w:t xml:space="preserve"> </w:t>
            </w:r>
            <w:r w:rsidRPr="007A2C3A">
              <w:rPr>
                <w:rFonts w:ascii="Arial" w:hAnsi="Arial" w:cs="Arial"/>
                <w:spacing w:val="-1"/>
              </w:rPr>
              <w:t>extract</w:t>
            </w:r>
            <w:r w:rsidRPr="007A2C3A">
              <w:rPr>
                <w:rFonts w:ascii="Arial" w:hAnsi="Arial" w:cs="Arial"/>
                <w:spacing w:val="3"/>
              </w:rPr>
              <w:t xml:space="preserve"> </w:t>
            </w:r>
            <w:r w:rsidRPr="007A2C3A">
              <w:rPr>
                <w:rFonts w:ascii="Arial" w:hAnsi="Arial" w:cs="Arial"/>
                <w:spacing w:val="-1"/>
              </w:rPr>
              <w:t>whose</w:t>
            </w:r>
            <w:r w:rsidRPr="007A2C3A">
              <w:rPr>
                <w:rFonts w:ascii="Arial" w:hAnsi="Arial" w:cs="Arial"/>
                <w:spacing w:val="3"/>
              </w:rPr>
              <w:t xml:space="preserve"> </w:t>
            </w:r>
            <w:r w:rsidRPr="007A2C3A">
              <w:rPr>
                <w:rFonts w:ascii="Arial" w:hAnsi="Arial" w:cs="Arial"/>
                <w:spacing w:val="-1"/>
              </w:rPr>
              <w:t>mobility</w:t>
            </w:r>
            <w:r w:rsidRPr="007A2C3A">
              <w:rPr>
                <w:rFonts w:ascii="Arial" w:hAnsi="Arial" w:cs="Arial"/>
              </w:rPr>
              <w:t xml:space="preserve"> </w:t>
            </w:r>
            <w:r w:rsidRPr="007A2C3A">
              <w:rPr>
                <w:rFonts w:ascii="Arial" w:hAnsi="Arial" w:cs="Arial"/>
                <w:spacing w:val="-1"/>
              </w:rPr>
              <w:t>category</w:t>
            </w:r>
            <w:r w:rsidRPr="007A2C3A">
              <w:rPr>
                <w:rFonts w:ascii="Arial" w:hAnsi="Arial" w:cs="Arial"/>
                <w:spacing w:val="1"/>
              </w:rPr>
              <w:t xml:space="preserve"> </w:t>
            </w:r>
            <w:r w:rsidRPr="007A2C3A">
              <w:rPr>
                <w:rFonts w:ascii="Arial" w:hAnsi="Arial" w:cs="Arial"/>
              </w:rPr>
              <w:t>at</w:t>
            </w:r>
            <w:r w:rsidRPr="007A2C3A">
              <w:rPr>
                <w:rFonts w:ascii="Arial" w:hAnsi="Arial" w:cs="Arial"/>
                <w:spacing w:val="37"/>
              </w:rPr>
              <w:t xml:space="preserve"> </w:t>
            </w:r>
            <w:r w:rsidRPr="007A2C3A">
              <w:rPr>
                <w:rFonts w:ascii="Arial" w:hAnsi="Arial" w:cs="Arial"/>
              </w:rPr>
              <w:t>30</w:t>
            </w:r>
            <w:r w:rsidRPr="007A2C3A">
              <w:rPr>
                <w:rFonts w:ascii="Arial" w:hAnsi="Arial" w:cs="Arial"/>
                <w:spacing w:val="14"/>
              </w:rPr>
              <w:t xml:space="preserve"> </w:t>
            </w:r>
            <w:r w:rsidRPr="007A2C3A">
              <w:rPr>
                <w:rFonts w:ascii="Arial" w:hAnsi="Arial" w:cs="Arial"/>
                <w:spacing w:val="-1"/>
              </w:rPr>
              <w:t>days</w:t>
            </w:r>
            <w:r w:rsidRPr="007A2C3A">
              <w:rPr>
                <w:rFonts w:ascii="Arial" w:hAnsi="Arial" w:cs="Arial"/>
                <w:spacing w:val="17"/>
              </w:rPr>
              <w:t xml:space="preserve"> </w:t>
            </w:r>
            <w:r w:rsidRPr="007A2C3A">
              <w:rPr>
                <w:rFonts w:ascii="Arial" w:hAnsi="Arial" w:cs="Arial"/>
                <w:spacing w:val="-1"/>
              </w:rPr>
              <w:t>was</w:t>
            </w:r>
            <w:r w:rsidRPr="007A2C3A">
              <w:rPr>
                <w:rFonts w:ascii="Arial" w:hAnsi="Arial" w:cs="Arial"/>
                <w:spacing w:val="15"/>
              </w:rPr>
              <w:t xml:space="preserve"> </w:t>
            </w:r>
            <w:r w:rsidRPr="007A2C3A">
              <w:rPr>
                <w:rFonts w:ascii="Arial" w:hAnsi="Arial" w:cs="Arial"/>
                <w:spacing w:val="-1"/>
              </w:rPr>
              <w:t>lower,</w:t>
            </w:r>
            <w:r w:rsidRPr="007A2C3A">
              <w:rPr>
                <w:rFonts w:ascii="Arial" w:hAnsi="Arial" w:cs="Arial"/>
                <w:spacing w:val="16"/>
              </w:rPr>
              <w:t xml:space="preserve"> </w:t>
            </w:r>
            <w:r w:rsidRPr="007A2C3A">
              <w:rPr>
                <w:rFonts w:ascii="Arial" w:hAnsi="Arial" w:cs="Arial"/>
              </w:rPr>
              <w:t>the</w:t>
            </w:r>
            <w:r w:rsidRPr="007A2C3A">
              <w:rPr>
                <w:rFonts w:ascii="Arial" w:hAnsi="Arial" w:cs="Arial"/>
                <w:spacing w:val="14"/>
              </w:rPr>
              <w:t xml:space="preserve"> </w:t>
            </w:r>
            <w:r w:rsidRPr="007A2C3A">
              <w:rPr>
                <w:rFonts w:ascii="Arial" w:hAnsi="Arial" w:cs="Arial"/>
              </w:rPr>
              <w:t>same</w:t>
            </w:r>
            <w:r w:rsidRPr="007A2C3A">
              <w:rPr>
                <w:rFonts w:ascii="Arial" w:hAnsi="Arial" w:cs="Arial"/>
                <w:spacing w:val="15"/>
              </w:rPr>
              <w:t xml:space="preserve"> </w:t>
            </w:r>
            <w:r w:rsidRPr="007A2C3A">
              <w:rPr>
                <w:rFonts w:ascii="Arial" w:hAnsi="Arial" w:cs="Arial"/>
              </w:rPr>
              <w:t>or</w:t>
            </w:r>
            <w:r w:rsidRPr="007A2C3A">
              <w:rPr>
                <w:rFonts w:ascii="Arial" w:hAnsi="Arial" w:cs="Arial"/>
                <w:spacing w:val="15"/>
              </w:rPr>
              <w:t xml:space="preserve"> </w:t>
            </w:r>
            <w:r w:rsidRPr="007A2C3A">
              <w:rPr>
                <w:rFonts w:ascii="Arial" w:hAnsi="Arial" w:cs="Arial"/>
                <w:spacing w:val="-1"/>
              </w:rPr>
              <w:t>only</w:t>
            </w:r>
            <w:r w:rsidRPr="007A2C3A">
              <w:rPr>
                <w:rFonts w:ascii="Arial" w:hAnsi="Arial" w:cs="Arial"/>
                <w:spacing w:val="13"/>
              </w:rPr>
              <w:t xml:space="preserve"> </w:t>
            </w:r>
            <w:r w:rsidRPr="007A2C3A">
              <w:rPr>
                <w:rFonts w:ascii="Arial" w:hAnsi="Arial" w:cs="Arial"/>
                <w:spacing w:val="-1"/>
              </w:rPr>
              <w:t>one</w:t>
            </w:r>
            <w:r w:rsidRPr="007A2C3A">
              <w:rPr>
                <w:rFonts w:ascii="Arial" w:hAnsi="Arial" w:cs="Arial"/>
                <w:spacing w:val="15"/>
              </w:rPr>
              <w:t xml:space="preserve"> </w:t>
            </w:r>
            <w:r w:rsidRPr="007A2C3A">
              <w:rPr>
                <w:rFonts w:ascii="Arial" w:hAnsi="Arial" w:cs="Arial"/>
                <w:spacing w:val="-1"/>
              </w:rPr>
              <w:t>mobility</w:t>
            </w:r>
            <w:r w:rsidRPr="007A2C3A">
              <w:rPr>
                <w:rFonts w:ascii="Arial" w:hAnsi="Arial" w:cs="Arial"/>
                <w:spacing w:val="13"/>
              </w:rPr>
              <w:t xml:space="preserve"> </w:t>
            </w:r>
            <w:r w:rsidRPr="007A2C3A">
              <w:rPr>
                <w:rFonts w:ascii="Arial" w:hAnsi="Arial" w:cs="Arial"/>
              </w:rPr>
              <w:t>category</w:t>
            </w:r>
            <w:r w:rsidRPr="007A2C3A">
              <w:rPr>
                <w:rFonts w:ascii="Arial" w:hAnsi="Arial" w:cs="Arial"/>
                <w:spacing w:val="23"/>
              </w:rPr>
              <w:t xml:space="preserve"> </w:t>
            </w:r>
            <w:r w:rsidRPr="007A2C3A">
              <w:rPr>
                <w:rFonts w:ascii="Arial" w:hAnsi="Arial" w:cs="Arial"/>
                <w:spacing w:val="-1"/>
              </w:rPr>
              <w:t>higher than</w:t>
            </w:r>
            <w:r w:rsidRPr="007A2C3A">
              <w:rPr>
                <w:rFonts w:ascii="Arial" w:hAnsi="Arial" w:cs="Arial"/>
                <w:spacing w:val="-2"/>
              </w:rPr>
              <w:t xml:space="preserve"> </w:t>
            </w:r>
            <w:r w:rsidRPr="007A2C3A">
              <w:rPr>
                <w:rFonts w:ascii="Arial" w:hAnsi="Arial" w:cs="Arial"/>
                <w:spacing w:val="-1"/>
              </w:rPr>
              <w:t>mobility</w:t>
            </w:r>
            <w:r w:rsidRPr="007A2C3A">
              <w:rPr>
                <w:rFonts w:ascii="Arial" w:hAnsi="Arial" w:cs="Arial"/>
                <w:spacing w:val="-2"/>
              </w:rPr>
              <w:t xml:space="preserve"> </w:t>
            </w:r>
            <w:r w:rsidRPr="007A2C3A">
              <w:rPr>
                <w:rFonts w:ascii="Arial" w:hAnsi="Arial" w:cs="Arial"/>
                <w:spacing w:val="-1"/>
              </w:rPr>
              <w:t>category</w:t>
            </w:r>
            <w:r w:rsidRPr="007A2C3A">
              <w:rPr>
                <w:rFonts w:ascii="Arial" w:hAnsi="Arial" w:cs="Arial"/>
                <w:spacing w:val="-2"/>
              </w:rPr>
              <w:t xml:space="preserve"> </w:t>
            </w:r>
            <w:r w:rsidRPr="007A2C3A">
              <w:rPr>
                <w:rFonts w:ascii="Arial" w:hAnsi="Arial" w:cs="Arial"/>
              </w:rPr>
              <w:t>at</w:t>
            </w:r>
            <w:r w:rsidRPr="007A2C3A">
              <w:rPr>
                <w:rFonts w:ascii="Arial" w:hAnsi="Arial" w:cs="Arial"/>
                <w:spacing w:val="1"/>
              </w:rPr>
              <w:t xml:space="preserve"> </w:t>
            </w:r>
            <w:r w:rsidRPr="007A2C3A">
              <w:rPr>
                <w:rFonts w:ascii="Arial" w:hAnsi="Arial" w:cs="Arial"/>
                <w:spacing w:val="-1"/>
              </w:rPr>
              <w:t>admission</w:t>
            </w:r>
          </w:p>
        </w:tc>
      </w:tr>
    </w:tbl>
    <w:p w14:paraId="6EBD0B79" w14:textId="7E19961A" w:rsidR="001E26B6" w:rsidRPr="007A2C3A" w:rsidRDefault="001E26B6">
      <w:pPr>
        <w:rPr>
          <w:rFonts w:ascii="Arial" w:hAnsi="Arial" w:cs="Arial"/>
        </w:rPr>
      </w:pPr>
    </w:p>
    <w:tbl>
      <w:tblPr>
        <w:tblStyle w:val="TableGrid"/>
        <w:tblW w:w="0" w:type="auto"/>
        <w:tblLayout w:type="fixed"/>
        <w:tblLook w:val="04A0" w:firstRow="1" w:lastRow="0" w:firstColumn="1" w:lastColumn="0" w:noHBand="0" w:noVBand="1"/>
      </w:tblPr>
      <w:tblGrid>
        <w:gridCol w:w="2547"/>
        <w:gridCol w:w="7307"/>
      </w:tblGrid>
      <w:tr w:rsidR="00E27CFC" w:rsidRPr="007A2C3A" w14:paraId="4CB6AC28" w14:textId="77777777" w:rsidTr="00C479EC">
        <w:tc>
          <w:tcPr>
            <w:tcW w:w="2547" w:type="dxa"/>
          </w:tcPr>
          <w:p w14:paraId="38F330EF" w14:textId="77777777"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Contextual information provided alongside indicator</w:t>
            </w:r>
          </w:p>
          <w:p w14:paraId="4094BAA4" w14:textId="64A90EE6" w:rsidR="00E27CFC" w:rsidRPr="007A2C3A" w:rsidRDefault="00E27CFC" w:rsidP="00E27CFC">
            <w:pPr>
              <w:spacing w:before="240" w:after="140"/>
              <w:ind w:left="34"/>
              <w:textboxTightWrap w:val="lastLineOnly"/>
              <w:rPr>
                <w:rFonts w:ascii="Arial" w:hAnsi="Arial" w:cs="Arial"/>
                <w:b/>
              </w:rPr>
            </w:pPr>
            <w:r w:rsidRPr="007A2C3A">
              <w:rPr>
                <w:rFonts w:ascii="Arial" w:hAnsi="Arial" w:cs="Arial"/>
              </w:rPr>
              <w:t>with justification</w:t>
            </w:r>
          </w:p>
        </w:tc>
        <w:tc>
          <w:tcPr>
            <w:tcW w:w="7307" w:type="dxa"/>
          </w:tcPr>
          <w:p w14:paraId="24C8F6F4" w14:textId="44AD71BC" w:rsidR="00E27CFC" w:rsidRPr="007A2C3A" w:rsidRDefault="00E27CFC" w:rsidP="00E27CFC">
            <w:pPr>
              <w:spacing w:before="240" w:after="140"/>
              <w:textboxTightWrap w:val="lastLineOnly"/>
              <w:rPr>
                <w:rFonts w:ascii="Arial" w:hAnsi="Arial" w:cs="Arial"/>
              </w:rPr>
            </w:pPr>
            <w:r w:rsidRPr="007A2C3A">
              <w:rPr>
                <w:rFonts w:ascii="Arial" w:hAnsi="Arial" w:cs="Arial"/>
              </w:rPr>
              <w:t>None. NHFD do not currently produce any follow-up contextual information.</w:t>
            </w:r>
          </w:p>
        </w:tc>
      </w:tr>
      <w:tr w:rsidR="00E27CFC" w:rsidRPr="007A2C3A" w14:paraId="3C98EA99" w14:textId="77777777" w:rsidTr="00C479EC">
        <w:tc>
          <w:tcPr>
            <w:tcW w:w="2547" w:type="dxa"/>
          </w:tcPr>
          <w:p w14:paraId="61B9648E" w14:textId="516CC66C"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Calculation and data source of contextual information</w:t>
            </w:r>
          </w:p>
        </w:tc>
        <w:tc>
          <w:tcPr>
            <w:tcW w:w="7307" w:type="dxa"/>
          </w:tcPr>
          <w:p w14:paraId="20537414" w14:textId="55050B14" w:rsidR="00E27CFC" w:rsidRPr="007A2C3A" w:rsidRDefault="00E27CFC" w:rsidP="00E27CFC">
            <w:pPr>
              <w:spacing w:before="240" w:after="140"/>
              <w:textboxTightWrap w:val="lastLineOnly"/>
              <w:rPr>
                <w:rFonts w:ascii="Arial" w:hAnsi="Arial" w:cs="Arial"/>
              </w:rPr>
            </w:pPr>
            <w:r w:rsidRPr="007A2C3A">
              <w:rPr>
                <w:rFonts w:ascii="Arial" w:hAnsi="Arial" w:cs="Arial"/>
              </w:rPr>
              <w:t>N/A</w:t>
            </w:r>
          </w:p>
        </w:tc>
      </w:tr>
      <w:tr w:rsidR="00E27CFC" w:rsidRPr="007A2C3A" w14:paraId="7CFB4D7B" w14:textId="77777777" w:rsidTr="00C479EC">
        <w:tc>
          <w:tcPr>
            <w:tcW w:w="2547" w:type="dxa"/>
          </w:tcPr>
          <w:p w14:paraId="4FD86C3B" w14:textId="77777777"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Use of bandings, benchmarks or targets</w:t>
            </w:r>
          </w:p>
          <w:p w14:paraId="598D8D1C" w14:textId="3CBCF9B6" w:rsidR="00E27CFC" w:rsidRPr="007A2C3A" w:rsidRDefault="00E27CFC" w:rsidP="00E27CFC">
            <w:pPr>
              <w:spacing w:before="240" w:after="140"/>
              <w:ind w:left="34"/>
              <w:textboxTightWrap w:val="lastLineOnly"/>
              <w:rPr>
                <w:rFonts w:ascii="Arial" w:hAnsi="Arial" w:cs="Arial"/>
                <w:b/>
              </w:rPr>
            </w:pPr>
            <w:r w:rsidRPr="007A2C3A">
              <w:rPr>
                <w:rFonts w:ascii="Arial" w:hAnsi="Arial" w:cs="Arial"/>
              </w:rPr>
              <w:t>with justification</w:t>
            </w:r>
          </w:p>
        </w:tc>
        <w:tc>
          <w:tcPr>
            <w:tcW w:w="7307" w:type="dxa"/>
          </w:tcPr>
          <w:p w14:paraId="266B49CF" w14:textId="38C492A2" w:rsidR="00E27CFC" w:rsidRPr="007A2C3A" w:rsidRDefault="00E27CFC" w:rsidP="00E27CFC">
            <w:pPr>
              <w:spacing w:before="240" w:after="140"/>
              <w:textboxTightWrap w:val="lastLineOnly"/>
              <w:rPr>
                <w:rFonts w:ascii="Arial" w:hAnsi="Arial" w:cs="Arial"/>
              </w:rPr>
            </w:pPr>
            <w:r w:rsidRPr="007A2C3A">
              <w:rPr>
                <w:rFonts w:ascii="Arial" w:hAnsi="Arial" w:cs="Arial"/>
              </w:rPr>
              <w:t>None.  Due to issues with data completeness it would not be appropriate to apply bandings to this indicator.  Additionally, as there is no mandate to record this information it would be difficult to justify any benchmarking or banding of indicator values.</w:t>
            </w:r>
          </w:p>
        </w:tc>
      </w:tr>
      <w:tr w:rsidR="00E27CFC" w:rsidRPr="007A2C3A" w14:paraId="77E1ADB8" w14:textId="77777777" w:rsidTr="00C479EC">
        <w:tc>
          <w:tcPr>
            <w:tcW w:w="2547" w:type="dxa"/>
          </w:tcPr>
          <w:p w14:paraId="27D25F63" w14:textId="77777777"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Banding, benchmark or target methodology</w:t>
            </w:r>
          </w:p>
          <w:p w14:paraId="6214D619" w14:textId="4CA21009" w:rsidR="00E27CFC" w:rsidRPr="007A2C3A" w:rsidRDefault="00E27CFC" w:rsidP="00E27CFC">
            <w:pPr>
              <w:spacing w:before="240" w:after="140"/>
              <w:ind w:left="34"/>
              <w:textboxTightWrap w:val="lastLineOnly"/>
              <w:rPr>
                <w:rFonts w:ascii="Arial" w:hAnsi="Arial" w:cs="Arial"/>
                <w:b/>
              </w:rPr>
            </w:pPr>
            <w:r w:rsidRPr="007A2C3A">
              <w:rPr>
                <w:rFonts w:ascii="Arial" w:hAnsi="Arial" w:cs="Arial"/>
              </w:rPr>
              <w:t>if appropriate</w:t>
            </w:r>
          </w:p>
        </w:tc>
        <w:tc>
          <w:tcPr>
            <w:tcW w:w="7307" w:type="dxa"/>
          </w:tcPr>
          <w:p w14:paraId="54666947" w14:textId="004E1685" w:rsidR="00E27CFC" w:rsidRPr="007A2C3A" w:rsidRDefault="00E27CFC" w:rsidP="00E27CFC">
            <w:pPr>
              <w:spacing w:before="240" w:after="140"/>
              <w:textboxTightWrap w:val="lastLineOnly"/>
              <w:rPr>
                <w:rFonts w:ascii="Arial" w:hAnsi="Arial" w:cs="Arial"/>
              </w:rPr>
            </w:pPr>
            <w:r w:rsidRPr="007A2C3A">
              <w:rPr>
                <w:rFonts w:ascii="Arial" w:hAnsi="Arial" w:cs="Arial"/>
              </w:rPr>
              <w:t>N/A</w:t>
            </w:r>
          </w:p>
        </w:tc>
      </w:tr>
      <w:tr w:rsidR="00E27CFC" w:rsidRPr="007A2C3A" w14:paraId="1D2A81B5" w14:textId="77777777" w:rsidTr="00C479EC">
        <w:tc>
          <w:tcPr>
            <w:tcW w:w="2547" w:type="dxa"/>
          </w:tcPr>
          <w:p w14:paraId="006A5E0E" w14:textId="02BEB06C" w:rsidR="00E27CFC" w:rsidRPr="007A2C3A" w:rsidRDefault="00E27CFC" w:rsidP="00E27CFC">
            <w:pPr>
              <w:spacing w:before="240" w:after="140"/>
              <w:ind w:left="34"/>
              <w:textboxTightWrap w:val="lastLineOnly"/>
              <w:rPr>
                <w:rFonts w:ascii="Arial" w:hAnsi="Arial" w:cs="Arial"/>
                <w:b/>
              </w:rPr>
            </w:pPr>
            <w:r w:rsidRPr="007A2C3A">
              <w:rPr>
                <w:rFonts w:ascii="Arial" w:hAnsi="Arial" w:cs="Arial"/>
                <w:b/>
              </w:rPr>
              <w:t>Interpretation guidelines</w:t>
            </w:r>
          </w:p>
        </w:tc>
        <w:tc>
          <w:tcPr>
            <w:tcW w:w="7307" w:type="dxa"/>
          </w:tcPr>
          <w:p w14:paraId="6882C8C8"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sz w:val="24"/>
                <w:szCs w:val="24"/>
              </w:rPr>
              <w:t>A high percentage is desirable to indicate that patients with a fragility fracture are receiving the best care possible for their condition.</w:t>
            </w:r>
          </w:p>
          <w:p w14:paraId="7C5D82EC"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sz w:val="24"/>
                <w:szCs w:val="24"/>
              </w:rPr>
              <w:t>For a patient to be eligible for inclusion in the indicator there must be a record of mobility status at both time of admission and at 30 and 120 days after admission.</w:t>
            </w:r>
          </w:p>
          <w:p w14:paraId="2A74A43A" w14:textId="77777777" w:rsidR="00E27CFC" w:rsidRPr="007A2C3A" w:rsidRDefault="00E27CFC" w:rsidP="00E27CFC">
            <w:pPr>
              <w:spacing w:before="240" w:after="140"/>
              <w:textboxTightWrap w:val="lastLineOnly"/>
              <w:rPr>
                <w:rFonts w:ascii="Arial" w:hAnsi="Arial" w:cs="Arial"/>
                <w:sz w:val="24"/>
                <w:szCs w:val="24"/>
              </w:rPr>
            </w:pPr>
            <w:r w:rsidRPr="007A2C3A">
              <w:rPr>
                <w:rFonts w:ascii="Arial" w:hAnsi="Arial" w:cs="Arial"/>
                <w:sz w:val="24"/>
                <w:szCs w:val="24"/>
              </w:rPr>
              <w:t xml:space="preserve">Currently the data completeness for this indicator is poor. In 2013 over 57,000 patients living England were captured within NHFD as being admitted with a hip fracture. Of these, 48,749 patients met the initial indicator criteria of being aged 60 or above, having a valid CCG and a valid mobility score prior to their admission. Of these patients, 21,430 were excluded from the analysis as their pre-fracture mobility score was in either category 4 or 5 and a further 18,896 were excluded as they did not have a valid mobility score at </w:t>
            </w:r>
            <w:proofErr w:type="gramStart"/>
            <w:r w:rsidRPr="007A2C3A">
              <w:rPr>
                <w:rFonts w:ascii="Arial" w:hAnsi="Arial" w:cs="Arial"/>
                <w:sz w:val="24"/>
                <w:szCs w:val="24"/>
              </w:rPr>
              <w:t>30 or 120 days</w:t>
            </w:r>
            <w:proofErr w:type="gramEnd"/>
            <w:r w:rsidRPr="007A2C3A">
              <w:rPr>
                <w:rFonts w:ascii="Arial" w:hAnsi="Arial" w:cs="Arial"/>
                <w:sz w:val="24"/>
                <w:szCs w:val="24"/>
              </w:rPr>
              <w:t xml:space="preserve"> post admission. This leaves less than 9,000 records that are eligible for inclusion in the indicator calculation.</w:t>
            </w:r>
          </w:p>
          <w:p w14:paraId="0BA6E84D" w14:textId="57CD0EB9" w:rsidR="00E27CFC" w:rsidRPr="007A2C3A" w:rsidRDefault="00E27CFC" w:rsidP="00E27CFC">
            <w:pPr>
              <w:spacing w:before="240" w:after="140"/>
              <w:textboxTightWrap w:val="lastLineOnly"/>
              <w:rPr>
                <w:rFonts w:ascii="Arial" w:hAnsi="Arial" w:cs="Arial"/>
              </w:rPr>
            </w:pPr>
            <w:r w:rsidRPr="007A2C3A">
              <w:rPr>
                <w:rFonts w:ascii="Arial" w:hAnsi="Arial" w:cs="Arial"/>
                <w:sz w:val="24"/>
                <w:szCs w:val="24"/>
              </w:rPr>
              <w:t>The reliability of the indicator is therefore questionable, as there is no guarantee that the small percentage of records that are captured in the data are representative of the overall population. This fact must be kept in mind when interpreting the indicator values, as they could potentially be misleading.</w:t>
            </w:r>
          </w:p>
        </w:tc>
      </w:tr>
      <w:tr w:rsidR="00171740" w:rsidRPr="007A2C3A" w14:paraId="4C50A4D0" w14:textId="77777777" w:rsidTr="00C479EC">
        <w:tc>
          <w:tcPr>
            <w:tcW w:w="2547" w:type="dxa"/>
          </w:tcPr>
          <w:p w14:paraId="6AFC326D" w14:textId="0427AB00"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Limitations and potential bias</w:t>
            </w:r>
          </w:p>
        </w:tc>
        <w:tc>
          <w:tcPr>
            <w:tcW w:w="7307" w:type="dxa"/>
          </w:tcPr>
          <w:p w14:paraId="00D7E0B7"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Despite the inclusion of “previous” levels of mobility in the title there is no expectation within the indicator that patients will get back to the exact same level of mobility.  HSCIC had recommended the description “effective” recovery.</w:t>
            </w:r>
          </w:p>
          <w:p w14:paraId="74D48B6B" w14:textId="77777777" w:rsidR="00171740" w:rsidRPr="007A2C3A" w:rsidRDefault="00171740" w:rsidP="00171740">
            <w:pPr>
              <w:numPr>
                <w:ilvl w:val="0"/>
                <w:numId w:val="3"/>
              </w:numPr>
              <w:spacing w:before="240" w:after="140"/>
              <w:textboxTightWrap w:val="allLines"/>
              <w:rPr>
                <w:rFonts w:ascii="Arial" w:hAnsi="Arial" w:cs="Arial"/>
                <w:b/>
                <w:sz w:val="24"/>
                <w:szCs w:val="24"/>
              </w:rPr>
            </w:pPr>
            <w:r w:rsidRPr="007A2C3A">
              <w:rPr>
                <w:rFonts w:ascii="Arial" w:hAnsi="Arial" w:cs="Arial"/>
                <w:b/>
                <w:sz w:val="24"/>
                <w:szCs w:val="24"/>
              </w:rPr>
              <w:t xml:space="preserve">Low recording rates of mobility category </w:t>
            </w:r>
            <w:r w:rsidRPr="007A2C3A">
              <w:rPr>
                <w:rFonts w:ascii="Arial" w:hAnsi="Arial" w:cs="Arial"/>
                <w:sz w:val="24"/>
                <w:szCs w:val="24"/>
              </w:rPr>
              <w:t>(see section 3.4)</w:t>
            </w:r>
          </w:p>
          <w:p w14:paraId="18F577E5"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 xml:space="preserve">Although the majority of trusts complete the pre-injury mobility scoring at the time of the admission, the </w:t>
            </w:r>
            <w:proofErr w:type="gramStart"/>
            <w:r w:rsidRPr="007A2C3A">
              <w:rPr>
                <w:rFonts w:ascii="Arial" w:hAnsi="Arial" w:cs="Arial"/>
                <w:sz w:val="24"/>
                <w:szCs w:val="24"/>
              </w:rPr>
              <w:t>30 and 120 day</w:t>
            </w:r>
            <w:proofErr w:type="gramEnd"/>
            <w:r w:rsidRPr="007A2C3A">
              <w:rPr>
                <w:rFonts w:ascii="Arial" w:hAnsi="Arial" w:cs="Arial"/>
                <w:sz w:val="24"/>
                <w:szCs w:val="24"/>
              </w:rPr>
              <w:t xml:space="preserve"> follow-up is generally done by phone or letter. It is self-</w:t>
            </w:r>
            <w:proofErr w:type="gramStart"/>
            <w:r w:rsidRPr="007A2C3A">
              <w:rPr>
                <w:rFonts w:ascii="Arial" w:hAnsi="Arial" w:cs="Arial"/>
                <w:sz w:val="24"/>
                <w:szCs w:val="24"/>
              </w:rPr>
              <w:t>reported</w:t>
            </w:r>
            <w:proofErr w:type="gramEnd"/>
            <w:r w:rsidRPr="007A2C3A">
              <w:rPr>
                <w:rFonts w:ascii="Arial" w:hAnsi="Arial" w:cs="Arial"/>
                <w:sz w:val="24"/>
                <w:szCs w:val="24"/>
              </w:rPr>
              <w:t xml:space="preserve"> and some hospitals do not undertake any follow-up. However, it is hoped that with the inclusion of these indicators in the CCG OIS CCGs will 'encourage' an increase in their follow-up reporting.</w:t>
            </w:r>
          </w:p>
          <w:p w14:paraId="1C053A20"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It is proposed to highlight this issue in the Indicator Quality Statement. This is already being done for the NHS Outcomes indicators 3.5.i and 3.</w:t>
            </w:r>
            <w:proofErr w:type="gramStart"/>
            <w:r w:rsidRPr="007A2C3A">
              <w:rPr>
                <w:rFonts w:ascii="Arial" w:hAnsi="Arial" w:cs="Arial"/>
                <w:sz w:val="24"/>
                <w:szCs w:val="24"/>
              </w:rPr>
              <w:t>5.ii.</w:t>
            </w:r>
            <w:proofErr w:type="gramEnd"/>
          </w:p>
          <w:p w14:paraId="0F939E5E" w14:textId="77777777" w:rsidR="00171740" w:rsidRPr="007A2C3A" w:rsidRDefault="00171740" w:rsidP="00171740">
            <w:pPr>
              <w:numPr>
                <w:ilvl w:val="0"/>
                <w:numId w:val="3"/>
              </w:numPr>
              <w:spacing w:before="240" w:after="140"/>
              <w:textboxTightWrap w:val="allLines"/>
              <w:rPr>
                <w:rFonts w:ascii="Arial" w:hAnsi="Arial" w:cs="Arial"/>
                <w:b/>
                <w:sz w:val="24"/>
                <w:szCs w:val="24"/>
              </w:rPr>
            </w:pPr>
            <w:r w:rsidRPr="007A2C3A">
              <w:rPr>
                <w:rFonts w:ascii="Arial" w:hAnsi="Arial" w:cs="Arial"/>
                <w:b/>
                <w:sz w:val="24"/>
                <w:szCs w:val="24"/>
              </w:rPr>
              <w:t>Possible selection bias</w:t>
            </w:r>
          </w:p>
          <w:p w14:paraId="2D2F2D3A"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To discover whether the 15% (12% for 120 day outcome) of records eligible for inclusion in the indicator values were representative of the total number of patients in the NHFD, an analysis has been carried out on 2012 NHFD data to look at the distribution of total patients by age and gender and compare them to the distribution of patients with a valid mobility score at point of admission as well as the 30/120 day point.</w:t>
            </w:r>
          </w:p>
          <w:p w14:paraId="05E6E2F0"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The table and chart below show the results:</w:t>
            </w:r>
          </w:p>
          <w:p w14:paraId="059CD500"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noProof/>
                <w:sz w:val="24"/>
                <w:szCs w:val="24"/>
                <w:lang w:eastAsia="en-GB"/>
              </w:rPr>
              <w:drawing>
                <wp:inline distT="0" distB="0" distL="0" distR="0" wp14:anchorId="3CE24009" wp14:editId="4EBF5FC7">
                  <wp:extent cx="4781550" cy="2406911"/>
                  <wp:effectExtent l="0" t="0" r="0" b="0"/>
                  <wp:docPr id="10" name="Picture 10" descr="distribution of total patients by age and gender and compare them to the distribution of patients with a valid mobility score at point of admission as well as the 30/120 da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6825" cy="2409566"/>
                          </a:xfrm>
                          <a:prstGeom prst="rect">
                            <a:avLst/>
                          </a:prstGeom>
                          <a:noFill/>
                          <a:ln>
                            <a:noFill/>
                          </a:ln>
                        </pic:spPr>
                      </pic:pic>
                    </a:graphicData>
                  </a:graphic>
                </wp:inline>
              </w:drawing>
            </w:r>
          </w:p>
          <w:p w14:paraId="6CA4233C"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noProof/>
                <w:sz w:val="24"/>
                <w:szCs w:val="24"/>
                <w:lang w:eastAsia="en-GB"/>
              </w:rPr>
              <w:drawing>
                <wp:inline distT="0" distB="0" distL="0" distR="0" wp14:anchorId="1ECA2C36" wp14:editId="4D0EE211">
                  <wp:extent cx="3716976" cy="2471723"/>
                  <wp:effectExtent l="0" t="0" r="0" b="5080"/>
                  <wp:docPr id="11" name="Picture 11" descr="Chart showing total patients with valid score for 120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24161" cy="2476501"/>
                          </a:xfrm>
                          <a:prstGeom prst="rect">
                            <a:avLst/>
                          </a:prstGeom>
                          <a:noFill/>
                          <a:ln>
                            <a:noFill/>
                          </a:ln>
                        </pic:spPr>
                      </pic:pic>
                    </a:graphicData>
                  </a:graphic>
                </wp:inline>
              </w:drawing>
            </w:r>
          </w:p>
          <w:p w14:paraId="6FE8A483"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The distribution of patients is similar for each of the male age groups. The proportion of females who are 90+ is higher overall than the number of eligible patients for the 2 indicator values (18% compared to 10% respectively).</w:t>
            </w:r>
          </w:p>
          <w:p w14:paraId="4AFC2F33"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This can be highlighted in the indicator quality statement.</w:t>
            </w:r>
          </w:p>
          <w:p w14:paraId="47AB89E0" w14:textId="77777777" w:rsidR="00171740" w:rsidRPr="007A2C3A" w:rsidRDefault="00171740" w:rsidP="00171740">
            <w:pPr>
              <w:numPr>
                <w:ilvl w:val="0"/>
                <w:numId w:val="3"/>
              </w:numPr>
              <w:spacing w:before="240" w:after="140"/>
              <w:textboxTightWrap w:val="allLines"/>
              <w:rPr>
                <w:rFonts w:ascii="Arial" w:hAnsi="Arial" w:cs="Arial"/>
                <w:b/>
                <w:sz w:val="24"/>
                <w:szCs w:val="24"/>
              </w:rPr>
            </w:pPr>
            <w:r w:rsidRPr="007A2C3A">
              <w:rPr>
                <w:rFonts w:ascii="Arial" w:hAnsi="Arial" w:cs="Arial"/>
                <w:b/>
                <w:sz w:val="24"/>
                <w:szCs w:val="24"/>
              </w:rPr>
              <w:t>Small numbers when broken down by CCG</w:t>
            </w:r>
          </w:p>
          <w:p w14:paraId="1AD521C1"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 xml:space="preserve">After all filters have been applied to the original hip fracture data only 8,700 records or 15% of the total number of patient records (6,700 records for the 120 day analysis – 12% of total </w:t>
            </w:r>
            <w:proofErr w:type="gramStart"/>
            <w:r w:rsidRPr="007A2C3A">
              <w:rPr>
                <w:rFonts w:ascii="Arial" w:hAnsi="Arial" w:cs="Arial"/>
                <w:sz w:val="24"/>
                <w:szCs w:val="24"/>
              </w:rPr>
              <w:t>records)  are</w:t>
            </w:r>
            <w:proofErr w:type="gramEnd"/>
            <w:r w:rsidRPr="007A2C3A">
              <w:rPr>
                <w:rFonts w:ascii="Arial" w:hAnsi="Arial" w:cs="Arial"/>
                <w:sz w:val="24"/>
                <w:szCs w:val="24"/>
              </w:rPr>
              <w:t xml:space="preserve"> included from which to calculate the overall indicator values from.</w:t>
            </w:r>
          </w:p>
          <w:p w14:paraId="7D7CB89C"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When this is additionally broken down by CCG there is an issue with small numbers. As the calculation of the indicator does not involve a standardisation method this won’t be an issue for this.</w:t>
            </w:r>
          </w:p>
          <w:p w14:paraId="34C32E29"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 xml:space="preserve">However, if we would apply the appropriate disclosure controls (where the numerator is &lt;5) </w:t>
            </w:r>
            <w:proofErr w:type="gramStart"/>
            <w:r w:rsidRPr="007A2C3A">
              <w:rPr>
                <w:rFonts w:ascii="Arial" w:hAnsi="Arial" w:cs="Arial"/>
                <w:sz w:val="24"/>
                <w:szCs w:val="24"/>
              </w:rPr>
              <w:t>a large number of</w:t>
            </w:r>
            <w:proofErr w:type="gramEnd"/>
            <w:r w:rsidRPr="007A2C3A">
              <w:rPr>
                <w:rFonts w:ascii="Arial" w:hAnsi="Arial" w:cs="Arial"/>
                <w:sz w:val="24"/>
                <w:szCs w:val="24"/>
              </w:rPr>
              <w:t xml:space="preserve"> indicator values for CCGs would have to be disclosed.</w:t>
            </w:r>
          </w:p>
          <w:p w14:paraId="3ECEAD8A"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Please see table 2 below for further information.</w:t>
            </w:r>
          </w:p>
          <w:p w14:paraId="19E46E63" w14:textId="77777777" w:rsidR="00171740" w:rsidRPr="007A2C3A" w:rsidRDefault="00171740" w:rsidP="00171740">
            <w:pPr>
              <w:spacing w:before="240" w:after="140"/>
              <w:textboxTightWrap w:val="lastLineOnly"/>
              <w:rPr>
                <w:rFonts w:ascii="Arial" w:hAnsi="Arial" w:cs="Arial"/>
                <w:b/>
                <w:sz w:val="24"/>
                <w:szCs w:val="24"/>
              </w:rPr>
            </w:pPr>
            <w:r w:rsidRPr="007A2C3A">
              <w:rPr>
                <w:rFonts w:ascii="Arial" w:hAnsi="Arial" w:cs="Arial"/>
                <w:b/>
                <w:sz w:val="24"/>
                <w:szCs w:val="24"/>
              </w:rPr>
              <w:t>Table 2</w:t>
            </w:r>
          </w:p>
          <w:p w14:paraId="6B6B8AFA"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noProof/>
                <w:sz w:val="24"/>
                <w:szCs w:val="24"/>
                <w:lang w:eastAsia="en-GB"/>
              </w:rPr>
              <w:drawing>
                <wp:inline distT="0" distB="0" distL="0" distR="0" wp14:anchorId="4F0386D5" wp14:editId="55587F5B">
                  <wp:extent cx="4286992" cy="1537897"/>
                  <wp:effectExtent l="0" t="0" r="0" b="5715"/>
                  <wp:docPr id="7" name="Picture 7" descr="The table shows that 24% and 15% of CCGs for the 30-day and 120-day indicator respectively have no data.  For another 30% (35% for the 120-day indicator) values would have to be sup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6099" cy="1541164"/>
                          </a:xfrm>
                          <a:prstGeom prst="rect">
                            <a:avLst/>
                          </a:prstGeom>
                          <a:noFill/>
                          <a:ln>
                            <a:noFill/>
                          </a:ln>
                        </pic:spPr>
                      </pic:pic>
                    </a:graphicData>
                  </a:graphic>
                </wp:inline>
              </w:drawing>
            </w:r>
          </w:p>
          <w:p w14:paraId="17BF8FCF"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The table shows that 24% and 15% of CCGs for the 30-day and 120-day indicator respectively have no data.  For another 30% (35% for the 120-day indicator) values would have to be suppressed.</w:t>
            </w:r>
          </w:p>
          <w:p w14:paraId="68277216" w14:textId="2AFCBCC3" w:rsidR="00171740" w:rsidRPr="007A2C3A" w:rsidRDefault="00171740" w:rsidP="00171740">
            <w:pPr>
              <w:spacing w:before="240" w:after="140"/>
              <w:textboxTightWrap w:val="lastLineOnly"/>
              <w:rPr>
                <w:rFonts w:ascii="Arial" w:hAnsi="Arial" w:cs="Arial"/>
                <w:sz w:val="24"/>
                <w:szCs w:val="24"/>
              </w:rPr>
            </w:pPr>
            <w:proofErr w:type="gramStart"/>
            <w:r w:rsidRPr="007A2C3A">
              <w:rPr>
                <w:rFonts w:ascii="Arial" w:hAnsi="Arial" w:cs="Arial"/>
                <w:sz w:val="24"/>
                <w:szCs w:val="24"/>
              </w:rPr>
              <w:t>Therefore</w:t>
            </w:r>
            <w:proofErr w:type="gramEnd"/>
            <w:r w:rsidRPr="007A2C3A">
              <w:rPr>
                <w:rFonts w:ascii="Arial" w:hAnsi="Arial" w:cs="Arial"/>
                <w:sz w:val="24"/>
                <w:szCs w:val="24"/>
              </w:rPr>
              <w:t xml:space="preserve"> only around 50% of CCGs where the numerator is 5 or greater would have an indicator value published for 2012.</w:t>
            </w:r>
          </w:p>
        </w:tc>
      </w:tr>
      <w:tr w:rsidR="00171740" w:rsidRPr="007A2C3A" w14:paraId="2DA7D66F" w14:textId="77777777" w:rsidTr="00C479EC">
        <w:tc>
          <w:tcPr>
            <w:tcW w:w="2547" w:type="dxa"/>
          </w:tcPr>
          <w:p w14:paraId="485DFC8B" w14:textId="5819621F"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Improvement actions</w:t>
            </w:r>
          </w:p>
        </w:tc>
        <w:tc>
          <w:tcPr>
            <w:tcW w:w="7307" w:type="dxa"/>
          </w:tcPr>
          <w:p w14:paraId="60D61AE6"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rPr>
              <w:t xml:space="preserve"> </w:t>
            </w:r>
            <w:r w:rsidRPr="007A2C3A">
              <w:rPr>
                <w:rFonts w:ascii="Arial" w:hAnsi="Arial" w:cs="Arial"/>
                <w:sz w:val="24"/>
                <w:szCs w:val="24"/>
              </w:rPr>
              <w:t xml:space="preserve">The indicators measure the proportion of patients who recover effective mobility following a hospital admission for a hip fracture. In order to be considered as recovering to previous levels of mobility in, a patient must have a mobility score at 30 or 120 days, no more than 1 category lower than their mobility score prior to the fracture. Clinically this </w:t>
            </w:r>
            <w:proofErr w:type="gramStart"/>
            <w:r w:rsidRPr="007A2C3A">
              <w:rPr>
                <w:rFonts w:ascii="Arial" w:hAnsi="Arial" w:cs="Arial"/>
                <w:sz w:val="24"/>
                <w:szCs w:val="24"/>
              </w:rPr>
              <w:t>is considered to be</w:t>
            </w:r>
            <w:proofErr w:type="gramEnd"/>
            <w:r w:rsidRPr="007A2C3A">
              <w:rPr>
                <w:rFonts w:ascii="Arial" w:hAnsi="Arial" w:cs="Arial"/>
                <w:sz w:val="24"/>
                <w:szCs w:val="24"/>
              </w:rPr>
              <w:t xml:space="preserve"> a good outcome.</w:t>
            </w:r>
          </w:p>
          <w:p w14:paraId="58AE3158" w14:textId="10D2C904"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It is expected that Clinical Commissioning Groups will use this to identify how improvements in care can be made.</w:t>
            </w:r>
          </w:p>
        </w:tc>
      </w:tr>
      <w:tr w:rsidR="00171740" w:rsidRPr="007A2C3A" w14:paraId="634C6BB4" w14:textId="77777777" w:rsidTr="00C479EC">
        <w:tc>
          <w:tcPr>
            <w:tcW w:w="2547" w:type="dxa"/>
          </w:tcPr>
          <w:p w14:paraId="128C73C9" w14:textId="05CCC1F8"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Evidence of variability</w:t>
            </w:r>
          </w:p>
        </w:tc>
        <w:tc>
          <w:tcPr>
            <w:tcW w:w="7307" w:type="dxa"/>
          </w:tcPr>
          <w:p w14:paraId="1B39F7F3" w14:textId="77777777" w:rsidR="00171740" w:rsidRPr="007A2C3A" w:rsidRDefault="00171740" w:rsidP="00171740">
            <w:pPr>
              <w:spacing w:before="240" w:after="140"/>
              <w:textboxTightWrap w:val="lastLineOnly"/>
              <w:rPr>
                <w:rFonts w:ascii="Arial" w:hAnsi="Arial" w:cs="Arial"/>
              </w:rPr>
            </w:pPr>
            <w:r w:rsidRPr="007A2C3A">
              <w:rPr>
                <w:rFonts w:ascii="Arial" w:hAnsi="Arial" w:cs="Arial"/>
              </w:rPr>
              <w:t xml:space="preserve"> </w:t>
            </w:r>
            <w:r w:rsidRPr="007A2C3A">
              <w:rPr>
                <w:rFonts w:ascii="Arial" w:hAnsi="Arial" w:cs="Arial"/>
                <w:noProof/>
                <w:sz w:val="24"/>
                <w:szCs w:val="24"/>
                <w:lang w:eastAsia="en-GB"/>
              </w:rPr>
              <w:drawing>
                <wp:inline distT="0" distB="0" distL="0" distR="0" wp14:anchorId="19E9E93D" wp14:editId="3DA59955">
                  <wp:extent cx="4061361" cy="3336966"/>
                  <wp:effectExtent l="0" t="0" r="15875" b="15875"/>
                  <wp:docPr id="12" name="Chart 12" descr="Chart showing evidence of variabil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429B4B" w14:textId="77777777" w:rsidR="00171740" w:rsidRPr="007A2C3A" w:rsidRDefault="00171740" w:rsidP="00171740">
            <w:pPr>
              <w:spacing w:before="240" w:after="140"/>
              <w:textboxTightWrap w:val="lastLineOnly"/>
              <w:rPr>
                <w:rFonts w:ascii="Arial" w:hAnsi="Arial" w:cs="Arial"/>
              </w:rPr>
            </w:pPr>
          </w:p>
        </w:tc>
      </w:tr>
      <w:tr w:rsidR="00171740" w:rsidRPr="007A2C3A" w14:paraId="61E02512" w14:textId="77777777" w:rsidTr="00C479EC">
        <w:tc>
          <w:tcPr>
            <w:tcW w:w="2547" w:type="dxa"/>
          </w:tcPr>
          <w:p w14:paraId="214D0072" w14:textId="6EFB1F51"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Similar existing indicators</w:t>
            </w:r>
          </w:p>
        </w:tc>
        <w:tc>
          <w:tcPr>
            <w:tcW w:w="7307" w:type="dxa"/>
          </w:tcPr>
          <w:p w14:paraId="2216DB19" w14:textId="32ED6954" w:rsidR="00171740" w:rsidRPr="007A2C3A" w:rsidRDefault="00171740" w:rsidP="00171740">
            <w:pPr>
              <w:spacing w:before="240" w:after="140"/>
              <w:textboxTightWrap w:val="lastLineOnly"/>
              <w:rPr>
                <w:rFonts w:ascii="Arial" w:hAnsi="Arial" w:cs="Arial"/>
              </w:rPr>
            </w:pPr>
            <w:r w:rsidRPr="007A2C3A">
              <w:rPr>
                <w:rFonts w:ascii="Arial" w:hAnsi="Arial" w:cs="Arial"/>
                <w:sz w:val="24"/>
                <w:szCs w:val="24"/>
              </w:rPr>
              <w:t>The two indicators proposed for inclusion in the CCG OIS are already part of the NHS Outcomes Framework (3.</w:t>
            </w:r>
            <w:proofErr w:type="gramStart"/>
            <w:r w:rsidRPr="007A2C3A">
              <w:rPr>
                <w:rFonts w:ascii="Arial" w:hAnsi="Arial" w:cs="Arial"/>
                <w:sz w:val="24"/>
                <w:szCs w:val="24"/>
              </w:rPr>
              <w:t>5.i</w:t>
            </w:r>
            <w:proofErr w:type="gramEnd"/>
            <w:r w:rsidRPr="007A2C3A">
              <w:rPr>
                <w:rFonts w:ascii="Arial" w:hAnsi="Arial" w:cs="Arial"/>
                <w:sz w:val="24"/>
                <w:szCs w:val="24"/>
              </w:rPr>
              <w:t xml:space="preserve"> and 3.5.ii).</w:t>
            </w:r>
          </w:p>
        </w:tc>
      </w:tr>
      <w:tr w:rsidR="00171740" w:rsidRPr="007A2C3A" w14:paraId="31F2740F" w14:textId="77777777" w:rsidTr="00C479EC">
        <w:tc>
          <w:tcPr>
            <w:tcW w:w="2547" w:type="dxa"/>
          </w:tcPr>
          <w:p w14:paraId="54B2B5EF" w14:textId="3D5B2670"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Coherence and comparability</w:t>
            </w:r>
          </w:p>
        </w:tc>
        <w:tc>
          <w:tcPr>
            <w:tcW w:w="7307" w:type="dxa"/>
          </w:tcPr>
          <w:p w14:paraId="66FA78A0" w14:textId="6CDE58FF"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Although the calculation methodology is the same as for the already existing NHS Outcomes Framework indicators 3.</w:t>
            </w:r>
            <w:proofErr w:type="gramStart"/>
            <w:r w:rsidRPr="007A2C3A">
              <w:rPr>
                <w:rFonts w:ascii="Arial" w:hAnsi="Arial" w:cs="Arial"/>
                <w:sz w:val="24"/>
                <w:szCs w:val="24"/>
              </w:rPr>
              <w:t>5.i</w:t>
            </w:r>
            <w:proofErr w:type="gramEnd"/>
            <w:r w:rsidRPr="007A2C3A">
              <w:rPr>
                <w:rFonts w:ascii="Arial" w:hAnsi="Arial" w:cs="Arial"/>
                <w:sz w:val="24"/>
                <w:szCs w:val="24"/>
              </w:rPr>
              <w:t xml:space="preserve"> and 3.5.ii the inclusion in the CCG OIS means that the indicator values will be available at CCG level. The NHS Outcomes Framework indicators are currently published at national level (England) and broken down by age, gender, Deprivation quintile, lower tier local authority, region, provider (hospital) and mobility category at admission.</w:t>
            </w:r>
          </w:p>
        </w:tc>
      </w:tr>
      <w:tr w:rsidR="00171740" w:rsidRPr="007A2C3A" w14:paraId="7741355C" w14:textId="77777777" w:rsidTr="00C479EC">
        <w:tc>
          <w:tcPr>
            <w:tcW w:w="2547" w:type="dxa"/>
          </w:tcPr>
          <w:p w14:paraId="46198691" w14:textId="1BA904EF"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Undesired behaviours and/or gaming</w:t>
            </w:r>
          </w:p>
        </w:tc>
        <w:tc>
          <w:tcPr>
            <w:tcW w:w="7307" w:type="dxa"/>
          </w:tcPr>
          <w:p w14:paraId="5C4C540C" w14:textId="3E2EF7B3"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Failing to record a score at either 30 or 120 days will exclude any patients and so not record a score for a CCG, or, recording patients at either mobility category 4 or 5 to begin with will also ensure any follow up scores are not used. Either of these tactics could be used to exclude cases from negatively affecting a CCGs overall score.</w:t>
            </w:r>
          </w:p>
        </w:tc>
      </w:tr>
      <w:tr w:rsidR="00171740" w:rsidRPr="007A2C3A" w14:paraId="4E8DD0A3" w14:textId="77777777" w:rsidTr="00C479EC">
        <w:tc>
          <w:tcPr>
            <w:tcW w:w="2547" w:type="dxa"/>
          </w:tcPr>
          <w:p w14:paraId="1572A728" w14:textId="198D86BE"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Approach to indicator review</w:t>
            </w:r>
          </w:p>
        </w:tc>
        <w:tc>
          <w:tcPr>
            <w:tcW w:w="7307" w:type="dxa"/>
          </w:tcPr>
          <w:p w14:paraId="6576E895"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 xml:space="preserve">The time period for when the indicator is to be reviewed will be set by the indicator Governance Board (IGB). </w:t>
            </w:r>
          </w:p>
          <w:p w14:paraId="1DC599DC" w14:textId="77777777"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The indicator itself will be reviewed as part of NHS England’s annual CCG OIS review.</w:t>
            </w:r>
          </w:p>
          <w:p w14:paraId="6A836A31" w14:textId="40AC5ED2"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 xml:space="preserve">User feedback and comments on the indicator are welcomed via HSCIC Enquiries or the HSCIC CCG OIS mailbox: </w:t>
            </w:r>
            <w:hyperlink r:id="rId18" w:history="1">
              <w:r w:rsidRPr="007A2C3A">
                <w:rPr>
                  <w:rFonts w:ascii="Arial" w:hAnsi="Arial" w:cs="Arial"/>
                  <w:sz w:val="24"/>
                  <w:szCs w:val="24"/>
                </w:rPr>
                <w:t>ccgois@hscic.gov.uk</w:t>
              </w:r>
            </w:hyperlink>
          </w:p>
        </w:tc>
      </w:tr>
      <w:tr w:rsidR="00171740" w:rsidRPr="007A2C3A" w14:paraId="39A09773" w14:textId="77777777" w:rsidTr="00C479EC">
        <w:tc>
          <w:tcPr>
            <w:tcW w:w="2547" w:type="dxa"/>
          </w:tcPr>
          <w:p w14:paraId="42F35FEA" w14:textId="60DEF0EA"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Disclosure control</w:t>
            </w:r>
          </w:p>
        </w:tc>
        <w:tc>
          <w:tcPr>
            <w:tcW w:w="7307" w:type="dxa"/>
          </w:tcPr>
          <w:p w14:paraId="0DB37BC9" w14:textId="63CD2E8D"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sz w:val="24"/>
                <w:szCs w:val="24"/>
              </w:rPr>
              <w:t xml:space="preserve">-CCGs with a numerator of 1 to </w:t>
            </w:r>
            <w:proofErr w:type="gramStart"/>
            <w:r w:rsidRPr="007A2C3A">
              <w:rPr>
                <w:rFonts w:ascii="Arial" w:hAnsi="Arial" w:cs="Arial"/>
                <w:sz w:val="24"/>
                <w:szCs w:val="24"/>
              </w:rPr>
              <w:t>5  will</w:t>
            </w:r>
            <w:proofErr w:type="gramEnd"/>
            <w:r w:rsidRPr="007A2C3A">
              <w:rPr>
                <w:rFonts w:ascii="Arial" w:hAnsi="Arial" w:cs="Arial"/>
                <w:sz w:val="24"/>
                <w:szCs w:val="24"/>
              </w:rPr>
              <w:t xml:space="preserve"> be suppressed.</w:t>
            </w:r>
          </w:p>
        </w:tc>
      </w:tr>
      <w:tr w:rsidR="00171740" w:rsidRPr="007A2C3A" w14:paraId="1B81E84C" w14:textId="77777777" w:rsidTr="00C479EC">
        <w:tc>
          <w:tcPr>
            <w:tcW w:w="2547" w:type="dxa"/>
          </w:tcPr>
          <w:p w14:paraId="3669AF2B" w14:textId="61B9600F" w:rsidR="00171740" w:rsidRPr="007A2C3A" w:rsidRDefault="00171740" w:rsidP="00171740">
            <w:pPr>
              <w:spacing w:before="240" w:after="140"/>
              <w:ind w:left="34"/>
              <w:textboxTightWrap w:val="lastLineOnly"/>
              <w:rPr>
                <w:rFonts w:ascii="Arial" w:hAnsi="Arial" w:cs="Arial"/>
                <w:b/>
              </w:rPr>
            </w:pPr>
            <w:r w:rsidRPr="007A2C3A">
              <w:rPr>
                <w:rFonts w:ascii="Arial" w:hAnsi="Arial" w:cs="Arial"/>
                <w:b/>
              </w:rPr>
              <w:t>Copyright</w:t>
            </w:r>
          </w:p>
        </w:tc>
        <w:tc>
          <w:tcPr>
            <w:tcW w:w="7307" w:type="dxa"/>
          </w:tcPr>
          <w:p w14:paraId="0F71CAE8" w14:textId="1FA6FEFC" w:rsidR="00171740" w:rsidRPr="007A2C3A" w:rsidRDefault="00171740" w:rsidP="00171740">
            <w:pPr>
              <w:spacing w:before="240" w:after="140"/>
              <w:textboxTightWrap w:val="lastLineOnly"/>
              <w:rPr>
                <w:rFonts w:ascii="Arial" w:hAnsi="Arial" w:cs="Arial"/>
                <w:sz w:val="24"/>
                <w:szCs w:val="24"/>
              </w:rPr>
            </w:pPr>
            <w:r w:rsidRPr="007A2C3A">
              <w:rPr>
                <w:rFonts w:ascii="Arial" w:hAnsi="Arial" w:cs="Arial"/>
              </w:rPr>
              <w:t>Copyright © 2015, Health and Social Care Information Centre. All Rights Reserved</w:t>
            </w:r>
          </w:p>
        </w:tc>
      </w:tr>
    </w:tbl>
    <w:p w14:paraId="36A05975" w14:textId="77777777" w:rsidR="00E27CFC" w:rsidRPr="007A2C3A" w:rsidRDefault="00E27CFC">
      <w:pPr>
        <w:rPr>
          <w:rFonts w:ascii="Arial" w:hAnsi="Arial" w:cs="Arial"/>
        </w:rPr>
      </w:pPr>
    </w:p>
    <w:p w14:paraId="658C7718" w14:textId="77777777" w:rsidR="001E26B6" w:rsidRPr="007A2C3A" w:rsidRDefault="001E26B6">
      <w:pPr>
        <w:rPr>
          <w:rFonts w:ascii="Arial" w:hAnsi="Arial" w:cs="Arial"/>
        </w:rPr>
      </w:pPr>
    </w:p>
    <w:p w14:paraId="7B0D777A" w14:textId="77777777" w:rsidR="006F558B" w:rsidRPr="007A2C3A" w:rsidRDefault="006F558B" w:rsidP="006F558B">
      <w:pPr>
        <w:spacing w:after="140" w:line="240" w:lineRule="auto"/>
        <w:textboxTightWrap w:val="lastLineOnly"/>
        <w:rPr>
          <w:rFonts w:ascii="Arial" w:eastAsia="Times New Roman" w:hAnsi="Arial" w:cs="Arial"/>
          <w:sz w:val="24"/>
          <w:szCs w:val="24"/>
        </w:rPr>
      </w:pPr>
    </w:p>
    <w:p w14:paraId="7AA603C1" w14:textId="3FC8B478" w:rsidR="00DB69CA" w:rsidRPr="007A2C3A" w:rsidRDefault="00DB69CA">
      <w:pPr>
        <w:rPr>
          <w:rFonts w:ascii="Arial" w:hAnsi="Arial" w:cs="Arial"/>
        </w:rPr>
      </w:pPr>
      <w:r w:rsidRPr="007A2C3A">
        <w:rPr>
          <w:rFonts w:ascii="Arial" w:hAnsi="Arial" w:cs="Arial"/>
        </w:rPr>
        <w:br w:type="page"/>
      </w:r>
    </w:p>
    <w:p w14:paraId="729C94FA" w14:textId="77777777" w:rsidR="00DB69CA" w:rsidRPr="007A2C3A" w:rsidRDefault="00DB69CA" w:rsidP="005F24FE">
      <w:pPr>
        <w:pStyle w:val="Title"/>
        <w:rPr>
          <w:rFonts w:ascii="Arial" w:eastAsia="+mn-ea" w:hAnsi="Arial" w:cs="Arial"/>
          <w:color w:val="auto"/>
          <w:sz w:val="40"/>
        </w:rPr>
      </w:pPr>
      <w:r w:rsidRPr="007A2C3A">
        <w:rPr>
          <w:rFonts w:ascii="Arial" w:eastAsia="+mn-ea" w:hAnsi="Arial" w:cs="Arial"/>
          <w:color w:val="auto"/>
          <w:sz w:val="40"/>
        </w:rPr>
        <w:t>MRG Assessment Summary (</w:t>
      </w:r>
      <w:sdt>
        <w:sdtPr>
          <w:rPr>
            <w:rStyle w:val="Title2"/>
            <w:rFonts w:ascii="Arial" w:hAnsi="Arial" w:cs="Arial"/>
            <w:color w:val="auto"/>
          </w:rPr>
          <w:id w:val="882825154"/>
          <w:placeholder>
            <w:docPart w:val="C82117F52D514FE4945898036A4A12D3"/>
          </w:placeholder>
          <w:date w:fullDate="2015-07-23T00:00:00Z">
            <w:dateFormat w:val="dd/MM/yyyy"/>
            <w:lid w:val="en-GB"/>
            <w:storeMappedDataAs w:val="dateTime"/>
            <w:calendar w:val="gregorian"/>
          </w:date>
        </w:sdtPr>
        <w:sdtEndPr>
          <w:rPr>
            <w:rStyle w:val="DefaultParagraphFont"/>
            <w:rFonts w:eastAsia="+mn-ea"/>
            <w:sz w:val="52"/>
          </w:rPr>
        </w:sdtEndPr>
        <w:sdtContent>
          <w:r w:rsidRPr="007A2C3A">
            <w:rPr>
              <w:rStyle w:val="Title2"/>
              <w:rFonts w:ascii="Arial" w:hAnsi="Arial" w:cs="Arial"/>
              <w:color w:val="auto"/>
            </w:rPr>
            <w:t>23/07/2015</w:t>
          </w:r>
        </w:sdtContent>
      </w:sdt>
      <w:r w:rsidRPr="007A2C3A">
        <w:rPr>
          <w:rFonts w:ascii="Arial" w:eastAsia="+mn-ea" w:hAnsi="Arial" w:cs="Arial"/>
          <w:color w:val="auto"/>
          <w:sz w:val="40"/>
        </w:rPr>
        <w:t>)</w:t>
      </w:r>
    </w:p>
    <w:p w14:paraId="7C0C3194" w14:textId="77777777" w:rsidR="00DB69CA" w:rsidRPr="007A2C3A" w:rsidRDefault="00DB69CA" w:rsidP="005F24FE">
      <w:pPr>
        <w:pStyle w:val="NormalWeb"/>
        <w:spacing w:before="0" w:beforeAutospacing="0" w:after="0" w:afterAutospacing="0"/>
        <w:ind w:left="142"/>
        <w:rPr>
          <w:rFonts w:ascii="Arial" w:eastAsia="+mn-ea" w:hAnsi="Arial" w:cs="Arial"/>
          <w:position w:val="1"/>
          <w:sz w:val="16"/>
          <w:szCs w:val="70"/>
        </w:rPr>
      </w:pP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693"/>
        <w:gridCol w:w="7372"/>
      </w:tblGrid>
      <w:tr w:rsidR="00AC3D72" w:rsidRPr="007A2C3A" w14:paraId="0D32E302" w14:textId="77777777" w:rsidTr="005F24FE">
        <w:trPr>
          <w:trHeight w:val="545"/>
        </w:trPr>
        <w:tc>
          <w:tcPr>
            <w:tcW w:w="2693" w:type="dxa"/>
            <w:vAlign w:val="center"/>
          </w:tcPr>
          <w:p w14:paraId="7AD6F738"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IAS Reference Code</w:t>
            </w:r>
          </w:p>
        </w:tc>
        <w:tc>
          <w:tcPr>
            <w:tcW w:w="7372" w:type="dxa"/>
            <w:vAlign w:val="center"/>
          </w:tcPr>
          <w:p w14:paraId="23D7144F"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IAP00369</w:t>
            </w:r>
          </w:p>
        </w:tc>
      </w:tr>
      <w:tr w:rsidR="00AC3D72" w:rsidRPr="007A2C3A" w14:paraId="693482EC" w14:textId="77777777" w:rsidTr="005F24FE">
        <w:trPr>
          <w:trHeight w:val="619"/>
        </w:trPr>
        <w:tc>
          <w:tcPr>
            <w:tcW w:w="2693" w:type="dxa"/>
            <w:tcBorders>
              <w:bottom w:val="single" w:sz="4" w:space="0" w:color="00B050"/>
            </w:tcBorders>
            <w:vAlign w:val="center"/>
          </w:tcPr>
          <w:p w14:paraId="743B8210"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Title</w:t>
            </w:r>
          </w:p>
        </w:tc>
        <w:tc>
          <w:tcPr>
            <w:tcW w:w="7372" w:type="dxa"/>
            <w:tcBorders>
              <w:bottom w:val="single" w:sz="4" w:space="0" w:color="00B050"/>
            </w:tcBorders>
            <w:vAlign w:val="center"/>
          </w:tcPr>
          <w:p w14:paraId="29F9A4D0" w14:textId="735E1B30" w:rsidR="00DB69CA" w:rsidRPr="007A2C3A" w:rsidRDefault="00DB69CA" w:rsidP="005F24FE">
            <w:pPr>
              <w:pStyle w:val="NormalWeb"/>
              <w:spacing w:before="0" w:beforeAutospacing="0" w:after="0" w:afterAutospacing="0"/>
              <w:ind w:left="142"/>
              <w:rPr>
                <w:rFonts w:ascii="Arial" w:eastAsia="+mn-ea" w:hAnsi="Arial" w:cs="Arial"/>
                <w:b/>
                <w:position w:val="1"/>
                <w:sz w:val="22"/>
                <w:szCs w:val="22"/>
              </w:rPr>
            </w:pPr>
            <w:r w:rsidRPr="007A2C3A">
              <w:rPr>
                <w:rFonts w:ascii="Arial" w:eastAsia="+mn-ea" w:hAnsi="Arial" w:cs="Arial"/>
                <w:b/>
                <w:position w:val="1"/>
              </w:rPr>
              <w:t>Hip fracture: proportion of patients recovering to their previous levels of mobility / walking ability at 30 days</w:t>
            </w:r>
          </w:p>
        </w:tc>
      </w:tr>
      <w:tr w:rsidR="00AC3D72" w:rsidRPr="007A2C3A" w14:paraId="6283B5C8" w14:textId="77777777" w:rsidTr="005F24FE">
        <w:trPr>
          <w:trHeight w:val="557"/>
        </w:trPr>
        <w:tc>
          <w:tcPr>
            <w:tcW w:w="2693" w:type="dxa"/>
            <w:tcBorders>
              <w:top w:val="single" w:sz="4" w:space="0" w:color="00B050"/>
              <w:bottom w:val="nil"/>
            </w:tcBorders>
            <w:vAlign w:val="center"/>
          </w:tcPr>
          <w:p w14:paraId="1E8F7CE4"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Set / Framework</w:t>
            </w:r>
          </w:p>
        </w:tc>
        <w:tc>
          <w:tcPr>
            <w:tcW w:w="7372" w:type="dxa"/>
            <w:tcBorders>
              <w:top w:val="single" w:sz="4" w:space="0" w:color="00B050"/>
              <w:bottom w:val="nil"/>
            </w:tcBorders>
            <w:vAlign w:val="center"/>
          </w:tcPr>
          <w:p w14:paraId="01B6F28D"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CCGOIS</w:t>
            </w:r>
          </w:p>
        </w:tc>
      </w:tr>
      <w:tr w:rsidR="00AC3D72" w:rsidRPr="007A2C3A" w14:paraId="312CC34E" w14:textId="77777777" w:rsidTr="005F24FE">
        <w:trPr>
          <w:trHeight w:val="557"/>
        </w:trPr>
        <w:tc>
          <w:tcPr>
            <w:tcW w:w="2693" w:type="dxa"/>
            <w:tcBorders>
              <w:top w:val="single" w:sz="4" w:space="0" w:color="00B050"/>
              <w:bottom w:val="single" w:sz="4" w:space="0" w:color="00B050"/>
            </w:tcBorders>
            <w:vAlign w:val="center"/>
          </w:tcPr>
          <w:p w14:paraId="71E19A17"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Reason for assessment</w:t>
            </w:r>
          </w:p>
        </w:tc>
        <w:tc>
          <w:tcPr>
            <w:tcW w:w="7372" w:type="dxa"/>
            <w:tcBorders>
              <w:top w:val="single" w:sz="4" w:space="0" w:color="00B050"/>
              <w:bottom w:val="single" w:sz="4" w:space="0" w:color="00B050"/>
            </w:tcBorders>
            <w:vAlign w:val="center"/>
          </w:tcPr>
          <w:sdt>
            <w:sdtPr>
              <w:rPr>
                <w:rFonts w:ascii="Arial" w:eastAsia="+mn-ea" w:hAnsi="Arial" w:cs="Arial"/>
                <w:position w:val="1"/>
                <w:sz w:val="22"/>
                <w:szCs w:val="22"/>
              </w:rPr>
              <w:alias w:val="Reason for assessment"/>
              <w:tag w:val="Reason for assessment"/>
              <w:id w:val="-1914615537"/>
              <w:placeholder>
                <w:docPart w:val="682DFE945D5C4BD780780CDF42CD1783"/>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p w14:paraId="76E14C6E"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Initial assurance</w:t>
                </w:r>
              </w:p>
            </w:sdtContent>
          </w:sdt>
          <w:p w14:paraId="3C3DFD57" w14:textId="77777777" w:rsidR="00DB69CA" w:rsidRPr="007A2C3A" w:rsidRDefault="00DB69CA" w:rsidP="00DB69CA">
            <w:pPr>
              <w:pStyle w:val="NormalWeb"/>
              <w:numPr>
                <w:ilvl w:val="0"/>
                <w:numId w:val="4"/>
              </w:numPr>
              <w:spacing w:before="0" w:beforeAutospacing="0" w:after="0" w:afterAutospacing="0"/>
              <w:rPr>
                <w:rFonts w:ascii="Arial" w:eastAsia="+mn-ea" w:hAnsi="Arial" w:cs="Arial"/>
                <w:position w:val="1"/>
                <w:sz w:val="22"/>
                <w:szCs w:val="22"/>
              </w:rPr>
            </w:pPr>
            <w:r w:rsidRPr="007A2C3A">
              <w:rPr>
                <w:rFonts w:ascii="Arial" w:eastAsia="+mn-ea" w:hAnsi="Arial" w:cs="Arial"/>
                <w:position w:val="1"/>
                <w:sz w:val="22"/>
                <w:szCs w:val="22"/>
              </w:rPr>
              <w:t>Earlier application in 2014 concluded at MRG stage.  Updated application put forward for re-assessment in 2015</w:t>
            </w:r>
          </w:p>
        </w:tc>
      </w:tr>
      <w:tr w:rsidR="00DB69CA" w:rsidRPr="007A2C3A" w14:paraId="135E1118" w14:textId="77777777" w:rsidTr="005F24FE">
        <w:trPr>
          <w:trHeight w:val="557"/>
        </w:trPr>
        <w:tc>
          <w:tcPr>
            <w:tcW w:w="2693" w:type="dxa"/>
            <w:tcBorders>
              <w:top w:val="single" w:sz="4" w:space="0" w:color="00B050"/>
              <w:bottom w:val="nil"/>
            </w:tcBorders>
            <w:vAlign w:val="center"/>
          </w:tcPr>
          <w:p w14:paraId="1D4D52DE"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Iteration</w:t>
            </w:r>
          </w:p>
        </w:tc>
        <w:sdt>
          <w:sdtPr>
            <w:rPr>
              <w:rFonts w:ascii="Arial" w:eastAsia="+mn-ea" w:hAnsi="Arial" w:cs="Arial"/>
              <w:position w:val="1"/>
              <w:sz w:val="22"/>
              <w:szCs w:val="22"/>
            </w:rPr>
            <w:id w:val="-1395736090"/>
            <w:placeholder>
              <w:docPart w:val="1F1B90FD7FAD43E1A37C24F1BFCD3010"/>
            </w:placeholder>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Content>
            <w:tc>
              <w:tcPr>
                <w:tcW w:w="7372" w:type="dxa"/>
                <w:tcBorders>
                  <w:top w:val="single" w:sz="4" w:space="0" w:color="00B050"/>
                  <w:bottom w:val="nil"/>
                </w:tcBorders>
                <w:vAlign w:val="center"/>
              </w:tcPr>
              <w:p w14:paraId="3A70C5B9"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1st MRG meeting</w:t>
                </w:r>
              </w:p>
            </w:tc>
          </w:sdtContent>
        </w:sdt>
      </w:tr>
    </w:tbl>
    <w:p w14:paraId="1AC272C1" w14:textId="77777777" w:rsidR="00DB69CA" w:rsidRPr="007A2C3A" w:rsidRDefault="00DB69CA" w:rsidP="005F24FE">
      <w:pPr>
        <w:pStyle w:val="NormalWeb"/>
        <w:spacing w:before="0" w:beforeAutospacing="0" w:after="0" w:afterAutospacing="0"/>
        <w:ind w:left="142"/>
        <w:rPr>
          <w:rFonts w:ascii="Arial" w:eastAsia="+mn-ea" w:hAnsi="Arial" w:cs="Arial"/>
          <w:position w:val="1"/>
          <w:sz w:val="23"/>
          <w:szCs w:val="23"/>
        </w:rPr>
      </w:pPr>
    </w:p>
    <w:p w14:paraId="1B18F0A0" w14:textId="245D9416" w:rsidR="00AC3D72" w:rsidRPr="007A2C3A" w:rsidRDefault="00DB69CA" w:rsidP="005F24FE">
      <w:pPr>
        <w:spacing w:before="240"/>
        <w:rPr>
          <w:rFonts w:ascii="Arial" w:eastAsia="+mn-ea" w:hAnsi="Arial" w:cs="Arial"/>
          <w:b/>
          <w:position w:val="1"/>
          <w:sz w:val="32"/>
          <w:szCs w:val="40"/>
        </w:rPr>
      </w:pPr>
      <w:r w:rsidRPr="007A2C3A">
        <w:rPr>
          <w:rFonts w:ascii="Arial" w:eastAsia="+mn-ea" w:hAnsi="Arial" w:cs="Arial"/>
          <w:b/>
          <w:position w:val="1"/>
          <w:sz w:val="32"/>
          <w:szCs w:val="40"/>
        </w:rPr>
        <w:t>Assurance Rating by MRG</w:t>
      </w:r>
      <w:r w:rsidR="00AC3D72" w:rsidRPr="007A2C3A">
        <w:rPr>
          <w:rFonts w:ascii="Arial" w:eastAsia="+mn-ea" w:hAnsi="Arial" w:cs="Arial"/>
          <w:b/>
          <w:position w:val="1"/>
          <w:sz w:val="32"/>
          <w:szCs w:val="40"/>
        </w:rPr>
        <w:t>: Not fit for purpose</w:t>
      </w:r>
    </w:p>
    <w:tbl>
      <w:tblPr>
        <w:tblStyle w:val="TableGrid1"/>
        <w:tblW w:w="0" w:type="auto"/>
        <w:tblLook w:val="04A0" w:firstRow="1" w:lastRow="0" w:firstColumn="1" w:lastColumn="0" w:noHBand="0" w:noVBand="1"/>
      </w:tblPr>
      <w:tblGrid>
        <w:gridCol w:w="1163"/>
        <w:gridCol w:w="2595"/>
      </w:tblGrid>
      <w:tr w:rsidR="00AC3D72" w:rsidRPr="007A2C3A" w14:paraId="3408666A" w14:textId="77777777" w:rsidTr="005D5087">
        <w:tc>
          <w:tcPr>
            <w:tcW w:w="1163" w:type="dxa"/>
          </w:tcPr>
          <w:p w14:paraId="6B3BB823" w14:textId="7E455F78" w:rsidR="00AC3D72" w:rsidRPr="007A2C3A" w:rsidRDefault="00AC3D72" w:rsidP="005F24FE">
            <w:pPr>
              <w:jc w:val="center"/>
              <w:rPr>
                <w:rFonts w:eastAsia="+mn-ea"/>
                <w:b/>
                <w:position w:val="1"/>
                <w:szCs w:val="28"/>
              </w:rPr>
            </w:pPr>
            <w:r w:rsidRPr="007A2C3A">
              <w:rPr>
                <w:rFonts w:eastAsia="+mn-ea"/>
                <w:b/>
                <w:noProof/>
                <w:position w:val="1"/>
                <w:szCs w:val="28"/>
                <w:lang w:eastAsia="en-GB"/>
              </w:rPr>
              <w:t>Fit for use</w:t>
            </w:r>
          </w:p>
        </w:tc>
        <w:tc>
          <w:tcPr>
            <w:tcW w:w="2595" w:type="dxa"/>
          </w:tcPr>
          <w:p w14:paraId="6D1404C8" w14:textId="77777777" w:rsidR="00AC3D72" w:rsidRPr="007A2C3A" w:rsidRDefault="00AC3D72" w:rsidP="005F24FE">
            <w:pPr>
              <w:spacing w:before="120" w:after="120"/>
              <w:rPr>
                <w:rFonts w:eastAsia="+mn-ea"/>
                <w:b/>
                <w:position w:val="1"/>
                <w:szCs w:val="40"/>
              </w:rPr>
            </w:pPr>
            <w:r w:rsidRPr="007A2C3A">
              <w:rPr>
                <w:rFonts w:eastAsia="+mn-ea"/>
                <w:b/>
                <w:position w:val="1"/>
                <w:szCs w:val="40"/>
              </w:rPr>
              <w:t>Clarity</w:t>
            </w:r>
          </w:p>
        </w:tc>
      </w:tr>
      <w:tr w:rsidR="00AC3D72" w:rsidRPr="007A2C3A" w14:paraId="71C5A8C6" w14:textId="77777777" w:rsidTr="005D5087">
        <w:tc>
          <w:tcPr>
            <w:tcW w:w="1163" w:type="dxa"/>
          </w:tcPr>
          <w:p w14:paraId="614FBEE1" w14:textId="4DAD63F0" w:rsidR="00AC3D72" w:rsidRPr="007A2C3A" w:rsidRDefault="00AC3D72" w:rsidP="005F24FE">
            <w:pPr>
              <w:jc w:val="center"/>
              <w:rPr>
                <w:rFonts w:eastAsia="+mn-ea"/>
                <w:b/>
                <w:position w:val="1"/>
                <w:szCs w:val="28"/>
              </w:rPr>
            </w:pPr>
            <w:r w:rsidRPr="007A2C3A">
              <w:rPr>
                <w:rFonts w:eastAsia="+mn-ea"/>
                <w:b/>
                <w:noProof/>
                <w:position w:val="1"/>
                <w:szCs w:val="28"/>
                <w:lang w:eastAsia="en-GB"/>
              </w:rPr>
              <w:t>Fit for use with caveats</w:t>
            </w:r>
          </w:p>
        </w:tc>
        <w:tc>
          <w:tcPr>
            <w:tcW w:w="2595" w:type="dxa"/>
          </w:tcPr>
          <w:p w14:paraId="4B5AB459" w14:textId="77777777" w:rsidR="00AC3D72" w:rsidRPr="007A2C3A" w:rsidRDefault="00AC3D72" w:rsidP="005F24FE">
            <w:pPr>
              <w:spacing w:before="120" w:after="120"/>
              <w:rPr>
                <w:rFonts w:eastAsia="+mn-ea"/>
                <w:b/>
                <w:position w:val="1"/>
                <w:szCs w:val="40"/>
              </w:rPr>
            </w:pPr>
            <w:r w:rsidRPr="007A2C3A">
              <w:rPr>
                <w:rFonts w:eastAsia="+mn-ea"/>
                <w:b/>
                <w:position w:val="1"/>
                <w:szCs w:val="40"/>
              </w:rPr>
              <w:t>Rationale</w:t>
            </w:r>
          </w:p>
        </w:tc>
      </w:tr>
      <w:tr w:rsidR="00AC3D72" w:rsidRPr="007A2C3A" w14:paraId="49CDBEFC" w14:textId="77777777" w:rsidTr="005D5087">
        <w:tc>
          <w:tcPr>
            <w:tcW w:w="1163" w:type="dxa"/>
          </w:tcPr>
          <w:p w14:paraId="66D21F6D" w14:textId="42962A91" w:rsidR="00AC3D72" w:rsidRPr="007A2C3A" w:rsidRDefault="00AC3D72" w:rsidP="005F24FE">
            <w:pPr>
              <w:jc w:val="center"/>
              <w:rPr>
                <w:rFonts w:eastAsia="+mn-ea"/>
                <w:b/>
                <w:position w:val="1"/>
                <w:sz w:val="32"/>
                <w:szCs w:val="40"/>
              </w:rPr>
            </w:pPr>
            <w:r w:rsidRPr="007A2C3A">
              <w:rPr>
                <w:rFonts w:eastAsia="+mn-ea"/>
                <w:b/>
                <w:noProof/>
                <w:position w:val="1"/>
                <w:sz w:val="24"/>
                <w:szCs w:val="32"/>
                <w:lang w:eastAsia="en-GB"/>
              </w:rPr>
              <w:t>Not fit for purpose</w:t>
            </w:r>
          </w:p>
        </w:tc>
        <w:tc>
          <w:tcPr>
            <w:tcW w:w="2595" w:type="dxa"/>
          </w:tcPr>
          <w:p w14:paraId="260C8818" w14:textId="77777777" w:rsidR="00AC3D72" w:rsidRPr="007A2C3A" w:rsidRDefault="00AC3D72" w:rsidP="005F24FE">
            <w:pPr>
              <w:spacing w:before="120" w:after="120"/>
              <w:rPr>
                <w:rFonts w:eastAsia="+mn-ea"/>
                <w:b/>
                <w:position w:val="1"/>
                <w:szCs w:val="40"/>
              </w:rPr>
            </w:pPr>
            <w:r w:rsidRPr="007A2C3A">
              <w:rPr>
                <w:rFonts w:eastAsia="+mn-ea"/>
                <w:b/>
                <w:position w:val="1"/>
                <w:szCs w:val="40"/>
              </w:rPr>
              <w:t>Data</w:t>
            </w:r>
          </w:p>
        </w:tc>
      </w:tr>
      <w:tr w:rsidR="00AC3D72" w:rsidRPr="007A2C3A" w14:paraId="2E808E87" w14:textId="77777777" w:rsidTr="005D5087">
        <w:tc>
          <w:tcPr>
            <w:tcW w:w="1163" w:type="dxa"/>
          </w:tcPr>
          <w:p w14:paraId="19498264" w14:textId="347323AA" w:rsidR="00AC3D72" w:rsidRPr="007A2C3A" w:rsidRDefault="00AC3D72" w:rsidP="005F24FE">
            <w:pPr>
              <w:jc w:val="center"/>
              <w:rPr>
                <w:rFonts w:eastAsia="+mn-ea"/>
                <w:b/>
                <w:position w:val="1"/>
                <w:sz w:val="32"/>
                <w:szCs w:val="40"/>
              </w:rPr>
            </w:pPr>
            <w:r w:rsidRPr="007A2C3A">
              <w:rPr>
                <w:rFonts w:eastAsia="+mn-ea"/>
                <w:b/>
                <w:noProof/>
                <w:position w:val="1"/>
                <w:szCs w:val="28"/>
                <w:lang w:eastAsia="en-GB"/>
              </w:rPr>
              <w:t>Fit for use with caveats</w:t>
            </w:r>
          </w:p>
        </w:tc>
        <w:tc>
          <w:tcPr>
            <w:tcW w:w="2595" w:type="dxa"/>
          </w:tcPr>
          <w:p w14:paraId="341BEDDA" w14:textId="77777777" w:rsidR="00AC3D72" w:rsidRPr="007A2C3A" w:rsidRDefault="00AC3D72" w:rsidP="005F24FE">
            <w:pPr>
              <w:spacing w:before="120" w:after="120"/>
              <w:rPr>
                <w:rFonts w:eastAsia="+mn-ea"/>
                <w:b/>
                <w:position w:val="1"/>
                <w:szCs w:val="40"/>
              </w:rPr>
            </w:pPr>
            <w:r w:rsidRPr="007A2C3A">
              <w:rPr>
                <w:rFonts w:eastAsia="+mn-ea"/>
                <w:b/>
                <w:position w:val="1"/>
                <w:szCs w:val="40"/>
              </w:rPr>
              <w:t>Construction</w:t>
            </w:r>
          </w:p>
        </w:tc>
      </w:tr>
      <w:tr w:rsidR="00AC3D72" w:rsidRPr="007A2C3A" w14:paraId="187CCDAB" w14:textId="77777777" w:rsidTr="005D5087">
        <w:tc>
          <w:tcPr>
            <w:tcW w:w="1163" w:type="dxa"/>
          </w:tcPr>
          <w:p w14:paraId="3844A793" w14:textId="7044136E" w:rsidR="00AC3D72" w:rsidRPr="007A2C3A" w:rsidRDefault="00AC3D72" w:rsidP="005F24FE">
            <w:pPr>
              <w:jc w:val="center"/>
              <w:rPr>
                <w:rFonts w:eastAsia="+mn-ea"/>
                <w:b/>
                <w:position w:val="1"/>
                <w:sz w:val="32"/>
                <w:szCs w:val="40"/>
              </w:rPr>
            </w:pPr>
          </w:p>
        </w:tc>
        <w:tc>
          <w:tcPr>
            <w:tcW w:w="2595" w:type="dxa"/>
          </w:tcPr>
          <w:p w14:paraId="3CDD7FCE" w14:textId="77777777" w:rsidR="00AC3D72" w:rsidRPr="007A2C3A" w:rsidRDefault="00AC3D72" w:rsidP="005F24FE">
            <w:pPr>
              <w:spacing w:before="120" w:after="120"/>
              <w:rPr>
                <w:rFonts w:eastAsia="+mn-ea"/>
                <w:b/>
                <w:position w:val="1"/>
                <w:szCs w:val="40"/>
              </w:rPr>
            </w:pPr>
            <w:r w:rsidRPr="007A2C3A">
              <w:rPr>
                <w:rFonts w:eastAsia="+mn-ea"/>
                <w:b/>
                <w:position w:val="1"/>
                <w:szCs w:val="40"/>
              </w:rPr>
              <w:t>Interpretation</w:t>
            </w:r>
          </w:p>
        </w:tc>
      </w:tr>
      <w:tr w:rsidR="00AC3D72" w:rsidRPr="007A2C3A" w14:paraId="0748F003" w14:textId="77777777" w:rsidTr="005D5087">
        <w:tc>
          <w:tcPr>
            <w:tcW w:w="1163" w:type="dxa"/>
          </w:tcPr>
          <w:p w14:paraId="77AF6726" w14:textId="6C9A0689" w:rsidR="00AC3D72" w:rsidRPr="007A2C3A" w:rsidRDefault="00AC3D72" w:rsidP="005F24FE">
            <w:pPr>
              <w:jc w:val="center"/>
              <w:rPr>
                <w:rFonts w:eastAsia="+mn-ea"/>
                <w:b/>
                <w:position w:val="1"/>
                <w:sz w:val="32"/>
                <w:szCs w:val="40"/>
              </w:rPr>
            </w:pPr>
            <w:r w:rsidRPr="007A2C3A">
              <w:rPr>
                <w:rFonts w:eastAsia="+mn-ea"/>
                <w:b/>
                <w:noProof/>
                <w:position w:val="1"/>
                <w:sz w:val="24"/>
                <w:szCs w:val="32"/>
                <w:lang w:eastAsia="en-GB"/>
              </w:rPr>
              <w:t>Fit for use</w:t>
            </w:r>
            <w:r w:rsidRPr="007A2C3A">
              <w:rPr>
                <w:rFonts w:eastAsia="+mn-ea"/>
                <w:b/>
                <w:position w:val="1"/>
                <w:sz w:val="24"/>
                <w:szCs w:val="32"/>
              </w:rPr>
              <w:t xml:space="preserve"> </w:t>
            </w:r>
          </w:p>
        </w:tc>
        <w:tc>
          <w:tcPr>
            <w:tcW w:w="2595" w:type="dxa"/>
          </w:tcPr>
          <w:p w14:paraId="1F151810" w14:textId="77777777" w:rsidR="00AC3D72" w:rsidRPr="007A2C3A" w:rsidRDefault="00AC3D72" w:rsidP="005F24FE">
            <w:pPr>
              <w:spacing w:before="120" w:after="120"/>
              <w:rPr>
                <w:rFonts w:eastAsia="+mn-ea"/>
                <w:b/>
                <w:position w:val="1"/>
                <w:szCs w:val="40"/>
              </w:rPr>
            </w:pPr>
            <w:r w:rsidRPr="007A2C3A">
              <w:rPr>
                <w:rFonts w:eastAsia="+mn-ea"/>
                <w:b/>
                <w:position w:val="1"/>
                <w:szCs w:val="40"/>
              </w:rPr>
              <w:t>Risks and Usefulness</w:t>
            </w:r>
          </w:p>
        </w:tc>
      </w:tr>
    </w:tbl>
    <w:p w14:paraId="142C6089" w14:textId="77777777" w:rsidR="00DB69CA" w:rsidRPr="007A2C3A" w:rsidRDefault="00DB69CA" w:rsidP="005F24FE">
      <w:pPr>
        <w:spacing w:before="240"/>
        <w:rPr>
          <w:rFonts w:ascii="Arial" w:eastAsia="+mn-ea" w:hAnsi="Arial" w:cs="Arial"/>
          <w:b/>
          <w:position w:val="1"/>
          <w:sz w:val="24"/>
          <w:szCs w:val="40"/>
        </w:rPr>
      </w:pPr>
      <w:r w:rsidRPr="007A2C3A">
        <w:rPr>
          <w:rFonts w:ascii="Arial" w:eastAsia="+mn-ea" w:hAnsi="Arial" w:cs="Arial"/>
          <w:b/>
          <w:position w:val="1"/>
          <w:sz w:val="24"/>
          <w:szCs w:val="40"/>
        </w:rPr>
        <w:t xml:space="preserve">Summary Recommendation </w:t>
      </w:r>
    </w:p>
    <w:sdt>
      <w:sdtPr>
        <w:rPr>
          <w:rFonts w:ascii="Arial" w:hAnsi="Arial" w:cs="Arial"/>
          <w:lang w:eastAsia="en-GB"/>
        </w:rPr>
        <w:alias w:val="Summary Recommendation to IGB"/>
        <w:tag w:val="Summary Recommendation to IGB"/>
        <w:id w:val="2031983090"/>
        <w:placeholder>
          <w:docPart w:val="DD2ECD24D6994D308DA8E2DCCA664F3E"/>
        </w:placeholder>
        <w:text w:multiLine="1"/>
      </w:sdtPr>
      <w:sdtContent>
        <w:p w14:paraId="05801927" w14:textId="77777777" w:rsidR="00DB69CA" w:rsidRPr="007A2C3A" w:rsidRDefault="00DB69CA" w:rsidP="005F24FE">
          <w:pPr>
            <w:spacing w:before="240"/>
            <w:rPr>
              <w:rFonts w:ascii="Arial" w:hAnsi="Arial" w:cs="Arial"/>
              <w:lang w:eastAsia="en-GB"/>
            </w:rPr>
          </w:pPr>
          <w:r w:rsidRPr="007A2C3A">
            <w:rPr>
              <w:rFonts w:ascii="Arial" w:hAnsi="Arial" w:cs="Arial"/>
              <w:lang w:eastAsia="en-GB"/>
            </w:rPr>
            <w:t>Although the indicator adequately met most assurance criteria, the indicator was rated “Not fit for purpose” on the grounds that the data quality is very poor, with no incentive or mechanism to improve it. MRG do not endorse the indicator for inclusion in the National Library of Quality Assured Indicators.</w:t>
          </w:r>
        </w:p>
      </w:sdtContent>
    </w:sdt>
    <w:p w14:paraId="1E51952F" w14:textId="77777777" w:rsidR="00DB69CA" w:rsidRPr="007A2C3A" w:rsidRDefault="00DB69CA" w:rsidP="005F24FE">
      <w:pPr>
        <w:spacing w:before="240"/>
        <w:rPr>
          <w:rFonts w:ascii="Arial" w:eastAsia="+mn-ea" w:hAnsi="Arial" w:cs="Arial"/>
          <w:b/>
          <w:position w:val="1"/>
          <w:sz w:val="32"/>
          <w:szCs w:val="40"/>
          <w:lang w:eastAsia="en-GB"/>
        </w:rPr>
      </w:pPr>
      <w:r w:rsidRPr="007A2C3A">
        <w:rPr>
          <w:rFonts w:ascii="Arial" w:eastAsia="+mn-ea" w:hAnsi="Arial" w:cs="Arial"/>
          <w:b/>
          <w:position w:val="1"/>
          <w:sz w:val="32"/>
          <w:szCs w:val="40"/>
          <w:lang w:eastAsia="en-GB"/>
        </w:rPr>
        <w:t xml:space="preserve"> </w:t>
      </w:r>
      <w:r w:rsidRPr="007A2C3A">
        <w:rPr>
          <w:rFonts w:ascii="Arial" w:eastAsia="+mn-ea" w:hAnsi="Arial" w:cs="Arial"/>
          <w:b/>
          <w:position w:val="1"/>
          <w:sz w:val="32"/>
          <w:szCs w:val="40"/>
          <w:lang w:eastAsia="en-GB"/>
        </w:rPr>
        <w:br w:type="page"/>
      </w:r>
    </w:p>
    <w:p w14:paraId="3AD4DF67" w14:textId="77777777" w:rsidR="00DB69CA" w:rsidRPr="007A2C3A" w:rsidRDefault="00DB69CA" w:rsidP="005F24FE">
      <w:pPr>
        <w:pStyle w:val="Title"/>
        <w:rPr>
          <w:rFonts w:ascii="Arial" w:eastAsia="+mn-ea" w:hAnsi="Arial" w:cs="Arial"/>
          <w:color w:val="auto"/>
          <w:sz w:val="40"/>
        </w:rPr>
      </w:pPr>
      <w:r w:rsidRPr="007A2C3A">
        <w:rPr>
          <w:rFonts w:ascii="Arial" w:eastAsia="+mn-ea" w:hAnsi="Arial" w:cs="Arial"/>
          <w:color w:val="auto"/>
          <w:sz w:val="40"/>
        </w:rPr>
        <w:br/>
        <w:t>IGB Assessment Summary (</w:t>
      </w:r>
      <w:sdt>
        <w:sdtPr>
          <w:rPr>
            <w:rStyle w:val="Title2"/>
            <w:rFonts w:ascii="Arial" w:hAnsi="Arial" w:cs="Arial"/>
            <w:color w:val="auto"/>
          </w:rPr>
          <w:id w:val="-357049371"/>
          <w:placeholder>
            <w:docPart w:val="C82117F52D514FE4945898036A4A12D3"/>
          </w:placeholder>
          <w:date w:fullDate="2015-08-13T00:00:00Z">
            <w:dateFormat w:val="dd/MM/yyyy"/>
            <w:lid w:val="en-GB"/>
            <w:storeMappedDataAs w:val="dateTime"/>
            <w:calendar w:val="gregorian"/>
          </w:date>
        </w:sdtPr>
        <w:sdtEndPr>
          <w:rPr>
            <w:rStyle w:val="DefaultParagraphFont"/>
            <w:rFonts w:eastAsia="+mn-ea"/>
            <w:sz w:val="52"/>
          </w:rPr>
        </w:sdtEndPr>
        <w:sdtContent>
          <w:r w:rsidRPr="007A2C3A">
            <w:rPr>
              <w:rStyle w:val="Title2"/>
              <w:rFonts w:ascii="Arial" w:hAnsi="Arial" w:cs="Arial"/>
              <w:color w:val="auto"/>
            </w:rPr>
            <w:t>13/08/2015</w:t>
          </w:r>
        </w:sdtContent>
      </w:sdt>
      <w:r w:rsidRPr="007A2C3A">
        <w:rPr>
          <w:rFonts w:ascii="Arial" w:eastAsia="+mn-ea" w:hAnsi="Arial" w:cs="Arial"/>
          <w:color w:val="auto"/>
          <w:sz w:val="40"/>
        </w:rPr>
        <w:t>)</w:t>
      </w:r>
    </w:p>
    <w:p w14:paraId="138B3628" w14:textId="77777777" w:rsidR="00DB69CA" w:rsidRPr="007A2C3A" w:rsidRDefault="00DB69CA" w:rsidP="005F24FE">
      <w:pPr>
        <w:pStyle w:val="NormalWeb"/>
        <w:spacing w:before="0" w:beforeAutospacing="0" w:after="0" w:afterAutospacing="0"/>
        <w:ind w:left="142"/>
        <w:rPr>
          <w:rFonts w:ascii="Arial" w:eastAsia="+mn-ea" w:hAnsi="Arial" w:cs="Arial"/>
          <w:position w:val="1"/>
          <w:sz w:val="16"/>
          <w:szCs w:val="70"/>
        </w:rPr>
      </w:pP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693"/>
        <w:gridCol w:w="7372"/>
      </w:tblGrid>
      <w:tr w:rsidR="00AC3D72" w:rsidRPr="007A2C3A" w14:paraId="30EEDD13" w14:textId="77777777" w:rsidTr="005F24FE">
        <w:trPr>
          <w:trHeight w:val="545"/>
        </w:trPr>
        <w:tc>
          <w:tcPr>
            <w:tcW w:w="2693" w:type="dxa"/>
            <w:vAlign w:val="center"/>
          </w:tcPr>
          <w:p w14:paraId="5EA957CC"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IAS Reference Code</w:t>
            </w:r>
          </w:p>
        </w:tc>
        <w:tc>
          <w:tcPr>
            <w:tcW w:w="7372" w:type="dxa"/>
            <w:vAlign w:val="center"/>
          </w:tcPr>
          <w:p w14:paraId="219A20F3"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IAP00369</w:t>
            </w:r>
          </w:p>
        </w:tc>
      </w:tr>
      <w:tr w:rsidR="00AC3D72" w:rsidRPr="007A2C3A" w14:paraId="23C3AD21" w14:textId="77777777" w:rsidTr="005F24FE">
        <w:trPr>
          <w:trHeight w:val="619"/>
        </w:trPr>
        <w:tc>
          <w:tcPr>
            <w:tcW w:w="2693" w:type="dxa"/>
            <w:tcBorders>
              <w:bottom w:val="single" w:sz="4" w:space="0" w:color="00B050"/>
            </w:tcBorders>
            <w:vAlign w:val="center"/>
          </w:tcPr>
          <w:p w14:paraId="56A3F0BA"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Title</w:t>
            </w:r>
          </w:p>
        </w:tc>
        <w:tc>
          <w:tcPr>
            <w:tcW w:w="7372" w:type="dxa"/>
            <w:tcBorders>
              <w:bottom w:val="single" w:sz="4" w:space="0" w:color="00B050"/>
            </w:tcBorders>
            <w:vAlign w:val="center"/>
          </w:tcPr>
          <w:p w14:paraId="6A56ECB4" w14:textId="569B021E" w:rsidR="00DB69CA" w:rsidRPr="007A2C3A" w:rsidRDefault="00DB69CA" w:rsidP="005F24FE">
            <w:pPr>
              <w:pStyle w:val="NormalWeb"/>
              <w:spacing w:before="0" w:beforeAutospacing="0" w:after="0" w:afterAutospacing="0"/>
              <w:ind w:left="142"/>
              <w:rPr>
                <w:rFonts w:ascii="Arial" w:eastAsia="+mn-ea" w:hAnsi="Arial" w:cs="Arial"/>
                <w:b/>
                <w:position w:val="1"/>
                <w:sz w:val="22"/>
                <w:szCs w:val="22"/>
              </w:rPr>
            </w:pPr>
            <w:r w:rsidRPr="007A2C3A">
              <w:rPr>
                <w:rFonts w:ascii="Arial" w:eastAsia="+mn-ea" w:hAnsi="Arial" w:cs="Arial"/>
                <w:b/>
                <w:position w:val="1"/>
                <w:sz w:val="22"/>
                <w:szCs w:val="22"/>
              </w:rPr>
              <w:t>Hip fracture: proportion of patients recovering to their previous levels of mobility / walking ability at 30 days</w:t>
            </w:r>
          </w:p>
        </w:tc>
      </w:tr>
      <w:tr w:rsidR="00AC3D72" w:rsidRPr="007A2C3A" w14:paraId="467720A8" w14:textId="77777777" w:rsidTr="005F24FE">
        <w:trPr>
          <w:trHeight w:val="557"/>
        </w:trPr>
        <w:tc>
          <w:tcPr>
            <w:tcW w:w="2693" w:type="dxa"/>
            <w:tcBorders>
              <w:top w:val="single" w:sz="4" w:space="0" w:color="00B050"/>
              <w:bottom w:val="nil"/>
            </w:tcBorders>
            <w:vAlign w:val="center"/>
          </w:tcPr>
          <w:p w14:paraId="24D58882"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Set / Framework</w:t>
            </w:r>
          </w:p>
        </w:tc>
        <w:tc>
          <w:tcPr>
            <w:tcW w:w="7372" w:type="dxa"/>
            <w:tcBorders>
              <w:top w:val="single" w:sz="4" w:space="0" w:color="00B050"/>
              <w:bottom w:val="nil"/>
            </w:tcBorders>
            <w:vAlign w:val="center"/>
          </w:tcPr>
          <w:p w14:paraId="2EE29B93"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CCGOIS</w:t>
            </w:r>
          </w:p>
        </w:tc>
      </w:tr>
      <w:tr w:rsidR="00AC3D72" w:rsidRPr="007A2C3A" w14:paraId="514A72A3" w14:textId="77777777" w:rsidTr="005F24FE">
        <w:trPr>
          <w:trHeight w:val="557"/>
        </w:trPr>
        <w:tc>
          <w:tcPr>
            <w:tcW w:w="2693" w:type="dxa"/>
            <w:tcBorders>
              <w:top w:val="single" w:sz="4" w:space="0" w:color="00B050"/>
              <w:bottom w:val="nil"/>
            </w:tcBorders>
            <w:vAlign w:val="center"/>
          </w:tcPr>
          <w:p w14:paraId="632CA718"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Reason for assessment</w:t>
            </w:r>
          </w:p>
        </w:tc>
        <w:sdt>
          <w:sdtPr>
            <w:rPr>
              <w:rFonts w:ascii="Arial" w:eastAsia="+mn-ea" w:hAnsi="Arial" w:cs="Arial"/>
              <w:position w:val="1"/>
              <w:sz w:val="22"/>
              <w:szCs w:val="22"/>
            </w:rPr>
            <w:alias w:val="Reason for assessment"/>
            <w:tag w:val="Reason for assessment"/>
            <w:id w:val="-620992618"/>
            <w:placeholder>
              <w:docPart w:val="12603D34E15E4CC2BF68347AE8879943"/>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7372" w:type="dxa"/>
                <w:tcBorders>
                  <w:top w:val="single" w:sz="4" w:space="0" w:color="00B050"/>
                  <w:bottom w:val="nil"/>
                </w:tcBorders>
                <w:vAlign w:val="center"/>
              </w:tcPr>
              <w:p w14:paraId="43132A4C"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Initial assurance</w:t>
                </w:r>
              </w:p>
            </w:tc>
          </w:sdtContent>
        </w:sdt>
      </w:tr>
    </w:tbl>
    <w:p w14:paraId="301CA691" w14:textId="77777777" w:rsidR="00DB69CA" w:rsidRPr="007A2C3A" w:rsidRDefault="00DB69CA" w:rsidP="005F24FE">
      <w:pPr>
        <w:spacing w:before="240"/>
        <w:rPr>
          <w:rFonts w:ascii="Arial" w:eastAsia="+mn-ea" w:hAnsi="Arial" w:cs="Arial"/>
          <w:b/>
          <w:position w:val="1"/>
          <w:sz w:val="24"/>
          <w:szCs w:val="40"/>
        </w:rPr>
      </w:pPr>
      <w:r w:rsidRPr="007A2C3A">
        <w:rPr>
          <w:rFonts w:ascii="Arial" w:eastAsia="+mn-ea" w:hAnsi="Arial" w:cs="Arial"/>
          <w:b/>
          <w:position w:val="1"/>
          <w:sz w:val="24"/>
          <w:szCs w:val="40"/>
        </w:rPr>
        <w:t>Summary of discussion</w:t>
      </w:r>
    </w:p>
    <w:sdt>
      <w:sdtPr>
        <w:rPr>
          <w:rFonts w:ascii="Arial" w:hAnsi="Arial" w:cs="Arial"/>
          <w:sz w:val="24"/>
          <w:lang w:eastAsia="en-GB"/>
        </w:rPr>
        <w:id w:val="291569838"/>
        <w:placeholder>
          <w:docPart w:val="106F52A09541455DB62A9017550202E0"/>
        </w:placeholder>
        <w:text/>
      </w:sdtPr>
      <w:sdtContent>
        <w:p w14:paraId="562EC9DD" w14:textId="77777777" w:rsidR="00DB69CA" w:rsidRPr="007A2C3A" w:rsidRDefault="00DB69CA" w:rsidP="005F24FE">
          <w:pPr>
            <w:spacing w:before="240"/>
            <w:rPr>
              <w:rFonts w:ascii="Arial" w:hAnsi="Arial" w:cs="Arial"/>
              <w:sz w:val="24"/>
              <w:lang w:eastAsia="en-GB"/>
            </w:rPr>
          </w:pPr>
          <w:r w:rsidRPr="007A2C3A">
            <w:rPr>
              <w:rFonts w:ascii="Arial" w:hAnsi="Arial" w:cs="Arial"/>
              <w:sz w:val="24"/>
              <w:lang w:eastAsia="en-GB"/>
            </w:rPr>
            <w:t xml:space="preserve">The indicator is put forward for use in the NHS Outcomes Framework and CCG Outcomes Indicator Set.  The indicator derived for use in the NHSOF (i.e. for reporting at the national level) had been previously assured and as such was put forward for review.  The indicator had not previously been presented to IGB for assurance as a CCG level indicator.  IGB noted MRG’s concern around the poor data quality of the indicators and suggested that feedback was need to be given to NICE around the lack of mandate to collect some of the data fields used in the indicator.  IGB accepted MRG’s conclusion that the methodology in general was fine, but requested that the overall conclusion be that the indicators are identified with a use with caution flag rather than be labelled not fit for purpose.  This is on the basis that the Library’s primary purpose is to hold quality methodologies and in terms of the Library, data quality is of lesser </w:t>
          </w:r>
          <w:proofErr w:type="spellStart"/>
          <w:r w:rsidRPr="007A2C3A">
            <w:rPr>
              <w:rFonts w:ascii="Arial" w:hAnsi="Arial" w:cs="Arial"/>
              <w:sz w:val="24"/>
              <w:lang w:eastAsia="en-GB"/>
            </w:rPr>
            <w:t>concern.The</w:t>
          </w:r>
          <w:proofErr w:type="spellEnd"/>
          <w:r w:rsidRPr="007A2C3A">
            <w:rPr>
              <w:rFonts w:ascii="Arial" w:hAnsi="Arial" w:cs="Arial"/>
              <w:sz w:val="24"/>
              <w:lang w:eastAsia="en-GB"/>
            </w:rPr>
            <w:t xml:space="preserve"> indicators are to be included in the Library with an assurance level of “use with caution” However any associated indicator quality statement published when the indicator produced requires a clear warning of the limitations data quality has on interpretation and use. Correspondence will be sent by IGB to SCCI and NICE observing the lack of mandate to collect date in some of the fields used in the indicator methodology.</w:t>
          </w:r>
        </w:p>
      </w:sdtContent>
    </w:sdt>
    <w:p w14:paraId="5C02FE2C" w14:textId="77777777" w:rsidR="00DB69CA" w:rsidRPr="007A2C3A" w:rsidRDefault="00DB69CA" w:rsidP="005F24FE">
      <w:pPr>
        <w:spacing w:before="240"/>
        <w:rPr>
          <w:rFonts w:ascii="Arial" w:eastAsia="+mn-ea" w:hAnsi="Arial" w:cs="Arial"/>
          <w:b/>
          <w:position w:val="1"/>
          <w:sz w:val="32"/>
          <w:szCs w:val="40"/>
          <w:lang w:eastAsia="en-GB"/>
        </w:rPr>
      </w:pPr>
    </w:p>
    <w:p w14:paraId="79DDC47C" w14:textId="77777777" w:rsidR="00DB69CA" w:rsidRPr="007A2C3A" w:rsidRDefault="00DB69CA" w:rsidP="005F24FE">
      <w:pPr>
        <w:spacing w:before="240"/>
        <w:rPr>
          <w:rFonts w:ascii="Arial" w:eastAsia="+mn-ea" w:hAnsi="Arial" w:cs="Arial"/>
          <w:b/>
          <w:position w:val="1"/>
          <w:sz w:val="32"/>
          <w:szCs w:val="40"/>
          <w:lang w:eastAsia="en-GB"/>
        </w:rPr>
      </w:pPr>
      <w:r w:rsidRPr="007A2C3A">
        <w:rPr>
          <w:rFonts w:ascii="Arial" w:eastAsia="+mn-ea" w:hAnsi="Arial" w:cs="Arial"/>
          <w:b/>
          <w:position w:val="1"/>
          <w:sz w:val="32"/>
          <w:szCs w:val="40"/>
          <w:lang w:eastAsia="en-GB"/>
        </w:rPr>
        <w:t>IGB Actions</w:t>
      </w:r>
    </w:p>
    <w:tbl>
      <w:tblPr>
        <w:tblStyle w:val="TableGrid"/>
        <w:tblW w:w="10065" w:type="dxa"/>
        <w:tblInd w:w="108"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3260"/>
        <w:gridCol w:w="6805"/>
      </w:tblGrid>
      <w:tr w:rsidR="00AC3D72" w:rsidRPr="007A2C3A" w14:paraId="036B7CDD" w14:textId="77777777" w:rsidTr="005F24FE">
        <w:trPr>
          <w:trHeight w:val="545"/>
        </w:trPr>
        <w:tc>
          <w:tcPr>
            <w:tcW w:w="3260" w:type="dxa"/>
            <w:tcBorders>
              <w:bottom w:val="single" w:sz="4" w:space="0" w:color="00B050"/>
            </w:tcBorders>
            <w:vAlign w:val="center"/>
          </w:tcPr>
          <w:p w14:paraId="4BC7B578"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Sign off of MRG assessment</w:t>
            </w:r>
          </w:p>
        </w:tc>
        <w:sdt>
          <w:sdtPr>
            <w:rPr>
              <w:rFonts w:ascii="Arial" w:eastAsia="+mn-ea" w:hAnsi="Arial" w:cs="Arial"/>
              <w:position w:val="1"/>
              <w:sz w:val="22"/>
              <w:szCs w:val="22"/>
            </w:rPr>
            <w:alias w:val="Sign off"/>
            <w:tag w:val="Sign off"/>
            <w:id w:val="-1624143381"/>
            <w:placeholder>
              <w:docPart w:val="DA14639F576F42D7814EAA55DE9BD96C"/>
            </w:placeholder>
            <w:dropDownList>
              <w:listItem w:value="Choose an item."/>
              <w:listItem w:displayText="Yes" w:value="Yes"/>
              <w:listItem w:displayText="Yes - resolved non-consensus view" w:value="Yes - resolved non-consensus view"/>
              <w:listItem w:displayText="Yes - with minor ammendments" w:value="Yes - with minor ammendments"/>
              <w:listItem w:displayText="No - referred back to MRG for further consideration" w:value="No - referred back to MRG for further consideration"/>
            </w:dropDownList>
          </w:sdtPr>
          <w:sdtContent>
            <w:tc>
              <w:tcPr>
                <w:tcW w:w="6805" w:type="dxa"/>
                <w:tcBorders>
                  <w:bottom w:val="single" w:sz="4" w:space="0" w:color="00B050"/>
                </w:tcBorders>
                <w:vAlign w:val="center"/>
              </w:tcPr>
              <w:p w14:paraId="47899023"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Yes - with minor ammendments</w:t>
                </w:r>
              </w:p>
            </w:tc>
          </w:sdtContent>
        </w:sdt>
      </w:tr>
      <w:tr w:rsidR="00AC3D72" w:rsidRPr="007A2C3A" w14:paraId="23C81D53" w14:textId="77777777" w:rsidTr="005F24FE">
        <w:trPr>
          <w:trHeight w:val="545"/>
        </w:trPr>
        <w:tc>
          <w:tcPr>
            <w:tcW w:w="3260" w:type="dxa"/>
            <w:tcBorders>
              <w:bottom w:val="single" w:sz="4" w:space="0" w:color="00B050"/>
            </w:tcBorders>
            <w:vAlign w:val="center"/>
          </w:tcPr>
          <w:p w14:paraId="4DA1DE36"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Library status</w:t>
            </w:r>
          </w:p>
        </w:tc>
        <w:sdt>
          <w:sdtPr>
            <w:rPr>
              <w:rFonts w:ascii="Arial" w:eastAsia="+mn-ea" w:hAnsi="Arial" w:cs="Arial"/>
              <w:position w:val="1"/>
              <w:sz w:val="22"/>
              <w:szCs w:val="22"/>
            </w:rPr>
            <w:id w:val="-914543100"/>
            <w:placeholder>
              <w:docPart w:val="DA14639F576F42D7814EAA55DE9BD96C"/>
            </w:placeholder>
            <w:dropDownList>
              <w:listItem w:value="Choose an item."/>
              <w:listItem w:displayText="Published in the Library" w:value="Published in the Library"/>
              <w:listItem w:displayText="Not to be published in the Library" w:value="Not to be published in the Library"/>
            </w:dropDownList>
          </w:sdtPr>
          <w:sdtContent>
            <w:tc>
              <w:tcPr>
                <w:tcW w:w="6805" w:type="dxa"/>
                <w:tcBorders>
                  <w:bottom w:val="single" w:sz="4" w:space="0" w:color="00B050"/>
                </w:tcBorders>
                <w:vAlign w:val="center"/>
              </w:tcPr>
              <w:p w14:paraId="55D692BC" w14:textId="77777777" w:rsidR="00DB69CA" w:rsidRPr="007A2C3A" w:rsidRDefault="00DB69CA" w:rsidP="005F24FE">
                <w:pPr>
                  <w:pStyle w:val="NormalWeb"/>
                  <w:spacing w:before="0" w:beforeAutospacing="0" w:after="0" w:afterAutospacing="0"/>
                  <w:ind w:left="142"/>
                  <w:rPr>
                    <w:rFonts w:ascii="Arial" w:eastAsia="+mn-ea" w:hAnsi="Arial" w:cs="Arial"/>
                    <w:position w:val="1"/>
                    <w:sz w:val="22"/>
                    <w:szCs w:val="22"/>
                  </w:rPr>
                </w:pPr>
                <w:r w:rsidRPr="007A2C3A">
                  <w:rPr>
                    <w:rFonts w:ascii="Arial" w:eastAsia="+mn-ea" w:hAnsi="Arial" w:cs="Arial"/>
                    <w:position w:val="1"/>
                    <w:sz w:val="22"/>
                    <w:szCs w:val="22"/>
                  </w:rPr>
                  <w:t>Published in the Library</w:t>
                </w:r>
              </w:p>
            </w:tc>
          </w:sdtContent>
        </w:sdt>
      </w:tr>
      <w:tr w:rsidR="00DB69CA" w:rsidRPr="007A2C3A" w14:paraId="0B0107F9" w14:textId="77777777" w:rsidTr="005F24FE">
        <w:trPr>
          <w:trHeight w:val="619"/>
        </w:trPr>
        <w:tc>
          <w:tcPr>
            <w:tcW w:w="3260" w:type="dxa"/>
            <w:tcBorders>
              <w:top w:val="single" w:sz="4" w:space="0" w:color="00B050"/>
              <w:bottom w:val="nil"/>
            </w:tcBorders>
            <w:vAlign w:val="center"/>
          </w:tcPr>
          <w:p w14:paraId="4F19C9A0" w14:textId="77777777" w:rsidR="00DB69CA" w:rsidRPr="007A2C3A" w:rsidRDefault="00DB69CA" w:rsidP="005F24FE">
            <w:pPr>
              <w:pStyle w:val="NormalWeb"/>
              <w:spacing w:before="0" w:beforeAutospacing="0" w:after="0" w:afterAutospacing="0"/>
              <w:ind w:left="57"/>
              <w:rPr>
                <w:rFonts w:ascii="Arial" w:eastAsia="+mn-ea" w:hAnsi="Arial" w:cs="Arial"/>
                <w:position w:val="1"/>
                <w:sz w:val="22"/>
                <w:szCs w:val="22"/>
              </w:rPr>
            </w:pPr>
            <w:r w:rsidRPr="007A2C3A">
              <w:rPr>
                <w:rFonts w:ascii="Arial" w:eastAsia="+mn-ea" w:hAnsi="Arial" w:cs="Arial"/>
                <w:position w:val="1"/>
                <w:sz w:val="22"/>
                <w:szCs w:val="22"/>
              </w:rPr>
              <w:t>Review date</w:t>
            </w:r>
          </w:p>
        </w:tc>
        <w:sdt>
          <w:sdtPr>
            <w:rPr>
              <w:rFonts w:ascii="Arial" w:eastAsia="+mn-ea" w:hAnsi="Arial" w:cs="Arial"/>
              <w:b/>
              <w:position w:val="1"/>
              <w:sz w:val="22"/>
              <w:szCs w:val="22"/>
            </w:rPr>
            <w:id w:val="-868377132"/>
            <w:placeholder>
              <w:docPart w:val="C82117F52D514FE4945898036A4A12D3"/>
            </w:placeholder>
            <w:date w:fullDate="2018-08-13T00:00:00Z">
              <w:dateFormat w:val="dd/MM/yyyy"/>
              <w:lid w:val="en-GB"/>
              <w:storeMappedDataAs w:val="dateTime"/>
              <w:calendar w:val="gregorian"/>
            </w:date>
          </w:sdtPr>
          <w:sdtContent>
            <w:tc>
              <w:tcPr>
                <w:tcW w:w="6805" w:type="dxa"/>
                <w:tcBorders>
                  <w:top w:val="single" w:sz="4" w:space="0" w:color="00B050"/>
                  <w:bottom w:val="nil"/>
                </w:tcBorders>
                <w:vAlign w:val="center"/>
              </w:tcPr>
              <w:p w14:paraId="2B58DC1D" w14:textId="77777777" w:rsidR="00DB69CA" w:rsidRPr="007A2C3A" w:rsidRDefault="00DB69CA" w:rsidP="005F24FE">
                <w:pPr>
                  <w:pStyle w:val="NormalWeb"/>
                  <w:spacing w:before="0" w:beforeAutospacing="0" w:after="0" w:afterAutospacing="0"/>
                  <w:ind w:left="142"/>
                  <w:rPr>
                    <w:rFonts w:ascii="Arial" w:eastAsia="+mn-ea" w:hAnsi="Arial" w:cs="Arial"/>
                    <w:b/>
                    <w:position w:val="1"/>
                    <w:sz w:val="22"/>
                    <w:szCs w:val="22"/>
                  </w:rPr>
                </w:pPr>
                <w:r w:rsidRPr="007A2C3A">
                  <w:rPr>
                    <w:rFonts w:ascii="Arial" w:eastAsia="+mn-ea" w:hAnsi="Arial" w:cs="Arial"/>
                    <w:b/>
                    <w:position w:val="1"/>
                    <w:sz w:val="22"/>
                    <w:szCs w:val="22"/>
                  </w:rPr>
                  <w:t>13/08/2018</w:t>
                </w:r>
              </w:p>
            </w:tc>
          </w:sdtContent>
        </w:sdt>
      </w:tr>
    </w:tbl>
    <w:p w14:paraId="419BA137" w14:textId="77777777" w:rsidR="00DB69CA" w:rsidRPr="007A2C3A" w:rsidRDefault="00DB69CA" w:rsidP="005F24FE">
      <w:pPr>
        <w:spacing w:before="240"/>
        <w:rPr>
          <w:rFonts w:ascii="Arial" w:eastAsia="+mn-ea" w:hAnsi="Arial" w:cs="Arial"/>
          <w:b/>
          <w:position w:val="1"/>
          <w:sz w:val="32"/>
          <w:szCs w:val="40"/>
          <w:lang w:eastAsia="en-GB"/>
        </w:rPr>
      </w:pPr>
    </w:p>
    <w:p w14:paraId="0A8498F2" w14:textId="77777777" w:rsidR="00DB69CA" w:rsidRPr="007A2C3A" w:rsidRDefault="00DB69CA" w:rsidP="005F24FE">
      <w:pPr>
        <w:spacing w:before="240"/>
        <w:rPr>
          <w:rFonts w:ascii="Arial" w:eastAsia="+mn-ea" w:hAnsi="Arial" w:cs="Arial"/>
          <w:b/>
          <w:position w:val="1"/>
          <w:sz w:val="32"/>
          <w:szCs w:val="40"/>
          <w:lang w:eastAsia="en-GB"/>
        </w:rPr>
      </w:pPr>
    </w:p>
    <w:p w14:paraId="1BEC26DA" w14:textId="46D16A67" w:rsidR="00DB69CA" w:rsidRPr="007A2C3A" w:rsidRDefault="00DB69CA" w:rsidP="005F24FE">
      <w:pPr>
        <w:spacing w:before="240"/>
        <w:rPr>
          <w:rFonts w:ascii="Arial" w:eastAsia="+mn-ea" w:hAnsi="Arial" w:cs="Arial"/>
          <w:b/>
          <w:position w:val="1"/>
          <w:sz w:val="32"/>
          <w:szCs w:val="40"/>
          <w:lang w:eastAsia="en-GB"/>
        </w:rPr>
      </w:pPr>
      <w:r w:rsidRPr="007A2C3A">
        <w:rPr>
          <w:rFonts w:ascii="Arial" w:eastAsia="+mn-ea" w:hAnsi="Arial" w:cs="Arial"/>
          <w:b/>
          <w:position w:val="1"/>
          <w:sz w:val="32"/>
          <w:szCs w:val="40"/>
          <w:lang w:eastAsia="en-GB"/>
        </w:rPr>
        <w:t>Final IGB Assurance Rating</w:t>
      </w:r>
      <w:r w:rsidR="00171740" w:rsidRPr="007A2C3A">
        <w:rPr>
          <w:rFonts w:ascii="Arial" w:eastAsia="+mn-ea" w:hAnsi="Arial" w:cs="Arial"/>
          <w:b/>
          <w:position w:val="1"/>
          <w:sz w:val="32"/>
          <w:szCs w:val="40"/>
          <w:lang w:eastAsia="en-GB"/>
        </w:rPr>
        <w:t>: Use with caution</w:t>
      </w:r>
    </w:p>
    <w:tbl>
      <w:tblPr>
        <w:tblStyle w:val="TableGrid"/>
        <w:tblW w:w="0" w:type="auto"/>
        <w:jc w:val="center"/>
        <w:tblLook w:val="04A0" w:firstRow="1" w:lastRow="0" w:firstColumn="1" w:lastColumn="0" w:noHBand="0" w:noVBand="1"/>
      </w:tblPr>
      <w:tblGrid>
        <w:gridCol w:w="709"/>
        <w:gridCol w:w="2552"/>
      </w:tblGrid>
      <w:tr w:rsidR="00171740" w:rsidRPr="007A2C3A" w14:paraId="7E185345" w14:textId="77777777" w:rsidTr="005F24FE">
        <w:trPr>
          <w:jc w:val="center"/>
        </w:trPr>
        <w:tc>
          <w:tcPr>
            <w:tcW w:w="709" w:type="dxa"/>
            <w:tcBorders>
              <w:bottom w:val="nil"/>
              <w:right w:val="nil"/>
            </w:tcBorders>
            <w:vAlign w:val="center"/>
          </w:tcPr>
          <w:p w14:paraId="55836EDA" w14:textId="16B87C45" w:rsidR="00171740" w:rsidRPr="007A2C3A" w:rsidRDefault="00171740" w:rsidP="005F24FE">
            <w:pPr>
              <w:jc w:val="center"/>
              <w:rPr>
                <w:rFonts w:ascii="Arial" w:eastAsia="+mn-ea" w:hAnsi="Arial" w:cs="Arial"/>
                <w:b/>
                <w:position w:val="1"/>
                <w:sz w:val="32"/>
                <w:szCs w:val="40"/>
              </w:rPr>
            </w:pPr>
          </w:p>
        </w:tc>
        <w:tc>
          <w:tcPr>
            <w:tcW w:w="2552" w:type="dxa"/>
            <w:tcBorders>
              <w:left w:val="nil"/>
              <w:bottom w:val="nil"/>
            </w:tcBorders>
            <w:vAlign w:val="center"/>
          </w:tcPr>
          <w:p w14:paraId="2E409170" w14:textId="3345CA01" w:rsidR="00171740" w:rsidRPr="007A2C3A" w:rsidRDefault="00171740" w:rsidP="005F24FE">
            <w:pPr>
              <w:spacing w:before="120" w:after="120"/>
              <w:rPr>
                <w:rFonts w:ascii="Arial" w:eastAsia="+mn-ea" w:hAnsi="Arial" w:cs="Arial"/>
                <w:b/>
                <w:position w:val="1"/>
                <w:szCs w:val="40"/>
              </w:rPr>
            </w:pPr>
            <w:r w:rsidRPr="007A2C3A">
              <w:rPr>
                <w:rFonts w:ascii="Arial" w:eastAsia="+mn-ea" w:hAnsi="Arial" w:cs="Arial"/>
                <w:b/>
                <w:position w:val="1"/>
                <w:szCs w:val="40"/>
              </w:rPr>
              <w:t>Clarity – fit for purpose</w:t>
            </w:r>
          </w:p>
        </w:tc>
      </w:tr>
      <w:tr w:rsidR="00171740" w:rsidRPr="007A2C3A" w14:paraId="01F69D5E" w14:textId="77777777" w:rsidTr="005F24FE">
        <w:trPr>
          <w:jc w:val="center"/>
        </w:trPr>
        <w:tc>
          <w:tcPr>
            <w:tcW w:w="709" w:type="dxa"/>
            <w:tcBorders>
              <w:top w:val="nil"/>
              <w:bottom w:val="nil"/>
              <w:right w:val="nil"/>
            </w:tcBorders>
            <w:vAlign w:val="center"/>
          </w:tcPr>
          <w:p w14:paraId="4C1B5767" w14:textId="3E841F02" w:rsidR="00171740" w:rsidRPr="007A2C3A" w:rsidRDefault="00171740" w:rsidP="005F24FE">
            <w:pPr>
              <w:jc w:val="center"/>
              <w:rPr>
                <w:rFonts w:ascii="Arial" w:eastAsia="+mn-ea" w:hAnsi="Arial" w:cs="Arial"/>
                <w:b/>
                <w:position w:val="1"/>
                <w:sz w:val="32"/>
                <w:szCs w:val="40"/>
              </w:rPr>
            </w:pPr>
          </w:p>
        </w:tc>
        <w:tc>
          <w:tcPr>
            <w:tcW w:w="2552" w:type="dxa"/>
            <w:tcBorders>
              <w:top w:val="nil"/>
              <w:left w:val="nil"/>
              <w:bottom w:val="nil"/>
            </w:tcBorders>
            <w:vAlign w:val="center"/>
          </w:tcPr>
          <w:p w14:paraId="4FF4EB60" w14:textId="00F10B33" w:rsidR="00171740" w:rsidRPr="007A2C3A" w:rsidRDefault="00171740" w:rsidP="005F24FE">
            <w:pPr>
              <w:spacing w:before="120" w:after="120"/>
              <w:rPr>
                <w:rFonts w:ascii="Arial" w:eastAsia="+mn-ea" w:hAnsi="Arial" w:cs="Arial"/>
                <w:b/>
                <w:position w:val="1"/>
                <w:szCs w:val="40"/>
              </w:rPr>
            </w:pPr>
            <w:r w:rsidRPr="007A2C3A">
              <w:rPr>
                <w:rFonts w:ascii="Arial" w:eastAsia="+mn-ea" w:hAnsi="Arial" w:cs="Arial"/>
                <w:b/>
                <w:position w:val="1"/>
                <w:szCs w:val="40"/>
              </w:rPr>
              <w:t>Rationale – fit for purpose with caveats</w:t>
            </w:r>
          </w:p>
        </w:tc>
      </w:tr>
      <w:tr w:rsidR="00171740" w:rsidRPr="007A2C3A" w14:paraId="02F50A85" w14:textId="77777777" w:rsidTr="005F24FE">
        <w:trPr>
          <w:jc w:val="center"/>
        </w:trPr>
        <w:tc>
          <w:tcPr>
            <w:tcW w:w="709" w:type="dxa"/>
            <w:tcBorders>
              <w:top w:val="nil"/>
              <w:bottom w:val="nil"/>
              <w:right w:val="nil"/>
            </w:tcBorders>
            <w:vAlign w:val="center"/>
          </w:tcPr>
          <w:p w14:paraId="2C010428" w14:textId="6DA6758D" w:rsidR="00171740" w:rsidRPr="007A2C3A" w:rsidRDefault="00171740" w:rsidP="005F24FE">
            <w:pPr>
              <w:jc w:val="center"/>
              <w:rPr>
                <w:rFonts w:ascii="Arial" w:eastAsia="+mn-ea" w:hAnsi="Arial" w:cs="Arial"/>
                <w:b/>
                <w:position w:val="1"/>
                <w:sz w:val="32"/>
                <w:szCs w:val="40"/>
              </w:rPr>
            </w:pPr>
          </w:p>
        </w:tc>
        <w:tc>
          <w:tcPr>
            <w:tcW w:w="2552" w:type="dxa"/>
            <w:tcBorders>
              <w:top w:val="nil"/>
              <w:left w:val="nil"/>
              <w:bottom w:val="nil"/>
            </w:tcBorders>
            <w:vAlign w:val="center"/>
          </w:tcPr>
          <w:p w14:paraId="3E0939A3" w14:textId="157686E8" w:rsidR="00171740" w:rsidRPr="007A2C3A" w:rsidRDefault="00171740" w:rsidP="005F24FE">
            <w:pPr>
              <w:spacing w:before="120" w:after="120"/>
              <w:rPr>
                <w:rFonts w:ascii="Arial" w:eastAsia="+mn-ea" w:hAnsi="Arial" w:cs="Arial"/>
                <w:b/>
                <w:position w:val="1"/>
                <w:szCs w:val="40"/>
              </w:rPr>
            </w:pPr>
            <w:r w:rsidRPr="007A2C3A">
              <w:rPr>
                <w:rFonts w:ascii="Arial" w:eastAsia="+mn-ea" w:hAnsi="Arial" w:cs="Arial"/>
                <w:b/>
                <w:position w:val="1"/>
                <w:szCs w:val="40"/>
              </w:rPr>
              <w:t>Data – not fit for purpose</w:t>
            </w:r>
          </w:p>
        </w:tc>
      </w:tr>
      <w:tr w:rsidR="00171740" w:rsidRPr="007A2C3A" w14:paraId="77348EA3" w14:textId="77777777" w:rsidTr="005F24FE">
        <w:trPr>
          <w:jc w:val="center"/>
        </w:trPr>
        <w:tc>
          <w:tcPr>
            <w:tcW w:w="709" w:type="dxa"/>
            <w:tcBorders>
              <w:top w:val="nil"/>
              <w:bottom w:val="nil"/>
              <w:right w:val="nil"/>
            </w:tcBorders>
            <w:vAlign w:val="center"/>
          </w:tcPr>
          <w:p w14:paraId="7DCC9EC3" w14:textId="5B21739D" w:rsidR="00171740" w:rsidRPr="007A2C3A" w:rsidRDefault="00171740" w:rsidP="005F24FE">
            <w:pPr>
              <w:jc w:val="center"/>
              <w:rPr>
                <w:rFonts w:ascii="Arial" w:eastAsia="+mn-ea" w:hAnsi="Arial" w:cs="Arial"/>
                <w:b/>
                <w:position w:val="1"/>
                <w:sz w:val="32"/>
                <w:szCs w:val="40"/>
              </w:rPr>
            </w:pPr>
          </w:p>
        </w:tc>
        <w:tc>
          <w:tcPr>
            <w:tcW w:w="2552" w:type="dxa"/>
            <w:tcBorders>
              <w:top w:val="nil"/>
              <w:left w:val="nil"/>
              <w:bottom w:val="nil"/>
            </w:tcBorders>
            <w:vAlign w:val="center"/>
          </w:tcPr>
          <w:p w14:paraId="2DF3A603" w14:textId="0127D390" w:rsidR="00171740" w:rsidRPr="007A2C3A" w:rsidRDefault="00171740" w:rsidP="005F24FE">
            <w:pPr>
              <w:spacing w:before="120" w:after="120"/>
              <w:rPr>
                <w:rFonts w:ascii="Arial" w:eastAsia="+mn-ea" w:hAnsi="Arial" w:cs="Arial"/>
                <w:b/>
                <w:position w:val="1"/>
                <w:szCs w:val="40"/>
              </w:rPr>
            </w:pPr>
            <w:r w:rsidRPr="007A2C3A">
              <w:rPr>
                <w:rFonts w:ascii="Arial" w:eastAsia="+mn-ea" w:hAnsi="Arial" w:cs="Arial"/>
                <w:b/>
                <w:position w:val="1"/>
                <w:szCs w:val="40"/>
              </w:rPr>
              <w:t>Construction fit for purpose with caveats</w:t>
            </w:r>
          </w:p>
        </w:tc>
      </w:tr>
      <w:tr w:rsidR="00171740" w:rsidRPr="007A2C3A" w14:paraId="5EDF6844" w14:textId="77777777" w:rsidTr="005F24FE">
        <w:trPr>
          <w:jc w:val="center"/>
        </w:trPr>
        <w:tc>
          <w:tcPr>
            <w:tcW w:w="709" w:type="dxa"/>
            <w:tcBorders>
              <w:top w:val="nil"/>
              <w:bottom w:val="nil"/>
              <w:right w:val="nil"/>
            </w:tcBorders>
            <w:vAlign w:val="center"/>
          </w:tcPr>
          <w:p w14:paraId="5CFA11D2" w14:textId="2D5D43E6" w:rsidR="00171740" w:rsidRPr="007A2C3A" w:rsidRDefault="00171740" w:rsidP="005F24FE">
            <w:pPr>
              <w:jc w:val="center"/>
              <w:rPr>
                <w:rFonts w:ascii="Arial" w:eastAsia="+mn-ea" w:hAnsi="Arial" w:cs="Arial"/>
                <w:b/>
                <w:position w:val="1"/>
                <w:sz w:val="32"/>
                <w:szCs w:val="40"/>
              </w:rPr>
            </w:pPr>
          </w:p>
        </w:tc>
        <w:tc>
          <w:tcPr>
            <w:tcW w:w="2552" w:type="dxa"/>
            <w:tcBorders>
              <w:top w:val="nil"/>
              <w:left w:val="nil"/>
              <w:bottom w:val="nil"/>
            </w:tcBorders>
            <w:vAlign w:val="center"/>
          </w:tcPr>
          <w:p w14:paraId="008A90BE" w14:textId="4AC13B35" w:rsidR="00171740" w:rsidRPr="007A2C3A" w:rsidRDefault="00171740" w:rsidP="005F24FE">
            <w:pPr>
              <w:spacing w:before="120" w:after="120"/>
              <w:rPr>
                <w:rFonts w:ascii="Arial" w:eastAsia="+mn-ea" w:hAnsi="Arial" w:cs="Arial"/>
                <w:b/>
                <w:position w:val="1"/>
                <w:szCs w:val="40"/>
              </w:rPr>
            </w:pPr>
            <w:r w:rsidRPr="007A2C3A">
              <w:rPr>
                <w:rFonts w:ascii="Arial" w:eastAsia="+mn-ea" w:hAnsi="Arial" w:cs="Arial"/>
                <w:b/>
                <w:position w:val="1"/>
                <w:szCs w:val="40"/>
              </w:rPr>
              <w:t>Interpretation fit for purpose with caveats</w:t>
            </w:r>
          </w:p>
        </w:tc>
      </w:tr>
      <w:tr w:rsidR="00171740" w:rsidRPr="007A2C3A" w14:paraId="3A5296D7" w14:textId="77777777" w:rsidTr="005F24FE">
        <w:trPr>
          <w:jc w:val="center"/>
        </w:trPr>
        <w:tc>
          <w:tcPr>
            <w:tcW w:w="709" w:type="dxa"/>
            <w:tcBorders>
              <w:top w:val="nil"/>
              <w:right w:val="nil"/>
            </w:tcBorders>
            <w:vAlign w:val="center"/>
          </w:tcPr>
          <w:p w14:paraId="67742A5B" w14:textId="6E029DAD" w:rsidR="00171740" w:rsidRPr="007A2C3A" w:rsidRDefault="00171740" w:rsidP="005F24FE">
            <w:pPr>
              <w:jc w:val="center"/>
              <w:rPr>
                <w:rFonts w:ascii="Arial" w:eastAsia="+mn-ea" w:hAnsi="Arial" w:cs="Arial"/>
                <w:b/>
                <w:position w:val="1"/>
                <w:sz w:val="32"/>
                <w:szCs w:val="40"/>
              </w:rPr>
            </w:pPr>
            <w:r w:rsidRPr="007A2C3A">
              <w:rPr>
                <w:rFonts w:ascii="Arial" w:eastAsia="+mn-ea" w:hAnsi="Arial" w:cs="Arial"/>
                <w:b/>
                <w:position w:val="1"/>
                <w:sz w:val="32"/>
                <w:szCs w:val="40"/>
              </w:rPr>
              <w:t xml:space="preserve"> </w:t>
            </w:r>
          </w:p>
        </w:tc>
        <w:tc>
          <w:tcPr>
            <w:tcW w:w="2552" w:type="dxa"/>
            <w:tcBorders>
              <w:top w:val="nil"/>
              <w:left w:val="nil"/>
            </w:tcBorders>
            <w:vAlign w:val="center"/>
          </w:tcPr>
          <w:p w14:paraId="6E89DF90" w14:textId="1DA67A8F" w:rsidR="00171740" w:rsidRPr="007A2C3A" w:rsidRDefault="00171740" w:rsidP="005F24FE">
            <w:pPr>
              <w:spacing w:before="120" w:after="120"/>
              <w:rPr>
                <w:rFonts w:ascii="Arial" w:eastAsia="+mn-ea" w:hAnsi="Arial" w:cs="Arial"/>
                <w:b/>
                <w:position w:val="1"/>
                <w:szCs w:val="40"/>
              </w:rPr>
            </w:pPr>
            <w:r w:rsidRPr="007A2C3A">
              <w:rPr>
                <w:rFonts w:ascii="Arial" w:eastAsia="+mn-ea" w:hAnsi="Arial" w:cs="Arial"/>
                <w:b/>
                <w:position w:val="1"/>
                <w:szCs w:val="40"/>
              </w:rPr>
              <w:t xml:space="preserve">Risks and Usefulness fit for purpose </w:t>
            </w:r>
          </w:p>
        </w:tc>
      </w:tr>
    </w:tbl>
    <w:p w14:paraId="0D7195F1" w14:textId="77777777" w:rsidR="00DB69CA" w:rsidRPr="007A2C3A" w:rsidRDefault="00DB69CA" w:rsidP="005F24FE">
      <w:pPr>
        <w:spacing w:before="240"/>
        <w:rPr>
          <w:rFonts w:ascii="Arial" w:eastAsia="+mn-ea" w:hAnsi="Arial" w:cs="Arial"/>
          <w:b/>
          <w:position w:val="1"/>
          <w:sz w:val="32"/>
          <w:szCs w:val="40"/>
          <w:lang w:eastAsia="en-GB"/>
        </w:rPr>
        <w:sectPr w:rsidR="00DB69CA" w:rsidRPr="007A2C3A" w:rsidSect="005F24FE">
          <w:headerReference w:type="first" r:id="rId19"/>
          <w:footerReference w:type="first" r:id="rId20"/>
          <w:pgSz w:w="11906" w:h="16838"/>
          <w:pgMar w:top="1021" w:right="1021" w:bottom="1021" w:left="1021" w:header="454" w:footer="680" w:gutter="0"/>
          <w:cols w:space="708"/>
          <w:docGrid w:linePitch="360"/>
        </w:sectPr>
      </w:pPr>
    </w:p>
    <w:p w14:paraId="5991FE3D" w14:textId="27791194" w:rsidR="00DB69CA" w:rsidRPr="007A2C3A" w:rsidRDefault="00DB69CA" w:rsidP="005F24FE">
      <w:pPr>
        <w:pStyle w:val="NormalWeb"/>
        <w:spacing w:before="0" w:beforeAutospacing="0" w:after="0" w:afterAutospacing="0"/>
        <w:ind w:left="-709" w:firstLine="142"/>
        <w:rPr>
          <w:rFonts w:ascii="Arial" w:eastAsia="+mn-ea" w:hAnsi="Arial" w:cs="Arial"/>
          <w:position w:val="1"/>
          <w:sz w:val="22"/>
          <w:szCs w:val="70"/>
        </w:rPr>
      </w:pPr>
      <w:r w:rsidRPr="007A2C3A">
        <w:rPr>
          <w:rFonts w:ascii="Arial" w:eastAsia="+mn-ea" w:hAnsi="Arial" w:cs="Arial"/>
          <w:position w:val="1"/>
          <w:sz w:val="44"/>
          <w:szCs w:val="70"/>
        </w:rPr>
        <w:t>Appraisal Log</w:t>
      </w:r>
    </w:p>
    <w:p w14:paraId="50D35322" w14:textId="77777777" w:rsidR="00DB69CA" w:rsidRPr="007A2C3A" w:rsidRDefault="00DB69CA" w:rsidP="005F24FE">
      <w:pPr>
        <w:pStyle w:val="NormalWeb"/>
        <w:spacing w:before="0" w:beforeAutospacing="0" w:after="0" w:afterAutospacing="0"/>
        <w:ind w:left="142"/>
        <w:rPr>
          <w:rFonts w:ascii="Arial" w:eastAsia="+mn-ea" w:hAnsi="Arial" w:cs="Arial"/>
          <w:position w:val="1"/>
          <w:sz w:val="16"/>
          <w:szCs w:val="70"/>
        </w:rPr>
      </w:pPr>
    </w:p>
    <w:p w14:paraId="56292B8C" w14:textId="77777777" w:rsidR="00DB69CA" w:rsidRPr="007A2C3A" w:rsidRDefault="00DB69CA" w:rsidP="005F24FE">
      <w:pPr>
        <w:pStyle w:val="NormalWeb"/>
        <w:spacing w:before="0" w:beforeAutospacing="0" w:after="0" w:afterAutospacing="0"/>
        <w:ind w:left="142"/>
        <w:rPr>
          <w:rFonts w:ascii="Arial" w:eastAsia="+mn-ea" w:hAnsi="Arial" w:cs="Arial"/>
          <w:position w:val="1"/>
          <w:sz w:val="16"/>
          <w:szCs w:val="70"/>
        </w:rPr>
      </w:pPr>
    </w:p>
    <w:tbl>
      <w:tblPr>
        <w:tblStyle w:val="TableGrid1"/>
        <w:tblW w:w="13609" w:type="dxa"/>
        <w:tblLayout w:type="fixed"/>
        <w:tblLook w:val="04A0" w:firstRow="1" w:lastRow="0" w:firstColumn="1" w:lastColumn="0" w:noHBand="0" w:noVBand="1"/>
      </w:tblPr>
      <w:tblGrid>
        <w:gridCol w:w="536"/>
        <w:gridCol w:w="4567"/>
        <w:gridCol w:w="993"/>
        <w:gridCol w:w="4252"/>
        <w:gridCol w:w="1134"/>
        <w:gridCol w:w="993"/>
        <w:gridCol w:w="1134"/>
      </w:tblGrid>
      <w:tr w:rsidR="00AC3D72" w:rsidRPr="007A2C3A" w14:paraId="4D15E0B5" w14:textId="77777777" w:rsidTr="00171740">
        <w:trPr>
          <w:trHeight w:val="531"/>
        </w:trPr>
        <w:tc>
          <w:tcPr>
            <w:tcW w:w="536" w:type="dxa"/>
          </w:tcPr>
          <w:p w14:paraId="04787ECB" w14:textId="77777777" w:rsidR="00DB69CA" w:rsidRPr="007A2C3A" w:rsidRDefault="00DB69CA" w:rsidP="005F24FE">
            <w:pPr>
              <w:rPr>
                <w:b/>
                <w:bCs/>
                <w:sz w:val="24"/>
                <w:szCs w:val="24"/>
              </w:rPr>
            </w:pPr>
            <w:r w:rsidRPr="007A2C3A">
              <w:rPr>
                <w:b/>
                <w:bCs/>
                <w:sz w:val="24"/>
                <w:szCs w:val="24"/>
              </w:rPr>
              <w:t>No</w:t>
            </w:r>
          </w:p>
        </w:tc>
        <w:tc>
          <w:tcPr>
            <w:tcW w:w="4567" w:type="dxa"/>
          </w:tcPr>
          <w:p w14:paraId="1DA4D890" w14:textId="77777777" w:rsidR="00DB69CA" w:rsidRPr="007A2C3A" w:rsidRDefault="00DB69CA" w:rsidP="005F24FE">
            <w:pPr>
              <w:rPr>
                <w:b/>
                <w:bCs/>
                <w:sz w:val="24"/>
                <w:szCs w:val="24"/>
              </w:rPr>
            </w:pPr>
            <w:r w:rsidRPr="007A2C3A">
              <w:rPr>
                <w:b/>
                <w:bCs/>
                <w:sz w:val="24"/>
                <w:szCs w:val="24"/>
              </w:rPr>
              <w:t>Issue or recommendation</w:t>
            </w:r>
          </w:p>
        </w:tc>
        <w:tc>
          <w:tcPr>
            <w:tcW w:w="993" w:type="dxa"/>
          </w:tcPr>
          <w:p w14:paraId="5814C33C" w14:textId="77777777" w:rsidR="00DB69CA" w:rsidRPr="007A2C3A" w:rsidRDefault="00DB69CA" w:rsidP="005F24FE">
            <w:pPr>
              <w:rPr>
                <w:b/>
                <w:bCs/>
              </w:rPr>
            </w:pPr>
            <w:r w:rsidRPr="007A2C3A">
              <w:rPr>
                <w:b/>
                <w:bCs/>
              </w:rPr>
              <w:t>Raised By/Date</w:t>
            </w:r>
          </w:p>
        </w:tc>
        <w:tc>
          <w:tcPr>
            <w:tcW w:w="4252" w:type="dxa"/>
          </w:tcPr>
          <w:p w14:paraId="2F92B41B" w14:textId="77777777" w:rsidR="00DB69CA" w:rsidRPr="007A2C3A" w:rsidRDefault="00DB69CA">
            <w:pPr>
              <w:rPr>
                <w:b/>
                <w:bCs/>
                <w:sz w:val="24"/>
                <w:szCs w:val="24"/>
              </w:rPr>
            </w:pPr>
            <w:r w:rsidRPr="007A2C3A">
              <w:rPr>
                <w:b/>
                <w:bCs/>
                <w:szCs w:val="24"/>
              </w:rPr>
              <w:t>Response / Action taken (if appropriate)</w:t>
            </w:r>
          </w:p>
        </w:tc>
        <w:tc>
          <w:tcPr>
            <w:tcW w:w="1134" w:type="dxa"/>
          </w:tcPr>
          <w:p w14:paraId="2A144B73" w14:textId="77777777" w:rsidR="00DB69CA" w:rsidRPr="007A2C3A" w:rsidRDefault="00DB69CA" w:rsidP="005F24FE">
            <w:pPr>
              <w:rPr>
                <w:b/>
                <w:bCs/>
                <w:sz w:val="18"/>
                <w:szCs w:val="18"/>
              </w:rPr>
            </w:pPr>
            <w:r w:rsidRPr="007A2C3A">
              <w:rPr>
                <w:b/>
                <w:bCs/>
                <w:sz w:val="18"/>
                <w:szCs w:val="18"/>
              </w:rPr>
              <w:t>Response date</w:t>
            </w:r>
          </w:p>
        </w:tc>
        <w:tc>
          <w:tcPr>
            <w:tcW w:w="993" w:type="dxa"/>
          </w:tcPr>
          <w:p w14:paraId="679F33DF" w14:textId="77777777" w:rsidR="00DB69CA" w:rsidRPr="007A2C3A" w:rsidRDefault="00DB69CA" w:rsidP="005F24FE">
            <w:pPr>
              <w:jc w:val="center"/>
              <w:rPr>
                <w:b/>
                <w:bCs/>
                <w:sz w:val="16"/>
                <w:szCs w:val="16"/>
              </w:rPr>
            </w:pPr>
            <w:r w:rsidRPr="007A2C3A">
              <w:rPr>
                <w:b/>
                <w:bCs/>
                <w:sz w:val="16"/>
                <w:szCs w:val="16"/>
              </w:rPr>
              <w:t>Resolved</w:t>
            </w:r>
          </w:p>
        </w:tc>
        <w:tc>
          <w:tcPr>
            <w:tcW w:w="1134" w:type="dxa"/>
          </w:tcPr>
          <w:p w14:paraId="6195DB95" w14:textId="77777777" w:rsidR="00DB69CA" w:rsidRPr="007A2C3A" w:rsidRDefault="00DB69CA" w:rsidP="005F24FE">
            <w:pPr>
              <w:rPr>
                <w:b/>
                <w:bCs/>
                <w:sz w:val="18"/>
                <w:szCs w:val="18"/>
              </w:rPr>
            </w:pPr>
            <w:r w:rsidRPr="007A2C3A">
              <w:rPr>
                <w:b/>
                <w:bCs/>
                <w:sz w:val="18"/>
                <w:szCs w:val="18"/>
              </w:rPr>
              <w:t>Checked by / Date</w:t>
            </w:r>
          </w:p>
        </w:tc>
      </w:tr>
      <w:tr w:rsidR="00AC3D72" w:rsidRPr="007A2C3A" w14:paraId="09FE2EDA" w14:textId="77777777" w:rsidTr="00171740">
        <w:trPr>
          <w:trHeight w:val="519"/>
        </w:trPr>
        <w:tc>
          <w:tcPr>
            <w:tcW w:w="536" w:type="dxa"/>
          </w:tcPr>
          <w:p w14:paraId="3A82AF9E" w14:textId="77777777" w:rsidR="00AC3D72" w:rsidRPr="007A2C3A" w:rsidRDefault="00AC3D72" w:rsidP="005F24FE">
            <w:pPr>
              <w:rPr>
                <w:sz w:val="18"/>
              </w:rPr>
            </w:pPr>
          </w:p>
        </w:tc>
        <w:tc>
          <w:tcPr>
            <w:tcW w:w="4567" w:type="dxa"/>
          </w:tcPr>
          <w:p w14:paraId="42981F09" w14:textId="6F1B223B" w:rsidR="00AC3D72" w:rsidRPr="007A2C3A" w:rsidRDefault="00AC3D72" w:rsidP="005F24FE">
            <w:pPr>
              <w:rPr>
                <w:sz w:val="18"/>
                <w:szCs w:val="18"/>
              </w:rPr>
            </w:pPr>
            <w:r w:rsidRPr="007A2C3A">
              <w:rPr>
                <w:b/>
                <w:sz w:val="18"/>
              </w:rPr>
              <w:t>Criterion:  CLARITY</w:t>
            </w:r>
          </w:p>
        </w:tc>
        <w:tc>
          <w:tcPr>
            <w:tcW w:w="993" w:type="dxa"/>
          </w:tcPr>
          <w:p w14:paraId="60EB6B04" w14:textId="77777777" w:rsidR="00AC3D72" w:rsidRPr="007A2C3A" w:rsidRDefault="00AC3D72" w:rsidP="005F24FE">
            <w:pPr>
              <w:rPr>
                <w:sz w:val="18"/>
                <w:szCs w:val="18"/>
              </w:rPr>
            </w:pPr>
          </w:p>
        </w:tc>
        <w:tc>
          <w:tcPr>
            <w:tcW w:w="4252" w:type="dxa"/>
          </w:tcPr>
          <w:p w14:paraId="427574FC" w14:textId="77777777" w:rsidR="00AC3D72" w:rsidRPr="007A2C3A" w:rsidRDefault="00AC3D72" w:rsidP="005F24FE">
            <w:pPr>
              <w:rPr>
                <w:sz w:val="18"/>
                <w:szCs w:val="18"/>
              </w:rPr>
            </w:pPr>
          </w:p>
        </w:tc>
        <w:tc>
          <w:tcPr>
            <w:tcW w:w="1134" w:type="dxa"/>
          </w:tcPr>
          <w:p w14:paraId="2F15BD0B" w14:textId="77777777" w:rsidR="00AC3D72" w:rsidRPr="007A2C3A" w:rsidRDefault="00AC3D72" w:rsidP="005F24FE">
            <w:pPr>
              <w:rPr>
                <w:sz w:val="18"/>
                <w:szCs w:val="18"/>
              </w:rPr>
            </w:pPr>
          </w:p>
        </w:tc>
        <w:tc>
          <w:tcPr>
            <w:tcW w:w="993" w:type="dxa"/>
          </w:tcPr>
          <w:p w14:paraId="70020C23" w14:textId="77777777" w:rsidR="00AC3D72" w:rsidRPr="007A2C3A" w:rsidRDefault="00AC3D72" w:rsidP="005F24FE">
            <w:pPr>
              <w:jc w:val="center"/>
              <w:rPr>
                <w:sz w:val="32"/>
              </w:rPr>
            </w:pPr>
          </w:p>
        </w:tc>
        <w:tc>
          <w:tcPr>
            <w:tcW w:w="1134" w:type="dxa"/>
          </w:tcPr>
          <w:p w14:paraId="19987CF3" w14:textId="77777777" w:rsidR="00AC3D72" w:rsidRPr="007A2C3A" w:rsidRDefault="00AC3D72" w:rsidP="005F24FE">
            <w:pPr>
              <w:rPr>
                <w:sz w:val="18"/>
              </w:rPr>
            </w:pPr>
          </w:p>
        </w:tc>
      </w:tr>
      <w:tr w:rsidR="00AC3D72" w:rsidRPr="007A2C3A" w14:paraId="63A1186D" w14:textId="77777777" w:rsidTr="00171740">
        <w:trPr>
          <w:trHeight w:val="519"/>
        </w:trPr>
        <w:tc>
          <w:tcPr>
            <w:tcW w:w="536" w:type="dxa"/>
          </w:tcPr>
          <w:p w14:paraId="58D51D2A" w14:textId="77777777" w:rsidR="00DB69CA" w:rsidRPr="007A2C3A" w:rsidRDefault="00DB69CA" w:rsidP="005F24FE">
            <w:pPr>
              <w:rPr>
                <w:sz w:val="18"/>
              </w:rPr>
            </w:pPr>
            <w:r w:rsidRPr="007A2C3A">
              <w:rPr>
                <w:sz w:val="18"/>
              </w:rPr>
              <w:t>1a</w:t>
            </w:r>
          </w:p>
        </w:tc>
        <w:tc>
          <w:tcPr>
            <w:tcW w:w="4567" w:type="dxa"/>
          </w:tcPr>
          <w:p w14:paraId="02CCA82E" w14:textId="77777777" w:rsidR="00DB69CA" w:rsidRPr="007A2C3A" w:rsidRDefault="00DB69CA" w:rsidP="005F24FE">
            <w:pPr>
              <w:rPr>
                <w:sz w:val="18"/>
                <w:szCs w:val="18"/>
              </w:rPr>
            </w:pPr>
            <w:r w:rsidRPr="007A2C3A">
              <w:rPr>
                <w:sz w:val="18"/>
                <w:szCs w:val="18"/>
              </w:rPr>
              <w:t>Recommendation made during the assurance of the NHS OF equivalent indicator:</w:t>
            </w:r>
          </w:p>
          <w:p w14:paraId="005CB0FA" w14:textId="77777777" w:rsidR="00DB69CA" w:rsidRPr="007A2C3A" w:rsidRDefault="00DB69CA" w:rsidP="005F24FE">
            <w:pPr>
              <w:rPr>
                <w:sz w:val="18"/>
                <w:szCs w:val="18"/>
              </w:rPr>
            </w:pPr>
          </w:p>
          <w:p w14:paraId="7EFE0624" w14:textId="77777777" w:rsidR="00DB69CA" w:rsidRPr="007A2C3A" w:rsidRDefault="00DB69CA" w:rsidP="005F24FE">
            <w:pPr>
              <w:rPr>
                <w:sz w:val="18"/>
                <w:szCs w:val="18"/>
              </w:rPr>
            </w:pPr>
            <w:r w:rsidRPr="007A2C3A">
              <w:rPr>
                <w:sz w:val="18"/>
                <w:szCs w:val="18"/>
              </w:rPr>
              <w:t>The description of indicator needs to be re-worded to better match what is being calculated – i.e. not just patients who recover to their previous levels of mobility but also those who have dropped by no more than one mobility category. DH to be approached for an alternative title.</w:t>
            </w:r>
          </w:p>
          <w:p w14:paraId="723E8111" w14:textId="77777777" w:rsidR="00DB69CA" w:rsidRPr="007A2C3A" w:rsidRDefault="00DB69CA" w:rsidP="005F24FE">
            <w:pPr>
              <w:rPr>
                <w:sz w:val="18"/>
                <w:szCs w:val="18"/>
              </w:rPr>
            </w:pPr>
          </w:p>
          <w:p w14:paraId="62EA4BB4" w14:textId="77777777" w:rsidR="00DB69CA" w:rsidRPr="007A2C3A" w:rsidRDefault="00DB69CA" w:rsidP="005F24FE">
            <w:pPr>
              <w:rPr>
                <w:sz w:val="18"/>
                <w:szCs w:val="18"/>
              </w:rPr>
            </w:pPr>
            <w:r w:rsidRPr="007A2C3A">
              <w:rPr>
                <w:sz w:val="18"/>
                <w:szCs w:val="18"/>
              </w:rPr>
              <w:t>IGB commented that the titling of the indicator does not reflect the description of the construction (i.e. numerator). It is recommended the definitions and descriptions used in the indicator are reviewed ahead of the Autumn 2013 publication.</w:t>
            </w:r>
          </w:p>
        </w:tc>
        <w:tc>
          <w:tcPr>
            <w:tcW w:w="993" w:type="dxa"/>
          </w:tcPr>
          <w:p w14:paraId="51673333" w14:textId="77777777" w:rsidR="00DB69CA" w:rsidRPr="007A2C3A" w:rsidRDefault="00DB69CA" w:rsidP="005F24FE">
            <w:pPr>
              <w:rPr>
                <w:sz w:val="18"/>
                <w:szCs w:val="18"/>
              </w:rPr>
            </w:pPr>
            <w:r w:rsidRPr="007A2C3A">
              <w:rPr>
                <w:sz w:val="18"/>
                <w:szCs w:val="18"/>
              </w:rPr>
              <w:t>MRG</w:t>
            </w:r>
          </w:p>
          <w:p w14:paraId="7F23FA33" w14:textId="77777777" w:rsidR="00DB69CA" w:rsidRPr="007A2C3A" w:rsidRDefault="00DB69CA" w:rsidP="005F24FE">
            <w:pPr>
              <w:rPr>
                <w:sz w:val="18"/>
                <w:szCs w:val="18"/>
              </w:rPr>
            </w:pPr>
          </w:p>
          <w:p w14:paraId="22426C18" w14:textId="77777777" w:rsidR="00DB69CA" w:rsidRPr="007A2C3A" w:rsidRDefault="00DB69CA" w:rsidP="005F24FE">
            <w:pPr>
              <w:rPr>
                <w:sz w:val="18"/>
                <w:szCs w:val="18"/>
              </w:rPr>
            </w:pPr>
            <w:r w:rsidRPr="007A2C3A">
              <w:rPr>
                <w:sz w:val="18"/>
                <w:szCs w:val="18"/>
              </w:rPr>
              <w:t>8/11/12</w:t>
            </w:r>
          </w:p>
          <w:p w14:paraId="6939880B" w14:textId="77777777" w:rsidR="00DB69CA" w:rsidRPr="007A2C3A" w:rsidRDefault="00DB69CA" w:rsidP="005F24FE">
            <w:pPr>
              <w:rPr>
                <w:sz w:val="18"/>
                <w:szCs w:val="18"/>
              </w:rPr>
            </w:pPr>
          </w:p>
          <w:p w14:paraId="5F24F818" w14:textId="77777777" w:rsidR="00DB69CA" w:rsidRPr="007A2C3A" w:rsidRDefault="00DB69CA" w:rsidP="005F24FE">
            <w:pPr>
              <w:rPr>
                <w:sz w:val="18"/>
                <w:szCs w:val="18"/>
              </w:rPr>
            </w:pPr>
          </w:p>
          <w:p w14:paraId="284E925A" w14:textId="77777777" w:rsidR="00DB69CA" w:rsidRPr="007A2C3A" w:rsidRDefault="00DB69CA" w:rsidP="005F24FE">
            <w:pPr>
              <w:rPr>
                <w:sz w:val="18"/>
                <w:szCs w:val="18"/>
              </w:rPr>
            </w:pPr>
          </w:p>
          <w:p w14:paraId="6951542B" w14:textId="77777777" w:rsidR="00DB69CA" w:rsidRPr="007A2C3A" w:rsidRDefault="00DB69CA" w:rsidP="005F24FE">
            <w:pPr>
              <w:rPr>
                <w:sz w:val="18"/>
                <w:szCs w:val="18"/>
              </w:rPr>
            </w:pPr>
          </w:p>
          <w:p w14:paraId="7016EEC7" w14:textId="77777777" w:rsidR="00DB69CA" w:rsidRPr="007A2C3A" w:rsidRDefault="00DB69CA" w:rsidP="005F24FE">
            <w:pPr>
              <w:rPr>
                <w:sz w:val="18"/>
                <w:szCs w:val="18"/>
              </w:rPr>
            </w:pPr>
          </w:p>
          <w:p w14:paraId="3AD33D7B" w14:textId="77777777" w:rsidR="00DB69CA" w:rsidRPr="007A2C3A" w:rsidRDefault="00DB69CA" w:rsidP="005F24FE">
            <w:pPr>
              <w:rPr>
                <w:sz w:val="18"/>
                <w:szCs w:val="18"/>
              </w:rPr>
            </w:pPr>
            <w:r w:rsidRPr="007A2C3A">
              <w:rPr>
                <w:sz w:val="18"/>
                <w:szCs w:val="18"/>
              </w:rPr>
              <w:t>IGB</w:t>
            </w:r>
          </w:p>
          <w:p w14:paraId="54EA74D2" w14:textId="77777777" w:rsidR="00DB69CA" w:rsidRPr="007A2C3A" w:rsidRDefault="00DB69CA" w:rsidP="005F24FE">
            <w:pPr>
              <w:rPr>
                <w:sz w:val="18"/>
                <w:szCs w:val="18"/>
              </w:rPr>
            </w:pPr>
          </w:p>
          <w:p w14:paraId="41906DA9" w14:textId="77777777" w:rsidR="00DB69CA" w:rsidRPr="007A2C3A" w:rsidRDefault="00DB69CA" w:rsidP="005F24FE">
            <w:pPr>
              <w:rPr>
                <w:sz w:val="18"/>
                <w:szCs w:val="18"/>
              </w:rPr>
            </w:pPr>
            <w:r w:rsidRPr="007A2C3A">
              <w:rPr>
                <w:sz w:val="18"/>
                <w:szCs w:val="18"/>
              </w:rPr>
              <w:t>30/11/12</w:t>
            </w:r>
          </w:p>
        </w:tc>
        <w:tc>
          <w:tcPr>
            <w:tcW w:w="4252" w:type="dxa"/>
          </w:tcPr>
          <w:p w14:paraId="5CCBD046" w14:textId="77777777" w:rsidR="00DB69CA" w:rsidRPr="007A2C3A" w:rsidRDefault="00DB69CA" w:rsidP="005F24FE">
            <w:pPr>
              <w:rPr>
                <w:sz w:val="18"/>
                <w:szCs w:val="18"/>
              </w:rPr>
            </w:pPr>
            <w:r w:rsidRPr="007A2C3A">
              <w:rPr>
                <w:sz w:val="18"/>
                <w:szCs w:val="18"/>
              </w:rPr>
              <w:t>As this indicator is defined within the NHS Outcomes Framework we are unable to change the actual title.  However, we have updated the definition of the indicator to make it clear that it also covers those patients who were one mobility category worse than previously.  The definition is now:</w:t>
            </w:r>
          </w:p>
          <w:p w14:paraId="1201EC24" w14:textId="77777777" w:rsidR="00DB69CA" w:rsidRPr="007A2C3A" w:rsidRDefault="00DB69CA" w:rsidP="005F24FE">
            <w:pPr>
              <w:rPr>
                <w:sz w:val="18"/>
                <w:szCs w:val="18"/>
              </w:rPr>
            </w:pPr>
            <w:r w:rsidRPr="007A2C3A">
              <w:rPr>
                <w:sz w:val="18"/>
                <w:szCs w:val="18"/>
              </w:rPr>
              <w:t>“The indicator measures the proportion of patients, expressed as a percentage, aged 60 or over recovering to a level of mobility at 30 days after their hip fracture, which was better, the same or only one mobility category worse than the mobility category prior to the hip fracture.”</w:t>
            </w:r>
          </w:p>
        </w:tc>
        <w:tc>
          <w:tcPr>
            <w:tcW w:w="1134" w:type="dxa"/>
          </w:tcPr>
          <w:p w14:paraId="6ECCEB54" w14:textId="77777777" w:rsidR="00DB69CA" w:rsidRPr="007A2C3A" w:rsidRDefault="00DB69CA" w:rsidP="005F24FE">
            <w:pPr>
              <w:rPr>
                <w:sz w:val="18"/>
                <w:szCs w:val="18"/>
              </w:rPr>
            </w:pPr>
            <w:r w:rsidRPr="007A2C3A">
              <w:rPr>
                <w:sz w:val="18"/>
                <w:szCs w:val="18"/>
              </w:rPr>
              <w:t>17/7/15</w:t>
            </w:r>
          </w:p>
        </w:tc>
        <w:sdt>
          <w:sdtPr>
            <w:rPr>
              <w:sz w:val="32"/>
            </w:rPr>
            <w:id w:val="1726257741"/>
            <w14:checkbox>
              <w14:checked w14:val="1"/>
              <w14:checkedState w14:val="00FE" w14:font="Wingdings"/>
              <w14:uncheckedState w14:val="006F" w14:font="Wingdings"/>
            </w14:checkbox>
          </w:sdtPr>
          <w:sdtContent>
            <w:tc>
              <w:tcPr>
                <w:tcW w:w="993" w:type="dxa"/>
              </w:tcPr>
              <w:p w14:paraId="466CF5F1" w14:textId="77777777" w:rsidR="00DB69CA" w:rsidRPr="007A2C3A" w:rsidRDefault="00DB69CA" w:rsidP="005F24FE">
                <w:pPr>
                  <w:jc w:val="center"/>
                  <w:rPr>
                    <w:sz w:val="18"/>
                  </w:rPr>
                </w:pPr>
                <w:r w:rsidRPr="007A2C3A">
                  <w:rPr>
                    <w:sz w:val="32"/>
                  </w:rPr>
                  <w:sym w:font="Wingdings" w:char="F0FE"/>
                </w:r>
              </w:p>
            </w:tc>
          </w:sdtContent>
        </w:sdt>
        <w:tc>
          <w:tcPr>
            <w:tcW w:w="1134" w:type="dxa"/>
          </w:tcPr>
          <w:p w14:paraId="5D240547" w14:textId="77777777" w:rsidR="00DB69CA" w:rsidRPr="007A2C3A" w:rsidRDefault="00DB69CA" w:rsidP="005F24FE">
            <w:pPr>
              <w:rPr>
                <w:sz w:val="18"/>
              </w:rPr>
            </w:pPr>
            <w:r w:rsidRPr="007A2C3A">
              <w:rPr>
                <w:sz w:val="18"/>
              </w:rPr>
              <w:t>MRG</w:t>
            </w:r>
          </w:p>
          <w:p w14:paraId="49EB4FC1" w14:textId="77777777" w:rsidR="00DB69CA" w:rsidRPr="007A2C3A" w:rsidRDefault="00DB69CA" w:rsidP="005F24FE">
            <w:pPr>
              <w:rPr>
                <w:sz w:val="18"/>
              </w:rPr>
            </w:pPr>
          </w:p>
          <w:p w14:paraId="635F8C95" w14:textId="77777777" w:rsidR="00DB69CA" w:rsidRPr="007A2C3A" w:rsidRDefault="00DB69CA" w:rsidP="005F24FE">
            <w:pPr>
              <w:rPr>
                <w:sz w:val="18"/>
              </w:rPr>
            </w:pPr>
            <w:r w:rsidRPr="007A2C3A">
              <w:rPr>
                <w:sz w:val="18"/>
              </w:rPr>
              <w:t>23/07/15</w:t>
            </w:r>
          </w:p>
        </w:tc>
      </w:tr>
      <w:tr w:rsidR="00AC3D72" w:rsidRPr="007A2C3A" w14:paraId="46473DF9" w14:textId="77777777" w:rsidTr="00171740">
        <w:trPr>
          <w:trHeight w:val="744"/>
        </w:trPr>
        <w:tc>
          <w:tcPr>
            <w:tcW w:w="536" w:type="dxa"/>
          </w:tcPr>
          <w:p w14:paraId="6583E186" w14:textId="77777777" w:rsidR="00AC3D72" w:rsidRPr="007A2C3A" w:rsidRDefault="00AC3D72" w:rsidP="00AC3D72">
            <w:pPr>
              <w:rPr>
                <w:sz w:val="18"/>
              </w:rPr>
            </w:pPr>
          </w:p>
        </w:tc>
        <w:tc>
          <w:tcPr>
            <w:tcW w:w="4567" w:type="dxa"/>
          </w:tcPr>
          <w:p w14:paraId="0F6FAE5F" w14:textId="7AC3E6DF" w:rsidR="00AC3D72" w:rsidRPr="007A2C3A" w:rsidRDefault="00AC3D72" w:rsidP="00AC3D72">
            <w:pPr>
              <w:rPr>
                <w:sz w:val="18"/>
                <w:szCs w:val="18"/>
              </w:rPr>
            </w:pPr>
            <w:r w:rsidRPr="007A2C3A">
              <w:rPr>
                <w:b/>
                <w:sz w:val="18"/>
                <w:szCs w:val="18"/>
              </w:rPr>
              <w:t>Criterion: RATIONALE</w:t>
            </w:r>
          </w:p>
        </w:tc>
        <w:tc>
          <w:tcPr>
            <w:tcW w:w="993" w:type="dxa"/>
          </w:tcPr>
          <w:p w14:paraId="4A811A13" w14:textId="77777777" w:rsidR="00AC3D72" w:rsidRPr="007A2C3A" w:rsidRDefault="00AC3D72" w:rsidP="00AC3D72">
            <w:pPr>
              <w:rPr>
                <w:sz w:val="18"/>
                <w:szCs w:val="18"/>
              </w:rPr>
            </w:pPr>
          </w:p>
        </w:tc>
        <w:tc>
          <w:tcPr>
            <w:tcW w:w="4252" w:type="dxa"/>
          </w:tcPr>
          <w:p w14:paraId="55D22125" w14:textId="77777777" w:rsidR="00AC3D72" w:rsidRPr="007A2C3A" w:rsidRDefault="00AC3D72" w:rsidP="00AC3D72">
            <w:pPr>
              <w:rPr>
                <w:sz w:val="18"/>
                <w:szCs w:val="18"/>
              </w:rPr>
            </w:pPr>
          </w:p>
        </w:tc>
        <w:tc>
          <w:tcPr>
            <w:tcW w:w="1134" w:type="dxa"/>
          </w:tcPr>
          <w:p w14:paraId="794E64E6" w14:textId="77777777" w:rsidR="00AC3D72" w:rsidRPr="007A2C3A" w:rsidRDefault="00AC3D72" w:rsidP="00AC3D72">
            <w:pPr>
              <w:jc w:val="center"/>
              <w:rPr>
                <w:sz w:val="18"/>
                <w:szCs w:val="18"/>
              </w:rPr>
            </w:pPr>
          </w:p>
        </w:tc>
        <w:tc>
          <w:tcPr>
            <w:tcW w:w="993" w:type="dxa"/>
          </w:tcPr>
          <w:p w14:paraId="4F81D14D" w14:textId="77777777" w:rsidR="00AC3D72" w:rsidRPr="007A2C3A" w:rsidRDefault="00AC3D72" w:rsidP="00AC3D72">
            <w:pPr>
              <w:jc w:val="center"/>
              <w:rPr>
                <w:sz w:val="32"/>
              </w:rPr>
            </w:pPr>
          </w:p>
        </w:tc>
        <w:tc>
          <w:tcPr>
            <w:tcW w:w="1134" w:type="dxa"/>
          </w:tcPr>
          <w:p w14:paraId="424759A7" w14:textId="77777777" w:rsidR="00AC3D72" w:rsidRPr="007A2C3A" w:rsidRDefault="00AC3D72" w:rsidP="00AC3D72">
            <w:pPr>
              <w:rPr>
                <w:sz w:val="18"/>
              </w:rPr>
            </w:pPr>
          </w:p>
        </w:tc>
      </w:tr>
      <w:tr w:rsidR="00AC3D72" w:rsidRPr="007A2C3A" w14:paraId="6DC2CC07" w14:textId="77777777" w:rsidTr="00171740">
        <w:trPr>
          <w:trHeight w:val="744"/>
        </w:trPr>
        <w:tc>
          <w:tcPr>
            <w:tcW w:w="536" w:type="dxa"/>
          </w:tcPr>
          <w:p w14:paraId="6C0CA493" w14:textId="77777777" w:rsidR="00AC3D72" w:rsidRPr="007A2C3A" w:rsidRDefault="00AC3D72" w:rsidP="00AC3D72">
            <w:pPr>
              <w:rPr>
                <w:sz w:val="18"/>
              </w:rPr>
            </w:pPr>
            <w:r w:rsidRPr="007A2C3A">
              <w:rPr>
                <w:sz w:val="18"/>
              </w:rPr>
              <w:t>2a</w:t>
            </w:r>
          </w:p>
        </w:tc>
        <w:tc>
          <w:tcPr>
            <w:tcW w:w="4567" w:type="dxa"/>
          </w:tcPr>
          <w:p w14:paraId="3C129862" w14:textId="77777777" w:rsidR="00AC3D72" w:rsidRPr="007A2C3A" w:rsidRDefault="00AC3D72" w:rsidP="00AC3D72">
            <w:pPr>
              <w:rPr>
                <w:sz w:val="18"/>
                <w:szCs w:val="18"/>
              </w:rPr>
            </w:pPr>
            <w:r w:rsidRPr="007A2C3A">
              <w:rPr>
                <w:sz w:val="18"/>
                <w:szCs w:val="18"/>
              </w:rPr>
              <w:t>The evidence/policy base for measuring patients at 30 and 120 days should be added to the paperwork.</w:t>
            </w:r>
          </w:p>
        </w:tc>
        <w:tc>
          <w:tcPr>
            <w:tcW w:w="993" w:type="dxa"/>
          </w:tcPr>
          <w:p w14:paraId="306CC08B" w14:textId="77777777" w:rsidR="00AC3D72" w:rsidRPr="007A2C3A" w:rsidRDefault="00AC3D72" w:rsidP="00AC3D72">
            <w:pPr>
              <w:rPr>
                <w:sz w:val="18"/>
                <w:szCs w:val="18"/>
              </w:rPr>
            </w:pPr>
            <w:r w:rsidRPr="007A2C3A">
              <w:rPr>
                <w:sz w:val="18"/>
                <w:szCs w:val="18"/>
              </w:rPr>
              <w:t>MRG</w:t>
            </w:r>
          </w:p>
          <w:p w14:paraId="57235F46" w14:textId="77777777" w:rsidR="00AC3D72" w:rsidRPr="007A2C3A" w:rsidRDefault="00AC3D72" w:rsidP="00AC3D72">
            <w:pPr>
              <w:rPr>
                <w:sz w:val="18"/>
                <w:szCs w:val="18"/>
              </w:rPr>
            </w:pPr>
          </w:p>
          <w:p w14:paraId="030AE4EA" w14:textId="77777777" w:rsidR="00AC3D72" w:rsidRPr="007A2C3A" w:rsidRDefault="00AC3D72" w:rsidP="00AC3D72">
            <w:pPr>
              <w:rPr>
                <w:sz w:val="18"/>
                <w:szCs w:val="18"/>
              </w:rPr>
            </w:pPr>
            <w:r w:rsidRPr="007A2C3A">
              <w:rPr>
                <w:sz w:val="18"/>
                <w:szCs w:val="18"/>
              </w:rPr>
              <w:t>23/07/15</w:t>
            </w:r>
          </w:p>
        </w:tc>
        <w:tc>
          <w:tcPr>
            <w:tcW w:w="4252" w:type="dxa"/>
          </w:tcPr>
          <w:p w14:paraId="53FC8860" w14:textId="77777777" w:rsidR="00AC3D72" w:rsidRPr="007A2C3A" w:rsidRDefault="00AC3D72" w:rsidP="00AC3D72">
            <w:pPr>
              <w:rPr>
                <w:sz w:val="18"/>
                <w:szCs w:val="18"/>
              </w:rPr>
            </w:pPr>
          </w:p>
        </w:tc>
        <w:tc>
          <w:tcPr>
            <w:tcW w:w="1134" w:type="dxa"/>
          </w:tcPr>
          <w:p w14:paraId="1A089A87" w14:textId="77777777" w:rsidR="00AC3D72" w:rsidRPr="007A2C3A" w:rsidRDefault="00AC3D72" w:rsidP="00AC3D72">
            <w:pPr>
              <w:jc w:val="center"/>
              <w:rPr>
                <w:sz w:val="18"/>
                <w:szCs w:val="18"/>
              </w:rPr>
            </w:pPr>
          </w:p>
        </w:tc>
        <w:sdt>
          <w:sdtPr>
            <w:rPr>
              <w:sz w:val="32"/>
            </w:rPr>
            <w:id w:val="-1223366796"/>
            <w14:checkbox>
              <w14:checked w14:val="0"/>
              <w14:checkedState w14:val="00FE" w14:font="Wingdings"/>
              <w14:uncheckedState w14:val="006F" w14:font="Wingdings"/>
            </w14:checkbox>
          </w:sdtPr>
          <w:sdtContent>
            <w:tc>
              <w:tcPr>
                <w:tcW w:w="993" w:type="dxa"/>
              </w:tcPr>
              <w:p w14:paraId="571CFABE" w14:textId="77777777" w:rsidR="00AC3D72" w:rsidRPr="007A2C3A" w:rsidRDefault="00AC3D72" w:rsidP="00AC3D72">
                <w:pPr>
                  <w:jc w:val="center"/>
                  <w:rPr>
                    <w:sz w:val="18"/>
                  </w:rPr>
                </w:pPr>
                <w:r w:rsidRPr="007A2C3A">
                  <w:rPr>
                    <w:sz w:val="32"/>
                  </w:rPr>
                  <w:sym w:font="Wingdings" w:char="F06F"/>
                </w:r>
              </w:p>
            </w:tc>
          </w:sdtContent>
        </w:sdt>
        <w:tc>
          <w:tcPr>
            <w:tcW w:w="1134" w:type="dxa"/>
          </w:tcPr>
          <w:p w14:paraId="0DCC32BA" w14:textId="77777777" w:rsidR="00AC3D72" w:rsidRPr="007A2C3A" w:rsidRDefault="00AC3D72" w:rsidP="00AC3D72">
            <w:pPr>
              <w:rPr>
                <w:sz w:val="18"/>
              </w:rPr>
            </w:pPr>
          </w:p>
        </w:tc>
      </w:tr>
      <w:tr w:rsidR="00AC3D72" w:rsidRPr="007A2C3A" w14:paraId="304D89E3" w14:textId="77777777" w:rsidTr="00171740">
        <w:trPr>
          <w:trHeight w:val="502"/>
        </w:trPr>
        <w:tc>
          <w:tcPr>
            <w:tcW w:w="536" w:type="dxa"/>
          </w:tcPr>
          <w:p w14:paraId="70E69353" w14:textId="77777777" w:rsidR="00AC3D72" w:rsidRPr="007A2C3A" w:rsidRDefault="00AC3D72" w:rsidP="00AC3D72">
            <w:pPr>
              <w:rPr>
                <w:sz w:val="18"/>
                <w:lang w:eastAsia="en-GB"/>
              </w:rPr>
            </w:pPr>
          </w:p>
        </w:tc>
        <w:tc>
          <w:tcPr>
            <w:tcW w:w="4567" w:type="dxa"/>
          </w:tcPr>
          <w:p w14:paraId="58AEDACD" w14:textId="6AA1D683" w:rsidR="00AC3D72" w:rsidRPr="007A2C3A" w:rsidRDefault="00AC3D72" w:rsidP="00AC3D72">
            <w:pPr>
              <w:rPr>
                <w:sz w:val="18"/>
                <w:szCs w:val="18"/>
              </w:rPr>
            </w:pPr>
            <w:r w:rsidRPr="007A2C3A">
              <w:rPr>
                <w:b/>
                <w:sz w:val="18"/>
                <w:szCs w:val="18"/>
              </w:rPr>
              <w:t>Criterion: DATA</w:t>
            </w:r>
          </w:p>
        </w:tc>
        <w:tc>
          <w:tcPr>
            <w:tcW w:w="993" w:type="dxa"/>
          </w:tcPr>
          <w:p w14:paraId="470CC9DB" w14:textId="77777777" w:rsidR="00AC3D72" w:rsidRPr="007A2C3A" w:rsidRDefault="00AC3D72" w:rsidP="00AC3D72">
            <w:pPr>
              <w:rPr>
                <w:sz w:val="18"/>
                <w:szCs w:val="18"/>
              </w:rPr>
            </w:pPr>
          </w:p>
        </w:tc>
        <w:tc>
          <w:tcPr>
            <w:tcW w:w="4252" w:type="dxa"/>
          </w:tcPr>
          <w:p w14:paraId="50A8B92A" w14:textId="77777777" w:rsidR="00AC3D72" w:rsidRPr="007A2C3A" w:rsidRDefault="00AC3D72" w:rsidP="00AC3D72">
            <w:pPr>
              <w:rPr>
                <w:sz w:val="18"/>
                <w:szCs w:val="18"/>
                <w:lang w:eastAsia="en-GB"/>
              </w:rPr>
            </w:pPr>
          </w:p>
        </w:tc>
        <w:tc>
          <w:tcPr>
            <w:tcW w:w="1134" w:type="dxa"/>
          </w:tcPr>
          <w:p w14:paraId="73D45B98" w14:textId="77777777" w:rsidR="00AC3D72" w:rsidRPr="007A2C3A" w:rsidRDefault="00AC3D72" w:rsidP="00AC3D72">
            <w:pPr>
              <w:jc w:val="center"/>
              <w:rPr>
                <w:sz w:val="18"/>
                <w:szCs w:val="18"/>
                <w:lang w:eastAsia="en-GB"/>
              </w:rPr>
            </w:pPr>
          </w:p>
        </w:tc>
        <w:tc>
          <w:tcPr>
            <w:tcW w:w="993" w:type="dxa"/>
          </w:tcPr>
          <w:p w14:paraId="34CAC02B" w14:textId="77777777" w:rsidR="00AC3D72" w:rsidRPr="007A2C3A" w:rsidRDefault="00AC3D72" w:rsidP="00AC3D72">
            <w:pPr>
              <w:jc w:val="center"/>
              <w:rPr>
                <w:sz w:val="32"/>
              </w:rPr>
            </w:pPr>
          </w:p>
        </w:tc>
        <w:tc>
          <w:tcPr>
            <w:tcW w:w="1134" w:type="dxa"/>
          </w:tcPr>
          <w:p w14:paraId="613B0577" w14:textId="77777777" w:rsidR="00AC3D72" w:rsidRPr="007A2C3A" w:rsidRDefault="00AC3D72" w:rsidP="00AC3D72">
            <w:pPr>
              <w:jc w:val="center"/>
              <w:rPr>
                <w:sz w:val="18"/>
                <w:lang w:eastAsia="en-GB"/>
              </w:rPr>
            </w:pPr>
          </w:p>
        </w:tc>
      </w:tr>
      <w:tr w:rsidR="00AC3D72" w:rsidRPr="007A2C3A" w14:paraId="0CAFB134" w14:textId="77777777" w:rsidTr="00171740">
        <w:trPr>
          <w:trHeight w:val="502"/>
        </w:trPr>
        <w:tc>
          <w:tcPr>
            <w:tcW w:w="536" w:type="dxa"/>
          </w:tcPr>
          <w:p w14:paraId="1334B522" w14:textId="77777777" w:rsidR="00AC3D72" w:rsidRPr="007A2C3A" w:rsidRDefault="00AC3D72" w:rsidP="00AC3D72">
            <w:pPr>
              <w:rPr>
                <w:sz w:val="18"/>
                <w:lang w:eastAsia="en-GB"/>
              </w:rPr>
            </w:pPr>
            <w:r w:rsidRPr="007A2C3A">
              <w:rPr>
                <w:sz w:val="18"/>
                <w:lang w:eastAsia="en-GB"/>
              </w:rPr>
              <w:t>3a</w:t>
            </w:r>
          </w:p>
        </w:tc>
        <w:tc>
          <w:tcPr>
            <w:tcW w:w="4567" w:type="dxa"/>
          </w:tcPr>
          <w:p w14:paraId="68158F13" w14:textId="77777777" w:rsidR="00AC3D72" w:rsidRPr="007A2C3A" w:rsidRDefault="00AC3D72" w:rsidP="00AC3D72">
            <w:pPr>
              <w:rPr>
                <w:sz w:val="18"/>
                <w:szCs w:val="18"/>
              </w:rPr>
            </w:pPr>
            <w:r w:rsidRPr="007A2C3A">
              <w:rPr>
                <w:sz w:val="18"/>
                <w:szCs w:val="18"/>
              </w:rPr>
              <w:t>Recommendation made during the assurance of the NHS OF equivalent indicator:</w:t>
            </w:r>
          </w:p>
          <w:p w14:paraId="1E1EAECF" w14:textId="77777777" w:rsidR="00AC3D72" w:rsidRPr="007A2C3A" w:rsidRDefault="00AC3D72" w:rsidP="00AC3D72">
            <w:pPr>
              <w:rPr>
                <w:sz w:val="18"/>
                <w:szCs w:val="18"/>
                <w:lang w:eastAsia="en-GB"/>
              </w:rPr>
            </w:pPr>
          </w:p>
          <w:p w14:paraId="1A250C0D" w14:textId="77777777" w:rsidR="00AC3D72" w:rsidRPr="007A2C3A" w:rsidRDefault="00AC3D72" w:rsidP="00AC3D72">
            <w:pPr>
              <w:rPr>
                <w:sz w:val="18"/>
                <w:szCs w:val="18"/>
                <w:lang w:eastAsia="en-GB"/>
              </w:rPr>
            </w:pPr>
            <w:r w:rsidRPr="007A2C3A">
              <w:rPr>
                <w:sz w:val="18"/>
                <w:szCs w:val="18"/>
                <w:lang w:eastAsia="en-GB"/>
              </w:rPr>
              <w:t>Clarification should be provided on the rationale for the exclusion of patients aged under 60</w:t>
            </w:r>
          </w:p>
        </w:tc>
        <w:tc>
          <w:tcPr>
            <w:tcW w:w="993" w:type="dxa"/>
          </w:tcPr>
          <w:p w14:paraId="1A4C01D4" w14:textId="77777777" w:rsidR="00AC3D72" w:rsidRPr="007A2C3A" w:rsidRDefault="00AC3D72" w:rsidP="00AC3D72">
            <w:pPr>
              <w:rPr>
                <w:sz w:val="18"/>
                <w:szCs w:val="18"/>
              </w:rPr>
            </w:pPr>
            <w:r w:rsidRPr="007A2C3A">
              <w:rPr>
                <w:sz w:val="18"/>
                <w:szCs w:val="18"/>
              </w:rPr>
              <w:t>MRG</w:t>
            </w:r>
          </w:p>
          <w:p w14:paraId="70EED0D8" w14:textId="77777777" w:rsidR="00AC3D72" w:rsidRPr="007A2C3A" w:rsidRDefault="00AC3D72" w:rsidP="00AC3D72">
            <w:pPr>
              <w:rPr>
                <w:sz w:val="18"/>
                <w:szCs w:val="18"/>
              </w:rPr>
            </w:pPr>
          </w:p>
          <w:p w14:paraId="14CEDC77" w14:textId="77777777" w:rsidR="00AC3D72" w:rsidRPr="007A2C3A" w:rsidRDefault="00AC3D72" w:rsidP="00AC3D72">
            <w:pPr>
              <w:rPr>
                <w:sz w:val="18"/>
                <w:szCs w:val="18"/>
              </w:rPr>
            </w:pPr>
            <w:r w:rsidRPr="007A2C3A">
              <w:rPr>
                <w:sz w:val="18"/>
                <w:szCs w:val="18"/>
              </w:rPr>
              <w:t>8/11/12</w:t>
            </w:r>
          </w:p>
        </w:tc>
        <w:tc>
          <w:tcPr>
            <w:tcW w:w="4252" w:type="dxa"/>
          </w:tcPr>
          <w:p w14:paraId="5EEC8D95" w14:textId="77777777" w:rsidR="00AC3D72" w:rsidRPr="007A2C3A" w:rsidRDefault="00AC3D72" w:rsidP="00AC3D72">
            <w:pPr>
              <w:rPr>
                <w:sz w:val="18"/>
                <w:szCs w:val="18"/>
                <w:lang w:eastAsia="en-GB"/>
              </w:rPr>
            </w:pPr>
            <w:r w:rsidRPr="007A2C3A">
              <w:rPr>
                <w:sz w:val="18"/>
                <w:szCs w:val="18"/>
                <w:lang w:eastAsia="en-GB"/>
              </w:rPr>
              <w:t>Data for the under 60s isn’t collected as part of the NHFD.</w:t>
            </w:r>
          </w:p>
        </w:tc>
        <w:tc>
          <w:tcPr>
            <w:tcW w:w="1134" w:type="dxa"/>
          </w:tcPr>
          <w:p w14:paraId="34006A7E" w14:textId="77777777" w:rsidR="00AC3D72" w:rsidRPr="007A2C3A" w:rsidRDefault="00AC3D72" w:rsidP="00AC3D72">
            <w:pPr>
              <w:jc w:val="center"/>
              <w:rPr>
                <w:sz w:val="18"/>
                <w:szCs w:val="18"/>
                <w:lang w:eastAsia="en-GB"/>
              </w:rPr>
            </w:pPr>
            <w:r w:rsidRPr="007A2C3A">
              <w:rPr>
                <w:sz w:val="18"/>
                <w:szCs w:val="18"/>
                <w:lang w:eastAsia="en-GB"/>
              </w:rPr>
              <w:t>17/07/15</w:t>
            </w:r>
          </w:p>
        </w:tc>
        <w:sdt>
          <w:sdtPr>
            <w:rPr>
              <w:sz w:val="32"/>
            </w:rPr>
            <w:id w:val="-289207334"/>
            <w14:checkbox>
              <w14:checked w14:val="1"/>
              <w14:checkedState w14:val="00FE" w14:font="Wingdings"/>
              <w14:uncheckedState w14:val="006F" w14:font="Wingdings"/>
            </w14:checkbox>
          </w:sdtPr>
          <w:sdtContent>
            <w:tc>
              <w:tcPr>
                <w:tcW w:w="993" w:type="dxa"/>
              </w:tcPr>
              <w:p w14:paraId="0F0223B1" w14:textId="77777777" w:rsidR="00AC3D72" w:rsidRPr="007A2C3A" w:rsidRDefault="00AC3D72" w:rsidP="00AC3D72">
                <w:pPr>
                  <w:jc w:val="center"/>
                  <w:rPr>
                    <w:sz w:val="32"/>
                  </w:rPr>
                </w:pPr>
                <w:r w:rsidRPr="007A2C3A">
                  <w:rPr>
                    <w:sz w:val="32"/>
                  </w:rPr>
                  <w:sym w:font="Wingdings" w:char="F0FE"/>
                </w:r>
              </w:p>
            </w:tc>
          </w:sdtContent>
        </w:sdt>
        <w:tc>
          <w:tcPr>
            <w:tcW w:w="1134" w:type="dxa"/>
          </w:tcPr>
          <w:p w14:paraId="601FEE74" w14:textId="77777777" w:rsidR="00AC3D72" w:rsidRPr="007A2C3A" w:rsidRDefault="00AC3D72" w:rsidP="00AC3D72">
            <w:pPr>
              <w:jc w:val="center"/>
              <w:rPr>
                <w:sz w:val="18"/>
                <w:lang w:eastAsia="en-GB"/>
              </w:rPr>
            </w:pPr>
            <w:r w:rsidRPr="007A2C3A">
              <w:rPr>
                <w:sz w:val="18"/>
                <w:lang w:eastAsia="en-GB"/>
              </w:rPr>
              <w:t>MRG</w:t>
            </w:r>
          </w:p>
          <w:p w14:paraId="440BB7F9" w14:textId="77777777" w:rsidR="00AC3D72" w:rsidRPr="007A2C3A" w:rsidRDefault="00AC3D72" w:rsidP="00AC3D72">
            <w:pPr>
              <w:jc w:val="center"/>
              <w:rPr>
                <w:sz w:val="18"/>
                <w:lang w:eastAsia="en-GB"/>
              </w:rPr>
            </w:pPr>
          </w:p>
          <w:p w14:paraId="109DB183" w14:textId="77777777" w:rsidR="00AC3D72" w:rsidRPr="007A2C3A" w:rsidRDefault="00AC3D72" w:rsidP="00AC3D72">
            <w:pPr>
              <w:jc w:val="center"/>
              <w:rPr>
                <w:sz w:val="18"/>
                <w:lang w:eastAsia="en-GB"/>
              </w:rPr>
            </w:pPr>
            <w:r w:rsidRPr="007A2C3A">
              <w:rPr>
                <w:sz w:val="18"/>
                <w:lang w:eastAsia="en-GB"/>
              </w:rPr>
              <w:t>23/07/15</w:t>
            </w:r>
          </w:p>
        </w:tc>
      </w:tr>
      <w:tr w:rsidR="00AC3D72" w:rsidRPr="007A2C3A" w14:paraId="73ABF5D4" w14:textId="77777777" w:rsidTr="00171740">
        <w:trPr>
          <w:trHeight w:val="502"/>
        </w:trPr>
        <w:tc>
          <w:tcPr>
            <w:tcW w:w="536" w:type="dxa"/>
          </w:tcPr>
          <w:p w14:paraId="4B2DDDB9" w14:textId="77777777" w:rsidR="00AC3D72" w:rsidRPr="007A2C3A" w:rsidRDefault="00AC3D72" w:rsidP="00AC3D72">
            <w:pPr>
              <w:rPr>
                <w:sz w:val="18"/>
                <w:lang w:eastAsia="en-GB"/>
              </w:rPr>
            </w:pPr>
            <w:r w:rsidRPr="007A2C3A">
              <w:rPr>
                <w:sz w:val="18"/>
                <w:lang w:eastAsia="en-GB"/>
              </w:rPr>
              <w:t>3b</w:t>
            </w:r>
          </w:p>
        </w:tc>
        <w:tc>
          <w:tcPr>
            <w:tcW w:w="4567" w:type="dxa"/>
          </w:tcPr>
          <w:p w14:paraId="399FE723" w14:textId="77777777" w:rsidR="00AC3D72" w:rsidRPr="007A2C3A" w:rsidRDefault="00AC3D72" w:rsidP="00AC3D72">
            <w:pPr>
              <w:rPr>
                <w:sz w:val="18"/>
                <w:szCs w:val="18"/>
                <w:lang w:eastAsia="en-GB"/>
              </w:rPr>
            </w:pPr>
            <w:r w:rsidRPr="007A2C3A">
              <w:rPr>
                <w:sz w:val="18"/>
                <w:szCs w:val="18"/>
                <w:lang w:eastAsia="en-GB"/>
              </w:rPr>
              <w:t>The percentage of cases included in the indicator is very low, which makes sample bias very likely. In addition, due to small numbers, a large percentage of results are suppressed.</w:t>
            </w:r>
          </w:p>
        </w:tc>
        <w:tc>
          <w:tcPr>
            <w:tcW w:w="993" w:type="dxa"/>
          </w:tcPr>
          <w:p w14:paraId="4672F6E4" w14:textId="77777777" w:rsidR="00AC3D72" w:rsidRPr="007A2C3A" w:rsidRDefault="00AC3D72" w:rsidP="00AC3D72">
            <w:pPr>
              <w:rPr>
                <w:sz w:val="18"/>
                <w:szCs w:val="18"/>
              </w:rPr>
            </w:pPr>
            <w:r w:rsidRPr="007A2C3A">
              <w:rPr>
                <w:sz w:val="18"/>
                <w:szCs w:val="18"/>
              </w:rPr>
              <w:t>MRG</w:t>
            </w:r>
          </w:p>
          <w:p w14:paraId="4376661D" w14:textId="77777777" w:rsidR="00AC3D72" w:rsidRPr="007A2C3A" w:rsidRDefault="00AC3D72" w:rsidP="00AC3D72">
            <w:pPr>
              <w:rPr>
                <w:sz w:val="18"/>
                <w:szCs w:val="18"/>
              </w:rPr>
            </w:pPr>
          </w:p>
          <w:p w14:paraId="303845D8" w14:textId="77777777" w:rsidR="00AC3D72" w:rsidRPr="007A2C3A" w:rsidRDefault="00AC3D72" w:rsidP="00AC3D72">
            <w:pPr>
              <w:rPr>
                <w:sz w:val="18"/>
                <w:szCs w:val="18"/>
                <w:lang w:eastAsia="en-GB"/>
              </w:rPr>
            </w:pPr>
            <w:r w:rsidRPr="007A2C3A">
              <w:rPr>
                <w:sz w:val="18"/>
                <w:szCs w:val="18"/>
              </w:rPr>
              <w:t>23/07/15</w:t>
            </w:r>
          </w:p>
        </w:tc>
        <w:tc>
          <w:tcPr>
            <w:tcW w:w="4252" w:type="dxa"/>
          </w:tcPr>
          <w:p w14:paraId="79DC4B1A" w14:textId="77777777" w:rsidR="00AC3D72" w:rsidRPr="007A2C3A" w:rsidRDefault="00AC3D72" w:rsidP="00AC3D72">
            <w:pPr>
              <w:rPr>
                <w:sz w:val="18"/>
                <w:szCs w:val="18"/>
                <w:lang w:eastAsia="en-GB"/>
              </w:rPr>
            </w:pPr>
          </w:p>
        </w:tc>
        <w:tc>
          <w:tcPr>
            <w:tcW w:w="1134" w:type="dxa"/>
          </w:tcPr>
          <w:p w14:paraId="133A2A45" w14:textId="77777777" w:rsidR="00AC3D72" w:rsidRPr="007A2C3A" w:rsidRDefault="00AC3D72" w:rsidP="00AC3D72">
            <w:pPr>
              <w:jc w:val="center"/>
              <w:rPr>
                <w:sz w:val="18"/>
                <w:szCs w:val="18"/>
                <w:lang w:eastAsia="en-GB"/>
              </w:rPr>
            </w:pPr>
          </w:p>
        </w:tc>
        <w:tc>
          <w:tcPr>
            <w:tcW w:w="993" w:type="dxa"/>
          </w:tcPr>
          <w:p w14:paraId="39745C6D" w14:textId="77777777" w:rsidR="00AC3D72" w:rsidRPr="007A2C3A" w:rsidRDefault="00AC3D72" w:rsidP="00AC3D72">
            <w:pPr>
              <w:jc w:val="center"/>
              <w:rPr>
                <w:sz w:val="18"/>
                <w:lang w:eastAsia="en-GB"/>
              </w:rPr>
            </w:pPr>
          </w:p>
        </w:tc>
        <w:tc>
          <w:tcPr>
            <w:tcW w:w="1134" w:type="dxa"/>
          </w:tcPr>
          <w:p w14:paraId="400AA6C0" w14:textId="77777777" w:rsidR="00AC3D72" w:rsidRPr="007A2C3A" w:rsidRDefault="00AC3D72" w:rsidP="00AC3D72">
            <w:pPr>
              <w:jc w:val="center"/>
              <w:rPr>
                <w:sz w:val="18"/>
                <w:lang w:eastAsia="en-GB"/>
              </w:rPr>
            </w:pPr>
          </w:p>
        </w:tc>
      </w:tr>
      <w:tr w:rsidR="00AC3D72" w:rsidRPr="007A2C3A" w14:paraId="7F4F6012" w14:textId="77777777" w:rsidTr="00171740">
        <w:trPr>
          <w:trHeight w:val="502"/>
        </w:trPr>
        <w:tc>
          <w:tcPr>
            <w:tcW w:w="536" w:type="dxa"/>
          </w:tcPr>
          <w:p w14:paraId="2702BD4E" w14:textId="77777777" w:rsidR="00AC3D72" w:rsidRPr="007A2C3A" w:rsidRDefault="00AC3D72" w:rsidP="00AC3D72">
            <w:pPr>
              <w:rPr>
                <w:sz w:val="18"/>
                <w:lang w:eastAsia="en-GB"/>
              </w:rPr>
            </w:pPr>
            <w:r w:rsidRPr="007A2C3A">
              <w:rPr>
                <w:sz w:val="18"/>
                <w:lang w:eastAsia="en-GB"/>
              </w:rPr>
              <w:t>3c</w:t>
            </w:r>
          </w:p>
        </w:tc>
        <w:tc>
          <w:tcPr>
            <w:tcW w:w="4567" w:type="dxa"/>
          </w:tcPr>
          <w:p w14:paraId="2F251368" w14:textId="77777777" w:rsidR="00AC3D72" w:rsidRPr="007A2C3A" w:rsidRDefault="00AC3D72" w:rsidP="00AC3D72">
            <w:pPr>
              <w:rPr>
                <w:sz w:val="18"/>
                <w:szCs w:val="18"/>
                <w:lang w:eastAsia="en-GB"/>
              </w:rPr>
            </w:pPr>
            <w:r w:rsidRPr="007A2C3A">
              <w:rPr>
                <w:sz w:val="18"/>
                <w:szCs w:val="18"/>
                <w:lang w:eastAsia="en-GB"/>
              </w:rPr>
              <w:t>Related to the point above, there are no incentives to improve the data quality, and as the mobility levels are self-reported, there is no clear mechanism for improvement.</w:t>
            </w:r>
          </w:p>
        </w:tc>
        <w:tc>
          <w:tcPr>
            <w:tcW w:w="993" w:type="dxa"/>
          </w:tcPr>
          <w:p w14:paraId="3C664DDB" w14:textId="77777777" w:rsidR="00AC3D72" w:rsidRPr="007A2C3A" w:rsidRDefault="00AC3D72" w:rsidP="00AC3D72">
            <w:pPr>
              <w:rPr>
                <w:sz w:val="18"/>
                <w:szCs w:val="18"/>
              </w:rPr>
            </w:pPr>
            <w:r w:rsidRPr="007A2C3A">
              <w:rPr>
                <w:sz w:val="18"/>
                <w:szCs w:val="18"/>
              </w:rPr>
              <w:t>MRG</w:t>
            </w:r>
          </w:p>
          <w:p w14:paraId="3BC59291" w14:textId="77777777" w:rsidR="00AC3D72" w:rsidRPr="007A2C3A" w:rsidRDefault="00AC3D72" w:rsidP="00AC3D72">
            <w:pPr>
              <w:rPr>
                <w:sz w:val="18"/>
                <w:szCs w:val="18"/>
              </w:rPr>
            </w:pPr>
          </w:p>
          <w:p w14:paraId="25948D82" w14:textId="77777777" w:rsidR="00AC3D72" w:rsidRPr="007A2C3A" w:rsidRDefault="00AC3D72" w:rsidP="00AC3D72">
            <w:pPr>
              <w:rPr>
                <w:sz w:val="18"/>
                <w:szCs w:val="18"/>
                <w:lang w:eastAsia="en-GB"/>
              </w:rPr>
            </w:pPr>
            <w:r w:rsidRPr="007A2C3A">
              <w:rPr>
                <w:sz w:val="18"/>
                <w:szCs w:val="18"/>
              </w:rPr>
              <w:t>23/07/15</w:t>
            </w:r>
          </w:p>
        </w:tc>
        <w:tc>
          <w:tcPr>
            <w:tcW w:w="4252" w:type="dxa"/>
          </w:tcPr>
          <w:p w14:paraId="4F057CFB" w14:textId="77777777" w:rsidR="00AC3D72" w:rsidRPr="007A2C3A" w:rsidRDefault="00AC3D72" w:rsidP="00AC3D72">
            <w:pPr>
              <w:rPr>
                <w:sz w:val="18"/>
                <w:szCs w:val="18"/>
                <w:lang w:eastAsia="en-GB"/>
              </w:rPr>
            </w:pPr>
            <w:r w:rsidRPr="007A2C3A">
              <w:rPr>
                <w:sz w:val="18"/>
                <w:szCs w:val="18"/>
                <w:lang w:eastAsia="en-GB"/>
              </w:rPr>
              <w:t>IGB noted MRG’s concern around the poor data quality of the indicators and suggested that feedback was need to be given to NICE around the lack of mandate to collect some of the data fields used in the indicator.</w:t>
            </w:r>
          </w:p>
          <w:p w14:paraId="20989156" w14:textId="77777777" w:rsidR="00AC3D72" w:rsidRPr="007A2C3A" w:rsidRDefault="00AC3D72" w:rsidP="00AC3D72">
            <w:pPr>
              <w:rPr>
                <w:sz w:val="18"/>
                <w:szCs w:val="18"/>
                <w:lang w:eastAsia="en-GB"/>
              </w:rPr>
            </w:pPr>
          </w:p>
        </w:tc>
        <w:tc>
          <w:tcPr>
            <w:tcW w:w="1134" w:type="dxa"/>
          </w:tcPr>
          <w:p w14:paraId="180C5627" w14:textId="77777777" w:rsidR="00AC3D72" w:rsidRPr="007A2C3A" w:rsidRDefault="00AC3D72" w:rsidP="00AC3D72">
            <w:pPr>
              <w:jc w:val="center"/>
              <w:rPr>
                <w:sz w:val="18"/>
                <w:szCs w:val="18"/>
                <w:lang w:eastAsia="en-GB"/>
              </w:rPr>
            </w:pPr>
          </w:p>
        </w:tc>
        <w:tc>
          <w:tcPr>
            <w:tcW w:w="993" w:type="dxa"/>
          </w:tcPr>
          <w:p w14:paraId="2C51DBB4" w14:textId="77777777" w:rsidR="00AC3D72" w:rsidRPr="007A2C3A" w:rsidRDefault="00AC3D72" w:rsidP="00AC3D72">
            <w:pPr>
              <w:jc w:val="center"/>
              <w:rPr>
                <w:sz w:val="32"/>
              </w:rPr>
            </w:pPr>
          </w:p>
        </w:tc>
        <w:tc>
          <w:tcPr>
            <w:tcW w:w="1134" w:type="dxa"/>
          </w:tcPr>
          <w:p w14:paraId="5B665172" w14:textId="77777777" w:rsidR="00AC3D72" w:rsidRPr="007A2C3A" w:rsidRDefault="00AC3D72" w:rsidP="00AC3D72">
            <w:pPr>
              <w:jc w:val="center"/>
              <w:rPr>
                <w:sz w:val="18"/>
                <w:lang w:eastAsia="en-GB"/>
              </w:rPr>
            </w:pPr>
          </w:p>
        </w:tc>
      </w:tr>
      <w:tr w:rsidR="00171740" w:rsidRPr="007A2C3A" w14:paraId="3BDEBAD7" w14:textId="77777777" w:rsidTr="00171740">
        <w:trPr>
          <w:trHeight w:val="371"/>
        </w:trPr>
        <w:tc>
          <w:tcPr>
            <w:tcW w:w="536" w:type="dxa"/>
          </w:tcPr>
          <w:p w14:paraId="6E83C2B3" w14:textId="77777777" w:rsidR="00171740" w:rsidRPr="007A2C3A" w:rsidRDefault="00171740" w:rsidP="00AC3D72">
            <w:pPr>
              <w:rPr>
                <w:lang w:eastAsia="en-GB"/>
              </w:rPr>
            </w:pPr>
          </w:p>
        </w:tc>
        <w:tc>
          <w:tcPr>
            <w:tcW w:w="4567" w:type="dxa"/>
          </w:tcPr>
          <w:p w14:paraId="4FD14D01" w14:textId="5543F357" w:rsidR="00171740" w:rsidRPr="007A2C3A" w:rsidRDefault="00171740" w:rsidP="00AC3D72">
            <w:pPr>
              <w:rPr>
                <w:sz w:val="18"/>
                <w:szCs w:val="18"/>
                <w:lang w:eastAsia="en-GB"/>
              </w:rPr>
            </w:pPr>
            <w:r w:rsidRPr="007A2C3A">
              <w:rPr>
                <w:b/>
                <w:sz w:val="18"/>
                <w:szCs w:val="18"/>
              </w:rPr>
              <w:t>Criterion: CONSTRUCTION</w:t>
            </w:r>
          </w:p>
        </w:tc>
        <w:tc>
          <w:tcPr>
            <w:tcW w:w="993" w:type="dxa"/>
          </w:tcPr>
          <w:p w14:paraId="2B84027F" w14:textId="77777777" w:rsidR="00171740" w:rsidRPr="007A2C3A" w:rsidRDefault="00171740" w:rsidP="00AC3D72">
            <w:pPr>
              <w:rPr>
                <w:sz w:val="18"/>
                <w:szCs w:val="18"/>
              </w:rPr>
            </w:pPr>
          </w:p>
        </w:tc>
        <w:tc>
          <w:tcPr>
            <w:tcW w:w="4252" w:type="dxa"/>
          </w:tcPr>
          <w:p w14:paraId="02608188" w14:textId="77777777" w:rsidR="00171740" w:rsidRPr="007A2C3A" w:rsidRDefault="00171740" w:rsidP="00AC3D72">
            <w:pPr>
              <w:rPr>
                <w:sz w:val="18"/>
                <w:szCs w:val="18"/>
                <w:lang w:eastAsia="en-GB"/>
              </w:rPr>
            </w:pPr>
          </w:p>
        </w:tc>
        <w:tc>
          <w:tcPr>
            <w:tcW w:w="1134" w:type="dxa"/>
          </w:tcPr>
          <w:p w14:paraId="4B55E525" w14:textId="77777777" w:rsidR="00171740" w:rsidRPr="007A2C3A" w:rsidRDefault="00171740" w:rsidP="00AC3D72">
            <w:pPr>
              <w:rPr>
                <w:sz w:val="18"/>
                <w:szCs w:val="18"/>
                <w:lang w:eastAsia="en-GB"/>
              </w:rPr>
            </w:pPr>
          </w:p>
        </w:tc>
        <w:tc>
          <w:tcPr>
            <w:tcW w:w="993" w:type="dxa"/>
          </w:tcPr>
          <w:p w14:paraId="394492C3" w14:textId="77777777" w:rsidR="00171740" w:rsidRPr="007A2C3A" w:rsidRDefault="00171740" w:rsidP="00AC3D72">
            <w:pPr>
              <w:jc w:val="center"/>
              <w:rPr>
                <w:lang w:eastAsia="en-GB"/>
              </w:rPr>
            </w:pPr>
          </w:p>
        </w:tc>
        <w:tc>
          <w:tcPr>
            <w:tcW w:w="1134" w:type="dxa"/>
          </w:tcPr>
          <w:p w14:paraId="16BF16EA" w14:textId="77777777" w:rsidR="00171740" w:rsidRPr="007A2C3A" w:rsidRDefault="00171740" w:rsidP="00AC3D72">
            <w:pPr>
              <w:rPr>
                <w:lang w:eastAsia="en-GB"/>
              </w:rPr>
            </w:pPr>
          </w:p>
        </w:tc>
      </w:tr>
      <w:tr w:rsidR="00AC3D72" w:rsidRPr="007A2C3A" w14:paraId="4C9ADE60" w14:textId="77777777" w:rsidTr="00171740">
        <w:trPr>
          <w:trHeight w:val="371"/>
        </w:trPr>
        <w:tc>
          <w:tcPr>
            <w:tcW w:w="536" w:type="dxa"/>
          </w:tcPr>
          <w:p w14:paraId="1096AB16" w14:textId="77777777" w:rsidR="00AC3D72" w:rsidRPr="007A2C3A" w:rsidRDefault="00AC3D72" w:rsidP="00AC3D72">
            <w:pPr>
              <w:rPr>
                <w:lang w:eastAsia="en-GB"/>
              </w:rPr>
            </w:pPr>
            <w:r w:rsidRPr="007A2C3A">
              <w:rPr>
                <w:lang w:eastAsia="en-GB"/>
              </w:rPr>
              <w:t>4a</w:t>
            </w:r>
          </w:p>
        </w:tc>
        <w:tc>
          <w:tcPr>
            <w:tcW w:w="4567" w:type="dxa"/>
          </w:tcPr>
          <w:p w14:paraId="7F2E1878" w14:textId="77777777" w:rsidR="00AC3D72" w:rsidRPr="007A2C3A" w:rsidRDefault="00AC3D72" w:rsidP="00AC3D72">
            <w:pPr>
              <w:rPr>
                <w:sz w:val="18"/>
                <w:szCs w:val="18"/>
                <w:lang w:eastAsia="en-GB"/>
              </w:rPr>
            </w:pPr>
            <w:r w:rsidRPr="007A2C3A">
              <w:rPr>
                <w:sz w:val="18"/>
                <w:szCs w:val="18"/>
                <w:lang w:eastAsia="en-GB"/>
              </w:rPr>
              <w:t>The mobility scale used is not sensitive, as it is only a  5 point scale. Due to the nature of the measure, patients with a pre-</w:t>
            </w:r>
            <w:proofErr w:type="spellStart"/>
            <w:r w:rsidRPr="007A2C3A">
              <w:rPr>
                <w:sz w:val="18"/>
                <w:szCs w:val="18"/>
                <w:lang w:eastAsia="en-GB"/>
              </w:rPr>
              <w:t>acident</w:t>
            </w:r>
            <w:proofErr w:type="spellEnd"/>
            <w:r w:rsidRPr="007A2C3A">
              <w:rPr>
                <w:sz w:val="18"/>
                <w:szCs w:val="18"/>
                <w:lang w:eastAsia="en-GB"/>
              </w:rPr>
              <w:t xml:space="preserve"> score of 4 or 5 have to be excluded from the indicator, as these will be seen as an automatic success if included (as it is not possible to drop two points). The group were concerned that due to the crude nature of the scale, they were unsure as to whether patients who dropped on mobility point should be included as a positive result.</w:t>
            </w:r>
          </w:p>
        </w:tc>
        <w:tc>
          <w:tcPr>
            <w:tcW w:w="993" w:type="dxa"/>
          </w:tcPr>
          <w:p w14:paraId="266DBD9D" w14:textId="77777777" w:rsidR="00AC3D72" w:rsidRPr="007A2C3A" w:rsidRDefault="00AC3D72" w:rsidP="00AC3D72">
            <w:pPr>
              <w:rPr>
                <w:sz w:val="18"/>
                <w:szCs w:val="18"/>
              </w:rPr>
            </w:pPr>
            <w:r w:rsidRPr="007A2C3A">
              <w:rPr>
                <w:sz w:val="18"/>
                <w:szCs w:val="18"/>
              </w:rPr>
              <w:t>MRG</w:t>
            </w:r>
          </w:p>
          <w:p w14:paraId="5B0FF9FD" w14:textId="77777777" w:rsidR="00AC3D72" w:rsidRPr="007A2C3A" w:rsidRDefault="00AC3D72" w:rsidP="00AC3D72">
            <w:pPr>
              <w:rPr>
                <w:sz w:val="18"/>
                <w:szCs w:val="18"/>
              </w:rPr>
            </w:pPr>
          </w:p>
          <w:p w14:paraId="0EF64378" w14:textId="77777777" w:rsidR="00AC3D72" w:rsidRPr="007A2C3A" w:rsidRDefault="00AC3D72" w:rsidP="00AC3D72">
            <w:pPr>
              <w:rPr>
                <w:sz w:val="18"/>
                <w:szCs w:val="18"/>
                <w:lang w:eastAsia="en-GB"/>
              </w:rPr>
            </w:pPr>
            <w:r w:rsidRPr="007A2C3A">
              <w:rPr>
                <w:sz w:val="18"/>
                <w:szCs w:val="18"/>
              </w:rPr>
              <w:t>23/07/15</w:t>
            </w:r>
          </w:p>
        </w:tc>
        <w:tc>
          <w:tcPr>
            <w:tcW w:w="4252" w:type="dxa"/>
          </w:tcPr>
          <w:p w14:paraId="1886FCEE" w14:textId="77777777" w:rsidR="00AC3D72" w:rsidRPr="007A2C3A" w:rsidRDefault="00AC3D72" w:rsidP="00AC3D72">
            <w:pPr>
              <w:rPr>
                <w:sz w:val="18"/>
                <w:szCs w:val="18"/>
                <w:lang w:eastAsia="en-GB"/>
              </w:rPr>
            </w:pPr>
          </w:p>
        </w:tc>
        <w:tc>
          <w:tcPr>
            <w:tcW w:w="1134" w:type="dxa"/>
          </w:tcPr>
          <w:p w14:paraId="0DA201FE" w14:textId="77777777" w:rsidR="00AC3D72" w:rsidRPr="007A2C3A" w:rsidRDefault="00AC3D72" w:rsidP="00AC3D72">
            <w:pPr>
              <w:rPr>
                <w:sz w:val="18"/>
                <w:szCs w:val="18"/>
                <w:lang w:eastAsia="en-GB"/>
              </w:rPr>
            </w:pPr>
          </w:p>
        </w:tc>
        <w:tc>
          <w:tcPr>
            <w:tcW w:w="993" w:type="dxa"/>
          </w:tcPr>
          <w:p w14:paraId="1B332459" w14:textId="77777777" w:rsidR="00AC3D72" w:rsidRPr="007A2C3A" w:rsidRDefault="00AC3D72" w:rsidP="00AC3D72">
            <w:pPr>
              <w:jc w:val="center"/>
              <w:rPr>
                <w:lang w:eastAsia="en-GB"/>
              </w:rPr>
            </w:pPr>
          </w:p>
        </w:tc>
        <w:tc>
          <w:tcPr>
            <w:tcW w:w="1134" w:type="dxa"/>
          </w:tcPr>
          <w:p w14:paraId="14063138" w14:textId="77777777" w:rsidR="00AC3D72" w:rsidRPr="007A2C3A" w:rsidRDefault="00AC3D72" w:rsidP="00AC3D72">
            <w:pPr>
              <w:rPr>
                <w:lang w:eastAsia="en-GB"/>
              </w:rPr>
            </w:pPr>
          </w:p>
        </w:tc>
      </w:tr>
      <w:tr w:rsidR="00171740" w:rsidRPr="007A2C3A" w14:paraId="40BEC8FF" w14:textId="77777777" w:rsidTr="00171740">
        <w:trPr>
          <w:trHeight w:val="409"/>
        </w:trPr>
        <w:tc>
          <w:tcPr>
            <w:tcW w:w="536" w:type="dxa"/>
          </w:tcPr>
          <w:p w14:paraId="64E47CE9" w14:textId="77777777" w:rsidR="00171740" w:rsidRPr="007A2C3A" w:rsidRDefault="00171740" w:rsidP="00AC3D72">
            <w:pPr>
              <w:rPr>
                <w:lang w:eastAsia="en-GB"/>
              </w:rPr>
            </w:pPr>
          </w:p>
        </w:tc>
        <w:tc>
          <w:tcPr>
            <w:tcW w:w="4567" w:type="dxa"/>
          </w:tcPr>
          <w:p w14:paraId="2C98DA87" w14:textId="03934B55" w:rsidR="00171740" w:rsidRPr="007A2C3A" w:rsidRDefault="00171740" w:rsidP="00AC3D72">
            <w:pPr>
              <w:rPr>
                <w:sz w:val="18"/>
                <w:szCs w:val="18"/>
                <w:lang w:eastAsia="en-GB"/>
              </w:rPr>
            </w:pPr>
            <w:r w:rsidRPr="007A2C3A">
              <w:rPr>
                <w:b/>
                <w:sz w:val="18"/>
                <w:szCs w:val="18"/>
              </w:rPr>
              <w:t>Criterion: INTERPRETATION</w:t>
            </w:r>
          </w:p>
        </w:tc>
        <w:tc>
          <w:tcPr>
            <w:tcW w:w="993" w:type="dxa"/>
          </w:tcPr>
          <w:p w14:paraId="7F042563" w14:textId="77777777" w:rsidR="00171740" w:rsidRPr="007A2C3A" w:rsidRDefault="00171740" w:rsidP="00AC3D72">
            <w:pPr>
              <w:rPr>
                <w:sz w:val="18"/>
                <w:szCs w:val="18"/>
              </w:rPr>
            </w:pPr>
          </w:p>
        </w:tc>
        <w:tc>
          <w:tcPr>
            <w:tcW w:w="4252" w:type="dxa"/>
          </w:tcPr>
          <w:p w14:paraId="5D1B3795" w14:textId="77777777" w:rsidR="00171740" w:rsidRPr="007A2C3A" w:rsidRDefault="00171740" w:rsidP="00AC3D72">
            <w:pPr>
              <w:rPr>
                <w:sz w:val="18"/>
                <w:szCs w:val="18"/>
                <w:lang w:eastAsia="en-GB"/>
              </w:rPr>
            </w:pPr>
          </w:p>
        </w:tc>
        <w:tc>
          <w:tcPr>
            <w:tcW w:w="1134" w:type="dxa"/>
          </w:tcPr>
          <w:p w14:paraId="78302944" w14:textId="77777777" w:rsidR="00171740" w:rsidRPr="007A2C3A" w:rsidRDefault="00171740" w:rsidP="00AC3D72">
            <w:pPr>
              <w:rPr>
                <w:sz w:val="18"/>
                <w:szCs w:val="18"/>
                <w:lang w:eastAsia="en-GB"/>
              </w:rPr>
            </w:pPr>
          </w:p>
        </w:tc>
        <w:tc>
          <w:tcPr>
            <w:tcW w:w="993" w:type="dxa"/>
          </w:tcPr>
          <w:p w14:paraId="6AAC033F" w14:textId="77777777" w:rsidR="00171740" w:rsidRPr="007A2C3A" w:rsidRDefault="00171740" w:rsidP="00AC3D72">
            <w:pPr>
              <w:jc w:val="center"/>
              <w:rPr>
                <w:lang w:eastAsia="en-GB"/>
              </w:rPr>
            </w:pPr>
          </w:p>
        </w:tc>
        <w:tc>
          <w:tcPr>
            <w:tcW w:w="1134" w:type="dxa"/>
          </w:tcPr>
          <w:p w14:paraId="6405774E" w14:textId="77777777" w:rsidR="00171740" w:rsidRPr="007A2C3A" w:rsidRDefault="00171740" w:rsidP="00AC3D72">
            <w:pPr>
              <w:rPr>
                <w:lang w:eastAsia="en-GB"/>
              </w:rPr>
            </w:pPr>
          </w:p>
        </w:tc>
      </w:tr>
      <w:tr w:rsidR="00AC3D72" w:rsidRPr="007A2C3A" w14:paraId="671ECC60" w14:textId="77777777" w:rsidTr="00171740">
        <w:trPr>
          <w:trHeight w:val="409"/>
        </w:trPr>
        <w:tc>
          <w:tcPr>
            <w:tcW w:w="536" w:type="dxa"/>
          </w:tcPr>
          <w:p w14:paraId="2D6AD257" w14:textId="77777777" w:rsidR="00AC3D72" w:rsidRPr="007A2C3A" w:rsidRDefault="00AC3D72" w:rsidP="00AC3D72">
            <w:pPr>
              <w:rPr>
                <w:lang w:eastAsia="en-GB"/>
              </w:rPr>
            </w:pPr>
            <w:r w:rsidRPr="007A2C3A">
              <w:rPr>
                <w:lang w:eastAsia="en-GB"/>
              </w:rPr>
              <w:t>5a</w:t>
            </w:r>
          </w:p>
        </w:tc>
        <w:tc>
          <w:tcPr>
            <w:tcW w:w="4567" w:type="dxa"/>
          </w:tcPr>
          <w:p w14:paraId="76142247" w14:textId="77777777" w:rsidR="00AC3D72" w:rsidRPr="007A2C3A" w:rsidRDefault="00AC3D72" w:rsidP="00AC3D72">
            <w:pPr>
              <w:rPr>
                <w:sz w:val="18"/>
                <w:szCs w:val="18"/>
                <w:lang w:eastAsia="en-GB"/>
              </w:rPr>
            </w:pPr>
            <w:r w:rsidRPr="007A2C3A">
              <w:rPr>
                <w:sz w:val="18"/>
                <w:szCs w:val="18"/>
                <w:lang w:eastAsia="en-GB"/>
              </w:rPr>
              <w:t>Interpretation of the indicator is difficult due to the likely sample bias and that it is not possible for the confidence intervals to take this into consideration. Due to construction including patients who drop one mobility point being included as a positive result, providers may think they are performing well when they are not.</w:t>
            </w:r>
          </w:p>
        </w:tc>
        <w:tc>
          <w:tcPr>
            <w:tcW w:w="993" w:type="dxa"/>
          </w:tcPr>
          <w:p w14:paraId="7D73F35A" w14:textId="77777777" w:rsidR="00AC3D72" w:rsidRPr="007A2C3A" w:rsidRDefault="00AC3D72" w:rsidP="00AC3D72">
            <w:pPr>
              <w:rPr>
                <w:sz w:val="18"/>
                <w:szCs w:val="18"/>
              </w:rPr>
            </w:pPr>
            <w:r w:rsidRPr="007A2C3A">
              <w:rPr>
                <w:sz w:val="18"/>
                <w:szCs w:val="18"/>
              </w:rPr>
              <w:t>MRG</w:t>
            </w:r>
          </w:p>
          <w:p w14:paraId="644BC3BF" w14:textId="77777777" w:rsidR="00AC3D72" w:rsidRPr="007A2C3A" w:rsidRDefault="00AC3D72" w:rsidP="00AC3D72">
            <w:pPr>
              <w:rPr>
                <w:sz w:val="18"/>
                <w:szCs w:val="18"/>
              </w:rPr>
            </w:pPr>
          </w:p>
          <w:p w14:paraId="49A1608F" w14:textId="77777777" w:rsidR="00AC3D72" w:rsidRPr="007A2C3A" w:rsidRDefault="00AC3D72" w:rsidP="00AC3D72">
            <w:pPr>
              <w:rPr>
                <w:sz w:val="18"/>
                <w:szCs w:val="18"/>
                <w:lang w:eastAsia="en-GB"/>
              </w:rPr>
            </w:pPr>
            <w:r w:rsidRPr="007A2C3A">
              <w:rPr>
                <w:sz w:val="18"/>
                <w:szCs w:val="18"/>
              </w:rPr>
              <w:t>23/07/15</w:t>
            </w:r>
          </w:p>
        </w:tc>
        <w:tc>
          <w:tcPr>
            <w:tcW w:w="4252" w:type="dxa"/>
          </w:tcPr>
          <w:p w14:paraId="4F02368C" w14:textId="77777777" w:rsidR="00AC3D72" w:rsidRPr="007A2C3A" w:rsidRDefault="00AC3D72" w:rsidP="00AC3D72">
            <w:pPr>
              <w:rPr>
                <w:sz w:val="18"/>
                <w:szCs w:val="18"/>
                <w:lang w:eastAsia="en-GB"/>
              </w:rPr>
            </w:pPr>
          </w:p>
        </w:tc>
        <w:tc>
          <w:tcPr>
            <w:tcW w:w="1134" w:type="dxa"/>
          </w:tcPr>
          <w:p w14:paraId="22F38894" w14:textId="77777777" w:rsidR="00AC3D72" w:rsidRPr="007A2C3A" w:rsidRDefault="00AC3D72" w:rsidP="00AC3D72">
            <w:pPr>
              <w:rPr>
                <w:sz w:val="18"/>
                <w:szCs w:val="18"/>
                <w:lang w:eastAsia="en-GB"/>
              </w:rPr>
            </w:pPr>
          </w:p>
        </w:tc>
        <w:tc>
          <w:tcPr>
            <w:tcW w:w="993" w:type="dxa"/>
          </w:tcPr>
          <w:p w14:paraId="73CB68EF" w14:textId="77777777" w:rsidR="00AC3D72" w:rsidRPr="007A2C3A" w:rsidRDefault="00AC3D72" w:rsidP="00AC3D72">
            <w:pPr>
              <w:jc w:val="center"/>
              <w:rPr>
                <w:lang w:eastAsia="en-GB"/>
              </w:rPr>
            </w:pPr>
          </w:p>
        </w:tc>
        <w:tc>
          <w:tcPr>
            <w:tcW w:w="1134" w:type="dxa"/>
          </w:tcPr>
          <w:p w14:paraId="5D858A7D" w14:textId="77777777" w:rsidR="00AC3D72" w:rsidRPr="007A2C3A" w:rsidRDefault="00AC3D72" w:rsidP="00AC3D72">
            <w:pPr>
              <w:rPr>
                <w:lang w:eastAsia="en-GB"/>
              </w:rPr>
            </w:pPr>
          </w:p>
        </w:tc>
      </w:tr>
      <w:tr w:rsidR="00171740" w:rsidRPr="007A2C3A" w14:paraId="260FF02F" w14:textId="77777777" w:rsidTr="00171740">
        <w:trPr>
          <w:trHeight w:val="287"/>
        </w:trPr>
        <w:tc>
          <w:tcPr>
            <w:tcW w:w="536" w:type="dxa"/>
          </w:tcPr>
          <w:p w14:paraId="4A4D0C2B" w14:textId="77777777" w:rsidR="00171740" w:rsidRPr="007A2C3A" w:rsidRDefault="00171740" w:rsidP="00AC3D72">
            <w:pPr>
              <w:rPr>
                <w:lang w:eastAsia="en-GB"/>
              </w:rPr>
            </w:pPr>
          </w:p>
        </w:tc>
        <w:tc>
          <w:tcPr>
            <w:tcW w:w="4567" w:type="dxa"/>
          </w:tcPr>
          <w:p w14:paraId="08D89974" w14:textId="5E83624A" w:rsidR="00171740" w:rsidRPr="007A2C3A" w:rsidRDefault="00171740" w:rsidP="00AC3D72">
            <w:pPr>
              <w:rPr>
                <w:sz w:val="18"/>
                <w:szCs w:val="18"/>
                <w:lang w:eastAsia="en-GB"/>
              </w:rPr>
            </w:pPr>
            <w:r w:rsidRPr="007A2C3A">
              <w:rPr>
                <w:b/>
                <w:sz w:val="18"/>
                <w:szCs w:val="18"/>
              </w:rPr>
              <w:t>Criterion: RISKS AND USEFULNESS</w:t>
            </w:r>
          </w:p>
        </w:tc>
        <w:tc>
          <w:tcPr>
            <w:tcW w:w="993" w:type="dxa"/>
          </w:tcPr>
          <w:p w14:paraId="7883A3B8" w14:textId="77777777" w:rsidR="00171740" w:rsidRPr="007A2C3A" w:rsidRDefault="00171740" w:rsidP="00AC3D72">
            <w:pPr>
              <w:rPr>
                <w:sz w:val="18"/>
                <w:szCs w:val="18"/>
                <w:lang w:eastAsia="en-GB"/>
              </w:rPr>
            </w:pPr>
          </w:p>
        </w:tc>
        <w:tc>
          <w:tcPr>
            <w:tcW w:w="4252" w:type="dxa"/>
          </w:tcPr>
          <w:p w14:paraId="6D2CCCF7" w14:textId="77777777" w:rsidR="00171740" w:rsidRPr="007A2C3A" w:rsidRDefault="00171740" w:rsidP="00AC3D72">
            <w:pPr>
              <w:rPr>
                <w:sz w:val="18"/>
                <w:szCs w:val="18"/>
                <w:lang w:eastAsia="en-GB"/>
              </w:rPr>
            </w:pPr>
          </w:p>
        </w:tc>
        <w:tc>
          <w:tcPr>
            <w:tcW w:w="1134" w:type="dxa"/>
          </w:tcPr>
          <w:p w14:paraId="6AC01B23" w14:textId="77777777" w:rsidR="00171740" w:rsidRPr="007A2C3A" w:rsidRDefault="00171740" w:rsidP="00AC3D72">
            <w:pPr>
              <w:rPr>
                <w:sz w:val="18"/>
                <w:szCs w:val="18"/>
                <w:lang w:eastAsia="en-GB"/>
              </w:rPr>
            </w:pPr>
          </w:p>
        </w:tc>
        <w:tc>
          <w:tcPr>
            <w:tcW w:w="993" w:type="dxa"/>
          </w:tcPr>
          <w:p w14:paraId="66DDEDD9" w14:textId="77777777" w:rsidR="00171740" w:rsidRPr="007A2C3A" w:rsidRDefault="00171740" w:rsidP="00AC3D72">
            <w:pPr>
              <w:jc w:val="center"/>
              <w:rPr>
                <w:sz w:val="32"/>
              </w:rPr>
            </w:pPr>
          </w:p>
        </w:tc>
        <w:tc>
          <w:tcPr>
            <w:tcW w:w="1134" w:type="dxa"/>
          </w:tcPr>
          <w:p w14:paraId="6AFA7964" w14:textId="77777777" w:rsidR="00171740" w:rsidRPr="007A2C3A" w:rsidRDefault="00171740" w:rsidP="00AC3D72">
            <w:pPr>
              <w:rPr>
                <w:lang w:eastAsia="en-GB"/>
              </w:rPr>
            </w:pPr>
          </w:p>
        </w:tc>
      </w:tr>
      <w:tr w:rsidR="00AC3D72" w:rsidRPr="007A2C3A" w14:paraId="145A11D4" w14:textId="77777777" w:rsidTr="00171740">
        <w:trPr>
          <w:trHeight w:val="958"/>
        </w:trPr>
        <w:tc>
          <w:tcPr>
            <w:tcW w:w="536" w:type="dxa"/>
          </w:tcPr>
          <w:p w14:paraId="04C12909" w14:textId="77777777" w:rsidR="00AC3D72" w:rsidRPr="007A2C3A" w:rsidRDefault="00AC3D72" w:rsidP="00AC3D72">
            <w:pPr>
              <w:rPr>
                <w:lang w:eastAsia="en-GB"/>
              </w:rPr>
            </w:pPr>
            <w:r w:rsidRPr="007A2C3A">
              <w:rPr>
                <w:lang w:eastAsia="en-GB"/>
              </w:rPr>
              <w:t>6a</w:t>
            </w:r>
          </w:p>
        </w:tc>
        <w:tc>
          <w:tcPr>
            <w:tcW w:w="4567" w:type="dxa"/>
          </w:tcPr>
          <w:p w14:paraId="014FE829" w14:textId="77777777" w:rsidR="00AC3D72" w:rsidRPr="007A2C3A" w:rsidRDefault="00AC3D72" w:rsidP="00AC3D72">
            <w:pPr>
              <w:rPr>
                <w:sz w:val="18"/>
                <w:szCs w:val="18"/>
                <w:lang w:eastAsia="en-GB"/>
              </w:rPr>
            </w:pPr>
            <w:r w:rsidRPr="007A2C3A">
              <w:rPr>
                <w:sz w:val="18"/>
                <w:szCs w:val="18"/>
                <w:lang w:eastAsia="en-GB"/>
              </w:rPr>
              <w:t>MRG asked for clarity on whether the self-reporting of mobility levels by patients was staff-lead, as this may introduce a risk of gaming.</w:t>
            </w:r>
          </w:p>
        </w:tc>
        <w:tc>
          <w:tcPr>
            <w:tcW w:w="993" w:type="dxa"/>
          </w:tcPr>
          <w:p w14:paraId="718A0E9C" w14:textId="77777777" w:rsidR="00AC3D72" w:rsidRPr="007A2C3A" w:rsidRDefault="00AC3D72" w:rsidP="00AC3D72">
            <w:pPr>
              <w:rPr>
                <w:sz w:val="18"/>
                <w:szCs w:val="18"/>
                <w:lang w:eastAsia="en-GB"/>
              </w:rPr>
            </w:pPr>
            <w:r w:rsidRPr="007A2C3A">
              <w:rPr>
                <w:sz w:val="18"/>
                <w:szCs w:val="18"/>
                <w:lang w:eastAsia="en-GB"/>
              </w:rPr>
              <w:t>MRG</w:t>
            </w:r>
          </w:p>
          <w:p w14:paraId="585F6CD5" w14:textId="77777777" w:rsidR="00AC3D72" w:rsidRPr="007A2C3A" w:rsidRDefault="00AC3D72" w:rsidP="00AC3D72">
            <w:pPr>
              <w:rPr>
                <w:sz w:val="18"/>
                <w:szCs w:val="18"/>
                <w:lang w:eastAsia="en-GB"/>
              </w:rPr>
            </w:pPr>
          </w:p>
          <w:p w14:paraId="5FDF1DFD" w14:textId="77777777" w:rsidR="00AC3D72" w:rsidRPr="007A2C3A" w:rsidRDefault="00AC3D72" w:rsidP="00AC3D72">
            <w:pPr>
              <w:rPr>
                <w:sz w:val="18"/>
                <w:szCs w:val="18"/>
                <w:lang w:eastAsia="en-GB"/>
              </w:rPr>
            </w:pPr>
            <w:r w:rsidRPr="007A2C3A">
              <w:rPr>
                <w:sz w:val="18"/>
                <w:szCs w:val="18"/>
                <w:lang w:eastAsia="en-GB"/>
              </w:rPr>
              <w:t>23/07/15</w:t>
            </w:r>
          </w:p>
        </w:tc>
        <w:tc>
          <w:tcPr>
            <w:tcW w:w="4252" w:type="dxa"/>
          </w:tcPr>
          <w:p w14:paraId="0D8E615C" w14:textId="77777777" w:rsidR="00AC3D72" w:rsidRPr="007A2C3A" w:rsidRDefault="00AC3D72" w:rsidP="00AC3D72">
            <w:pPr>
              <w:rPr>
                <w:sz w:val="18"/>
                <w:szCs w:val="18"/>
                <w:lang w:eastAsia="en-GB"/>
              </w:rPr>
            </w:pPr>
            <w:r w:rsidRPr="007A2C3A">
              <w:rPr>
                <w:sz w:val="18"/>
                <w:szCs w:val="18"/>
                <w:lang w:eastAsia="en-GB"/>
              </w:rPr>
              <w:t>At the end of the audit tool in the link below there are a standard set of questions with fixed answers.  Our understanding is that these are the questions asked to the patients but this can be done via phone or questionnaire/letter:</w:t>
            </w:r>
          </w:p>
          <w:p w14:paraId="2A39AFDC" w14:textId="77777777" w:rsidR="00AC3D72" w:rsidRPr="007A2C3A" w:rsidRDefault="00AC3D72" w:rsidP="00AC3D72">
            <w:pPr>
              <w:rPr>
                <w:sz w:val="18"/>
                <w:szCs w:val="18"/>
                <w:lang w:eastAsia="en-GB"/>
              </w:rPr>
            </w:pPr>
            <w:hyperlink r:id="rId21" w:history="1">
              <w:r w:rsidRPr="007A2C3A">
                <w:rPr>
                  <w:rStyle w:val="Hyperlink"/>
                  <w:color w:val="auto"/>
                  <w:sz w:val="18"/>
                  <w:szCs w:val="18"/>
                  <w:lang w:eastAsia="en-GB"/>
                </w:rPr>
                <w:t>http://www.nhfd.co.uk/20/hipfractureR.nsf/xsp/.ibmmodres/domino/OpenAttachment/20/hipfracturer.nsf/5ED1EA7CD1DA6DD580257C94004FB4A6/Attachment/National%20Hip%20Fracture%20Database%20%E2%80%93%20Audit%20Tool%20V8.doc</w:t>
              </w:r>
            </w:hyperlink>
          </w:p>
        </w:tc>
        <w:tc>
          <w:tcPr>
            <w:tcW w:w="1134" w:type="dxa"/>
          </w:tcPr>
          <w:p w14:paraId="021C4F8F" w14:textId="77777777" w:rsidR="00AC3D72" w:rsidRPr="007A2C3A" w:rsidRDefault="00AC3D72" w:rsidP="00AC3D72">
            <w:pPr>
              <w:rPr>
                <w:sz w:val="18"/>
                <w:szCs w:val="18"/>
                <w:lang w:eastAsia="en-GB"/>
              </w:rPr>
            </w:pPr>
          </w:p>
        </w:tc>
        <w:sdt>
          <w:sdtPr>
            <w:rPr>
              <w:sz w:val="32"/>
            </w:rPr>
            <w:id w:val="1711609622"/>
            <w14:checkbox>
              <w14:checked w14:val="1"/>
              <w14:checkedState w14:val="00FE" w14:font="Wingdings"/>
              <w14:uncheckedState w14:val="006F" w14:font="Wingdings"/>
            </w14:checkbox>
          </w:sdtPr>
          <w:sdtContent>
            <w:tc>
              <w:tcPr>
                <w:tcW w:w="993" w:type="dxa"/>
              </w:tcPr>
              <w:p w14:paraId="1324E31D" w14:textId="77777777" w:rsidR="00AC3D72" w:rsidRPr="007A2C3A" w:rsidRDefault="00AC3D72" w:rsidP="00AC3D72">
                <w:pPr>
                  <w:jc w:val="center"/>
                  <w:rPr>
                    <w:lang w:eastAsia="en-GB"/>
                  </w:rPr>
                </w:pPr>
                <w:r w:rsidRPr="007A2C3A">
                  <w:rPr>
                    <w:sz w:val="32"/>
                  </w:rPr>
                  <w:sym w:font="Wingdings" w:char="F0FE"/>
                </w:r>
              </w:p>
            </w:tc>
          </w:sdtContent>
        </w:sdt>
        <w:tc>
          <w:tcPr>
            <w:tcW w:w="1134" w:type="dxa"/>
          </w:tcPr>
          <w:p w14:paraId="092991ED" w14:textId="77777777" w:rsidR="00AC3D72" w:rsidRPr="007A2C3A" w:rsidRDefault="00AC3D72" w:rsidP="00AC3D72">
            <w:pPr>
              <w:rPr>
                <w:lang w:eastAsia="en-GB"/>
              </w:rPr>
            </w:pPr>
            <w:r w:rsidRPr="007A2C3A">
              <w:rPr>
                <w:lang w:eastAsia="en-GB"/>
              </w:rPr>
              <w:t>MRG</w:t>
            </w:r>
          </w:p>
          <w:p w14:paraId="1ACFF908" w14:textId="77777777" w:rsidR="00AC3D72" w:rsidRPr="007A2C3A" w:rsidRDefault="00AC3D72" w:rsidP="00AC3D72">
            <w:pPr>
              <w:rPr>
                <w:lang w:eastAsia="en-GB"/>
              </w:rPr>
            </w:pPr>
            <w:r w:rsidRPr="007A2C3A">
              <w:rPr>
                <w:lang w:eastAsia="en-GB"/>
              </w:rPr>
              <w:t>via email</w:t>
            </w:r>
          </w:p>
          <w:p w14:paraId="379169C5" w14:textId="77777777" w:rsidR="00AC3D72" w:rsidRPr="007A2C3A" w:rsidRDefault="00AC3D72" w:rsidP="00AC3D72">
            <w:pPr>
              <w:rPr>
                <w:lang w:eastAsia="en-GB"/>
              </w:rPr>
            </w:pPr>
          </w:p>
          <w:p w14:paraId="60937771" w14:textId="77777777" w:rsidR="00AC3D72" w:rsidRPr="007A2C3A" w:rsidRDefault="00AC3D72" w:rsidP="00AC3D72">
            <w:pPr>
              <w:rPr>
                <w:lang w:eastAsia="en-GB"/>
              </w:rPr>
            </w:pPr>
            <w:r w:rsidRPr="007A2C3A">
              <w:rPr>
                <w:lang w:eastAsia="en-GB"/>
              </w:rPr>
              <w:t>03/08/15</w:t>
            </w:r>
          </w:p>
        </w:tc>
      </w:tr>
    </w:tbl>
    <w:p w14:paraId="5E6ABB72" w14:textId="77777777" w:rsidR="00DB69CA" w:rsidRPr="007A2C3A" w:rsidRDefault="00DB69CA" w:rsidP="005F24FE">
      <w:pPr>
        <w:spacing w:after="0"/>
        <w:rPr>
          <w:rFonts w:ascii="Arial" w:hAnsi="Arial" w:cs="Arial"/>
          <w:sz w:val="20"/>
          <w:szCs w:val="20"/>
        </w:rPr>
      </w:pPr>
    </w:p>
    <w:p w14:paraId="11C03684" w14:textId="71509EDB" w:rsidR="00830307" w:rsidRPr="00FF2C4E" w:rsidRDefault="00FF2C4E" w:rsidP="00FF2C4E">
      <w:pPr>
        <w:autoSpaceDE w:val="0"/>
        <w:autoSpaceDN w:val="0"/>
      </w:pPr>
      <w:r w:rsidRPr="002740D4">
        <w:rPr>
          <w:sz w:val="24"/>
          <w:szCs w:val="24"/>
        </w:rPr>
        <w:t>See our </w:t>
      </w:r>
      <w:hyperlink r:id="rId22" w:anchor="what-to-do" w:history="1">
        <w:r w:rsidRPr="002740D4">
          <w:rPr>
            <w:rStyle w:val="Hyperlink"/>
            <w:sz w:val="24"/>
            <w:szCs w:val="24"/>
          </w:rPr>
          <w:t>accessibility statement</w:t>
        </w:r>
      </w:hyperlink>
      <w:r w:rsidRPr="002740D4">
        <w:rPr>
          <w:sz w:val="24"/>
          <w:szCs w:val="24"/>
        </w:rPr>
        <w:t> if you’re having problems with this document.</w:t>
      </w:r>
      <w:r w:rsidRPr="002740D4">
        <w:rPr>
          <w:color w:val="000000"/>
          <w:sz w:val="20"/>
          <w:szCs w:val="20"/>
        </w:rPr>
        <w:t xml:space="preserve"> </w:t>
      </w:r>
    </w:p>
    <w:sectPr w:rsidR="00830307" w:rsidRPr="00FF2C4E" w:rsidSect="00DB69CA">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03297" w14:textId="77777777" w:rsidR="00AC3D72" w:rsidRDefault="00AC3D72">
      <w:pPr>
        <w:spacing w:after="0" w:line="240" w:lineRule="auto"/>
      </w:pPr>
      <w:r>
        <w:separator/>
      </w:r>
    </w:p>
  </w:endnote>
  <w:endnote w:type="continuationSeparator" w:id="0">
    <w:p w14:paraId="116C77E6" w14:textId="77777777" w:rsidR="00AC3D72" w:rsidRDefault="00AC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799554"/>
      <w:docPartObj>
        <w:docPartGallery w:val="Page Numbers (Bottom of Page)"/>
        <w:docPartUnique/>
      </w:docPartObj>
    </w:sdtPr>
    <w:sdtEndPr>
      <w:rPr>
        <w:noProof/>
      </w:rPr>
    </w:sdtEndPr>
    <w:sdtContent>
      <w:p w14:paraId="7AE760EC" w14:textId="77777777" w:rsidR="007A2C3A" w:rsidRDefault="007A2C3A" w:rsidP="00B80587">
        <w:pPr>
          <w:pStyle w:val="Footer"/>
          <w:tabs>
            <w:tab w:val="left" w:pos="426"/>
          </w:tabs>
        </w:pPr>
      </w:p>
      <w:p w14:paraId="3063E3EC" w14:textId="7A6474F2" w:rsidR="00AC3D72" w:rsidRPr="00FD6413" w:rsidRDefault="00AC3D72" w:rsidP="00B80587">
        <w:pPr>
          <w:pStyle w:val="Footer"/>
          <w:tabs>
            <w:tab w:val="left" w:pos="426"/>
          </w:tabs>
          <w:rPr>
            <w:rFonts w:ascii="Arial" w:hAnsi="Arial" w:cs="Arial"/>
            <w:sz w:val="18"/>
            <w:szCs w:val="18"/>
          </w:rPr>
        </w:pPr>
        <w:r w:rsidRPr="00FD6413">
          <w:rPr>
            <w:rFonts w:ascii="Arial" w:hAnsi="Arial" w:cs="Arial"/>
            <w:sz w:val="18"/>
            <w:szCs w:val="18"/>
          </w:rPr>
          <w:t>IAP</w:t>
        </w:r>
        <w:r>
          <w:rPr>
            <w:rFonts w:ascii="Arial" w:hAnsi="Arial" w:cs="Arial"/>
            <w:sz w:val="18"/>
            <w:szCs w:val="18"/>
          </w:rPr>
          <w:t>00369</w:t>
        </w:r>
        <w:r w:rsidRPr="00FD6413">
          <w:rPr>
            <w:rFonts w:ascii="Arial" w:hAnsi="Arial" w:cs="Arial"/>
            <w:sz w:val="18"/>
            <w:szCs w:val="18"/>
          </w:rPr>
          <w:t xml:space="preserve"> Supporting documentation</w:t>
        </w:r>
      </w:p>
      <w:p w14:paraId="7E1CD469" w14:textId="531451A5" w:rsidR="00AC3D72" w:rsidRDefault="00AC3D72" w:rsidP="007A2C3A">
        <w:pPr>
          <w:pStyle w:val="Footer"/>
        </w:pPr>
        <w:r w:rsidRPr="00FD6413">
          <w:rPr>
            <w:rFonts w:ascii="Arial" w:hAnsi="Arial" w:cs="Arial"/>
            <w:sz w:val="18"/>
            <w:szCs w:val="18"/>
          </w:rPr>
          <w:t>Copyright © 2019 NHS Digital</w:t>
        </w:r>
        <w:r w:rsidDel="003507B5">
          <w:rPr>
            <w:rFonts w:ascii="Arial" w:hAnsi="Arial" w:cs="Arial"/>
            <w:sz w:val="16"/>
            <w:szCs w:val="16"/>
          </w:rPr>
          <w:t xml:space="preserve"> </w:t>
        </w:r>
        <w:r w:rsidR="007A2C3A">
          <w:rPr>
            <w:rFonts w:ascii="Arial" w:hAnsi="Arial" w:cs="Arial"/>
            <w:sz w:val="16"/>
            <w:szCs w:val="16"/>
          </w:rPr>
          <w:tab/>
        </w:r>
        <w:r w:rsidR="007A2C3A">
          <w:rPr>
            <w:rFonts w:ascii="Arial" w:hAnsi="Arial" w:cs="Arial"/>
            <w:sz w:val="16"/>
            <w:szCs w:val="16"/>
          </w:rPr>
          <w:tab/>
        </w:r>
        <w:r w:rsidR="007A2C3A">
          <w:rPr>
            <w:rFonts w:ascii="Arial" w:hAnsi="Arial" w:cs="Arial"/>
            <w:sz w:val="16"/>
            <w:szCs w:val="16"/>
          </w:rP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644357"/>
      <w:docPartObj>
        <w:docPartGallery w:val="Page Numbers (Bottom of Page)"/>
        <w:docPartUnique/>
      </w:docPartObj>
    </w:sdtPr>
    <w:sdtEndPr>
      <w:rPr>
        <w:noProof/>
      </w:rPr>
    </w:sdtEndPr>
    <w:sdtContent>
      <w:p w14:paraId="37599E79" w14:textId="77777777" w:rsidR="00AC3D72" w:rsidRDefault="00AC3D7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4215390" w14:textId="77777777" w:rsidR="00AC3D72" w:rsidRDefault="00AC3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5AE29" w14:textId="77777777" w:rsidR="00AC3D72" w:rsidRDefault="00AC3D72">
      <w:pPr>
        <w:spacing w:after="0" w:line="240" w:lineRule="auto"/>
      </w:pPr>
      <w:r>
        <w:separator/>
      </w:r>
    </w:p>
  </w:footnote>
  <w:footnote w:type="continuationSeparator" w:id="0">
    <w:p w14:paraId="3139EB3A" w14:textId="77777777" w:rsidR="00AC3D72" w:rsidRDefault="00AC3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15E9" w14:textId="77777777" w:rsidR="00AC3D72" w:rsidRPr="00F37180" w:rsidRDefault="00AC3D72" w:rsidP="00B80587">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38C45480" w14:textId="77777777" w:rsidR="00AC3D72" w:rsidRDefault="00AC3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78B1" w14:textId="77777777" w:rsidR="00AC3D72" w:rsidRPr="00F40A7A" w:rsidRDefault="00AC3D72" w:rsidP="005F24FE">
    <w:pPr>
      <w:pStyle w:val="Header"/>
      <w:spacing w:before="240"/>
      <w:jc w:val="right"/>
      <w:rPr>
        <w:color w:val="44546A" w:themeColor="text2"/>
        <w:sz w:val="28"/>
      </w:rPr>
    </w:pPr>
    <w:r w:rsidRPr="00F40A7A">
      <w:rPr>
        <w:noProof/>
        <w:color w:val="44546A" w:themeColor="text2"/>
        <w:lang w:eastAsia="en-GB"/>
      </w:rPr>
      <w:drawing>
        <wp:inline distT="0" distB="0" distL="0" distR="0" wp14:anchorId="420E6223" wp14:editId="6F16E999">
          <wp:extent cx="2420620" cy="76200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62000"/>
                  </a:xfrm>
                  <a:prstGeom prst="rect">
                    <a:avLst/>
                  </a:prstGeom>
                  <a:noFill/>
                </pic:spPr>
              </pic:pic>
            </a:graphicData>
          </a:graphic>
        </wp:inline>
      </w:drawing>
    </w:r>
    <w:r w:rsidRPr="00F40A7A">
      <w:rPr>
        <w:color w:val="44546A" w:themeColor="text2"/>
        <w:sz w:val="44"/>
        <w:szCs w:val="36"/>
      </w:rPr>
      <w:t>Indicator Assurance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2D31"/>
    <w:multiLevelType w:val="hybridMultilevel"/>
    <w:tmpl w:val="33D022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9D1E65"/>
    <w:multiLevelType w:val="hybridMultilevel"/>
    <w:tmpl w:val="8A682CF6"/>
    <w:lvl w:ilvl="0" w:tplc="979238CE">
      <w:numFmt w:val="bullet"/>
      <w:lvlText w:val=""/>
      <w:lvlJc w:val="left"/>
      <w:pPr>
        <w:ind w:left="502" w:hanging="360"/>
      </w:pPr>
      <w:rPr>
        <w:rFonts w:ascii="Symbol" w:eastAsia="+mn-ea"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5DAF553A"/>
    <w:multiLevelType w:val="hybridMultilevel"/>
    <w:tmpl w:val="BD249FE8"/>
    <w:lvl w:ilvl="0" w:tplc="6D6AE018">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8B"/>
    <w:rsid w:val="000C5E58"/>
    <w:rsid w:val="00171740"/>
    <w:rsid w:val="001B2A73"/>
    <w:rsid w:val="001E26B6"/>
    <w:rsid w:val="005007A8"/>
    <w:rsid w:val="005D5087"/>
    <w:rsid w:val="005F24FE"/>
    <w:rsid w:val="006F558B"/>
    <w:rsid w:val="007A2C3A"/>
    <w:rsid w:val="007E0E0A"/>
    <w:rsid w:val="00830307"/>
    <w:rsid w:val="009A34F9"/>
    <w:rsid w:val="00AB46B7"/>
    <w:rsid w:val="00AC3D72"/>
    <w:rsid w:val="00B80587"/>
    <w:rsid w:val="00C63F2C"/>
    <w:rsid w:val="00CE74E1"/>
    <w:rsid w:val="00DB69CA"/>
    <w:rsid w:val="00E27CFC"/>
    <w:rsid w:val="00EE6E3B"/>
    <w:rsid w:val="00F810E6"/>
    <w:rsid w:val="00FF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B9D7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F5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58B"/>
  </w:style>
  <w:style w:type="paragraph" w:customStyle="1" w:styleId="FrontpageTitle">
    <w:name w:val="Frontpage_Title"/>
    <w:basedOn w:val="Normal"/>
    <w:link w:val="FrontpageTitleChar"/>
    <w:autoRedefine/>
    <w:qFormat/>
    <w:rsid w:val="00AC3D72"/>
    <w:pPr>
      <w:spacing w:after="140" w:line="240" w:lineRule="auto"/>
      <w:textboxTightWrap w:val="lastLineOnly"/>
    </w:pPr>
    <w:rPr>
      <w:rFonts w:ascii="Arial" w:eastAsia="Times New Roman" w:hAnsi="Arial" w:cs="Arial"/>
      <w:b/>
      <w:bCs/>
      <w:sz w:val="28"/>
      <w:szCs w:val="28"/>
    </w:rPr>
  </w:style>
  <w:style w:type="character" w:customStyle="1" w:styleId="FrontpageTitleChar">
    <w:name w:val="Frontpage_Title Char"/>
    <w:basedOn w:val="DefaultParagraphFont"/>
    <w:link w:val="FrontpageTitle"/>
    <w:rsid w:val="00AC3D72"/>
    <w:rPr>
      <w:rFonts w:ascii="Arial" w:eastAsia="Times New Roman" w:hAnsi="Arial" w:cs="Arial"/>
      <w:b/>
      <w:bCs/>
      <w:sz w:val="28"/>
      <w:szCs w:val="28"/>
    </w:rPr>
  </w:style>
  <w:style w:type="paragraph" w:customStyle="1" w:styleId="Frontpagesubhead">
    <w:name w:val="Frontpage_subhead"/>
    <w:basedOn w:val="Normal"/>
    <w:link w:val="FrontpagesubheadChar"/>
    <w:autoRedefine/>
    <w:qFormat/>
    <w:rsid w:val="006F558B"/>
    <w:pPr>
      <w:spacing w:after="140" w:line="240" w:lineRule="auto"/>
      <w:textboxTightWrap w:val="lastLineOnly"/>
    </w:pPr>
    <w:rPr>
      <w:rFonts w:ascii="Arial" w:eastAsia="Times New Roman" w:hAnsi="Arial" w:cs="Times New Roman"/>
      <w:b/>
      <w:color w:val="003360"/>
      <w:sz w:val="35"/>
      <w:szCs w:val="42"/>
    </w:rPr>
  </w:style>
  <w:style w:type="character" w:customStyle="1" w:styleId="FrontpagesubheadChar">
    <w:name w:val="Frontpage_subhead Char"/>
    <w:basedOn w:val="DefaultParagraphFont"/>
    <w:link w:val="Frontpagesubhead"/>
    <w:rsid w:val="006F558B"/>
    <w:rPr>
      <w:rFonts w:ascii="Arial" w:eastAsia="Times New Roman" w:hAnsi="Arial" w:cs="Times New Roman"/>
      <w:b/>
      <w:color w:val="003360"/>
      <w:sz w:val="35"/>
      <w:szCs w:val="42"/>
    </w:rPr>
  </w:style>
  <w:style w:type="table" w:customStyle="1" w:styleId="TableGrid1">
    <w:name w:val="Table Grid1"/>
    <w:basedOn w:val="TableNormal"/>
    <w:next w:val="TableGrid"/>
    <w:uiPriority w:val="59"/>
    <w:rsid w:val="006F558B"/>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55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58B"/>
    <w:rPr>
      <w:color w:val="808080"/>
    </w:rPr>
  </w:style>
  <w:style w:type="paragraph" w:styleId="Header">
    <w:name w:val="header"/>
    <w:basedOn w:val="Normal"/>
    <w:link w:val="HeaderChar"/>
    <w:uiPriority w:val="99"/>
    <w:unhideWhenUsed/>
    <w:rsid w:val="00DB6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9CA"/>
  </w:style>
  <w:style w:type="paragraph" w:styleId="NormalWeb">
    <w:name w:val="Normal (Web)"/>
    <w:basedOn w:val="Normal"/>
    <w:uiPriority w:val="99"/>
    <w:unhideWhenUsed/>
    <w:rsid w:val="00DB6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DB69CA"/>
    <w:rPr>
      <w:color w:val="0563C1" w:themeColor="hyperlink"/>
      <w:u w:val="single"/>
    </w:rPr>
  </w:style>
  <w:style w:type="character" w:customStyle="1" w:styleId="Style1">
    <w:name w:val="Style1"/>
    <w:basedOn w:val="DefaultParagraphFont"/>
    <w:uiPriority w:val="1"/>
    <w:rsid w:val="00DB69CA"/>
    <w:rPr>
      <w:rFonts w:ascii="Arial" w:hAnsi="Arial"/>
      <w:b w:val="0"/>
      <w:color w:val="44546A" w:themeColor="text2"/>
      <w:sz w:val="28"/>
    </w:rPr>
  </w:style>
  <w:style w:type="paragraph" w:styleId="Title">
    <w:name w:val="Title"/>
    <w:basedOn w:val="Normal"/>
    <w:next w:val="Normal"/>
    <w:link w:val="TitleChar"/>
    <w:uiPriority w:val="10"/>
    <w:qFormat/>
    <w:rsid w:val="00DB69C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69CA"/>
    <w:rPr>
      <w:rFonts w:asciiTheme="majorHAnsi" w:eastAsiaTheme="majorEastAsia" w:hAnsiTheme="majorHAnsi" w:cstheme="majorBidi"/>
      <w:color w:val="323E4F" w:themeColor="text2" w:themeShade="BF"/>
      <w:spacing w:val="5"/>
      <w:kern w:val="28"/>
      <w:sz w:val="52"/>
      <w:szCs w:val="52"/>
    </w:rPr>
  </w:style>
  <w:style w:type="character" w:customStyle="1" w:styleId="Title2">
    <w:name w:val="Title 2"/>
    <w:basedOn w:val="DefaultParagraphFont"/>
    <w:uiPriority w:val="1"/>
    <w:rsid w:val="00DB69CA"/>
    <w:rPr>
      <w:rFonts w:asciiTheme="majorHAnsi" w:hAnsiTheme="majorHAnsi"/>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mailto:ccgois@hscic.gov.uk" TargetMode="External"/><Relationship Id="rId3" Type="http://schemas.openxmlformats.org/officeDocument/2006/relationships/settings" Target="settings.xml"/><Relationship Id="rId21" Type="http://schemas.openxmlformats.org/officeDocument/2006/relationships/hyperlink" Target="http://www.nhfd.co.uk/20/hipfractureR.nsf/xsp/.ibmmodres/domino/OpenAttachment/20/hipfracturer.nsf/5ED1EA7CD1DA6DD580257C94004FB4A6/Attachment/National%20Hip%20Fracture%20Database%20%E2%80%93%20Audit%20Tool%20V8.doc" TargetMode="Externa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fd.co.uk/003/hipfracturer.nsf/NHFDNationalReport2011_Final.pdf"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nhfd.co.uk/20/hipfractureR.nsf/4e9601565a8ebbaa802579ea0035b25d/e83e76b2128bd42a80257da90083996b/$FILE/NHFDCCGindicators.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cgois@hscic.gov.uk" TargetMode="External"/><Relationship Id="rId14" Type="http://schemas.openxmlformats.org/officeDocument/2006/relationships/image" Target="media/image3.emf"/><Relationship Id="rId22" Type="http://schemas.openxmlformats.org/officeDocument/2006/relationships/hyperlink" Target="https://www.nice.org.uk/accessibil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littlf\AppData\Local\Temp\CCG_3.10.i_I01978_D_V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62310614222478"/>
          <c:y val="5.0461727488631002E-2"/>
          <c:w val="0.84462295223261286"/>
          <c:h val="0.84364197577110667"/>
        </c:manualLayout>
      </c:layout>
      <c:lineChart>
        <c:grouping val="standard"/>
        <c:varyColors val="0"/>
        <c:ser>
          <c:idx val="0"/>
          <c:order val="0"/>
          <c:tx>
            <c:strRef>
              <c:f>Sheet1!$B$1</c:f>
              <c:strCache>
                <c:ptCount val="1"/>
                <c:pt idx="0">
                  <c:v>Indicator value</c:v>
                </c:pt>
              </c:strCache>
            </c:strRef>
          </c:tx>
          <c:marker>
            <c:symbol val="none"/>
          </c:marker>
          <c:cat>
            <c:strRef>
              <c:f>Sheet1!$A$2:$A$212</c:f>
              <c:strCache>
                <c:ptCount val="211"/>
                <c:pt idx="0">
                  <c:v>NHS Darlington CCG</c:v>
                </c:pt>
                <c:pt idx="1">
                  <c:v>NHS Newcastle West CCG</c:v>
                </c:pt>
                <c:pt idx="2">
                  <c:v>NHS South Tees CCG</c:v>
                </c:pt>
                <c:pt idx="3">
                  <c:v>NHS South Tyneside CCG</c:v>
                </c:pt>
                <c:pt idx="4">
                  <c:v>NHS Blackpool CCG</c:v>
                </c:pt>
                <c:pt idx="5">
                  <c:v>NHS Bury CCG</c:v>
                </c:pt>
                <c:pt idx="6">
                  <c:v>NHS Central Manchester CCG</c:v>
                </c:pt>
                <c:pt idx="7">
                  <c:v>NHS Oldham CCG</c:v>
                </c:pt>
                <c:pt idx="8">
                  <c:v>NHS Eastern Cheshire CCG</c:v>
                </c:pt>
                <c:pt idx="9">
                  <c:v>NHS Heywood, Middleton and Rochdale CCG</c:v>
                </c:pt>
                <c:pt idx="10">
                  <c:v>NHS Halton CCG</c:v>
                </c:pt>
                <c:pt idx="11">
                  <c:v>NHS Salford CCG</c:v>
                </c:pt>
                <c:pt idx="12">
                  <c:v>NHS Knowsley CCG</c:v>
                </c:pt>
                <c:pt idx="13">
                  <c:v>NHS Lancashire North CCG</c:v>
                </c:pt>
                <c:pt idx="14">
                  <c:v>NHS North Manchester CCG</c:v>
                </c:pt>
                <c:pt idx="15">
                  <c:v>NHS South Manchester CCG</c:v>
                </c:pt>
                <c:pt idx="16">
                  <c:v>NHS South Cheshire CCG</c:v>
                </c:pt>
                <c:pt idx="17">
                  <c:v>NHS South Sefton CCG</c:v>
                </c:pt>
                <c:pt idx="18">
                  <c:v>NHS Stockport CCG</c:v>
                </c:pt>
                <c:pt idx="19">
                  <c:v>NHS St Helens CCG</c:v>
                </c:pt>
                <c:pt idx="20">
                  <c:v>NHS Tameside and Glossop CCG</c:v>
                </c:pt>
                <c:pt idx="21">
                  <c:v>NHS Vale Royal CCG</c:v>
                </c:pt>
                <c:pt idx="22">
                  <c:v>NHS West Lancashire CCG</c:v>
                </c:pt>
                <c:pt idx="23">
                  <c:v>NHS Wigan Borough CCG</c:v>
                </c:pt>
                <c:pt idx="24">
                  <c:v>NHS Fylde &amp; Wyre CCG</c:v>
                </c:pt>
                <c:pt idx="25">
                  <c:v>NHS Airedale, Wharfedale and Craven CCG</c:v>
                </c:pt>
                <c:pt idx="26">
                  <c:v>NHS Barnsley CCG</c:v>
                </c:pt>
                <c:pt idx="27">
                  <c:v>NHS Bassetlaw CCG</c:v>
                </c:pt>
                <c:pt idx="28">
                  <c:v>NHS Leeds North CCG</c:v>
                </c:pt>
                <c:pt idx="29">
                  <c:v>NHS Bradford City CCG</c:v>
                </c:pt>
                <c:pt idx="30">
                  <c:v>NHS East Riding Of Yorkshire CCG</c:v>
                </c:pt>
                <c:pt idx="31">
                  <c:v>NHS Leeds West CCG</c:v>
                </c:pt>
                <c:pt idx="32">
                  <c:v>NHS Hambleton, Richmondshire and Whitby CCG</c:v>
                </c:pt>
                <c:pt idx="33">
                  <c:v>NHS Harrogate and Rural District CCG</c:v>
                </c:pt>
                <c:pt idx="34">
                  <c:v>NHS Hull CCG</c:v>
                </c:pt>
                <c:pt idx="35">
                  <c:v>NHS Leeds South and East CCG</c:v>
                </c:pt>
                <c:pt idx="36">
                  <c:v>NHS North Kirklees CCG</c:v>
                </c:pt>
                <c:pt idx="37">
                  <c:v>NHS Rotherham CCG</c:v>
                </c:pt>
                <c:pt idx="38">
                  <c:v>NHS Scarborough and Ryedale CCG</c:v>
                </c:pt>
                <c:pt idx="39">
                  <c:v>NHS Sheffield CCG</c:v>
                </c:pt>
                <c:pt idx="40">
                  <c:v>NHS Wakefield CCG</c:v>
                </c:pt>
                <c:pt idx="41">
                  <c:v>NHS Corby CCG</c:v>
                </c:pt>
                <c:pt idx="42">
                  <c:v>NHS Erewash CCG</c:v>
                </c:pt>
                <c:pt idx="43">
                  <c:v>NHS Hardwick CCG</c:v>
                </c:pt>
                <c:pt idx="44">
                  <c:v>NHS Mansfield and Ashfield CCG</c:v>
                </c:pt>
                <c:pt idx="45">
                  <c:v>NHS Milton Keynes CCG</c:v>
                </c:pt>
                <c:pt idx="46">
                  <c:v>NHS Newark &amp; Sherwood CCG</c:v>
                </c:pt>
                <c:pt idx="47">
                  <c:v>NHS North Derbyshire CCG</c:v>
                </c:pt>
                <c:pt idx="48">
                  <c:v>NHS Nottingham City CCG</c:v>
                </c:pt>
                <c:pt idx="49">
                  <c:v>NHS Nottingham North and East CCG</c:v>
                </c:pt>
                <c:pt idx="50">
                  <c:v>NHS Nottingham West CCG</c:v>
                </c:pt>
                <c:pt idx="51">
                  <c:v>NHS Rushcliffe CCG</c:v>
                </c:pt>
                <c:pt idx="52">
                  <c:v>NHS South West Lincolnshire CCG</c:v>
                </c:pt>
                <c:pt idx="53">
                  <c:v>NHS Southern Derbyshire CCG</c:v>
                </c:pt>
                <c:pt idx="54">
                  <c:v>NHS Birmingham South and Central CCG</c:v>
                </c:pt>
                <c:pt idx="55">
                  <c:v>NHS Cannock Chase CCG</c:v>
                </c:pt>
                <c:pt idx="56">
                  <c:v>NHS Dudley CCG</c:v>
                </c:pt>
                <c:pt idx="57">
                  <c:v>NHS East Staffordshire CCG</c:v>
                </c:pt>
                <c:pt idx="58">
                  <c:v>NHS Herefordshire CCG</c:v>
                </c:pt>
                <c:pt idx="59">
                  <c:v>NHS North Staffordshire CCG</c:v>
                </c:pt>
                <c:pt idx="60">
                  <c:v>NHS Redditch and Bromsgrove CCG</c:v>
                </c:pt>
                <c:pt idx="61">
                  <c:v>NHS Solihull CCG</c:v>
                </c:pt>
                <c:pt idx="62">
                  <c:v>NHS South East Staffs and Seisdon Peninsular CCG</c:v>
                </c:pt>
                <c:pt idx="63">
                  <c:v>NHS South Worcestershire CCG</c:v>
                </c:pt>
                <c:pt idx="64">
                  <c:v>NHS Stoke On Trent CCG</c:v>
                </c:pt>
                <c:pt idx="65">
                  <c:v>NHS Telford and Wrekin CCG</c:v>
                </c:pt>
                <c:pt idx="66">
                  <c:v>NHS Walsall CCG</c:v>
                </c:pt>
                <c:pt idx="67">
                  <c:v>NHS Wolverhampton CCG</c:v>
                </c:pt>
                <c:pt idx="68">
                  <c:v>NHS Wyre Forest CCG</c:v>
                </c:pt>
                <c:pt idx="69">
                  <c:v>NHS Bedfordshire CCG</c:v>
                </c:pt>
                <c:pt idx="70">
                  <c:v>NHS Cambridgeshire and Peterborough CCG</c:v>
                </c:pt>
                <c:pt idx="71">
                  <c:v>NHS Luton CCG</c:v>
                </c:pt>
                <c:pt idx="72">
                  <c:v>NHS Mid Essex CCG</c:v>
                </c:pt>
                <c:pt idx="73">
                  <c:v>NHS North East Essex CCG</c:v>
                </c:pt>
                <c:pt idx="74">
                  <c:v>NHS North Norfolk CCG</c:v>
                </c:pt>
                <c:pt idx="75">
                  <c:v>NHS Norwich CCG</c:v>
                </c:pt>
                <c:pt idx="76">
                  <c:v>NHS South Norfolk CCG</c:v>
                </c:pt>
                <c:pt idx="77">
                  <c:v>NHS West Norfolk CCG</c:v>
                </c:pt>
                <c:pt idx="78">
                  <c:v>NHS Barking and Dagenham CCG</c:v>
                </c:pt>
                <c:pt idx="79">
                  <c:v>NHS Barnet CCG</c:v>
                </c:pt>
                <c:pt idx="80">
                  <c:v>NHS Brent CCG</c:v>
                </c:pt>
                <c:pt idx="81">
                  <c:v>NHS Bromley CCG</c:v>
                </c:pt>
                <c:pt idx="82">
                  <c:v>NHS Camden CCG</c:v>
                </c:pt>
                <c:pt idx="83">
                  <c:v>NHS City and Hackney CCG</c:v>
                </c:pt>
                <c:pt idx="84">
                  <c:v>NHS Croydon CCG</c:v>
                </c:pt>
                <c:pt idx="85">
                  <c:v>NHS Ealing CCG</c:v>
                </c:pt>
                <c:pt idx="86">
                  <c:v>NHS Enfield CCG</c:v>
                </c:pt>
                <c:pt idx="87">
                  <c:v>NHS Hounslow CCG</c:v>
                </c:pt>
                <c:pt idx="88">
                  <c:v>NHS Greenwich CCG</c:v>
                </c:pt>
                <c:pt idx="89">
                  <c:v>NHS Hammersmith and Fulham CCG</c:v>
                </c:pt>
                <c:pt idx="90">
                  <c:v>NHS Haringey CCG</c:v>
                </c:pt>
                <c:pt idx="91">
                  <c:v>NHS Harrow CCG</c:v>
                </c:pt>
                <c:pt idx="92">
                  <c:v>NHS Islington CCG</c:v>
                </c:pt>
                <c:pt idx="93">
                  <c:v>NHS Kingston CCG</c:v>
                </c:pt>
                <c:pt idx="94">
                  <c:v>NHS Lambeth CCG</c:v>
                </c:pt>
                <c:pt idx="95">
                  <c:v>NHS Lewisham CCG</c:v>
                </c:pt>
                <c:pt idx="96">
                  <c:v>NHS Newham CCG</c:v>
                </c:pt>
                <c:pt idx="97">
                  <c:v>NHS Redbridge CCG</c:v>
                </c:pt>
                <c:pt idx="98">
                  <c:v>NHS Richmond CCG</c:v>
                </c:pt>
                <c:pt idx="99">
                  <c:v>NHS Merton CCG</c:v>
                </c:pt>
                <c:pt idx="100">
                  <c:v>NHS Sutton CCG</c:v>
                </c:pt>
                <c:pt idx="101">
                  <c:v>NHS Waltham Forest CCG</c:v>
                </c:pt>
                <c:pt idx="102">
                  <c:v>NHS Wandsworth CCG</c:v>
                </c:pt>
                <c:pt idx="103">
                  <c:v>NHS West London (K&amp;C &amp; Qpp) CCG</c:v>
                </c:pt>
                <c:pt idx="104">
                  <c:v>NHS Central London (Westminster) CCG</c:v>
                </c:pt>
                <c:pt idx="105">
                  <c:v>NHS Ashford CCG</c:v>
                </c:pt>
                <c:pt idx="106">
                  <c:v>NHS Brighton and Hove CCG</c:v>
                </c:pt>
                <c:pt idx="107">
                  <c:v>NHS Canterbury and Coastal CCG</c:v>
                </c:pt>
                <c:pt idx="108">
                  <c:v>NHS Eastbourne, Hailsham and Seaford CCG</c:v>
                </c:pt>
                <c:pt idx="109">
                  <c:v>NHS Crawley CCG</c:v>
                </c:pt>
                <c:pt idx="110">
                  <c:v>NHS East Surrey CCG</c:v>
                </c:pt>
                <c:pt idx="111">
                  <c:v>NHS Hastings and Rother CCG</c:v>
                </c:pt>
                <c:pt idx="112">
                  <c:v>NHS Horsham and Mid Sussex CCG</c:v>
                </c:pt>
                <c:pt idx="113">
                  <c:v>NHS Thanet CCG</c:v>
                </c:pt>
                <c:pt idx="114">
                  <c:v>NHS Isle Of Wight CCG</c:v>
                </c:pt>
                <c:pt idx="115">
                  <c:v>NHS Slough CCG</c:v>
                </c:pt>
                <c:pt idx="116">
                  <c:v>NHS Southampton CCG</c:v>
                </c:pt>
                <c:pt idx="117">
                  <c:v>NHS Windsor, Ascot and Maidenhead CCG</c:v>
                </c:pt>
                <c:pt idx="118">
                  <c:v>NHS Castle Point and Rochford CCG</c:v>
                </c:pt>
                <c:pt idx="119">
                  <c:v>NHS Southend CCG</c:v>
                </c:pt>
                <c:pt idx="120">
                  <c:v>NHS West Kent CCG</c:v>
                </c:pt>
                <c:pt idx="121">
                  <c:v>NHS High Weald Lewes Havens CCG</c:v>
                </c:pt>
                <c:pt idx="122">
                  <c:v>NHS South Devon and Torbay CCG</c:v>
                </c:pt>
                <c:pt idx="123">
                  <c:v>NHS East and North Hertfordshire CCG</c:v>
                </c:pt>
                <c:pt idx="124">
                  <c:v>NHS Sandwell and West Birmingham CCG</c:v>
                </c:pt>
                <c:pt idx="125">
                  <c:v>NHS East Lancashire CCG</c:v>
                </c:pt>
                <c:pt idx="126">
                  <c:v>NHS Southport and Formby CCG</c:v>
                </c:pt>
                <c:pt idx="127">
                  <c:v>NHS Dartford, Gravesham and Swanley CCG</c:v>
                </c:pt>
                <c:pt idx="128">
                  <c:v>NHS Cumbria CCG</c:v>
                </c:pt>
                <c:pt idx="129">
                  <c:v>NHS Warrington CCG</c:v>
                </c:pt>
                <c:pt idx="130">
                  <c:v>NHS South Kent Coast CCG</c:v>
                </c:pt>
                <c:pt idx="131">
                  <c:v>NHS Blackburn With Darwen CCG</c:v>
                </c:pt>
                <c:pt idx="132">
                  <c:v>NHS Durham Dales, Easington and Sedgefield CCG</c:v>
                </c:pt>
                <c:pt idx="133">
                  <c:v>NHS Bexley CCG</c:v>
                </c:pt>
                <c:pt idx="134">
                  <c:v>NHS Sunderland CCG</c:v>
                </c:pt>
                <c:pt idx="135">
                  <c:v>NHS Havering CCG</c:v>
                </c:pt>
                <c:pt idx="136">
                  <c:v>NHS Bolton CCG</c:v>
                </c:pt>
                <c:pt idx="137">
                  <c:v>NHS North, East, West Devon CCG</c:v>
                </c:pt>
                <c:pt idx="138">
                  <c:v>NHS Northumberland CCG</c:v>
                </c:pt>
                <c:pt idx="139">
                  <c:v>NHS Doncaster CCG</c:v>
                </c:pt>
                <c:pt idx="140">
                  <c:v>NHS Coventry and Rugby CCG</c:v>
                </c:pt>
                <c:pt idx="141">
                  <c:v>NHS Thurrock CCG</c:v>
                </c:pt>
                <c:pt idx="142">
                  <c:v>NHS Coastal West Sussex CCG</c:v>
                </c:pt>
                <c:pt idx="143">
                  <c:v>NHS Newcastle North and East CCG</c:v>
                </c:pt>
                <c:pt idx="144">
                  <c:v>NHS Liverpool CCG</c:v>
                </c:pt>
                <c:pt idx="145">
                  <c:v>NHS West Hampshire CCG</c:v>
                </c:pt>
                <c:pt idx="146">
                  <c:v>NHS Kernow CCG</c:v>
                </c:pt>
                <c:pt idx="147">
                  <c:v>NHS Bradford Districts CCG</c:v>
                </c:pt>
                <c:pt idx="148">
                  <c:v>NHS North &amp; West Reading CCG</c:v>
                </c:pt>
                <c:pt idx="149">
                  <c:v>NHS Greater Huddersfield CCG</c:v>
                </c:pt>
                <c:pt idx="150">
                  <c:v>NHS Lincolnshire West CCG</c:v>
                </c:pt>
                <c:pt idx="151">
                  <c:v>NHS North West Surrey CCG</c:v>
                </c:pt>
                <c:pt idx="152">
                  <c:v>NHS Surrey Heath CCG</c:v>
                </c:pt>
                <c:pt idx="153">
                  <c:v>NHS South Warwickshire CCG</c:v>
                </c:pt>
                <c:pt idx="154">
                  <c:v>NHS Shropshire CCG</c:v>
                </c:pt>
                <c:pt idx="155">
                  <c:v>NHS North Durham CCG</c:v>
                </c:pt>
                <c:pt idx="156">
                  <c:v>NHS North Somerset CCG</c:v>
                </c:pt>
                <c:pt idx="157">
                  <c:v>NHS Gateshead CCG</c:v>
                </c:pt>
                <c:pt idx="158">
                  <c:v>NHS Trafford CCG</c:v>
                </c:pt>
                <c:pt idx="159">
                  <c:v>NHS Basildon and Brentwood CCG</c:v>
                </c:pt>
                <c:pt idx="160">
                  <c:v>NHS North Hampshire CCG</c:v>
                </c:pt>
                <c:pt idx="161">
                  <c:v>NHS Dorset CCG</c:v>
                </c:pt>
                <c:pt idx="162">
                  <c:v>NHS Guildford and Waverley CCG</c:v>
                </c:pt>
                <c:pt idx="163">
                  <c:v>NHS Great Yarmouth and Waveney CCG</c:v>
                </c:pt>
                <c:pt idx="164">
                  <c:v>NHS Bristol CCG</c:v>
                </c:pt>
                <c:pt idx="165">
                  <c:v>NHS Birmingham Crosscity CCG</c:v>
                </c:pt>
                <c:pt idx="166">
                  <c:v>NHS Aylesbury Vale CCG</c:v>
                </c:pt>
                <c:pt idx="167">
                  <c:v>NHS Stafford and Surrounds CCG</c:v>
                </c:pt>
                <c:pt idx="168">
                  <c:v>NHS Greater Preston CCG</c:v>
                </c:pt>
                <c:pt idx="169">
                  <c:v>NHS Calderdale CCG</c:v>
                </c:pt>
                <c:pt idx="170">
                  <c:v>NHS North East Lincolnshire CCG</c:v>
                </c:pt>
                <c:pt idx="171">
                  <c:v>NHS Nene CCG</c:v>
                </c:pt>
                <c:pt idx="172">
                  <c:v>NHS Vale Of York CCG</c:v>
                </c:pt>
                <c:pt idx="173">
                  <c:v>NHS Bath and North East Somerset CCG</c:v>
                </c:pt>
                <c:pt idx="174">
                  <c:v>NHS West Leicestershire CCG</c:v>
                </c:pt>
                <c:pt idx="175">
                  <c:v>NHS North East Hampshire and Farnham CCG</c:v>
                </c:pt>
                <c:pt idx="176">
                  <c:v>NHS West Cheshire CCG</c:v>
                </c:pt>
                <c:pt idx="177">
                  <c:v>NHS Ipswich and East Suffolk CCG</c:v>
                </c:pt>
                <c:pt idx="178">
                  <c:v>NHS Wirral CCG</c:v>
                </c:pt>
                <c:pt idx="179">
                  <c:v>NHS Hartlepool and Stockton-On-Tees CCG</c:v>
                </c:pt>
                <c:pt idx="180">
                  <c:v>NHS East Leicestershire and Rutland CCG</c:v>
                </c:pt>
                <c:pt idx="181">
                  <c:v>NHS Tower Hamlets CCG</c:v>
                </c:pt>
                <c:pt idx="182">
                  <c:v>NHS Wiltshire CCG</c:v>
                </c:pt>
                <c:pt idx="183">
                  <c:v>NHS North Lincolnshire CCG</c:v>
                </c:pt>
                <c:pt idx="184">
                  <c:v>NHS Oxfordshire CCG</c:v>
                </c:pt>
                <c:pt idx="185">
                  <c:v>NHS Newbury and District CCG</c:v>
                </c:pt>
                <c:pt idx="186">
                  <c:v>NHS South Gloucestershire CCG</c:v>
                </c:pt>
                <c:pt idx="187">
                  <c:v>NHS Medway CCG</c:v>
                </c:pt>
                <c:pt idx="188">
                  <c:v>NHS Swindon CCG</c:v>
                </c:pt>
                <c:pt idx="189">
                  <c:v>NHS West Essex CCG</c:v>
                </c:pt>
                <c:pt idx="190">
                  <c:v>NHS Herts Valleys CCG</c:v>
                </c:pt>
                <c:pt idx="191">
                  <c:v>NHS Chorley and South Ribble CCG</c:v>
                </c:pt>
                <c:pt idx="192">
                  <c:v>NHS Swale CCG</c:v>
                </c:pt>
                <c:pt idx="193">
                  <c:v>NHS Chiltern CCG</c:v>
                </c:pt>
                <c:pt idx="194">
                  <c:v>NHS Surrey Downs CCG</c:v>
                </c:pt>
                <c:pt idx="195">
                  <c:v>NHS Bracknell and Ascot CCG</c:v>
                </c:pt>
                <c:pt idx="196">
                  <c:v>NHS Wokingham CCG</c:v>
                </c:pt>
                <c:pt idx="197">
                  <c:v>NHS North Tyneside CCG</c:v>
                </c:pt>
                <c:pt idx="198">
                  <c:v>NHS South Eastern Hampshire CCG</c:v>
                </c:pt>
                <c:pt idx="199">
                  <c:v>NHS South Reading CCG</c:v>
                </c:pt>
                <c:pt idx="200">
                  <c:v>NHS Warwickshire North CCG</c:v>
                </c:pt>
                <c:pt idx="201">
                  <c:v>NHS Gloucestershire CCG</c:v>
                </c:pt>
                <c:pt idx="202">
                  <c:v>NHS West Suffolk CCG</c:v>
                </c:pt>
                <c:pt idx="203">
                  <c:v>NHS South Lincolnshire CCG</c:v>
                </c:pt>
                <c:pt idx="204">
                  <c:v>NHS Portsmouth CCG</c:v>
                </c:pt>
                <c:pt idx="205">
                  <c:v>NHS Somerset CCG</c:v>
                </c:pt>
                <c:pt idx="206">
                  <c:v>NHS Fareham and Gosport CCG</c:v>
                </c:pt>
                <c:pt idx="207">
                  <c:v>NHS Lincolnshire East CCG</c:v>
                </c:pt>
                <c:pt idx="208">
                  <c:v>NHS Hillingdon CCG</c:v>
                </c:pt>
                <c:pt idx="209">
                  <c:v>NHS Southwark CCG</c:v>
                </c:pt>
                <c:pt idx="210">
                  <c:v>NHS Leicester City CCG</c:v>
                </c:pt>
              </c:strCache>
            </c:strRef>
          </c:cat>
          <c:val>
            <c:numRef>
              <c:f>Sheet1!$B$2:$B$212</c:f>
              <c:numCache>
                <c:formatCode>0.0</c:formatCode>
                <c:ptCount val="21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10.7</c:v>
                </c:pt>
                <c:pt idx="124">
                  <c:v>13.1</c:v>
                </c:pt>
                <c:pt idx="125">
                  <c:v>13.6</c:v>
                </c:pt>
                <c:pt idx="126">
                  <c:v>13.7</c:v>
                </c:pt>
                <c:pt idx="127">
                  <c:v>14.1</c:v>
                </c:pt>
                <c:pt idx="128">
                  <c:v>14.6</c:v>
                </c:pt>
                <c:pt idx="129">
                  <c:v>15.5</c:v>
                </c:pt>
                <c:pt idx="130">
                  <c:v>15.8</c:v>
                </c:pt>
                <c:pt idx="131">
                  <c:v>15.9</c:v>
                </c:pt>
                <c:pt idx="132">
                  <c:v>16.100000000000001</c:v>
                </c:pt>
                <c:pt idx="133">
                  <c:v>16.100000000000001</c:v>
                </c:pt>
                <c:pt idx="134">
                  <c:v>16.3</c:v>
                </c:pt>
                <c:pt idx="135">
                  <c:v>16.399999999999999</c:v>
                </c:pt>
                <c:pt idx="136">
                  <c:v>18.399999999999999</c:v>
                </c:pt>
                <c:pt idx="137">
                  <c:v>18.7</c:v>
                </c:pt>
                <c:pt idx="138">
                  <c:v>19</c:v>
                </c:pt>
                <c:pt idx="139">
                  <c:v>19</c:v>
                </c:pt>
                <c:pt idx="140">
                  <c:v>19.899999999999999</c:v>
                </c:pt>
                <c:pt idx="141">
                  <c:v>20</c:v>
                </c:pt>
                <c:pt idx="142">
                  <c:v>20.100000000000001</c:v>
                </c:pt>
                <c:pt idx="143">
                  <c:v>20.5</c:v>
                </c:pt>
                <c:pt idx="144">
                  <c:v>20.5</c:v>
                </c:pt>
                <c:pt idx="145">
                  <c:v>20.6</c:v>
                </c:pt>
                <c:pt idx="146">
                  <c:v>20.6</c:v>
                </c:pt>
                <c:pt idx="147">
                  <c:v>20.8</c:v>
                </c:pt>
                <c:pt idx="148">
                  <c:v>21.1</c:v>
                </c:pt>
                <c:pt idx="149">
                  <c:v>21.4</c:v>
                </c:pt>
                <c:pt idx="150">
                  <c:v>21.4</c:v>
                </c:pt>
                <c:pt idx="151">
                  <c:v>21.6</c:v>
                </c:pt>
                <c:pt idx="152">
                  <c:v>21.9</c:v>
                </c:pt>
                <c:pt idx="153">
                  <c:v>22</c:v>
                </c:pt>
                <c:pt idx="154">
                  <c:v>22.5</c:v>
                </c:pt>
                <c:pt idx="155">
                  <c:v>22.9</c:v>
                </c:pt>
                <c:pt idx="156">
                  <c:v>22.9</c:v>
                </c:pt>
                <c:pt idx="157">
                  <c:v>23</c:v>
                </c:pt>
                <c:pt idx="158">
                  <c:v>23.1</c:v>
                </c:pt>
                <c:pt idx="159">
                  <c:v>23.2</c:v>
                </c:pt>
                <c:pt idx="160">
                  <c:v>23.5</c:v>
                </c:pt>
                <c:pt idx="161">
                  <c:v>23.5</c:v>
                </c:pt>
                <c:pt idx="162">
                  <c:v>23.8</c:v>
                </c:pt>
                <c:pt idx="163">
                  <c:v>24.1</c:v>
                </c:pt>
                <c:pt idx="164">
                  <c:v>24.4</c:v>
                </c:pt>
                <c:pt idx="165">
                  <c:v>24.4</c:v>
                </c:pt>
                <c:pt idx="166">
                  <c:v>24.5</c:v>
                </c:pt>
                <c:pt idx="167">
                  <c:v>25</c:v>
                </c:pt>
                <c:pt idx="168">
                  <c:v>25.4</c:v>
                </c:pt>
                <c:pt idx="169">
                  <c:v>25.5</c:v>
                </c:pt>
                <c:pt idx="170">
                  <c:v>25.7</c:v>
                </c:pt>
                <c:pt idx="171">
                  <c:v>25.7</c:v>
                </c:pt>
                <c:pt idx="172">
                  <c:v>25.8</c:v>
                </c:pt>
                <c:pt idx="173">
                  <c:v>25.8</c:v>
                </c:pt>
                <c:pt idx="174">
                  <c:v>26.2</c:v>
                </c:pt>
                <c:pt idx="175">
                  <c:v>27.3</c:v>
                </c:pt>
                <c:pt idx="176">
                  <c:v>27.6</c:v>
                </c:pt>
                <c:pt idx="177">
                  <c:v>27.6</c:v>
                </c:pt>
                <c:pt idx="178">
                  <c:v>27.9</c:v>
                </c:pt>
                <c:pt idx="179">
                  <c:v>28.9</c:v>
                </c:pt>
                <c:pt idx="180">
                  <c:v>29.6</c:v>
                </c:pt>
                <c:pt idx="181">
                  <c:v>29.7</c:v>
                </c:pt>
                <c:pt idx="182">
                  <c:v>30.2</c:v>
                </c:pt>
                <c:pt idx="183">
                  <c:v>30.4</c:v>
                </c:pt>
                <c:pt idx="184">
                  <c:v>31</c:v>
                </c:pt>
                <c:pt idx="185">
                  <c:v>32</c:v>
                </c:pt>
                <c:pt idx="186">
                  <c:v>32.4</c:v>
                </c:pt>
                <c:pt idx="187">
                  <c:v>32.5</c:v>
                </c:pt>
                <c:pt idx="188">
                  <c:v>32.799999999999997</c:v>
                </c:pt>
                <c:pt idx="189">
                  <c:v>32.9</c:v>
                </c:pt>
                <c:pt idx="190">
                  <c:v>33</c:v>
                </c:pt>
                <c:pt idx="191">
                  <c:v>33.299999999999997</c:v>
                </c:pt>
                <c:pt idx="192">
                  <c:v>33.299999999999997</c:v>
                </c:pt>
                <c:pt idx="193">
                  <c:v>33.299999999999997</c:v>
                </c:pt>
                <c:pt idx="194">
                  <c:v>33.299999999999997</c:v>
                </c:pt>
                <c:pt idx="195">
                  <c:v>34.799999999999997</c:v>
                </c:pt>
                <c:pt idx="196">
                  <c:v>35.200000000000003</c:v>
                </c:pt>
                <c:pt idx="197">
                  <c:v>35.200000000000003</c:v>
                </c:pt>
                <c:pt idx="198">
                  <c:v>35.799999999999997</c:v>
                </c:pt>
                <c:pt idx="199">
                  <c:v>36.4</c:v>
                </c:pt>
                <c:pt idx="200">
                  <c:v>37.700000000000003</c:v>
                </c:pt>
                <c:pt idx="201">
                  <c:v>38.299999999999997</c:v>
                </c:pt>
                <c:pt idx="202">
                  <c:v>38.6</c:v>
                </c:pt>
                <c:pt idx="203">
                  <c:v>38.9</c:v>
                </c:pt>
                <c:pt idx="204">
                  <c:v>39.200000000000003</c:v>
                </c:pt>
                <c:pt idx="205">
                  <c:v>40.1</c:v>
                </c:pt>
                <c:pt idx="206">
                  <c:v>42.5</c:v>
                </c:pt>
                <c:pt idx="207">
                  <c:v>42.7</c:v>
                </c:pt>
                <c:pt idx="208">
                  <c:v>66.7</c:v>
                </c:pt>
                <c:pt idx="209">
                  <c:v>77.8</c:v>
                </c:pt>
                <c:pt idx="210">
                  <c:v>0</c:v>
                </c:pt>
              </c:numCache>
            </c:numRef>
          </c:val>
          <c:smooth val="0"/>
          <c:extLst>
            <c:ext xmlns:c16="http://schemas.microsoft.com/office/drawing/2014/chart" uri="{C3380CC4-5D6E-409C-BE32-E72D297353CC}">
              <c16:uniqueId val="{00000000-EA18-406F-A15E-8D1E68C2469D}"/>
            </c:ext>
          </c:extLst>
        </c:ser>
        <c:ser>
          <c:idx val="1"/>
          <c:order val="1"/>
          <c:tx>
            <c:strRef>
              <c:f>Sheet1!$C$1</c:f>
              <c:strCache>
                <c:ptCount val="1"/>
                <c:pt idx="0">
                  <c:v>CI Lower</c:v>
                </c:pt>
              </c:strCache>
            </c:strRef>
          </c:tx>
          <c:marker>
            <c:symbol val="none"/>
          </c:marker>
          <c:cat>
            <c:strRef>
              <c:f>Sheet1!$A$2:$A$212</c:f>
              <c:strCache>
                <c:ptCount val="211"/>
                <c:pt idx="0">
                  <c:v>NHS Darlington CCG</c:v>
                </c:pt>
                <c:pt idx="1">
                  <c:v>NHS Newcastle West CCG</c:v>
                </c:pt>
                <c:pt idx="2">
                  <c:v>NHS South Tees CCG</c:v>
                </c:pt>
                <c:pt idx="3">
                  <c:v>NHS South Tyneside CCG</c:v>
                </c:pt>
                <c:pt idx="4">
                  <c:v>NHS Blackpool CCG</c:v>
                </c:pt>
                <c:pt idx="5">
                  <c:v>NHS Bury CCG</c:v>
                </c:pt>
                <c:pt idx="6">
                  <c:v>NHS Central Manchester CCG</c:v>
                </c:pt>
                <c:pt idx="7">
                  <c:v>NHS Oldham CCG</c:v>
                </c:pt>
                <c:pt idx="8">
                  <c:v>NHS Eastern Cheshire CCG</c:v>
                </c:pt>
                <c:pt idx="9">
                  <c:v>NHS Heywood, Middleton and Rochdale CCG</c:v>
                </c:pt>
                <c:pt idx="10">
                  <c:v>NHS Halton CCG</c:v>
                </c:pt>
                <c:pt idx="11">
                  <c:v>NHS Salford CCG</c:v>
                </c:pt>
                <c:pt idx="12">
                  <c:v>NHS Knowsley CCG</c:v>
                </c:pt>
                <c:pt idx="13">
                  <c:v>NHS Lancashire North CCG</c:v>
                </c:pt>
                <c:pt idx="14">
                  <c:v>NHS North Manchester CCG</c:v>
                </c:pt>
                <c:pt idx="15">
                  <c:v>NHS South Manchester CCG</c:v>
                </c:pt>
                <c:pt idx="16">
                  <c:v>NHS South Cheshire CCG</c:v>
                </c:pt>
                <c:pt idx="17">
                  <c:v>NHS South Sefton CCG</c:v>
                </c:pt>
                <c:pt idx="18">
                  <c:v>NHS Stockport CCG</c:v>
                </c:pt>
                <c:pt idx="19">
                  <c:v>NHS St Helens CCG</c:v>
                </c:pt>
                <c:pt idx="20">
                  <c:v>NHS Tameside and Glossop CCG</c:v>
                </c:pt>
                <c:pt idx="21">
                  <c:v>NHS Vale Royal CCG</c:v>
                </c:pt>
                <c:pt idx="22">
                  <c:v>NHS West Lancashire CCG</c:v>
                </c:pt>
                <c:pt idx="23">
                  <c:v>NHS Wigan Borough CCG</c:v>
                </c:pt>
                <c:pt idx="24">
                  <c:v>NHS Fylde &amp; Wyre CCG</c:v>
                </c:pt>
                <c:pt idx="25">
                  <c:v>NHS Airedale, Wharfedale and Craven CCG</c:v>
                </c:pt>
                <c:pt idx="26">
                  <c:v>NHS Barnsley CCG</c:v>
                </c:pt>
                <c:pt idx="27">
                  <c:v>NHS Bassetlaw CCG</c:v>
                </c:pt>
                <c:pt idx="28">
                  <c:v>NHS Leeds North CCG</c:v>
                </c:pt>
                <c:pt idx="29">
                  <c:v>NHS Bradford City CCG</c:v>
                </c:pt>
                <c:pt idx="30">
                  <c:v>NHS East Riding Of Yorkshire CCG</c:v>
                </c:pt>
                <c:pt idx="31">
                  <c:v>NHS Leeds West CCG</c:v>
                </c:pt>
                <c:pt idx="32">
                  <c:v>NHS Hambleton, Richmondshire and Whitby CCG</c:v>
                </c:pt>
                <c:pt idx="33">
                  <c:v>NHS Harrogate and Rural District CCG</c:v>
                </c:pt>
                <c:pt idx="34">
                  <c:v>NHS Hull CCG</c:v>
                </c:pt>
                <c:pt idx="35">
                  <c:v>NHS Leeds South and East CCG</c:v>
                </c:pt>
                <c:pt idx="36">
                  <c:v>NHS North Kirklees CCG</c:v>
                </c:pt>
                <c:pt idx="37">
                  <c:v>NHS Rotherham CCG</c:v>
                </c:pt>
                <c:pt idx="38">
                  <c:v>NHS Scarborough and Ryedale CCG</c:v>
                </c:pt>
                <c:pt idx="39">
                  <c:v>NHS Sheffield CCG</c:v>
                </c:pt>
                <c:pt idx="40">
                  <c:v>NHS Wakefield CCG</c:v>
                </c:pt>
                <c:pt idx="41">
                  <c:v>NHS Corby CCG</c:v>
                </c:pt>
                <c:pt idx="42">
                  <c:v>NHS Erewash CCG</c:v>
                </c:pt>
                <c:pt idx="43">
                  <c:v>NHS Hardwick CCG</c:v>
                </c:pt>
                <c:pt idx="44">
                  <c:v>NHS Mansfield and Ashfield CCG</c:v>
                </c:pt>
                <c:pt idx="45">
                  <c:v>NHS Milton Keynes CCG</c:v>
                </c:pt>
                <c:pt idx="46">
                  <c:v>NHS Newark &amp; Sherwood CCG</c:v>
                </c:pt>
                <c:pt idx="47">
                  <c:v>NHS North Derbyshire CCG</c:v>
                </c:pt>
                <c:pt idx="48">
                  <c:v>NHS Nottingham City CCG</c:v>
                </c:pt>
                <c:pt idx="49">
                  <c:v>NHS Nottingham North and East CCG</c:v>
                </c:pt>
                <c:pt idx="50">
                  <c:v>NHS Nottingham West CCG</c:v>
                </c:pt>
                <c:pt idx="51">
                  <c:v>NHS Rushcliffe CCG</c:v>
                </c:pt>
                <c:pt idx="52">
                  <c:v>NHS South West Lincolnshire CCG</c:v>
                </c:pt>
                <c:pt idx="53">
                  <c:v>NHS Southern Derbyshire CCG</c:v>
                </c:pt>
                <c:pt idx="54">
                  <c:v>NHS Birmingham South and Central CCG</c:v>
                </c:pt>
                <c:pt idx="55">
                  <c:v>NHS Cannock Chase CCG</c:v>
                </c:pt>
                <c:pt idx="56">
                  <c:v>NHS Dudley CCG</c:v>
                </c:pt>
                <c:pt idx="57">
                  <c:v>NHS East Staffordshire CCG</c:v>
                </c:pt>
                <c:pt idx="58">
                  <c:v>NHS Herefordshire CCG</c:v>
                </c:pt>
                <c:pt idx="59">
                  <c:v>NHS North Staffordshire CCG</c:v>
                </c:pt>
                <c:pt idx="60">
                  <c:v>NHS Redditch and Bromsgrove CCG</c:v>
                </c:pt>
                <c:pt idx="61">
                  <c:v>NHS Solihull CCG</c:v>
                </c:pt>
                <c:pt idx="62">
                  <c:v>NHS South East Staffs and Seisdon Peninsular CCG</c:v>
                </c:pt>
                <c:pt idx="63">
                  <c:v>NHS South Worcestershire CCG</c:v>
                </c:pt>
                <c:pt idx="64">
                  <c:v>NHS Stoke On Trent CCG</c:v>
                </c:pt>
                <c:pt idx="65">
                  <c:v>NHS Telford and Wrekin CCG</c:v>
                </c:pt>
                <c:pt idx="66">
                  <c:v>NHS Walsall CCG</c:v>
                </c:pt>
                <c:pt idx="67">
                  <c:v>NHS Wolverhampton CCG</c:v>
                </c:pt>
                <c:pt idx="68">
                  <c:v>NHS Wyre Forest CCG</c:v>
                </c:pt>
                <c:pt idx="69">
                  <c:v>NHS Bedfordshire CCG</c:v>
                </c:pt>
                <c:pt idx="70">
                  <c:v>NHS Cambridgeshire and Peterborough CCG</c:v>
                </c:pt>
                <c:pt idx="71">
                  <c:v>NHS Luton CCG</c:v>
                </c:pt>
                <c:pt idx="72">
                  <c:v>NHS Mid Essex CCG</c:v>
                </c:pt>
                <c:pt idx="73">
                  <c:v>NHS North East Essex CCG</c:v>
                </c:pt>
                <c:pt idx="74">
                  <c:v>NHS North Norfolk CCG</c:v>
                </c:pt>
                <c:pt idx="75">
                  <c:v>NHS Norwich CCG</c:v>
                </c:pt>
                <c:pt idx="76">
                  <c:v>NHS South Norfolk CCG</c:v>
                </c:pt>
                <c:pt idx="77">
                  <c:v>NHS West Norfolk CCG</c:v>
                </c:pt>
                <c:pt idx="78">
                  <c:v>NHS Barking and Dagenham CCG</c:v>
                </c:pt>
                <c:pt idx="79">
                  <c:v>NHS Barnet CCG</c:v>
                </c:pt>
                <c:pt idx="80">
                  <c:v>NHS Brent CCG</c:v>
                </c:pt>
                <c:pt idx="81">
                  <c:v>NHS Bromley CCG</c:v>
                </c:pt>
                <c:pt idx="82">
                  <c:v>NHS Camden CCG</c:v>
                </c:pt>
                <c:pt idx="83">
                  <c:v>NHS City and Hackney CCG</c:v>
                </c:pt>
                <c:pt idx="84">
                  <c:v>NHS Croydon CCG</c:v>
                </c:pt>
                <c:pt idx="85">
                  <c:v>NHS Ealing CCG</c:v>
                </c:pt>
                <c:pt idx="86">
                  <c:v>NHS Enfield CCG</c:v>
                </c:pt>
                <c:pt idx="87">
                  <c:v>NHS Hounslow CCG</c:v>
                </c:pt>
                <c:pt idx="88">
                  <c:v>NHS Greenwich CCG</c:v>
                </c:pt>
                <c:pt idx="89">
                  <c:v>NHS Hammersmith and Fulham CCG</c:v>
                </c:pt>
                <c:pt idx="90">
                  <c:v>NHS Haringey CCG</c:v>
                </c:pt>
                <c:pt idx="91">
                  <c:v>NHS Harrow CCG</c:v>
                </c:pt>
                <c:pt idx="92">
                  <c:v>NHS Islington CCG</c:v>
                </c:pt>
                <c:pt idx="93">
                  <c:v>NHS Kingston CCG</c:v>
                </c:pt>
                <c:pt idx="94">
                  <c:v>NHS Lambeth CCG</c:v>
                </c:pt>
                <c:pt idx="95">
                  <c:v>NHS Lewisham CCG</c:v>
                </c:pt>
                <c:pt idx="96">
                  <c:v>NHS Newham CCG</c:v>
                </c:pt>
                <c:pt idx="97">
                  <c:v>NHS Redbridge CCG</c:v>
                </c:pt>
                <c:pt idx="98">
                  <c:v>NHS Richmond CCG</c:v>
                </c:pt>
                <c:pt idx="99">
                  <c:v>NHS Merton CCG</c:v>
                </c:pt>
                <c:pt idx="100">
                  <c:v>NHS Sutton CCG</c:v>
                </c:pt>
                <c:pt idx="101">
                  <c:v>NHS Waltham Forest CCG</c:v>
                </c:pt>
                <c:pt idx="102">
                  <c:v>NHS Wandsworth CCG</c:v>
                </c:pt>
                <c:pt idx="103">
                  <c:v>NHS West London (K&amp;C &amp; Qpp) CCG</c:v>
                </c:pt>
                <c:pt idx="104">
                  <c:v>NHS Central London (Westminster) CCG</c:v>
                </c:pt>
                <c:pt idx="105">
                  <c:v>NHS Ashford CCG</c:v>
                </c:pt>
                <c:pt idx="106">
                  <c:v>NHS Brighton and Hove CCG</c:v>
                </c:pt>
                <c:pt idx="107">
                  <c:v>NHS Canterbury and Coastal CCG</c:v>
                </c:pt>
                <c:pt idx="108">
                  <c:v>NHS Eastbourne, Hailsham and Seaford CCG</c:v>
                </c:pt>
                <c:pt idx="109">
                  <c:v>NHS Crawley CCG</c:v>
                </c:pt>
                <c:pt idx="110">
                  <c:v>NHS East Surrey CCG</c:v>
                </c:pt>
                <c:pt idx="111">
                  <c:v>NHS Hastings and Rother CCG</c:v>
                </c:pt>
                <c:pt idx="112">
                  <c:v>NHS Horsham and Mid Sussex CCG</c:v>
                </c:pt>
                <c:pt idx="113">
                  <c:v>NHS Thanet CCG</c:v>
                </c:pt>
                <c:pt idx="114">
                  <c:v>NHS Isle Of Wight CCG</c:v>
                </c:pt>
                <c:pt idx="115">
                  <c:v>NHS Slough CCG</c:v>
                </c:pt>
                <c:pt idx="116">
                  <c:v>NHS Southampton CCG</c:v>
                </c:pt>
                <c:pt idx="117">
                  <c:v>NHS Windsor, Ascot and Maidenhead CCG</c:v>
                </c:pt>
                <c:pt idx="118">
                  <c:v>NHS Castle Point and Rochford CCG</c:v>
                </c:pt>
                <c:pt idx="119">
                  <c:v>NHS Southend CCG</c:v>
                </c:pt>
                <c:pt idx="120">
                  <c:v>NHS West Kent CCG</c:v>
                </c:pt>
                <c:pt idx="121">
                  <c:v>NHS High Weald Lewes Havens CCG</c:v>
                </c:pt>
                <c:pt idx="122">
                  <c:v>NHS South Devon and Torbay CCG</c:v>
                </c:pt>
                <c:pt idx="123">
                  <c:v>NHS East and North Hertfordshire CCG</c:v>
                </c:pt>
                <c:pt idx="124">
                  <c:v>NHS Sandwell and West Birmingham CCG</c:v>
                </c:pt>
                <c:pt idx="125">
                  <c:v>NHS East Lancashire CCG</c:v>
                </c:pt>
                <c:pt idx="126">
                  <c:v>NHS Southport and Formby CCG</c:v>
                </c:pt>
                <c:pt idx="127">
                  <c:v>NHS Dartford, Gravesham and Swanley CCG</c:v>
                </c:pt>
                <c:pt idx="128">
                  <c:v>NHS Cumbria CCG</c:v>
                </c:pt>
                <c:pt idx="129">
                  <c:v>NHS Warrington CCG</c:v>
                </c:pt>
                <c:pt idx="130">
                  <c:v>NHS South Kent Coast CCG</c:v>
                </c:pt>
                <c:pt idx="131">
                  <c:v>NHS Blackburn With Darwen CCG</c:v>
                </c:pt>
                <c:pt idx="132">
                  <c:v>NHS Durham Dales, Easington and Sedgefield CCG</c:v>
                </c:pt>
                <c:pt idx="133">
                  <c:v>NHS Bexley CCG</c:v>
                </c:pt>
                <c:pt idx="134">
                  <c:v>NHS Sunderland CCG</c:v>
                </c:pt>
                <c:pt idx="135">
                  <c:v>NHS Havering CCG</c:v>
                </c:pt>
                <c:pt idx="136">
                  <c:v>NHS Bolton CCG</c:v>
                </c:pt>
                <c:pt idx="137">
                  <c:v>NHS North, East, West Devon CCG</c:v>
                </c:pt>
                <c:pt idx="138">
                  <c:v>NHS Northumberland CCG</c:v>
                </c:pt>
                <c:pt idx="139">
                  <c:v>NHS Doncaster CCG</c:v>
                </c:pt>
                <c:pt idx="140">
                  <c:v>NHS Coventry and Rugby CCG</c:v>
                </c:pt>
                <c:pt idx="141">
                  <c:v>NHS Thurrock CCG</c:v>
                </c:pt>
                <c:pt idx="142">
                  <c:v>NHS Coastal West Sussex CCG</c:v>
                </c:pt>
                <c:pt idx="143">
                  <c:v>NHS Newcastle North and East CCG</c:v>
                </c:pt>
                <c:pt idx="144">
                  <c:v>NHS Liverpool CCG</c:v>
                </c:pt>
                <c:pt idx="145">
                  <c:v>NHS West Hampshire CCG</c:v>
                </c:pt>
                <c:pt idx="146">
                  <c:v>NHS Kernow CCG</c:v>
                </c:pt>
                <c:pt idx="147">
                  <c:v>NHS Bradford Districts CCG</c:v>
                </c:pt>
                <c:pt idx="148">
                  <c:v>NHS North &amp; West Reading CCG</c:v>
                </c:pt>
                <c:pt idx="149">
                  <c:v>NHS Greater Huddersfield CCG</c:v>
                </c:pt>
                <c:pt idx="150">
                  <c:v>NHS Lincolnshire West CCG</c:v>
                </c:pt>
                <c:pt idx="151">
                  <c:v>NHS North West Surrey CCG</c:v>
                </c:pt>
                <c:pt idx="152">
                  <c:v>NHS Surrey Heath CCG</c:v>
                </c:pt>
                <c:pt idx="153">
                  <c:v>NHS South Warwickshire CCG</c:v>
                </c:pt>
                <c:pt idx="154">
                  <c:v>NHS Shropshire CCG</c:v>
                </c:pt>
                <c:pt idx="155">
                  <c:v>NHS North Durham CCG</c:v>
                </c:pt>
                <c:pt idx="156">
                  <c:v>NHS North Somerset CCG</c:v>
                </c:pt>
                <c:pt idx="157">
                  <c:v>NHS Gateshead CCG</c:v>
                </c:pt>
                <c:pt idx="158">
                  <c:v>NHS Trafford CCG</c:v>
                </c:pt>
                <c:pt idx="159">
                  <c:v>NHS Basildon and Brentwood CCG</c:v>
                </c:pt>
                <c:pt idx="160">
                  <c:v>NHS North Hampshire CCG</c:v>
                </c:pt>
                <c:pt idx="161">
                  <c:v>NHS Dorset CCG</c:v>
                </c:pt>
                <c:pt idx="162">
                  <c:v>NHS Guildford and Waverley CCG</c:v>
                </c:pt>
                <c:pt idx="163">
                  <c:v>NHS Great Yarmouth and Waveney CCG</c:v>
                </c:pt>
                <c:pt idx="164">
                  <c:v>NHS Bristol CCG</c:v>
                </c:pt>
                <c:pt idx="165">
                  <c:v>NHS Birmingham Crosscity CCG</c:v>
                </c:pt>
                <c:pt idx="166">
                  <c:v>NHS Aylesbury Vale CCG</c:v>
                </c:pt>
                <c:pt idx="167">
                  <c:v>NHS Stafford and Surrounds CCG</c:v>
                </c:pt>
                <c:pt idx="168">
                  <c:v>NHS Greater Preston CCG</c:v>
                </c:pt>
                <c:pt idx="169">
                  <c:v>NHS Calderdale CCG</c:v>
                </c:pt>
                <c:pt idx="170">
                  <c:v>NHS North East Lincolnshire CCG</c:v>
                </c:pt>
                <c:pt idx="171">
                  <c:v>NHS Nene CCG</c:v>
                </c:pt>
                <c:pt idx="172">
                  <c:v>NHS Vale Of York CCG</c:v>
                </c:pt>
                <c:pt idx="173">
                  <c:v>NHS Bath and North East Somerset CCG</c:v>
                </c:pt>
                <c:pt idx="174">
                  <c:v>NHS West Leicestershire CCG</c:v>
                </c:pt>
                <c:pt idx="175">
                  <c:v>NHS North East Hampshire and Farnham CCG</c:v>
                </c:pt>
                <c:pt idx="176">
                  <c:v>NHS West Cheshire CCG</c:v>
                </c:pt>
                <c:pt idx="177">
                  <c:v>NHS Ipswich and East Suffolk CCG</c:v>
                </c:pt>
                <c:pt idx="178">
                  <c:v>NHS Wirral CCG</c:v>
                </c:pt>
                <c:pt idx="179">
                  <c:v>NHS Hartlepool and Stockton-On-Tees CCG</c:v>
                </c:pt>
                <c:pt idx="180">
                  <c:v>NHS East Leicestershire and Rutland CCG</c:v>
                </c:pt>
                <c:pt idx="181">
                  <c:v>NHS Tower Hamlets CCG</c:v>
                </c:pt>
                <c:pt idx="182">
                  <c:v>NHS Wiltshire CCG</c:v>
                </c:pt>
                <c:pt idx="183">
                  <c:v>NHS North Lincolnshire CCG</c:v>
                </c:pt>
                <c:pt idx="184">
                  <c:v>NHS Oxfordshire CCG</c:v>
                </c:pt>
                <c:pt idx="185">
                  <c:v>NHS Newbury and District CCG</c:v>
                </c:pt>
                <c:pt idx="186">
                  <c:v>NHS South Gloucestershire CCG</c:v>
                </c:pt>
                <c:pt idx="187">
                  <c:v>NHS Medway CCG</c:v>
                </c:pt>
                <c:pt idx="188">
                  <c:v>NHS Swindon CCG</c:v>
                </c:pt>
                <c:pt idx="189">
                  <c:v>NHS West Essex CCG</c:v>
                </c:pt>
                <c:pt idx="190">
                  <c:v>NHS Herts Valleys CCG</c:v>
                </c:pt>
                <c:pt idx="191">
                  <c:v>NHS Chorley and South Ribble CCG</c:v>
                </c:pt>
                <c:pt idx="192">
                  <c:v>NHS Swale CCG</c:v>
                </c:pt>
                <c:pt idx="193">
                  <c:v>NHS Chiltern CCG</c:v>
                </c:pt>
                <c:pt idx="194">
                  <c:v>NHS Surrey Downs CCG</c:v>
                </c:pt>
                <c:pt idx="195">
                  <c:v>NHS Bracknell and Ascot CCG</c:v>
                </c:pt>
                <c:pt idx="196">
                  <c:v>NHS Wokingham CCG</c:v>
                </c:pt>
                <c:pt idx="197">
                  <c:v>NHS North Tyneside CCG</c:v>
                </c:pt>
                <c:pt idx="198">
                  <c:v>NHS South Eastern Hampshire CCG</c:v>
                </c:pt>
                <c:pt idx="199">
                  <c:v>NHS South Reading CCG</c:v>
                </c:pt>
                <c:pt idx="200">
                  <c:v>NHS Warwickshire North CCG</c:v>
                </c:pt>
                <c:pt idx="201">
                  <c:v>NHS Gloucestershire CCG</c:v>
                </c:pt>
                <c:pt idx="202">
                  <c:v>NHS West Suffolk CCG</c:v>
                </c:pt>
                <c:pt idx="203">
                  <c:v>NHS South Lincolnshire CCG</c:v>
                </c:pt>
                <c:pt idx="204">
                  <c:v>NHS Portsmouth CCG</c:v>
                </c:pt>
                <c:pt idx="205">
                  <c:v>NHS Somerset CCG</c:v>
                </c:pt>
                <c:pt idx="206">
                  <c:v>NHS Fareham and Gosport CCG</c:v>
                </c:pt>
                <c:pt idx="207">
                  <c:v>NHS Lincolnshire East CCG</c:v>
                </c:pt>
                <c:pt idx="208">
                  <c:v>NHS Hillingdon CCG</c:v>
                </c:pt>
                <c:pt idx="209">
                  <c:v>NHS Southwark CCG</c:v>
                </c:pt>
                <c:pt idx="210">
                  <c:v>NHS Leicester City CCG</c:v>
                </c:pt>
              </c:strCache>
            </c:strRef>
          </c:cat>
          <c:val>
            <c:numRef>
              <c:f>Sheet1!$C$2:$C$212</c:f>
              <c:numCache>
                <c:formatCode>0.0</c:formatCode>
                <c:ptCount val="21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6.4</c:v>
                </c:pt>
                <c:pt idx="124">
                  <c:v>6.8</c:v>
                </c:pt>
                <c:pt idx="125">
                  <c:v>8.6999999999999993</c:v>
                </c:pt>
                <c:pt idx="126">
                  <c:v>6.8</c:v>
                </c:pt>
                <c:pt idx="127">
                  <c:v>7.8</c:v>
                </c:pt>
                <c:pt idx="128">
                  <c:v>10.199999999999999</c:v>
                </c:pt>
                <c:pt idx="129">
                  <c:v>9.3000000000000007</c:v>
                </c:pt>
                <c:pt idx="130">
                  <c:v>7.4</c:v>
                </c:pt>
                <c:pt idx="131">
                  <c:v>9.1</c:v>
                </c:pt>
                <c:pt idx="132">
                  <c:v>8.6999999999999993</c:v>
                </c:pt>
                <c:pt idx="133">
                  <c:v>8.6999999999999993</c:v>
                </c:pt>
                <c:pt idx="134">
                  <c:v>8.5</c:v>
                </c:pt>
                <c:pt idx="135">
                  <c:v>9.4</c:v>
                </c:pt>
                <c:pt idx="136">
                  <c:v>11.3</c:v>
                </c:pt>
                <c:pt idx="137">
                  <c:v>15</c:v>
                </c:pt>
                <c:pt idx="138">
                  <c:v>13.1</c:v>
                </c:pt>
                <c:pt idx="139">
                  <c:v>11.2</c:v>
                </c:pt>
                <c:pt idx="140">
                  <c:v>14.4</c:v>
                </c:pt>
                <c:pt idx="141">
                  <c:v>10.9</c:v>
                </c:pt>
                <c:pt idx="142">
                  <c:v>16.100000000000001</c:v>
                </c:pt>
                <c:pt idx="143">
                  <c:v>11.2</c:v>
                </c:pt>
                <c:pt idx="144">
                  <c:v>10.8</c:v>
                </c:pt>
                <c:pt idx="145">
                  <c:v>14.5</c:v>
                </c:pt>
                <c:pt idx="146">
                  <c:v>12.5</c:v>
                </c:pt>
                <c:pt idx="147">
                  <c:v>12</c:v>
                </c:pt>
                <c:pt idx="148">
                  <c:v>11.1</c:v>
                </c:pt>
                <c:pt idx="149">
                  <c:v>12.7</c:v>
                </c:pt>
                <c:pt idx="150">
                  <c:v>13.4</c:v>
                </c:pt>
                <c:pt idx="151">
                  <c:v>15.8</c:v>
                </c:pt>
                <c:pt idx="152">
                  <c:v>11</c:v>
                </c:pt>
                <c:pt idx="153">
                  <c:v>15.5</c:v>
                </c:pt>
                <c:pt idx="154">
                  <c:v>12.3</c:v>
                </c:pt>
                <c:pt idx="155">
                  <c:v>13.3</c:v>
                </c:pt>
                <c:pt idx="156">
                  <c:v>12.1</c:v>
                </c:pt>
                <c:pt idx="157">
                  <c:v>14.2</c:v>
                </c:pt>
                <c:pt idx="158">
                  <c:v>11</c:v>
                </c:pt>
                <c:pt idx="159">
                  <c:v>15.4</c:v>
                </c:pt>
                <c:pt idx="160">
                  <c:v>15</c:v>
                </c:pt>
                <c:pt idx="161">
                  <c:v>19.2</c:v>
                </c:pt>
                <c:pt idx="162">
                  <c:v>16.5</c:v>
                </c:pt>
                <c:pt idx="163">
                  <c:v>16</c:v>
                </c:pt>
                <c:pt idx="164">
                  <c:v>18.7</c:v>
                </c:pt>
                <c:pt idx="165">
                  <c:v>14.2</c:v>
                </c:pt>
                <c:pt idx="166">
                  <c:v>14.6</c:v>
                </c:pt>
                <c:pt idx="167">
                  <c:v>14.9</c:v>
                </c:pt>
                <c:pt idx="168">
                  <c:v>16.5</c:v>
                </c:pt>
                <c:pt idx="169">
                  <c:v>15.8</c:v>
                </c:pt>
                <c:pt idx="170">
                  <c:v>14.2</c:v>
                </c:pt>
                <c:pt idx="171">
                  <c:v>17.100000000000001</c:v>
                </c:pt>
                <c:pt idx="172">
                  <c:v>18.899999999999999</c:v>
                </c:pt>
                <c:pt idx="173">
                  <c:v>16.600000000000001</c:v>
                </c:pt>
                <c:pt idx="174">
                  <c:v>15.3</c:v>
                </c:pt>
                <c:pt idx="175">
                  <c:v>19.100000000000001</c:v>
                </c:pt>
                <c:pt idx="176">
                  <c:v>20</c:v>
                </c:pt>
                <c:pt idx="177">
                  <c:v>17.8</c:v>
                </c:pt>
                <c:pt idx="178">
                  <c:v>16.7</c:v>
                </c:pt>
                <c:pt idx="179">
                  <c:v>20</c:v>
                </c:pt>
                <c:pt idx="180">
                  <c:v>15.9</c:v>
                </c:pt>
                <c:pt idx="181">
                  <c:v>17.5</c:v>
                </c:pt>
                <c:pt idx="182">
                  <c:v>23.7</c:v>
                </c:pt>
                <c:pt idx="183">
                  <c:v>19.100000000000001</c:v>
                </c:pt>
                <c:pt idx="184">
                  <c:v>17.3</c:v>
                </c:pt>
                <c:pt idx="185">
                  <c:v>17.2</c:v>
                </c:pt>
                <c:pt idx="186">
                  <c:v>24.1</c:v>
                </c:pt>
                <c:pt idx="187">
                  <c:v>24.6</c:v>
                </c:pt>
                <c:pt idx="188">
                  <c:v>22.1</c:v>
                </c:pt>
                <c:pt idx="189">
                  <c:v>23.9</c:v>
                </c:pt>
                <c:pt idx="190">
                  <c:v>24.6</c:v>
                </c:pt>
                <c:pt idx="191">
                  <c:v>21.4</c:v>
                </c:pt>
                <c:pt idx="192">
                  <c:v>19.8</c:v>
                </c:pt>
                <c:pt idx="193">
                  <c:v>22.9</c:v>
                </c:pt>
                <c:pt idx="194">
                  <c:v>18</c:v>
                </c:pt>
                <c:pt idx="195">
                  <c:v>18.8</c:v>
                </c:pt>
                <c:pt idx="196">
                  <c:v>23.8</c:v>
                </c:pt>
                <c:pt idx="197">
                  <c:v>23.8</c:v>
                </c:pt>
                <c:pt idx="198">
                  <c:v>28.8</c:v>
                </c:pt>
                <c:pt idx="199">
                  <c:v>19.7</c:v>
                </c:pt>
                <c:pt idx="200">
                  <c:v>25.9</c:v>
                </c:pt>
                <c:pt idx="201">
                  <c:v>30.3</c:v>
                </c:pt>
                <c:pt idx="202">
                  <c:v>27.1</c:v>
                </c:pt>
                <c:pt idx="203">
                  <c:v>20.3</c:v>
                </c:pt>
                <c:pt idx="204">
                  <c:v>31.3</c:v>
                </c:pt>
                <c:pt idx="205">
                  <c:v>32.700000000000003</c:v>
                </c:pt>
                <c:pt idx="206">
                  <c:v>34.299999999999997</c:v>
                </c:pt>
                <c:pt idx="207">
                  <c:v>32.9</c:v>
                </c:pt>
                <c:pt idx="208">
                  <c:v>45.4</c:v>
                </c:pt>
                <c:pt idx="209">
                  <c:v>45.3</c:v>
                </c:pt>
                <c:pt idx="210">
                  <c:v>0</c:v>
                </c:pt>
              </c:numCache>
            </c:numRef>
          </c:val>
          <c:smooth val="0"/>
          <c:extLst>
            <c:ext xmlns:c16="http://schemas.microsoft.com/office/drawing/2014/chart" uri="{C3380CC4-5D6E-409C-BE32-E72D297353CC}">
              <c16:uniqueId val="{00000001-EA18-406F-A15E-8D1E68C2469D}"/>
            </c:ext>
          </c:extLst>
        </c:ser>
        <c:ser>
          <c:idx val="2"/>
          <c:order val="2"/>
          <c:tx>
            <c:strRef>
              <c:f>Sheet1!$D$1</c:f>
              <c:strCache>
                <c:ptCount val="1"/>
                <c:pt idx="0">
                  <c:v>CI Upper</c:v>
                </c:pt>
              </c:strCache>
            </c:strRef>
          </c:tx>
          <c:marker>
            <c:symbol val="none"/>
          </c:marker>
          <c:cat>
            <c:strRef>
              <c:f>Sheet1!$A$2:$A$212</c:f>
              <c:strCache>
                <c:ptCount val="211"/>
                <c:pt idx="0">
                  <c:v>NHS Darlington CCG</c:v>
                </c:pt>
                <c:pt idx="1">
                  <c:v>NHS Newcastle West CCG</c:v>
                </c:pt>
                <c:pt idx="2">
                  <c:v>NHS South Tees CCG</c:v>
                </c:pt>
                <c:pt idx="3">
                  <c:v>NHS South Tyneside CCG</c:v>
                </c:pt>
                <c:pt idx="4">
                  <c:v>NHS Blackpool CCG</c:v>
                </c:pt>
                <c:pt idx="5">
                  <c:v>NHS Bury CCG</c:v>
                </c:pt>
                <c:pt idx="6">
                  <c:v>NHS Central Manchester CCG</c:v>
                </c:pt>
                <c:pt idx="7">
                  <c:v>NHS Oldham CCG</c:v>
                </c:pt>
                <c:pt idx="8">
                  <c:v>NHS Eastern Cheshire CCG</c:v>
                </c:pt>
                <c:pt idx="9">
                  <c:v>NHS Heywood, Middleton and Rochdale CCG</c:v>
                </c:pt>
                <c:pt idx="10">
                  <c:v>NHS Halton CCG</c:v>
                </c:pt>
                <c:pt idx="11">
                  <c:v>NHS Salford CCG</c:v>
                </c:pt>
                <c:pt idx="12">
                  <c:v>NHS Knowsley CCG</c:v>
                </c:pt>
                <c:pt idx="13">
                  <c:v>NHS Lancashire North CCG</c:v>
                </c:pt>
                <c:pt idx="14">
                  <c:v>NHS North Manchester CCG</c:v>
                </c:pt>
                <c:pt idx="15">
                  <c:v>NHS South Manchester CCG</c:v>
                </c:pt>
                <c:pt idx="16">
                  <c:v>NHS South Cheshire CCG</c:v>
                </c:pt>
                <c:pt idx="17">
                  <c:v>NHS South Sefton CCG</c:v>
                </c:pt>
                <c:pt idx="18">
                  <c:v>NHS Stockport CCG</c:v>
                </c:pt>
                <c:pt idx="19">
                  <c:v>NHS St Helens CCG</c:v>
                </c:pt>
                <c:pt idx="20">
                  <c:v>NHS Tameside and Glossop CCG</c:v>
                </c:pt>
                <c:pt idx="21">
                  <c:v>NHS Vale Royal CCG</c:v>
                </c:pt>
                <c:pt idx="22">
                  <c:v>NHS West Lancashire CCG</c:v>
                </c:pt>
                <c:pt idx="23">
                  <c:v>NHS Wigan Borough CCG</c:v>
                </c:pt>
                <c:pt idx="24">
                  <c:v>NHS Fylde &amp; Wyre CCG</c:v>
                </c:pt>
                <c:pt idx="25">
                  <c:v>NHS Airedale, Wharfedale and Craven CCG</c:v>
                </c:pt>
                <c:pt idx="26">
                  <c:v>NHS Barnsley CCG</c:v>
                </c:pt>
                <c:pt idx="27">
                  <c:v>NHS Bassetlaw CCG</c:v>
                </c:pt>
                <c:pt idx="28">
                  <c:v>NHS Leeds North CCG</c:v>
                </c:pt>
                <c:pt idx="29">
                  <c:v>NHS Bradford City CCG</c:v>
                </c:pt>
                <c:pt idx="30">
                  <c:v>NHS East Riding Of Yorkshire CCG</c:v>
                </c:pt>
                <c:pt idx="31">
                  <c:v>NHS Leeds West CCG</c:v>
                </c:pt>
                <c:pt idx="32">
                  <c:v>NHS Hambleton, Richmondshire and Whitby CCG</c:v>
                </c:pt>
                <c:pt idx="33">
                  <c:v>NHS Harrogate and Rural District CCG</c:v>
                </c:pt>
                <c:pt idx="34">
                  <c:v>NHS Hull CCG</c:v>
                </c:pt>
                <c:pt idx="35">
                  <c:v>NHS Leeds South and East CCG</c:v>
                </c:pt>
                <c:pt idx="36">
                  <c:v>NHS North Kirklees CCG</c:v>
                </c:pt>
                <c:pt idx="37">
                  <c:v>NHS Rotherham CCG</c:v>
                </c:pt>
                <c:pt idx="38">
                  <c:v>NHS Scarborough and Ryedale CCG</c:v>
                </c:pt>
                <c:pt idx="39">
                  <c:v>NHS Sheffield CCG</c:v>
                </c:pt>
                <c:pt idx="40">
                  <c:v>NHS Wakefield CCG</c:v>
                </c:pt>
                <c:pt idx="41">
                  <c:v>NHS Corby CCG</c:v>
                </c:pt>
                <c:pt idx="42">
                  <c:v>NHS Erewash CCG</c:v>
                </c:pt>
                <c:pt idx="43">
                  <c:v>NHS Hardwick CCG</c:v>
                </c:pt>
                <c:pt idx="44">
                  <c:v>NHS Mansfield and Ashfield CCG</c:v>
                </c:pt>
                <c:pt idx="45">
                  <c:v>NHS Milton Keynes CCG</c:v>
                </c:pt>
                <c:pt idx="46">
                  <c:v>NHS Newark &amp; Sherwood CCG</c:v>
                </c:pt>
                <c:pt idx="47">
                  <c:v>NHS North Derbyshire CCG</c:v>
                </c:pt>
                <c:pt idx="48">
                  <c:v>NHS Nottingham City CCG</c:v>
                </c:pt>
                <c:pt idx="49">
                  <c:v>NHS Nottingham North and East CCG</c:v>
                </c:pt>
                <c:pt idx="50">
                  <c:v>NHS Nottingham West CCG</c:v>
                </c:pt>
                <c:pt idx="51">
                  <c:v>NHS Rushcliffe CCG</c:v>
                </c:pt>
                <c:pt idx="52">
                  <c:v>NHS South West Lincolnshire CCG</c:v>
                </c:pt>
                <c:pt idx="53">
                  <c:v>NHS Southern Derbyshire CCG</c:v>
                </c:pt>
                <c:pt idx="54">
                  <c:v>NHS Birmingham South and Central CCG</c:v>
                </c:pt>
                <c:pt idx="55">
                  <c:v>NHS Cannock Chase CCG</c:v>
                </c:pt>
                <c:pt idx="56">
                  <c:v>NHS Dudley CCG</c:v>
                </c:pt>
                <c:pt idx="57">
                  <c:v>NHS East Staffordshire CCG</c:v>
                </c:pt>
                <c:pt idx="58">
                  <c:v>NHS Herefordshire CCG</c:v>
                </c:pt>
                <c:pt idx="59">
                  <c:v>NHS North Staffordshire CCG</c:v>
                </c:pt>
                <c:pt idx="60">
                  <c:v>NHS Redditch and Bromsgrove CCG</c:v>
                </c:pt>
                <c:pt idx="61">
                  <c:v>NHS Solihull CCG</c:v>
                </c:pt>
                <c:pt idx="62">
                  <c:v>NHS South East Staffs and Seisdon Peninsular CCG</c:v>
                </c:pt>
                <c:pt idx="63">
                  <c:v>NHS South Worcestershire CCG</c:v>
                </c:pt>
                <c:pt idx="64">
                  <c:v>NHS Stoke On Trent CCG</c:v>
                </c:pt>
                <c:pt idx="65">
                  <c:v>NHS Telford and Wrekin CCG</c:v>
                </c:pt>
                <c:pt idx="66">
                  <c:v>NHS Walsall CCG</c:v>
                </c:pt>
                <c:pt idx="67">
                  <c:v>NHS Wolverhampton CCG</c:v>
                </c:pt>
                <c:pt idx="68">
                  <c:v>NHS Wyre Forest CCG</c:v>
                </c:pt>
                <c:pt idx="69">
                  <c:v>NHS Bedfordshire CCG</c:v>
                </c:pt>
                <c:pt idx="70">
                  <c:v>NHS Cambridgeshire and Peterborough CCG</c:v>
                </c:pt>
                <c:pt idx="71">
                  <c:v>NHS Luton CCG</c:v>
                </c:pt>
                <c:pt idx="72">
                  <c:v>NHS Mid Essex CCG</c:v>
                </c:pt>
                <c:pt idx="73">
                  <c:v>NHS North East Essex CCG</c:v>
                </c:pt>
                <c:pt idx="74">
                  <c:v>NHS North Norfolk CCG</c:v>
                </c:pt>
                <c:pt idx="75">
                  <c:v>NHS Norwich CCG</c:v>
                </c:pt>
                <c:pt idx="76">
                  <c:v>NHS South Norfolk CCG</c:v>
                </c:pt>
                <c:pt idx="77">
                  <c:v>NHS West Norfolk CCG</c:v>
                </c:pt>
                <c:pt idx="78">
                  <c:v>NHS Barking and Dagenham CCG</c:v>
                </c:pt>
                <c:pt idx="79">
                  <c:v>NHS Barnet CCG</c:v>
                </c:pt>
                <c:pt idx="80">
                  <c:v>NHS Brent CCG</c:v>
                </c:pt>
                <c:pt idx="81">
                  <c:v>NHS Bromley CCG</c:v>
                </c:pt>
                <c:pt idx="82">
                  <c:v>NHS Camden CCG</c:v>
                </c:pt>
                <c:pt idx="83">
                  <c:v>NHS City and Hackney CCG</c:v>
                </c:pt>
                <c:pt idx="84">
                  <c:v>NHS Croydon CCG</c:v>
                </c:pt>
                <c:pt idx="85">
                  <c:v>NHS Ealing CCG</c:v>
                </c:pt>
                <c:pt idx="86">
                  <c:v>NHS Enfield CCG</c:v>
                </c:pt>
                <c:pt idx="87">
                  <c:v>NHS Hounslow CCG</c:v>
                </c:pt>
                <c:pt idx="88">
                  <c:v>NHS Greenwich CCG</c:v>
                </c:pt>
                <c:pt idx="89">
                  <c:v>NHS Hammersmith and Fulham CCG</c:v>
                </c:pt>
                <c:pt idx="90">
                  <c:v>NHS Haringey CCG</c:v>
                </c:pt>
                <c:pt idx="91">
                  <c:v>NHS Harrow CCG</c:v>
                </c:pt>
                <c:pt idx="92">
                  <c:v>NHS Islington CCG</c:v>
                </c:pt>
                <c:pt idx="93">
                  <c:v>NHS Kingston CCG</c:v>
                </c:pt>
                <c:pt idx="94">
                  <c:v>NHS Lambeth CCG</c:v>
                </c:pt>
                <c:pt idx="95">
                  <c:v>NHS Lewisham CCG</c:v>
                </c:pt>
                <c:pt idx="96">
                  <c:v>NHS Newham CCG</c:v>
                </c:pt>
                <c:pt idx="97">
                  <c:v>NHS Redbridge CCG</c:v>
                </c:pt>
                <c:pt idx="98">
                  <c:v>NHS Richmond CCG</c:v>
                </c:pt>
                <c:pt idx="99">
                  <c:v>NHS Merton CCG</c:v>
                </c:pt>
                <c:pt idx="100">
                  <c:v>NHS Sutton CCG</c:v>
                </c:pt>
                <c:pt idx="101">
                  <c:v>NHS Waltham Forest CCG</c:v>
                </c:pt>
                <c:pt idx="102">
                  <c:v>NHS Wandsworth CCG</c:v>
                </c:pt>
                <c:pt idx="103">
                  <c:v>NHS West London (K&amp;C &amp; Qpp) CCG</c:v>
                </c:pt>
                <c:pt idx="104">
                  <c:v>NHS Central London (Westminster) CCG</c:v>
                </c:pt>
                <c:pt idx="105">
                  <c:v>NHS Ashford CCG</c:v>
                </c:pt>
                <c:pt idx="106">
                  <c:v>NHS Brighton and Hove CCG</c:v>
                </c:pt>
                <c:pt idx="107">
                  <c:v>NHS Canterbury and Coastal CCG</c:v>
                </c:pt>
                <c:pt idx="108">
                  <c:v>NHS Eastbourne, Hailsham and Seaford CCG</c:v>
                </c:pt>
                <c:pt idx="109">
                  <c:v>NHS Crawley CCG</c:v>
                </c:pt>
                <c:pt idx="110">
                  <c:v>NHS East Surrey CCG</c:v>
                </c:pt>
                <c:pt idx="111">
                  <c:v>NHS Hastings and Rother CCG</c:v>
                </c:pt>
                <c:pt idx="112">
                  <c:v>NHS Horsham and Mid Sussex CCG</c:v>
                </c:pt>
                <c:pt idx="113">
                  <c:v>NHS Thanet CCG</c:v>
                </c:pt>
                <c:pt idx="114">
                  <c:v>NHS Isle Of Wight CCG</c:v>
                </c:pt>
                <c:pt idx="115">
                  <c:v>NHS Slough CCG</c:v>
                </c:pt>
                <c:pt idx="116">
                  <c:v>NHS Southampton CCG</c:v>
                </c:pt>
                <c:pt idx="117">
                  <c:v>NHS Windsor, Ascot and Maidenhead CCG</c:v>
                </c:pt>
                <c:pt idx="118">
                  <c:v>NHS Castle Point and Rochford CCG</c:v>
                </c:pt>
                <c:pt idx="119">
                  <c:v>NHS Southend CCG</c:v>
                </c:pt>
                <c:pt idx="120">
                  <c:v>NHS West Kent CCG</c:v>
                </c:pt>
                <c:pt idx="121">
                  <c:v>NHS High Weald Lewes Havens CCG</c:v>
                </c:pt>
                <c:pt idx="122">
                  <c:v>NHS South Devon and Torbay CCG</c:v>
                </c:pt>
                <c:pt idx="123">
                  <c:v>NHS East and North Hertfordshire CCG</c:v>
                </c:pt>
                <c:pt idx="124">
                  <c:v>NHS Sandwell and West Birmingham CCG</c:v>
                </c:pt>
                <c:pt idx="125">
                  <c:v>NHS East Lancashire CCG</c:v>
                </c:pt>
                <c:pt idx="126">
                  <c:v>NHS Southport and Formby CCG</c:v>
                </c:pt>
                <c:pt idx="127">
                  <c:v>NHS Dartford, Gravesham and Swanley CCG</c:v>
                </c:pt>
                <c:pt idx="128">
                  <c:v>NHS Cumbria CCG</c:v>
                </c:pt>
                <c:pt idx="129">
                  <c:v>NHS Warrington CCG</c:v>
                </c:pt>
                <c:pt idx="130">
                  <c:v>NHS South Kent Coast CCG</c:v>
                </c:pt>
                <c:pt idx="131">
                  <c:v>NHS Blackburn With Darwen CCG</c:v>
                </c:pt>
                <c:pt idx="132">
                  <c:v>NHS Durham Dales, Easington and Sedgefield CCG</c:v>
                </c:pt>
                <c:pt idx="133">
                  <c:v>NHS Bexley CCG</c:v>
                </c:pt>
                <c:pt idx="134">
                  <c:v>NHS Sunderland CCG</c:v>
                </c:pt>
                <c:pt idx="135">
                  <c:v>NHS Havering CCG</c:v>
                </c:pt>
                <c:pt idx="136">
                  <c:v>NHS Bolton CCG</c:v>
                </c:pt>
                <c:pt idx="137">
                  <c:v>NHS North, East, West Devon CCG</c:v>
                </c:pt>
                <c:pt idx="138">
                  <c:v>NHS Northumberland CCG</c:v>
                </c:pt>
                <c:pt idx="139">
                  <c:v>NHS Doncaster CCG</c:v>
                </c:pt>
                <c:pt idx="140">
                  <c:v>NHS Coventry and Rugby CCG</c:v>
                </c:pt>
                <c:pt idx="141">
                  <c:v>NHS Thurrock CCG</c:v>
                </c:pt>
                <c:pt idx="142">
                  <c:v>NHS Coastal West Sussex CCG</c:v>
                </c:pt>
                <c:pt idx="143">
                  <c:v>NHS Newcastle North and East CCG</c:v>
                </c:pt>
                <c:pt idx="144">
                  <c:v>NHS Liverpool CCG</c:v>
                </c:pt>
                <c:pt idx="145">
                  <c:v>NHS West Hampshire CCG</c:v>
                </c:pt>
                <c:pt idx="146">
                  <c:v>NHS Kernow CCG</c:v>
                </c:pt>
                <c:pt idx="147">
                  <c:v>NHS Bradford Districts CCG</c:v>
                </c:pt>
                <c:pt idx="148">
                  <c:v>NHS North &amp; West Reading CCG</c:v>
                </c:pt>
                <c:pt idx="149">
                  <c:v>NHS Greater Huddersfield CCG</c:v>
                </c:pt>
                <c:pt idx="150">
                  <c:v>NHS Lincolnshire West CCG</c:v>
                </c:pt>
                <c:pt idx="151">
                  <c:v>NHS North West Surrey CCG</c:v>
                </c:pt>
                <c:pt idx="152">
                  <c:v>NHS Surrey Heath CCG</c:v>
                </c:pt>
                <c:pt idx="153">
                  <c:v>NHS South Warwickshire CCG</c:v>
                </c:pt>
                <c:pt idx="154">
                  <c:v>NHS Shropshire CCG</c:v>
                </c:pt>
                <c:pt idx="155">
                  <c:v>NHS North Durham CCG</c:v>
                </c:pt>
                <c:pt idx="156">
                  <c:v>NHS North Somerset CCG</c:v>
                </c:pt>
                <c:pt idx="157">
                  <c:v>NHS Gateshead CCG</c:v>
                </c:pt>
                <c:pt idx="158">
                  <c:v>NHS Trafford CCG</c:v>
                </c:pt>
                <c:pt idx="159">
                  <c:v>NHS Basildon and Brentwood CCG</c:v>
                </c:pt>
                <c:pt idx="160">
                  <c:v>NHS North Hampshire CCG</c:v>
                </c:pt>
                <c:pt idx="161">
                  <c:v>NHS Dorset CCG</c:v>
                </c:pt>
                <c:pt idx="162">
                  <c:v>NHS Guildford and Waverley CCG</c:v>
                </c:pt>
                <c:pt idx="163">
                  <c:v>NHS Great Yarmouth and Waveney CCG</c:v>
                </c:pt>
                <c:pt idx="164">
                  <c:v>NHS Bristol CCG</c:v>
                </c:pt>
                <c:pt idx="165">
                  <c:v>NHS Birmingham Crosscity CCG</c:v>
                </c:pt>
                <c:pt idx="166">
                  <c:v>NHS Aylesbury Vale CCG</c:v>
                </c:pt>
                <c:pt idx="167">
                  <c:v>NHS Stafford and Surrounds CCG</c:v>
                </c:pt>
                <c:pt idx="168">
                  <c:v>NHS Greater Preston CCG</c:v>
                </c:pt>
                <c:pt idx="169">
                  <c:v>NHS Calderdale CCG</c:v>
                </c:pt>
                <c:pt idx="170">
                  <c:v>NHS North East Lincolnshire CCG</c:v>
                </c:pt>
                <c:pt idx="171">
                  <c:v>NHS Nene CCG</c:v>
                </c:pt>
                <c:pt idx="172">
                  <c:v>NHS Vale Of York CCG</c:v>
                </c:pt>
                <c:pt idx="173">
                  <c:v>NHS Bath and North East Somerset CCG</c:v>
                </c:pt>
                <c:pt idx="174">
                  <c:v>NHS West Leicestershire CCG</c:v>
                </c:pt>
                <c:pt idx="175">
                  <c:v>NHS North East Hampshire and Farnham CCG</c:v>
                </c:pt>
                <c:pt idx="176">
                  <c:v>NHS West Cheshire CCG</c:v>
                </c:pt>
                <c:pt idx="177">
                  <c:v>NHS Ipswich and East Suffolk CCG</c:v>
                </c:pt>
                <c:pt idx="178">
                  <c:v>NHS Wirral CCG</c:v>
                </c:pt>
                <c:pt idx="179">
                  <c:v>NHS Hartlepool and Stockton-On-Tees CCG</c:v>
                </c:pt>
                <c:pt idx="180">
                  <c:v>NHS East Leicestershire and Rutland CCG</c:v>
                </c:pt>
                <c:pt idx="181">
                  <c:v>NHS Tower Hamlets CCG</c:v>
                </c:pt>
                <c:pt idx="182">
                  <c:v>NHS Wiltshire CCG</c:v>
                </c:pt>
                <c:pt idx="183">
                  <c:v>NHS North Lincolnshire CCG</c:v>
                </c:pt>
                <c:pt idx="184">
                  <c:v>NHS Oxfordshire CCG</c:v>
                </c:pt>
                <c:pt idx="185">
                  <c:v>NHS Newbury and District CCG</c:v>
                </c:pt>
                <c:pt idx="186">
                  <c:v>NHS South Gloucestershire CCG</c:v>
                </c:pt>
                <c:pt idx="187">
                  <c:v>NHS Medway CCG</c:v>
                </c:pt>
                <c:pt idx="188">
                  <c:v>NHS Swindon CCG</c:v>
                </c:pt>
                <c:pt idx="189">
                  <c:v>NHS West Essex CCG</c:v>
                </c:pt>
                <c:pt idx="190">
                  <c:v>NHS Herts Valleys CCG</c:v>
                </c:pt>
                <c:pt idx="191">
                  <c:v>NHS Chorley and South Ribble CCG</c:v>
                </c:pt>
                <c:pt idx="192">
                  <c:v>NHS Swale CCG</c:v>
                </c:pt>
                <c:pt idx="193">
                  <c:v>NHS Chiltern CCG</c:v>
                </c:pt>
                <c:pt idx="194">
                  <c:v>NHS Surrey Downs CCG</c:v>
                </c:pt>
                <c:pt idx="195">
                  <c:v>NHS Bracknell and Ascot CCG</c:v>
                </c:pt>
                <c:pt idx="196">
                  <c:v>NHS Wokingham CCG</c:v>
                </c:pt>
                <c:pt idx="197">
                  <c:v>NHS North Tyneside CCG</c:v>
                </c:pt>
                <c:pt idx="198">
                  <c:v>NHS South Eastern Hampshire CCG</c:v>
                </c:pt>
                <c:pt idx="199">
                  <c:v>NHS South Reading CCG</c:v>
                </c:pt>
                <c:pt idx="200">
                  <c:v>NHS Warwickshire North CCG</c:v>
                </c:pt>
                <c:pt idx="201">
                  <c:v>NHS Gloucestershire CCG</c:v>
                </c:pt>
                <c:pt idx="202">
                  <c:v>NHS West Suffolk CCG</c:v>
                </c:pt>
                <c:pt idx="203">
                  <c:v>NHS South Lincolnshire CCG</c:v>
                </c:pt>
                <c:pt idx="204">
                  <c:v>NHS Portsmouth CCG</c:v>
                </c:pt>
                <c:pt idx="205">
                  <c:v>NHS Somerset CCG</c:v>
                </c:pt>
                <c:pt idx="206">
                  <c:v>NHS Fareham and Gosport CCG</c:v>
                </c:pt>
                <c:pt idx="207">
                  <c:v>NHS Lincolnshire East CCG</c:v>
                </c:pt>
                <c:pt idx="208">
                  <c:v>NHS Hillingdon CCG</c:v>
                </c:pt>
                <c:pt idx="209">
                  <c:v>NHS Southwark CCG</c:v>
                </c:pt>
                <c:pt idx="210">
                  <c:v>NHS Leicester City CCG</c:v>
                </c:pt>
              </c:strCache>
            </c:strRef>
          </c:cat>
          <c:val>
            <c:numRef>
              <c:f>Sheet1!$D$2:$D$212</c:f>
              <c:numCache>
                <c:formatCode>0.0</c:formatCode>
                <c:ptCount val="21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32.4</c:v>
                </c:pt>
                <c:pt idx="121">
                  <c:v>0</c:v>
                </c:pt>
                <c:pt idx="122">
                  <c:v>0</c:v>
                </c:pt>
                <c:pt idx="123">
                  <c:v>17.5</c:v>
                </c:pt>
                <c:pt idx="124">
                  <c:v>23.8</c:v>
                </c:pt>
                <c:pt idx="125">
                  <c:v>20.7</c:v>
                </c:pt>
                <c:pt idx="126">
                  <c:v>25.7</c:v>
                </c:pt>
                <c:pt idx="127">
                  <c:v>24</c:v>
                </c:pt>
                <c:pt idx="128">
                  <c:v>20.399999999999999</c:v>
                </c:pt>
                <c:pt idx="129">
                  <c:v>24.7</c:v>
                </c:pt>
                <c:pt idx="130">
                  <c:v>30.4</c:v>
                </c:pt>
                <c:pt idx="131">
                  <c:v>26.3</c:v>
                </c:pt>
                <c:pt idx="132">
                  <c:v>27.8</c:v>
                </c:pt>
                <c:pt idx="133">
                  <c:v>27.8</c:v>
                </c:pt>
                <c:pt idx="134">
                  <c:v>29</c:v>
                </c:pt>
                <c:pt idx="135">
                  <c:v>27.1</c:v>
                </c:pt>
                <c:pt idx="136">
                  <c:v>28.6</c:v>
                </c:pt>
                <c:pt idx="137">
                  <c:v>23.1</c:v>
                </c:pt>
                <c:pt idx="138">
                  <c:v>26.8</c:v>
                </c:pt>
                <c:pt idx="139">
                  <c:v>30.4</c:v>
                </c:pt>
                <c:pt idx="140">
                  <c:v>26.8</c:v>
                </c:pt>
                <c:pt idx="141">
                  <c:v>33.799999999999997</c:v>
                </c:pt>
                <c:pt idx="142">
                  <c:v>24.8</c:v>
                </c:pt>
                <c:pt idx="143">
                  <c:v>34.5</c:v>
                </c:pt>
                <c:pt idx="144">
                  <c:v>35.5</c:v>
                </c:pt>
                <c:pt idx="145">
                  <c:v>28.5</c:v>
                </c:pt>
                <c:pt idx="146">
                  <c:v>32.200000000000003</c:v>
                </c:pt>
                <c:pt idx="147">
                  <c:v>33.5</c:v>
                </c:pt>
                <c:pt idx="148">
                  <c:v>36.299999999999997</c:v>
                </c:pt>
                <c:pt idx="149">
                  <c:v>33.799999999999997</c:v>
                </c:pt>
                <c:pt idx="150">
                  <c:v>32.4</c:v>
                </c:pt>
                <c:pt idx="151">
                  <c:v>28.7</c:v>
                </c:pt>
                <c:pt idx="152">
                  <c:v>38.799999999999997</c:v>
                </c:pt>
                <c:pt idx="153">
                  <c:v>30.3</c:v>
                </c:pt>
                <c:pt idx="154">
                  <c:v>37.5</c:v>
                </c:pt>
                <c:pt idx="155">
                  <c:v>36.5</c:v>
                </c:pt>
                <c:pt idx="156">
                  <c:v>39</c:v>
                </c:pt>
                <c:pt idx="157">
                  <c:v>34.9</c:v>
                </c:pt>
                <c:pt idx="158">
                  <c:v>42.1</c:v>
                </c:pt>
                <c:pt idx="159">
                  <c:v>33.4</c:v>
                </c:pt>
                <c:pt idx="160">
                  <c:v>34.9</c:v>
                </c:pt>
                <c:pt idx="161">
                  <c:v>28.4</c:v>
                </c:pt>
                <c:pt idx="162">
                  <c:v>32.9</c:v>
                </c:pt>
                <c:pt idx="163">
                  <c:v>34.5</c:v>
                </c:pt>
                <c:pt idx="164">
                  <c:v>31.3</c:v>
                </c:pt>
                <c:pt idx="165">
                  <c:v>38.700000000000003</c:v>
                </c:pt>
                <c:pt idx="166">
                  <c:v>38.1</c:v>
                </c:pt>
                <c:pt idx="167">
                  <c:v>38.799999999999997</c:v>
                </c:pt>
                <c:pt idx="168">
                  <c:v>36.9</c:v>
                </c:pt>
                <c:pt idx="169">
                  <c:v>38.299999999999997</c:v>
                </c:pt>
                <c:pt idx="170">
                  <c:v>42.1</c:v>
                </c:pt>
                <c:pt idx="171">
                  <c:v>36.700000000000003</c:v>
                </c:pt>
                <c:pt idx="172">
                  <c:v>34.200000000000003</c:v>
                </c:pt>
                <c:pt idx="173">
                  <c:v>37.9</c:v>
                </c:pt>
                <c:pt idx="174">
                  <c:v>41.1</c:v>
                </c:pt>
                <c:pt idx="175">
                  <c:v>37.4</c:v>
                </c:pt>
                <c:pt idx="176">
                  <c:v>36.799999999999997</c:v>
                </c:pt>
                <c:pt idx="177">
                  <c:v>40.200000000000003</c:v>
                </c:pt>
                <c:pt idx="178">
                  <c:v>42.7</c:v>
                </c:pt>
                <c:pt idx="179">
                  <c:v>40</c:v>
                </c:pt>
                <c:pt idx="180">
                  <c:v>48.5</c:v>
                </c:pt>
                <c:pt idx="181">
                  <c:v>45.8</c:v>
                </c:pt>
                <c:pt idx="182">
                  <c:v>37.700000000000003</c:v>
                </c:pt>
                <c:pt idx="183">
                  <c:v>44.8</c:v>
                </c:pt>
                <c:pt idx="184">
                  <c:v>49.2</c:v>
                </c:pt>
                <c:pt idx="185">
                  <c:v>51.6</c:v>
                </c:pt>
                <c:pt idx="186">
                  <c:v>41.9</c:v>
                </c:pt>
                <c:pt idx="187">
                  <c:v>41.5</c:v>
                </c:pt>
                <c:pt idx="188">
                  <c:v>45.6</c:v>
                </c:pt>
                <c:pt idx="189">
                  <c:v>43.5</c:v>
                </c:pt>
                <c:pt idx="190">
                  <c:v>42.7</c:v>
                </c:pt>
                <c:pt idx="191">
                  <c:v>47.9</c:v>
                </c:pt>
                <c:pt idx="192">
                  <c:v>50.4</c:v>
                </c:pt>
                <c:pt idx="193">
                  <c:v>45.6</c:v>
                </c:pt>
                <c:pt idx="194">
                  <c:v>53.3</c:v>
                </c:pt>
                <c:pt idx="195">
                  <c:v>55.1</c:v>
                </c:pt>
                <c:pt idx="196">
                  <c:v>48.5</c:v>
                </c:pt>
                <c:pt idx="197">
                  <c:v>48.5</c:v>
                </c:pt>
                <c:pt idx="198">
                  <c:v>43.4</c:v>
                </c:pt>
                <c:pt idx="199">
                  <c:v>57</c:v>
                </c:pt>
                <c:pt idx="200">
                  <c:v>51.2</c:v>
                </c:pt>
                <c:pt idx="201">
                  <c:v>46.9</c:v>
                </c:pt>
                <c:pt idx="202">
                  <c:v>51.6</c:v>
                </c:pt>
                <c:pt idx="203">
                  <c:v>61.4</c:v>
                </c:pt>
                <c:pt idx="204">
                  <c:v>47.8</c:v>
                </c:pt>
                <c:pt idx="205">
                  <c:v>48.1</c:v>
                </c:pt>
                <c:pt idx="206">
                  <c:v>51.2</c:v>
                </c:pt>
                <c:pt idx="207">
                  <c:v>53.1</c:v>
                </c:pt>
                <c:pt idx="208">
                  <c:v>82.8</c:v>
                </c:pt>
                <c:pt idx="209">
                  <c:v>93.7</c:v>
                </c:pt>
                <c:pt idx="210">
                  <c:v>0</c:v>
                </c:pt>
              </c:numCache>
            </c:numRef>
          </c:val>
          <c:smooth val="0"/>
          <c:extLst>
            <c:ext xmlns:c16="http://schemas.microsoft.com/office/drawing/2014/chart" uri="{C3380CC4-5D6E-409C-BE32-E72D297353CC}">
              <c16:uniqueId val="{00000002-EA18-406F-A15E-8D1E68C2469D}"/>
            </c:ext>
          </c:extLst>
        </c:ser>
        <c:dLbls>
          <c:showLegendKey val="0"/>
          <c:showVal val="0"/>
          <c:showCatName val="0"/>
          <c:showSerName val="0"/>
          <c:showPercent val="0"/>
          <c:showBubbleSize val="0"/>
        </c:dLbls>
        <c:smooth val="0"/>
        <c:axId val="28825088"/>
        <c:axId val="28827008"/>
      </c:lineChart>
      <c:catAx>
        <c:axId val="28825088"/>
        <c:scaling>
          <c:orientation val="minMax"/>
        </c:scaling>
        <c:delete val="0"/>
        <c:axPos val="b"/>
        <c:title>
          <c:tx>
            <c:rich>
              <a:bodyPr/>
              <a:lstStyle/>
              <a:p>
                <a:pPr>
                  <a:defRPr/>
                </a:pPr>
                <a:r>
                  <a:rPr lang="en-GB"/>
                  <a:t>211 CCGs</a:t>
                </a:r>
              </a:p>
            </c:rich>
          </c:tx>
          <c:overlay val="0"/>
        </c:title>
        <c:numFmt formatCode="General" sourceLinked="0"/>
        <c:majorTickMark val="none"/>
        <c:minorTickMark val="none"/>
        <c:tickLblPos val="none"/>
        <c:crossAx val="28827008"/>
        <c:crosses val="autoZero"/>
        <c:auto val="1"/>
        <c:lblAlgn val="ctr"/>
        <c:lblOffset val="100"/>
        <c:noMultiLvlLbl val="0"/>
      </c:catAx>
      <c:valAx>
        <c:axId val="28827008"/>
        <c:scaling>
          <c:orientation val="minMax"/>
        </c:scaling>
        <c:delete val="0"/>
        <c:axPos val="l"/>
        <c:majorGridlines>
          <c:spPr>
            <a:ln>
              <a:noFill/>
            </a:ln>
          </c:spPr>
        </c:majorGridlines>
        <c:title>
          <c:tx>
            <c:rich>
              <a:bodyPr rot="0" vert="wordArtVert"/>
              <a:lstStyle/>
              <a:p>
                <a:pPr>
                  <a:defRPr sz="800"/>
                </a:pPr>
                <a:r>
                  <a:rPr lang="en-GB" sz="800"/>
                  <a:t>Percentasge improving</a:t>
                </a:r>
              </a:p>
            </c:rich>
          </c:tx>
          <c:overlay val="0"/>
        </c:title>
        <c:numFmt formatCode="General" sourceLinked="0"/>
        <c:majorTickMark val="out"/>
        <c:minorTickMark val="none"/>
        <c:tickLblPos val="nextTo"/>
        <c:crossAx val="28825088"/>
        <c:crosses val="autoZero"/>
        <c:crossBetween val="between"/>
      </c:valAx>
    </c:plotArea>
    <c:legend>
      <c:legendPos val="r"/>
      <c:layout>
        <c:manualLayout>
          <c:xMode val="edge"/>
          <c:yMode val="edge"/>
          <c:x val="0.53919850395021862"/>
          <c:y val="5.2420101899027328E-2"/>
          <c:w val="0.33443798895401228"/>
          <c:h val="0.12193529917921549"/>
        </c:manualLayout>
      </c:layout>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2117F52D514FE4945898036A4A12D3"/>
        <w:category>
          <w:name w:val="General"/>
          <w:gallery w:val="placeholder"/>
        </w:category>
        <w:types>
          <w:type w:val="bbPlcHdr"/>
        </w:types>
        <w:behaviors>
          <w:behavior w:val="content"/>
        </w:behaviors>
        <w:guid w:val="{26C2CFAA-1093-4857-8159-52B63DC6118C}"/>
      </w:docPartPr>
      <w:docPartBody>
        <w:p w:rsidR="00924F1C" w:rsidRDefault="00D84DFE" w:rsidP="00D84DFE">
          <w:pPr>
            <w:pStyle w:val="C82117F52D514FE4945898036A4A12D3"/>
          </w:pPr>
          <w:r w:rsidRPr="00775F76">
            <w:rPr>
              <w:rStyle w:val="PlaceholderText"/>
            </w:rPr>
            <w:t>Click here to enter a date.</w:t>
          </w:r>
        </w:p>
      </w:docPartBody>
    </w:docPart>
    <w:docPart>
      <w:docPartPr>
        <w:name w:val="682DFE945D5C4BD780780CDF42CD1783"/>
        <w:category>
          <w:name w:val="General"/>
          <w:gallery w:val="placeholder"/>
        </w:category>
        <w:types>
          <w:type w:val="bbPlcHdr"/>
        </w:types>
        <w:behaviors>
          <w:behavior w:val="content"/>
        </w:behaviors>
        <w:guid w:val="{1C217FF8-2561-4D2C-A0D2-D52B56CD5DFF}"/>
      </w:docPartPr>
      <w:docPartBody>
        <w:p w:rsidR="00924F1C" w:rsidRDefault="00D84DFE" w:rsidP="00D84DFE">
          <w:pPr>
            <w:pStyle w:val="682DFE945D5C4BD780780CDF42CD1783"/>
          </w:pPr>
          <w:r w:rsidRPr="00775F76">
            <w:rPr>
              <w:rStyle w:val="PlaceholderText"/>
            </w:rPr>
            <w:t>Choose an item.</w:t>
          </w:r>
        </w:p>
      </w:docPartBody>
    </w:docPart>
    <w:docPart>
      <w:docPartPr>
        <w:name w:val="1F1B90FD7FAD43E1A37C24F1BFCD3010"/>
        <w:category>
          <w:name w:val="General"/>
          <w:gallery w:val="placeholder"/>
        </w:category>
        <w:types>
          <w:type w:val="bbPlcHdr"/>
        </w:types>
        <w:behaviors>
          <w:behavior w:val="content"/>
        </w:behaviors>
        <w:guid w:val="{2A299C70-60E2-4FA8-BB5F-4655E0A4F242}"/>
      </w:docPartPr>
      <w:docPartBody>
        <w:p w:rsidR="00924F1C" w:rsidRDefault="00D84DFE" w:rsidP="00D84DFE">
          <w:pPr>
            <w:pStyle w:val="1F1B90FD7FAD43E1A37C24F1BFCD3010"/>
          </w:pPr>
          <w:r w:rsidRPr="00775F76">
            <w:rPr>
              <w:rStyle w:val="PlaceholderText"/>
            </w:rPr>
            <w:t>Choose an item.</w:t>
          </w:r>
        </w:p>
      </w:docPartBody>
    </w:docPart>
    <w:docPart>
      <w:docPartPr>
        <w:name w:val="DD2ECD24D6994D308DA8E2DCCA664F3E"/>
        <w:category>
          <w:name w:val="General"/>
          <w:gallery w:val="placeholder"/>
        </w:category>
        <w:types>
          <w:type w:val="bbPlcHdr"/>
        </w:types>
        <w:behaviors>
          <w:behavior w:val="content"/>
        </w:behaviors>
        <w:guid w:val="{10954567-86E3-4A2C-B931-E93BA6DB2D51}"/>
      </w:docPartPr>
      <w:docPartBody>
        <w:p w:rsidR="00924F1C" w:rsidRDefault="00D84DFE" w:rsidP="00D84DFE">
          <w:pPr>
            <w:pStyle w:val="DD2ECD24D6994D308DA8E2DCCA664F3E"/>
          </w:pPr>
          <w:r w:rsidRPr="00775F76">
            <w:rPr>
              <w:rStyle w:val="PlaceholderText"/>
            </w:rPr>
            <w:t>Click here to enter text.</w:t>
          </w:r>
        </w:p>
      </w:docPartBody>
    </w:docPart>
    <w:docPart>
      <w:docPartPr>
        <w:name w:val="12603D34E15E4CC2BF68347AE8879943"/>
        <w:category>
          <w:name w:val="General"/>
          <w:gallery w:val="placeholder"/>
        </w:category>
        <w:types>
          <w:type w:val="bbPlcHdr"/>
        </w:types>
        <w:behaviors>
          <w:behavior w:val="content"/>
        </w:behaviors>
        <w:guid w:val="{22CAF20D-6437-4EE0-A294-A8AEB55E4D2D}"/>
      </w:docPartPr>
      <w:docPartBody>
        <w:p w:rsidR="00924F1C" w:rsidRDefault="00D84DFE" w:rsidP="00D84DFE">
          <w:pPr>
            <w:pStyle w:val="12603D34E15E4CC2BF68347AE8879943"/>
          </w:pPr>
          <w:r w:rsidRPr="00775F76">
            <w:rPr>
              <w:rStyle w:val="PlaceholderText"/>
            </w:rPr>
            <w:t>Choose an item.</w:t>
          </w:r>
        </w:p>
      </w:docPartBody>
    </w:docPart>
    <w:docPart>
      <w:docPartPr>
        <w:name w:val="106F52A09541455DB62A9017550202E0"/>
        <w:category>
          <w:name w:val="General"/>
          <w:gallery w:val="placeholder"/>
        </w:category>
        <w:types>
          <w:type w:val="bbPlcHdr"/>
        </w:types>
        <w:behaviors>
          <w:behavior w:val="content"/>
        </w:behaviors>
        <w:guid w:val="{6A14543A-7F6C-4359-9567-9FE870A7F04C}"/>
      </w:docPartPr>
      <w:docPartBody>
        <w:p w:rsidR="00924F1C" w:rsidRDefault="00D84DFE" w:rsidP="00D84DFE">
          <w:pPr>
            <w:pStyle w:val="106F52A09541455DB62A9017550202E0"/>
          </w:pPr>
          <w:r w:rsidRPr="00775F76">
            <w:rPr>
              <w:rStyle w:val="PlaceholderText"/>
            </w:rPr>
            <w:t>Click here to enter text.</w:t>
          </w:r>
        </w:p>
      </w:docPartBody>
    </w:docPart>
    <w:docPart>
      <w:docPartPr>
        <w:name w:val="DA14639F576F42D7814EAA55DE9BD96C"/>
        <w:category>
          <w:name w:val="General"/>
          <w:gallery w:val="placeholder"/>
        </w:category>
        <w:types>
          <w:type w:val="bbPlcHdr"/>
        </w:types>
        <w:behaviors>
          <w:behavior w:val="content"/>
        </w:behaviors>
        <w:guid w:val="{79D0E917-4671-4281-9325-E91E13A33727}"/>
      </w:docPartPr>
      <w:docPartBody>
        <w:p w:rsidR="00924F1C" w:rsidRDefault="00D84DFE" w:rsidP="00D84DFE">
          <w:pPr>
            <w:pStyle w:val="DA14639F576F42D7814EAA55DE9BD96C"/>
          </w:pPr>
          <w:r w:rsidRPr="00775F76">
            <w:rPr>
              <w:rStyle w:val="PlaceholderText"/>
            </w:rPr>
            <w:t>Choose an item.</w:t>
          </w:r>
        </w:p>
      </w:docPartBody>
    </w:docPart>
    <w:docPart>
      <w:docPartPr>
        <w:name w:val="04BCD1FE3D2042DBB758231863E159D1"/>
        <w:category>
          <w:name w:val="General"/>
          <w:gallery w:val="placeholder"/>
        </w:category>
        <w:types>
          <w:type w:val="bbPlcHdr"/>
        </w:types>
        <w:behaviors>
          <w:behavior w:val="content"/>
        </w:behaviors>
        <w:guid w:val="{04281E69-9AB5-4C62-ADF8-4C8A1BCABD5F}"/>
      </w:docPartPr>
      <w:docPartBody>
        <w:p w:rsidR="00000000" w:rsidRDefault="00B60ED7" w:rsidP="00B60ED7">
          <w:pPr>
            <w:pStyle w:val="04BCD1FE3D2042DBB758231863E159D1"/>
          </w:pPr>
          <w:r w:rsidRPr="00BC4529">
            <w:rPr>
              <w:rStyle w:val="PlaceholderText"/>
            </w:rPr>
            <w:t>Choose an item.</w:t>
          </w:r>
        </w:p>
      </w:docPartBody>
    </w:docPart>
    <w:docPart>
      <w:docPartPr>
        <w:name w:val="82284EBEF130439891C78877B68AB592"/>
        <w:category>
          <w:name w:val="General"/>
          <w:gallery w:val="placeholder"/>
        </w:category>
        <w:types>
          <w:type w:val="bbPlcHdr"/>
        </w:types>
        <w:behaviors>
          <w:behavior w:val="content"/>
        </w:behaviors>
        <w:guid w:val="{849F0974-5ECC-429A-A3BC-847980EFB380}"/>
      </w:docPartPr>
      <w:docPartBody>
        <w:p w:rsidR="00000000" w:rsidRDefault="00B60ED7" w:rsidP="00B60ED7">
          <w:pPr>
            <w:pStyle w:val="82284EBEF130439891C78877B68AB592"/>
          </w:pPr>
          <w:r w:rsidRPr="00B71800">
            <w:rPr>
              <w:rStyle w:val="PlaceholderText"/>
            </w:rPr>
            <w:t>Choose an item.</w:t>
          </w:r>
        </w:p>
      </w:docPartBody>
    </w:docPart>
    <w:docPart>
      <w:docPartPr>
        <w:name w:val="229639533B044E5F8BF350B1B9621C9A"/>
        <w:category>
          <w:name w:val="General"/>
          <w:gallery w:val="placeholder"/>
        </w:category>
        <w:types>
          <w:type w:val="bbPlcHdr"/>
        </w:types>
        <w:behaviors>
          <w:behavior w:val="content"/>
        </w:behaviors>
        <w:guid w:val="{25CCA4C5-003E-4FBB-AFF9-08725EF0270F}"/>
      </w:docPartPr>
      <w:docPartBody>
        <w:p w:rsidR="00000000" w:rsidRDefault="00B60ED7" w:rsidP="00B60ED7">
          <w:pPr>
            <w:pStyle w:val="229639533B044E5F8BF350B1B9621C9A"/>
          </w:pPr>
          <w:r w:rsidRPr="00B71800">
            <w:rPr>
              <w:rStyle w:val="PlaceholderText"/>
            </w:rPr>
            <w:t>Choose an item.</w:t>
          </w:r>
        </w:p>
      </w:docPartBody>
    </w:docPart>
    <w:docPart>
      <w:docPartPr>
        <w:name w:val="B36C327DE8FF4F06B706AFEA33DCC7A0"/>
        <w:category>
          <w:name w:val="General"/>
          <w:gallery w:val="placeholder"/>
        </w:category>
        <w:types>
          <w:type w:val="bbPlcHdr"/>
        </w:types>
        <w:behaviors>
          <w:behavior w:val="content"/>
        </w:behaviors>
        <w:guid w:val="{31DDA484-94F2-4ABD-8A0D-CD0DF36D86F8}"/>
      </w:docPartPr>
      <w:docPartBody>
        <w:p w:rsidR="00000000" w:rsidRDefault="00B60ED7" w:rsidP="00B60ED7">
          <w:pPr>
            <w:pStyle w:val="B36C327DE8FF4F06B706AFEA33DCC7A0"/>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9F"/>
    <w:rsid w:val="0009119B"/>
    <w:rsid w:val="001547E8"/>
    <w:rsid w:val="00175280"/>
    <w:rsid w:val="00924F1C"/>
    <w:rsid w:val="009D189F"/>
    <w:rsid w:val="00B60ED7"/>
    <w:rsid w:val="00D8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ED7"/>
    <w:rPr>
      <w:color w:val="808080"/>
    </w:rPr>
  </w:style>
  <w:style w:type="paragraph" w:customStyle="1" w:styleId="85A7AC6B7EBA405DB568A193E3F6B231">
    <w:name w:val="85A7AC6B7EBA405DB568A193E3F6B231"/>
    <w:rsid w:val="009D189F"/>
  </w:style>
  <w:style w:type="paragraph" w:customStyle="1" w:styleId="6D2C88EF5C3E4005AE3DB2E08ED40E1D">
    <w:name w:val="6D2C88EF5C3E4005AE3DB2E08ED40E1D"/>
    <w:rsid w:val="009D189F"/>
  </w:style>
  <w:style w:type="paragraph" w:customStyle="1" w:styleId="C7BBCBE90D1C4DF9A8B82282A5741FDC">
    <w:name w:val="C7BBCBE90D1C4DF9A8B82282A5741FDC"/>
    <w:rsid w:val="009D189F"/>
  </w:style>
  <w:style w:type="paragraph" w:customStyle="1" w:styleId="5420322913DA4CF6B64D7DC5386C43A4">
    <w:name w:val="5420322913DA4CF6B64D7DC5386C43A4"/>
    <w:rsid w:val="009D189F"/>
  </w:style>
  <w:style w:type="paragraph" w:customStyle="1" w:styleId="02C202C45EAD42D795B7E67DE8F7DDC1">
    <w:name w:val="02C202C45EAD42D795B7E67DE8F7DDC1"/>
    <w:rsid w:val="009D189F"/>
  </w:style>
  <w:style w:type="paragraph" w:customStyle="1" w:styleId="BADEDBFFE098444ABE6D0849E8351CF0">
    <w:name w:val="BADEDBFFE098444ABE6D0849E8351CF0"/>
    <w:rsid w:val="009D189F"/>
  </w:style>
  <w:style w:type="paragraph" w:customStyle="1" w:styleId="FAD2E4C43DE048F2AA791F81C2D443B6">
    <w:name w:val="FAD2E4C43DE048F2AA791F81C2D443B6"/>
    <w:rsid w:val="009D189F"/>
  </w:style>
  <w:style w:type="paragraph" w:customStyle="1" w:styleId="1E0A4830A36E4FAB9988A4D45F735120">
    <w:name w:val="1E0A4830A36E4FAB9988A4D45F735120"/>
    <w:rsid w:val="009D189F"/>
  </w:style>
  <w:style w:type="paragraph" w:customStyle="1" w:styleId="53F2657FA1CD4636B658C59EC9C601E3">
    <w:name w:val="53F2657FA1CD4636B658C59EC9C601E3"/>
    <w:rsid w:val="009D189F"/>
  </w:style>
  <w:style w:type="paragraph" w:customStyle="1" w:styleId="238FC669E1634F8CA5A03F82129CC38D">
    <w:name w:val="238FC669E1634F8CA5A03F82129CC38D"/>
    <w:rsid w:val="009D189F"/>
  </w:style>
  <w:style w:type="paragraph" w:customStyle="1" w:styleId="D4F3B2831E0C4C6499CAD455E3F71914">
    <w:name w:val="D4F3B2831E0C4C6499CAD455E3F71914"/>
    <w:rsid w:val="009D189F"/>
  </w:style>
  <w:style w:type="paragraph" w:customStyle="1" w:styleId="3864282C8D2249309141896741EF3224">
    <w:name w:val="3864282C8D2249309141896741EF3224"/>
    <w:rsid w:val="009D189F"/>
  </w:style>
  <w:style w:type="paragraph" w:customStyle="1" w:styleId="C82117F52D514FE4945898036A4A12D3">
    <w:name w:val="C82117F52D514FE4945898036A4A12D3"/>
    <w:rsid w:val="00D84DFE"/>
  </w:style>
  <w:style w:type="paragraph" w:customStyle="1" w:styleId="D808164063F3469A807B1BB0B7E14B53">
    <w:name w:val="D808164063F3469A807B1BB0B7E14B53"/>
    <w:rsid w:val="00D84DFE"/>
  </w:style>
  <w:style w:type="paragraph" w:customStyle="1" w:styleId="682DFE945D5C4BD780780CDF42CD1783">
    <w:name w:val="682DFE945D5C4BD780780CDF42CD1783"/>
    <w:rsid w:val="00D84DFE"/>
  </w:style>
  <w:style w:type="paragraph" w:customStyle="1" w:styleId="1F1B90FD7FAD43E1A37C24F1BFCD3010">
    <w:name w:val="1F1B90FD7FAD43E1A37C24F1BFCD3010"/>
    <w:rsid w:val="00D84DFE"/>
  </w:style>
  <w:style w:type="paragraph" w:customStyle="1" w:styleId="A9552F70B9EB4FE18EA41680BD2214F3">
    <w:name w:val="A9552F70B9EB4FE18EA41680BD2214F3"/>
    <w:rsid w:val="00D84DFE"/>
  </w:style>
  <w:style w:type="paragraph" w:customStyle="1" w:styleId="DD2ECD24D6994D308DA8E2DCCA664F3E">
    <w:name w:val="DD2ECD24D6994D308DA8E2DCCA664F3E"/>
    <w:rsid w:val="00D84DFE"/>
  </w:style>
  <w:style w:type="paragraph" w:customStyle="1" w:styleId="C58644DD82BE4C23A25E476D0A967E82">
    <w:name w:val="C58644DD82BE4C23A25E476D0A967E82"/>
    <w:rsid w:val="00D84DFE"/>
  </w:style>
  <w:style w:type="paragraph" w:customStyle="1" w:styleId="12603D34E15E4CC2BF68347AE8879943">
    <w:name w:val="12603D34E15E4CC2BF68347AE8879943"/>
    <w:rsid w:val="00D84DFE"/>
  </w:style>
  <w:style w:type="paragraph" w:customStyle="1" w:styleId="106F52A09541455DB62A9017550202E0">
    <w:name w:val="106F52A09541455DB62A9017550202E0"/>
    <w:rsid w:val="00D84DFE"/>
  </w:style>
  <w:style w:type="paragraph" w:customStyle="1" w:styleId="DA14639F576F42D7814EAA55DE9BD96C">
    <w:name w:val="DA14639F576F42D7814EAA55DE9BD96C"/>
    <w:rsid w:val="00D84DFE"/>
  </w:style>
  <w:style w:type="paragraph" w:customStyle="1" w:styleId="CAED27E0C1EF4657BB0C79FEE6C2308A">
    <w:name w:val="CAED27E0C1EF4657BB0C79FEE6C2308A"/>
    <w:rsid w:val="00D84DFE"/>
  </w:style>
  <w:style w:type="paragraph" w:customStyle="1" w:styleId="A66B3C8125DC46A8B8D602E7E84D93CE">
    <w:name w:val="A66B3C8125DC46A8B8D602E7E84D93CE"/>
    <w:rsid w:val="00B60ED7"/>
  </w:style>
  <w:style w:type="paragraph" w:customStyle="1" w:styleId="04BCD1FE3D2042DBB758231863E159D1">
    <w:name w:val="04BCD1FE3D2042DBB758231863E159D1"/>
    <w:rsid w:val="00B60ED7"/>
  </w:style>
  <w:style w:type="paragraph" w:customStyle="1" w:styleId="7E80EEC377FD4ED4AA2E14F76A0FCCB3">
    <w:name w:val="7E80EEC377FD4ED4AA2E14F76A0FCCB3"/>
    <w:rsid w:val="00B60ED7"/>
  </w:style>
  <w:style w:type="paragraph" w:customStyle="1" w:styleId="4EB2CB9D765145B882956C09CB553350">
    <w:name w:val="4EB2CB9D765145B882956C09CB553350"/>
    <w:rsid w:val="00B60ED7"/>
  </w:style>
  <w:style w:type="paragraph" w:customStyle="1" w:styleId="82284EBEF130439891C78877B68AB592">
    <w:name w:val="82284EBEF130439891C78877B68AB592"/>
    <w:rsid w:val="00B60ED7"/>
  </w:style>
  <w:style w:type="paragraph" w:customStyle="1" w:styleId="229639533B044E5F8BF350B1B9621C9A">
    <w:name w:val="229639533B044E5F8BF350B1B9621C9A"/>
    <w:rsid w:val="00B60ED7"/>
  </w:style>
  <w:style w:type="paragraph" w:customStyle="1" w:styleId="B36C327DE8FF4F06B706AFEA33DCC7A0">
    <w:name w:val="B36C327DE8FF4F06B706AFEA33DCC7A0"/>
    <w:rsid w:val="00B60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4CB67390</Template>
  <TotalTime>0</TotalTime>
  <Pages>21</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2020-03-13T09:53:00Z</dcterms:created>
  <dcterms:modified xsi:type="dcterms:W3CDTF">2020-03-13T15:32:00Z</dcterms:modified>
</cp:coreProperties>
</file>