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4429D" w14:textId="76A8064A" w:rsidR="00A64E41" w:rsidRPr="00A64E41" w:rsidRDefault="00A64E41" w:rsidP="00A64E41">
      <w:pPr>
        <w:jc w:val="center"/>
        <w:rPr>
          <w:b/>
          <w:bCs/>
          <w:sz w:val="28"/>
          <w:szCs w:val="28"/>
        </w:rPr>
      </w:pPr>
      <w:bookmarkStart w:id="0" w:name="_GoBack"/>
      <w:bookmarkEnd w:id="0"/>
      <w:r w:rsidRPr="00A64E41">
        <w:rPr>
          <w:b/>
          <w:bCs/>
          <w:sz w:val="28"/>
          <w:szCs w:val="28"/>
        </w:rPr>
        <w:t>NHS Digital</w:t>
      </w:r>
    </w:p>
    <w:p w14:paraId="27062DC9" w14:textId="4031A8A4" w:rsidR="00A64E41" w:rsidRPr="00A64E41" w:rsidRDefault="00A64E41" w:rsidP="00A64E41">
      <w:pPr>
        <w:jc w:val="center"/>
        <w:rPr>
          <w:b/>
          <w:bCs/>
          <w:sz w:val="28"/>
          <w:szCs w:val="28"/>
        </w:rPr>
      </w:pPr>
      <w:r w:rsidRPr="00A64E41">
        <w:rPr>
          <w:b/>
          <w:bCs/>
          <w:sz w:val="28"/>
          <w:szCs w:val="28"/>
        </w:rPr>
        <w:t>Indicator Supporting Documentation</w:t>
      </w:r>
    </w:p>
    <w:p w14:paraId="4C1F6695" w14:textId="23E1F929" w:rsidR="00A64E41" w:rsidRPr="00A64E41" w:rsidRDefault="00A64E41" w:rsidP="00A64E41">
      <w:pPr>
        <w:jc w:val="center"/>
        <w:rPr>
          <w:b/>
          <w:bCs/>
          <w:sz w:val="28"/>
          <w:szCs w:val="28"/>
        </w:rPr>
      </w:pPr>
      <w:r w:rsidRPr="00A64E41">
        <w:rPr>
          <w:b/>
          <w:bCs/>
          <w:sz w:val="28"/>
          <w:szCs w:val="28"/>
        </w:rPr>
        <w:t>IAP00422 The proportion of people who use services and carers who find it easy to find information about support (people who use services)</w:t>
      </w:r>
    </w:p>
    <w:tbl>
      <w:tblPr>
        <w:tblStyle w:val="TableGrid1"/>
        <w:tblW w:w="14170" w:type="dxa"/>
        <w:tblInd w:w="0" w:type="dxa"/>
        <w:tblLook w:val="04A0" w:firstRow="1" w:lastRow="0" w:firstColumn="1" w:lastColumn="0" w:noHBand="0" w:noVBand="1"/>
      </w:tblPr>
      <w:tblGrid>
        <w:gridCol w:w="1804"/>
        <w:gridCol w:w="12366"/>
      </w:tblGrid>
      <w:tr w:rsidR="005F373B" w:rsidRPr="005F373B" w14:paraId="5489D00F" w14:textId="77777777" w:rsidTr="005F373B">
        <w:tc>
          <w:tcPr>
            <w:tcW w:w="1804" w:type="dxa"/>
          </w:tcPr>
          <w:p w14:paraId="2C6EE05F" w14:textId="3079C9EF" w:rsidR="00BD69FE" w:rsidRPr="005F373B" w:rsidRDefault="00BD69FE" w:rsidP="00A64E41">
            <w:pPr>
              <w:rPr>
                <w:rFonts w:ascii="Arial" w:hAnsi="Arial" w:cs="Arial"/>
                <w:b/>
                <w:sz w:val="20"/>
                <w:szCs w:val="20"/>
              </w:rPr>
            </w:pPr>
            <w:r w:rsidRPr="005F373B">
              <w:rPr>
                <w:rFonts w:ascii="Arial" w:hAnsi="Arial" w:cs="Arial"/>
                <w:sz w:val="20"/>
                <w:szCs w:val="20"/>
              </w:rPr>
              <w:t>IAP</w:t>
            </w:r>
            <w:r w:rsidR="004C64BB" w:rsidRPr="005F373B">
              <w:rPr>
                <w:rFonts w:ascii="Arial" w:hAnsi="Arial" w:cs="Arial"/>
                <w:sz w:val="20"/>
                <w:szCs w:val="20"/>
              </w:rPr>
              <w:t xml:space="preserve"> </w:t>
            </w:r>
            <w:r w:rsidRPr="005F373B">
              <w:rPr>
                <w:rFonts w:ascii="Arial" w:hAnsi="Arial" w:cs="Arial"/>
                <w:sz w:val="20"/>
                <w:szCs w:val="20"/>
              </w:rPr>
              <w:t>Code</w:t>
            </w:r>
          </w:p>
        </w:tc>
        <w:tc>
          <w:tcPr>
            <w:tcW w:w="12366" w:type="dxa"/>
          </w:tcPr>
          <w:p w14:paraId="34A261AC" w14:textId="4F77BCDE" w:rsidR="00BD69FE" w:rsidRPr="005F373B" w:rsidRDefault="006F0E9F" w:rsidP="00A64E41">
            <w:pPr>
              <w:rPr>
                <w:rFonts w:ascii="Arial" w:hAnsi="Arial" w:cs="Arial"/>
                <w:sz w:val="20"/>
                <w:szCs w:val="20"/>
              </w:rPr>
            </w:pPr>
            <w:r w:rsidRPr="005F373B">
              <w:rPr>
                <w:rFonts w:ascii="Arial" w:hAnsi="Arial" w:cs="Arial"/>
                <w:sz w:val="20"/>
                <w:szCs w:val="20"/>
              </w:rPr>
              <w:t>IAP0</w:t>
            </w:r>
            <w:r w:rsidR="0038765A" w:rsidRPr="005F373B">
              <w:rPr>
                <w:rFonts w:ascii="Arial" w:hAnsi="Arial" w:cs="Arial"/>
                <w:sz w:val="20"/>
                <w:szCs w:val="20"/>
              </w:rPr>
              <w:t>0</w:t>
            </w:r>
            <w:r w:rsidR="00202C33" w:rsidRPr="005F373B">
              <w:rPr>
                <w:rFonts w:ascii="Arial" w:hAnsi="Arial" w:cs="Arial"/>
                <w:sz w:val="20"/>
                <w:szCs w:val="20"/>
              </w:rPr>
              <w:t>42</w:t>
            </w:r>
            <w:r w:rsidR="009E1357" w:rsidRPr="005F373B">
              <w:rPr>
                <w:rFonts w:ascii="Arial" w:hAnsi="Arial" w:cs="Arial"/>
                <w:sz w:val="20"/>
                <w:szCs w:val="20"/>
              </w:rPr>
              <w:t>2</w:t>
            </w:r>
          </w:p>
        </w:tc>
      </w:tr>
      <w:tr w:rsidR="005F373B" w:rsidRPr="005F373B" w14:paraId="6629A3E7" w14:textId="77777777" w:rsidTr="005F373B">
        <w:tc>
          <w:tcPr>
            <w:tcW w:w="1804" w:type="dxa"/>
          </w:tcPr>
          <w:p w14:paraId="23997C39" w14:textId="77777777" w:rsidR="00BD69FE" w:rsidRPr="005F373B" w:rsidRDefault="00BD69FE" w:rsidP="00A64E41">
            <w:pPr>
              <w:rPr>
                <w:rFonts w:ascii="Arial" w:hAnsi="Arial" w:cs="Arial"/>
                <w:b/>
                <w:sz w:val="20"/>
                <w:szCs w:val="20"/>
              </w:rPr>
            </w:pPr>
            <w:r w:rsidRPr="005F373B">
              <w:rPr>
                <w:rFonts w:ascii="Arial" w:hAnsi="Arial" w:cs="Arial"/>
                <w:sz w:val="20"/>
                <w:szCs w:val="20"/>
              </w:rPr>
              <w:t>Title</w:t>
            </w:r>
          </w:p>
        </w:tc>
        <w:tc>
          <w:tcPr>
            <w:tcW w:w="12366" w:type="dxa"/>
          </w:tcPr>
          <w:p w14:paraId="523F6C46" w14:textId="2052A7D8" w:rsidR="00BD69FE" w:rsidRPr="005F373B" w:rsidRDefault="00A457F9" w:rsidP="005F6766">
            <w:pPr>
              <w:rPr>
                <w:rFonts w:ascii="Arial" w:hAnsi="Arial" w:cs="Arial"/>
                <w:sz w:val="20"/>
                <w:szCs w:val="20"/>
              </w:rPr>
            </w:pPr>
            <w:r w:rsidRPr="005F373B">
              <w:rPr>
                <w:rFonts w:ascii="Arial" w:hAnsi="Arial" w:cs="Arial"/>
                <w:sz w:val="20"/>
                <w:szCs w:val="20"/>
              </w:rPr>
              <w:t>The proportion of people who use services and carers who find it easy to find information about support (people who use services) – 3D, Part 1</w:t>
            </w:r>
          </w:p>
        </w:tc>
      </w:tr>
      <w:tr w:rsidR="005F373B" w:rsidRPr="005F373B" w14:paraId="28621C46" w14:textId="77777777" w:rsidTr="005F373B">
        <w:tc>
          <w:tcPr>
            <w:tcW w:w="1804" w:type="dxa"/>
          </w:tcPr>
          <w:p w14:paraId="052110F3" w14:textId="77777777" w:rsidR="00BD69FE" w:rsidRPr="005F373B" w:rsidRDefault="00BD69FE" w:rsidP="00A64E41">
            <w:pPr>
              <w:rPr>
                <w:rFonts w:ascii="Arial" w:hAnsi="Arial" w:cs="Arial"/>
                <w:b/>
                <w:sz w:val="20"/>
                <w:szCs w:val="20"/>
              </w:rPr>
            </w:pPr>
            <w:r w:rsidRPr="005F373B">
              <w:rPr>
                <w:rFonts w:ascii="Arial" w:hAnsi="Arial" w:cs="Arial"/>
                <w:sz w:val="20"/>
                <w:szCs w:val="20"/>
              </w:rPr>
              <w:t>Published by</w:t>
            </w:r>
          </w:p>
        </w:tc>
        <w:tc>
          <w:tcPr>
            <w:tcW w:w="12366" w:type="dxa"/>
          </w:tcPr>
          <w:p w14:paraId="6093FD1D" w14:textId="71198ABB" w:rsidR="00BD69FE" w:rsidRPr="005F373B" w:rsidRDefault="002A30AC" w:rsidP="00A64E41">
            <w:pPr>
              <w:rPr>
                <w:rFonts w:ascii="Arial" w:hAnsi="Arial" w:cs="Arial"/>
                <w:sz w:val="20"/>
                <w:szCs w:val="20"/>
              </w:rPr>
            </w:pPr>
            <w:r w:rsidRPr="005F373B">
              <w:rPr>
                <w:rFonts w:ascii="Arial" w:hAnsi="Arial" w:cs="Arial"/>
                <w:sz w:val="20"/>
                <w:szCs w:val="20"/>
              </w:rPr>
              <w:t>NHS Digital</w:t>
            </w:r>
          </w:p>
        </w:tc>
      </w:tr>
      <w:tr w:rsidR="005F373B" w:rsidRPr="005F373B" w14:paraId="5181966B" w14:textId="77777777" w:rsidTr="005F373B">
        <w:tc>
          <w:tcPr>
            <w:tcW w:w="1804" w:type="dxa"/>
          </w:tcPr>
          <w:p w14:paraId="7CFA607F" w14:textId="77777777" w:rsidR="00BD69FE" w:rsidRPr="005F373B" w:rsidRDefault="00BD69FE" w:rsidP="00A64E41">
            <w:pPr>
              <w:rPr>
                <w:rFonts w:ascii="Arial" w:hAnsi="Arial" w:cs="Arial"/>
                <w:b/>
                <w:sz w:val="20"/>
                <w:szCs w:val="20"/>
              </w:rPr>
            </w:pPr>
            <w:r w:rsidRPr="005F373B">
              <w:rPr>
                <w:rFonts w:ascii="Arial" w:hAnsi="Arial" w:cs="Arial"/>
                <w:sz w:val="20"/>
                <w:szCs w:val="20"/>
              </w:rPr>
              <w:t>Reporting period</w:t>
            </w:r>
          </w:p>
        </w:tc>
        <w:tc>
          <w:tcPr>
            <w:tcW w:w="12366" w:type="dxa"/>
          </w:tcPr>
          <w:p w14:paraId="2C54EFD5" w14:textId="71734DBA" w:rsidR="00BD69FE" w:rsidRPr="005F373B" w:rsidRDefault="002A30AC" w:rsidP="00A64E41">
            <w:pPr>
              <w:rPr>
                <w:rFonts w:ascii="Arial" w:hAnsi="Arial" w:cs="Arial"/>
                <w:sz w:val="20"/>
                <w:szCs w:val="20"/>
              </w:rPr>
            </w:pPr>
            <w:r w:rsidRPr="005F373B">
              <w:rPr>
                <w:rFonts w:ascii="Arial" w:hAnsi="Arial" w:cs="Arial"/>
                <w:sz w:val="20"/>
                <w:szCs w:val="20"/>
              </w:rPr>
              <w:t>Annual</w:t>
            </w:r>
          </w:p>
        </w:tc>
      </w:tr>
      <w:tr w:rsidR="005F373B" w:rsidRPr="005F373B" w14:paraId="1B9AB236" w14:textId="77777777" w:rsidTr="005F373B">
        <w:tc>
          <w:tcPr>
            <w:tcW w:w="1804" w:type="dxa"/>
          </w:tcPr>
          <w:p w14:paraId="134ECB6F" w14:textId="77777777" w:rsidR="00BD69FE" w:rsidRPr="005F373B" w:rsidRDefault="00BD69FE" w:rsidP="00A64E41">
            <w:pPr>
              <w:rPr>
                <w:rFonts w:ascii="Arial" w:hAnsi="Arial" w:cs="Arial"/>
                <w:b/>
                <w:sz w:val="20"/>
                <w:szCs w:val="20"/>
              </w:rPr>
            </w:pPr>
            <w:r w:rsidRPr="005F373B">
              <w:rPr>
                <w:rFonts w:ascii="Arial" w:hAnsi="Arial" w:cs="Arial"/>
                <w:sz w:val="20"/>
                <w:szCs w:val="20"/>
              </w:rPr>
              <w:t>Geographical Coverage</w:t>
            </w:r>
          </w:p>
        </w:tc>
        <w:tc>
          <w:tcPr>
            <w:tcW w:w="12366" w:type="dxa"/>
          </w:tcPr>
          <w:p w14:paraId="50DF24FC" w14:textId="695700D0" w:rsidR="00BD69FE" w:rsidRPr="005F373B" w:rsidRDefault="002A30AC" w:rsidP="00A64E41">
            <w:pPr>
              <w:rPr>
                <w:rFonts w:ascii="Arial" w:hAnsi="Arial" w:cs="Arial"/>
                <w:sz w:val="20"/>
                <w:szCs w:val="20"/>
              </w:rPr>
            </w:pPr>
            <w:r w:rsidRPr="005F373B">
              <w:rPr>
                <w:rFonts w:ascii="Arial" w:hAnsi="Arial" w:cs="Arial"/>
                <w:sz w:val="20"/>
                <w:szCs w:val="20"/>
              </w:rPr>
              <w:t>National</w:t>
            </w:r>
          </w:p>
        </w:tc>
      </w:tr>
      <w:tr w:rsidR="005F373B" w:rsidRPr="005F373B" w14:paraId="64620C9C" w14:textId="77777777" w:rsidTr="005F373B">
        <w:tc>
          <w:tcPr>
            <w:tcW w:w="1804" w:type="dxa"/>
          </w:tcPr>
          <w:p w14:paraId="55C73694" w14:textId="77777777" w:rsidR="00BD69FE" w:rsidRPr="005F373B" w:rsidRDefault="00BD69FE" w:rsidP="00A64E41">
            <w:pPr>
              <w:rPr>
                <w:rFonts w:ascii="Arial" w:hAnsi="Arial" w:cs="Arial"/>
                <w:b/>
                <w:sz w:val="20"/>
                <w:szCs w:val="20"/>
              </w:rPr>
            </w:pPr>
            <w:r w:rsidRPr="005F373B">
              <w:rPr>
                <w:rFonts w:ascii="Arial" w:hAnsi="Arial" w:cs="Arial"/>
                <w:sz w:val="20"/>
                <w:szCs w:val="20"/>
              </w:rPr>
              <w:t>Reporting level(s)</w:t>
            </w:r>
          </w:p>
        </w:tc>
        <w:tc>
          <w:tcPr>
            <w:tcW w:w="12366" w:type="dxa"/>
          </w:tcPr>
          <w:p w14:paraId="5685C1A0" w14:textId="1584925F" w:rsidR="00BD69FE" w:rsidRPr="005F373B" w:rsidRDefault="002A30AC" w:rsidP="00A64E41">
            <w:pPr>
              <w:rPr>
                <w:rFonts w:ascii="Arial" w:hAnsi="Arial" w:cs="Arial"/>
                <w:sz w:val="20"/>
                <w:szCs w:val="20"/>
              </w:rPr>
            </w:pPr>
            <w:r w:rsidRPr="005F373B">
              <w:rPr>
                <w:rFonts w:ascii="Arial" w:hAnsi="Arial" w:cs="Arial"/>
                <w:sz w:val="20"/>
                <w:szCs w:val="20"/>
              </w:rPr>
              <w:t xml:space="preserve">England, </w:t>
            </w:r>
            <w:r w:rsidR="00566E9F" w:rsidRPr="005F373B">
              <w:rPr>
                <w:rFonts w:ascii="Arial" w:hAnsi="Arial" w:cs="Arial"/>
                <w:sz w:val="20"/>
                <w:szCs w:val="20"/>
              </w:rPr>
              <w:t>Local Authorities, Councils with Adult Social Services Responsibilities (CASSRs)</w:t>
            </w:r>
          </w:p>
        </w:tc>
      </w:tr>
      <w:tr w:rsidR="005F373B" w:rsidRPr="005F373B" w14:paraId="7A68395C" w14:textId="77777777" w:rsidTr="005F373B">
        <w:tc>
          <w:tcPr>
            <w:tcW w:w="1804" w:type="dxa"/>
          </w:tcPr>
          <w:p w14:paraId="4C73D882" w14:textId="77777777" w:rsidR="00BD69FE" w:rsidRPr="005F373B" w:rsidRDefault="00BD69FE" w:rsidP="00A64E41">
            <w:pPr>
              <w:rPr>
                <w:rFonts w:ascii="Arial" w:hAnsi="Arial" w:cs="Arial"/>
                <w:b/>
                <w:sz w:val="20"/>
                <w:szCs w:val="20"/>
              </w:rPr>
            </w:pPr>
            <w:r w:rsidRPr="005F373B">
              <w:rPr>
                <w:rFonts w:ascii="Arial" w:hAnsi="Arial" w:cs="Arial"/>
                <w:sz w:val="20"/>
                <w:szCs w:val="20"/>
              </w:rPr>
              <w:t>Based on data from</w:t>
            </w:r>
          </w:p>
        </w:tc>
        <w:tc>
          <w:tcPr>
            <w:tcW w:w="12366" w:type="dxa"/>
          </w:tcPr>
          <w:p w14:paraId="1345DE27" w14:textId="668065C5" w:rsidR="00BD69FE" w:rsidRPr="005F373B" w:rsidRDefault="00A2099D" w:rsidP="00A64E41">
            <w:pPr>
              <w:rPr>
                <w:rFonts w:ascii="Arial" w:hAnsi="Arial" w:cs="Arial"/>
                <w:sz w:val="20"/>
                <w:szCs w:val="20"/>
              </w:rPr>
            </w:pPr>
            <w:r w:rsidRPr="005F373B">
              <w:rPr>
                <w:rFonts w:ascii="Arial" w:hAnsi="Arial" w:cs="Arial"/>
                <w:sz w:val="20"/>
                <w:szCs w:val="20"/>
              </w:rPr>
              <w:t>Adult Social Care Survey, NHS Digital</w:t>
            </w:r>
          </w:p>
        </w:tc>
      </w:tr>
      <w:tr w:rsidR="005F373B" w:rsidRPr="005F373B" w14:paraId="1B0918A4" w14:textId="77777777" w:rsidTr="005F373B">
        <w:tc>
          <w:tcPr>
            <w:tcW w:w="1804" w:type="dxa"/>
          </w:tcPr>
          <w:p w14:paraId="137B4A4E" w14:textId="77777777" w:rsidR="00BD69FE" w:rsidRPr="005F373B" w:rsidRDefault="00BD69FE" w:rsidP="00A64E41">
            <w:pPr>
              <w:rPr>
                <w:rFonts w:ascii="Arial" w:hAnsi="Arial" w:cs="Arial"/>
                <w:b/>
                <w:sz w:val="20"/>
                <w:szCs w:val="20"/>
              </w:rPr>
            </w:pPr>
            <w:r w:rsidRPr="005F373B">
              <w:rPr>
                <w:rFonts w:ascii="Arial" w:hAnsi="Arial" w:cs="Arial"/>
                <w:sz w:val="20"/>
                <w:szCs w:val="20"/>
              </w:rPr>
              <w:t>Contact Author Name</w:t>
            </w:r>
          </w:p>
        </w:tc>
        <w:tc>
          <w:tcPr>
            <w:tcW w:w="12366" w:type="dxa"/>
          </w:tcPr>
          <w:p w14:paraId="7BDE5252" w14:textId="51A06DC5" w:rsidR="00BD69FE" w:rsidRPr="005F373B" w:rsidRDefault="00A2099D" w:rsidP="00A64E41">
            <w:pPr>
              <w:rPr>
                <w:rFonts w:ascii="Arial" w:hAnsi="Arial" w:cs="Arial"/>
                <w:sz w:val="20"/>
                <w:szCs w:val="20"/>
              </w:rPr>
            </w:pPr>
            <w:r w:rsidRPr="005F373B">
              <w:rPr>
                <w:rFonts w:ascii="Arial" w:hAnsi="Arial" w:cs="Arial"/>
                <w:sz w:val="20"/>
                <w:szCs w:val="20"/>
              </w:rPr>
              <w:t>Robyn Wilson</w:t>
            </w:r>
          </w:p>
        </w:tc>
      </w:tr>
      <w:tr w:rsidR="005F373B" w:rsidRPr="005F373B" w14:paraId="12572889" w14:textId="77777777" w:rsidTr="005F373B">
        <w:tc>
          <w:tcPr>
            <w:tcW w:w="1804" w:type="dxa"/>
          </w:tcPr>
          <w:p w14:paraId="46C94C25" w14:textId="77777777" w:rsidR="00BD69FE" w:rsidRPr="005F373B" w:rsidRDefault="00BD69FE" w:rsidP="00A64E41">
            <w:pPr>
              <w:rPr>
                <w:rFonts w:ascii="Arial" w:hAnsi="Arial" w:cs="Arial"/>
                <w:b/>
                <w:sz w:val="20"/>
                <w:szCs w:val="20"/>
              </w:rPr>
            </w:pPr>
            <w:r w:rsidRPr="005F373B">
              <w:rPr>
                <w:rFonts w:ascii="Arial" w:hAnsi="Arial" w:cs="Arial"/>
                <w:sz w:val="20"/>
                <w:szCs w:val="20"/>
              </w:rPr>
              <w:t>Contact Author Email</w:t>
            </w:r>
          </w:p>
        </w:tc>
        <w:tc>
          <w:tcPr>
            <w:tcW w:w="12366" w:type="dxa"/>
          </w:tcPr>
          <w:p w14:paraId="337B0AB9" w14:textId="12D3120F" w:rsidR="00BD69FE" w:rsidRPr="005F373B" w:rsidRDefault="00006728" w:rsidP="00A64E41">
            <w:pPr>
              <w:rPr>
                <w:rFonts w:ascii="Arial" w:hAnsi="Arial" w:cs="Arial"/>
                <w:sz w:val="20"/>
                <w:szCs w:val="20"/>
              </w:rPr>
            </w:pPr>
            <w:r w:rsidRPr="005F373B">
              <w:rPr>
                <w:rFonts w:ascii="Arial" w:hAnsi="Arial" w:cs="Arial"/>
                <w:sz w:val="20"/>
                <w:szCs w:val="20"/>
              </w:rPr>
              <w:t>robyn.wilson@nhs.net</w:t>
            </w:r>
          </w:p>
        </w:tc>
      </w:tr>
      <w:tr w:rsidR="005F373B" w:rsidRPr="005F373B" w14:paraId="146CE663" w14:textId="77777777" w:rsidTr="005F373B">
        <w:tc>
          <w:tcPr>
            <w:tcW w:w="1804" w:type="dxa"/>
          </w:tcPr>
          <w:p w14:paraId="2471F2F3" w14:textId="77777777" w:rsidR="00BD69FE" w:rsidRPr="005F373B" w:rsidRDefault="00BD69FE" w:rsidP="00A64E41">
            <w:pPr>
              <w:rPr>
                <w:rFonts w:ascii="Arial" w:hAnsi="Arial" w:cs="Arial"/>
                <w:b/>
                <w:sz w:val="20"/>
                <w:szCs w:val="20"/>
              </w:rPr>
            </w:pPr>
            <w:r w:rsidRPr="005F373B">
              <w:rPr>
                <w:rFonts w:ascii="Arial" w:hAnsi="Arial" w:cs="Arial"/>
                <w:sz w:val="20"/>
                <w:szCs w:val="20"/>
              </w:rPr>
              <w:t>Rating</w:t>
            </w:r>
          </w:p>
        </w:tc>
        <w:tc>
          <w:tcPr>
            <w:tcW w:w="12366" w:type="dxa"/>
          </w:tcPr>
          <w:p w14:paraId="42821BAF" w14:textId="28D54C48" w:rsidR="00BD69FE" w:rsidRPr="005F373B" w:rsidRDefault="00F5176C" w:rsidP="00A64E41">
            <w:pPr>
              <w:rPr>
                <w:rFonts w:ascii="Arial" w:hAnsi="Arial" w:cs="Arial"/>
                <w:sz w:val="20"/>
                <w:szCs w:val="20"/>
              </w:rPr>
            </w:pPr>
            <w:r w:rsidRPr="005F373B">
              <w:rPr>
                <w:rFonts w:ascii="Arial" w:hAnsi="Arial" w:cs="Arial"/>
                <w:sz w:val="20"/>
                <w:szCs w:val="20"/>
              </w:rPr>
              <w:t>Fit for us</w:t>
            </w:r>
            <w:r w:rsidR="00A06C18" w:rsidRPr="005F373B">
              <w:rPr>
                <w:rFonts w:ascii="Arial" w:hAnsi="Arial" w:cs="Arial"/>
                <w:sz w:val="20"/>
                <w:szCs w:val="20"/>
              </w:rPr>
              <w:t>e</w:t>
            </w:r>
            <w:r w:rsidR="00566E9F" w:rsidRPr="005F373B">
              <w:rPr>
                <w:rFonts w:ascii="Arial" w:hAnsi="Arial" w:cs="Arial"/>
                <w:sz w:val="20"/>
                <w:szCs w:val="20"/>
              </w:rPr>
              <w:t xml:space="preserve"> with caveats</w:t>
            </w:r>
          </w:p>
        </w:tc>
      </w:tr>
      <w:tr w:rsidR="005F373B" w:rsidRPr="005F373B" w14:paraId="36C90CDC" w14:textId="77777777" w:rsidTr="005F373B">
        <w:tc>
          <w:tcPr>
            <w:tcW w:w="1804" w:type="dxa"/>
          </w:tcPr>
          <w:p w14:paraId="6DDE63CB" w14:textId="77777777" w:rsidR="00BD69FE" w:rsidRPr="005F373B" w:rsidRDefault="00BD69FE" w:rsidP="00A64E41">
            <w:pPr>
              <w:rPr>
                <w:rFonts w:ascii="Arial" w:hAnsi="Arial" w:cs="Arial"/>
                <w:b/>
                <w:sz w:val="20"/>
                <w:szCs w:val="20"/>
              </w:rPr>
            </w:pPr>
            <w:r w:rsidRPr="005F373B">
              <w:rPr>
                <w:rFonts w:ascii="Arial" w:hAnsi="Arial" w:cs="Arial"/>
                <w:sz w:val="20"/>
                <w:szCs w:val="20"/>
              </w:rPr>
              <w:t>Assurance date</w:t>
            </w:r>
          </w:p>
        </w:tc>
        <w:tc>
          <w:tcPr>
            <w:tcW w:w="12366" w:type="dxa"/>
          </w:tcPr>
          <w:p w14:paraId="07A7432F" w14:textId="2F80A776" w:rsidR="00BD69FE" w:rsidRPr="005F373B" w:rsidRDefault="00006728" w:rsidP="00A64E41">
            <w:pPr>
              <w:rPr>
                <w:rFonts w:ascii="Arial" w:hAnsi="Arial" w:cs="Arial"/>
                <w:sz w:val="20"/>
                <w:szCs w:val="20"/>
              </w:rPr>
            </w:pPr>
            <w:r w:rsidRPr="005F373B">
              <w:rPr>
                <w:rFonts w:ascii="Arial" w:hAnsi="Arial" w:cs="Arial"/>
                <w:sz w:val="20"/>
                <w:szCs w:val="20"/>
              </w:rPr>
              <w:t>1</w:t>
            </w:r>
            <w:r w:rsidR="00D62F3F" w:rsidRPr="005F373B">
              <w:rPr>
                <w:rFonts w:ascii="Arial" w:hAnsi="Arial" w:cs="Arial"/>
                <w:sz w:val="20"/>
                <w:szCs w:val="20"/>
              </w:rPr>
              <w:t>1</w:t>
            </w:r>
            <w:r w:rsidRPr="005F373B">
              <w:rPr>
                <w:rFonts w:ascii="Arial" w:hAnsi="Arial" w:cs="Arial"/>
                <w:sz w:val="20"/>
                <w:szCs w:val="20"/>
              </w:rPr>
              <w:t>/0</w:t>
            </w:r>
            <w:r w:rsidR="00D62F3F" w:rsidRPr="005F373B">
              <w:rPr>
                <w:rFonts w:ascii="Arial" w:hAnsi="Arial" w:cs="Arial"/>
                <w:sz w:val="20"/>
                <w:szCs w:val="20"/>
              </w:rPr>
              <w:t>7</w:t>
            </w:r>
            <w:r w:rsidRPr="005F373B">
              <w:rPr>
                <w:rFonts w:ascii="Arial" w:hAnsi="Arial" w:cs="Arial"/>
                <w:sz w:val="20"/>
                <w:szCs w:val="20"/>
              </w:rPr>
              <w:t>/20</w:t>
            </w:r>
            <w:r w:rsidR="00D62F3F" w:rsidRPr="005F373B">
              <w:rPr>
                <w:rFonts w:ascii="Arial" w:hAnsi="Arial" w:cs="Arial"/>
                <w:sz w:val="20"/>
                <w:szCs w:val="20"/>
              </w:rPr>
              <w:t>19</w:t>
            </w:r>
          </w:p>
        </w:tc>
      </w:tr>
      <w:tr w:rsidR="005F373B" w:rsidRPr="005F373B" w14:paraId="2FD2A140" w14:textId="77777777" w:rsidTr="005F373B">
        <w:tc>
          <w:tcPr>
            <w:tcW w:w="1804" w:type="dxa"/>
          </w:tcPr>
          <w:p w14:paraId="71690B01" w14:textId="77777777" w:rsidR="00BD69FE" w:rsidRPr="005F373B" w:rsidRDefault="00BD69FE" w:rsidP="00A64E41">
            <w:pPr>
              <w:rPr>
                <w:rFonts w:ascii="Arial" w:hAnsi="Arial" w:cs="Arial"/>
                <w:b/>
                <w:sz w:val="20"/>
                <w:szCs w:val="20"/>
              </w:rPr>
            </w:pPr>
            <w:r w:rsidRPr="005F373B">
              <w:rPr>
                <w:rFonts w:ascii="Arial" w:hAnsi="Arial" w:cs="Arial"/>
                <w:sz w:val="20"/>
                <w:szCs w:val="20"/>
              </w:rPr>
              <w:t>Review date</w:t>
            </w:r>
          </w:p>
        </w:tc>
        <w:tc>
          <w:tcPr>
            <w:tcW w:w="12366" w:type="dxa"/>
          </w:tcPr>
          <w:p w14:paraId="65D82364" w14:textId="12BB7C3C" w:rsidR="00BD69FE" w:rsidRPr="005F373B" w:rsidRDefault="00D62F3F" w:rsidP="00A64E41">
            <w:pPr>
              <w:rPr>
                <w:rFonts w:ascii="Arial" w:hAnsi="Arial" w:cs="Arial"/>
                <w:sz w:val="20"/>
                <w:szCs w:val="20"/>
              </w:rPr>
            </w:pPr>
            <w:r w:rsidRPr="005F373B">
              <w:rPr>
                <w:rFonts w:ascii="Arial" w:hAnsi="Arial" w:cs="Arial"/>
                <w:sz w:val="20"/>
                <w:szCs w:val="20"/>
              </w:rPr>
              <w:t>11/07/2024</w:t>
            </w:r>
          </w:p>
        </w:tc>
      </w:tr>
      <w:tr w:rsidR="005F373B" w:rsidRPr="005F373B" w14:paraId="5F25EAD6" w14:textId="77777777" w:rsidTr="005F373B">
        <w:tc>
          <w:tcPr>
            <w:tcW w:w="1804" w:type="dxa"/>
          </w:tcPr>
          <w:p w14:paraId="154752B2" w14:textId="77777777" w:rsidR="00BD69FE" w:rsidRPr="005F373B" w:rsidRDefault="00BD69FE" w:rsidP="00A64E41">
            <w:pPr>
              <w:rPr>
                <w:rFonts w:ascii="Arial" w:hAnsi="Arial" w:cs="Arial"/>
                <w:b/>
                <w:sz w:val="20"/>
                <w:szCs w:val="20"/>
              </w:rPr>
            </w:pPr>
            <w:r w:rsidRPr="005F373B">
              <w:rPr>
                <w:rFonts w:ascii="Arial" w:hAnsi="Arial" w:cs="Arial"/>
                <w:sz w:val="20"/>
                <w:szCs w:val="20"/>
              </w:rPr>
              <w:t>Indicator set</w:t>
            </w:r>
          </w:p>
        </w:tc>
        <w:tc>
          <w:tcPr>
            <w:tcW w:w="12366" w:type="dxa"/>
          </w:tcPr>
          <w:p w14:paraId="6C3C44BD" w14:textId="4769E680" w:rsidR="00BD69FE" w:rsidRPr="005F373B" w:rsidRDefault="00033D06" w:rsidP="00A64E41">
            <w:pPr>
              <w:rPr>
                <w:rFonts w:ascii="Arial" w:hAnsi="Arial" w:cs="Arial"/>
                <w:sz w:val="20"/>
                <w:szCs w:val="20"/>
              </w:rPr>
            </w:pPr>
            <w:r w:rsidRPr="005F373B">
              <w:rPr>
                <w:rFonts w:ascii="Arial" w:hAnsi="Arial" w:cs="Arial"/>
                <w:sz w:val="20"/>
                <w:szCs w:val="20"/>
              </w:rPr>
              <w:t>ASCOF</w:t>
            </w:r>
          </w:p>
        </w:tc>
      </w:tr>
      <w:tr w:rsidR="005F373B" w:rsidRPr="005F373B" w14:paraId="6F4A3701" w14:textId="77777777" w:rsidTr="005F373B">
        <w:tc>
          <w:tcPr>
            <w:tcW w:w="1804" w:type="dxa"/>
          </w:tcPr>
          <w:p w14:paraId="42EBDFE1" w14:textId="77777777" w:rsidR="00BD69FE" w:rsidRPr="005F373B" w:rsidRDefault="00BD69FE" w:rsidP="00A64E41">
            <w:pPr>
              <w:rPr>
                <w:rFonts w:ascii="Arial" w:hAnsi="Arial" w:cs="Arial"/>
                <w:b/>
                <w:sz w:val="20"/>
                <w:szCs w:val="20"/>
              </w:rPr>
            </w:pPr>
            <w:r w:rsidRPr="005F373B">
              <w:rPr>
                <w:rFonts w:ascii="Arial" w:hAnsi="Arial" w:cs="Arial"/>
                <w:sz w:val="20"/>
                <w:szCs w:val="20"/>
              </w:rPr>
              <w:t xml:space="preserve">Brief Description </w:t>
            </w:r>
          </w:p>
          <w:p w14:paraId="71948065" w14:textId="0D4C2E52" w:rsidR="00BD69FE" w:rsidRPr="005F373B" w:rsidRDefault="00BD69FE" w:rsidP="00A64E41">
            <w:pPr>
              <w:rPr>
                <w:rFonts w:ascii="Arial" w:hAnsi="Arial" w:cs="Arial"/>
                <w:b/>
                <w:sz w:val="20"/>
                <w:szCs w:val="20"/>
              </w:rPr>
            </w:pPr>
          </w:p>
        </w:tc>
        <w:tc>
          <w:tcPr>
            <w:tcW w:w="12366" w:type="dxa"/>
          </w:tcPr>
          <w:p w14:paraId="118FC027" w14:textId="77777777" w:rsidR="00D574B9" w:rsidRPr="005F373B" w:rsidRDefault="00D574B9" w:rsidP="00D574B9">
            <w:pPr>
              <w:spacing w:before="60" w:after="60"/>
              <w:rPr>
                <w:rFonts w:ascii="Arial" w:hAnsi="Arial" w:cs="Arial"/>
                <w:sz w:val="20"/>
                <w:szCs w:val="20"/>
              </w:rPr>
            </w:pPr>
            <w:r w:rsidRPr="005F373B">
              <w:rPr>
                <w:rFonts w:ascii="Arial" w:hAnsi="Arial" w:cs="Arial"/>
                <w:sz w:val="20"/>
                <w:szCs w:val="20"/>
              </w:rPr>
              <w:t>This measure reflects social services users’ and carers’ experience of access to information and advice about social care in the past year. Information is a core universal service and a key factor in early intervention and reducing dependency.</w:t>
            </w:r>
          </w:p>
          <w:p w14:paraId="52CB566F" w14:textId="6A0F1B30" w:rsidR="00D574B9" w:rsidRPr="005F373B" w:rsidRDefault="00D574B9" w:rsidP="00D574B9">
            <w:pPr>
              <w:spacing w:before="60" w:after="60"/>
              <w:rPr>
                <w:rFonts w:ascii="Arial" w:hAnsi="Arial" w:cs="Arial"/>
                <w:sz w:val="20"/>
                <w:szCs w:val="20"/>
              </w:rPr>
            </w:pPr>
            <w:r w:rsidRPr="005F373B">
              <w:rPr>
                <w:rFonts w:ascii="Arial" w:hAnsi="Arial" w:cs="Arial"/>
                <w:sz w:val="20"/>
                <w:szCs w:val="20"/>
              </w:rPr>
              <w:t xml:space="preserve">This is a two-part measure reflecting whether service users (part 1) and carers (part 2) find it easy to find information about services. The measures are calculated from data collected in the </w:t>
            </w:r>
            <w:r w:rsidRPr="005F373B">
              <w:rPr>
                <w:rFonts w:ascii="Arial" w:hAnsi="Arial" w:cs="Arial"/>
                <w:b/>
                <w:sz w:val="20"/>
                <w:szCs w:val="20"/>
              </w:rPr>
              <w:t>Adult Social Care Survey (ASCS) for Part 1</w:t>
            </w:r>
            <w:r w:rsidRPr="005F373B">
              <w:rPr>
                <w:rFonts w:ascii="Arial" w:hAnsi="Arial" w:cs="Arial"/>
                <w:sz w:val="20"/>
                <w:szCs w:val="20"/>
              </w:rPr>
              <w:t xml:space="preserve"> (IAP00422)</w:t>
            </w:r>
            <w:r w:rsidR="003643F0" w:rsidRPr="005F373B">
              <w:rPr>
                <w:rFonts w:ascii="Arial" w:hAnsi="Arial" w:cs="Arial"/>
                <w:sz w:val="20"/>
                <w:szCs w:val="20"/>
              </w:rPr>
              <w:t xml:space="preserve"> </w:t>
            </w:r>
            <w:r w:rsidRPr="005F373B">
              <w:rPr>
                <w:rFonts w:ascii="Arial" w:hAnsi="Arial" w:cs="Arial"/>
                <w:sz w:val="20"/>
                <w:szCs w:val="20"/>
              </w:rPr>
              <w:t xml:space="preserve">and the </w:t>
            </w:r>
            <w:r w:rsidRPr="005F373B">
              <w:rPr>
                <w:rFonts w:ascii="Arial" w:hAnsi="Arial" w:cs="Arial"/>
                <w:b/>
                <w:sz w:val="20"/>
                <w:szCs w:val="20"/>
              </w:rPr>
              <w:t xml:space="preserve">Survey of Adult Carers in England (SACE) for Part 2 </w:t>
            </w:r>
            <w:r w:rsidRPr="005F373B">
              <w:rPr>
                <w:rFonts w:ascii="Arial" w:hAnsi="Arial" w:cs="Arial"/>
                <w:sz w:val="20"/>
                <w:szCs w:val="20"/>
              </w:rPr>
              <w:t xml:space="preserve">(IAP00423). </w:t>
            </w:r>
          </w:p>
          <w:p w14:paraId="690E93D5" w14:textId="0C9EA140" w:rsidR="00BD69FE" w:rsidRPr="005F373B" w:rsidRDefault="00BD69FE" w:rsidP="00A64E41">
            <w:pPr>
              <w:rPr>
                <w:rFonts w:ascii="Arial" w:hAnsi="Arial" w:cs="Arial"/>
                <w:sz w:val="20"/>
                <w:szCs w:val="20"/>
              </w:rPr>
            </w:pPr>
          </w:p>
        </w:tc>
      </w:tr>
      <w:tr w:rsidR="005F373B" w:rsidRPr="005F373B" w14:paraId="30049EB2" w14:textId="77777777" w:rsidTr="005F373B">
        <w:tc>
          <w:tcPr>
            <w:tcW w:w="1804" w:type="dxa"/>
          </w:tcPr>
          <w:p w14:paraId="4DB2E955" w14:textId="77777777" w:rsidR="00BD69FE" w:rsidRPr="005F373B" w:rsidRDefault="00BD69FE" w:rsidP="00A64E41">
            <w:pPr>
              <w:rPr>
                <w:rFonts w:ascii="Arial" w:hAnsi="Arial" w:cs="Arial"/>
                <w:b/>
                <w:sz w:val="20"/>
                <w:szCs w:val="20"/>
              </w:rPr>
            </w:pPr>
            <w:r w:rsidRPr="005F373B">
              <w:rPr>
                <w:rFonts w:ascii="Arial" w:hAnsi="Arial" w:cs="Arial"/>
                <w:sz w:val="20"/>
                <w:szCs w:val="20"/>
              </w:rPr>
              <w:t>Purpose</w:t>
            </w:r>
          </w:p>
        </w:tc>
        <w:tc>
          <w:tcPr>
            <w:tcW w:w="12366" w:type="dxa"/>
          </w:tcPr>
          <w:p w14:paraId="330A06AF" w14:textId="299EA7F4" w:rsidR="00114832" w:rsidRPr="005F373B" w:rsidRDefault="00114832" w:rsidP="00114832">
            <w:pPr>
              <w:spacing w:after="120"/>
              <w:rPr>
                <w:rFonts w:ascii="Arial" w:hAnsi="Arial" w:cs="Arial"/>
                <w:sz w:val="20"/>
                <w:szCs w:val="20"/>
              </w:rPr>
            </w:pPr>
            <w:r w:rsidRPr="005F373B">
              <w:rPr>
                <w:rFonts w:ascii="Arial" w:hAnsi="Arial" w:cs="Arial"/>
                <w:sz w:val="20"/>
                <w:szCs w:val="20"/>
              </w:rPr>
              <w:t>The question from the Adult Social Care Survey for part 1 is Question 12</w:t>
            </w:r>
            <w:r w:rsidR="00E26145" w:rsidRPr="005F373B">
              <w:rPr>
                <w:rFonts w:ascii="Arial" w:hAnsi="Arial" w:cs="Arial"/>
                <w:sz w:val="20"/>
                <w:szCs w:val="20"/>
              </w:rPr>
              <w:t>:</w:t>
            </w:r>
            <w:r w:rsidRPr="005F373B">
              <w:rPr>
                <w:rFonts w:ascii="Arial" w:hAnsi="Arial" w:cs="Arial"/>
                <w:sz w:val="20"/>
                <w:szCs w:val="20"/>
              </w:rPr>
              <w:t xml:space="preserve"> "</w:t>
            </w:r>
            <w:r w:rsidRPr="005F373B">
              <w:rPr>
                <w:rFonts w:ascii="Arial" w:hAnsi="Arial" w:cs="Arial"/>
                <w:i/>
                <w:iCs/>
                <w:sz w:val="20"/>
                <w:szCs w:val="20"/>
              </w:rPr>
              <w:t>In the past year, have you generally found it easy or difficult to find information and advice about support, services or benefits?"</w:t>
            </w:r>
            <w:r w:rsidRPr="005F373B">
              <w:rPr>
                <w:rFonts w:ascii="Arial" w:hAnsi="Arial" w:cs="Arial"/>
                <w:sz w:val="20"/>
                <w:szCs w:val="20"/>
              </w:rPr>
              <w:t xml:space="preserve"> </w:t>
            </w:r>
          </w:p>
          <w:p w14:paraId="49289881" w14:textId="77777777" w:rsidR="00114832" w:rsidRPr="005F373B" w:rsidRDefault="00114832" w:rsidP="00114832">
            <w:pPr>
              <w:spacing w:after="120"/>
              <w:rPr>
                <w:rFonts w:ascii="Arial" w:hAnsi="Arial" w:cs="Arial"/>
                <w:sz w:val="20"/>
                <w:szCs w:val="20"/>
              </w:rPr>
            </w:pPr>
            <w:r w:rsidRPr="005F373B">
              <w:rPr>
                <w:rFonts w:ascii="Arial" w:hAnsi="Arial" w:cs="Arial"/>
                <w:sz w:val="20"/>
                <w:szCs w:val="20"/>
              </w:rPr>
              <w:t>Improved and/or more information benefits service users by helping them to have greater choice and control over their lives. Improved and/or more information benefits carers by helping them to have greater choice and control over their lives. This may help to sustain caring relationships through, for example, reduction in stress, improved welfare and physical health improvements.</w:t>
            </w:r>
          </w:p>
          <w:p w14:paraId="63AE47C8" w14:textId="388E4E29" w:rsidR="00BD69FE" w:rsidRPr="005F373B" w:rsidRDefault="00114832" w:rsidP="00114832">
            <w:pPr>
              <w:rPr>
                <w:rFonts w:ascii="Arial" w:hAnsi="Arial" w:cs="Arial"/>
                <w:sz w:val="20"/>
                <w:szCs w:val="20"/>
              </w:rPr>
            </w:pPr>
            <w:r w:rsidRPr="005F373B">
              <w:rPr>
                <w:rFonts w:ascii="Arial" w:hAnsi="Arial" w:cs="Arial"/>
                <w:sz w:val="20"/>
                <w:szCs w:val="20"/>
              </w:rPr>
              <w:t>These benefits accrue only where information is accessed that would not otherwise have been accessed or in those cases where the same information is obtained more easily.</w:t>
            </w:r>
          </w:p>
        </w:tc>
      </w:tr>
      <w:tr w:rsidR="005F373B" w:rsidRPr="005F373B" w14:paraId="54849C45" w14:textId="77777777" w:rsidTr="005F373B">
        <w:tc>
          <w:tcPr>
            <w:tcW w:w="1804" w:type="dxa"/>
          </w:tcPr>
          <w:p w14:paraId="70E47248" w14:textId="77777777" w:rsidR="001919BF" w:rsidRPr="005F373B" w:rsidRDefault="001919BF" w:rsidP="001919BF">
            <w:pPr>
              <w:rPr>
                <w:rFonts w:ascii="Arial" w:hAnsi="Arial" w:cs="Arial"/>
                <w:b/>
                <w:sz w:val="20"/>
                <w:szCs w:val="20"/>
              </w:rPr>
            </w:pPr>
            <w:r w:rsidRPr="005F373B">
              <w:rPr>
                <w:rFonts w:ascii="Arial" w:hAnsi="Arial" w:cs="Arial"/>
                <w:sz w:val="20"/>
                <w:szCs w:val="20"/>
              </w:rPr>
              <w:lastRenderedPageBreak/>
              <w:t>Definition</w:t>
            </w:r>
          </w:p>
        </w:tc>
        <w:tc>
          <w:tcPr>
            <w:tcW w:w="12366" w:type="dxa"/>
          </w:tcPr>
          <w:p w14:paraId="07013616" w14:textId="46594646" w:rsidR="001919BF" w:rsidRPr="005F373B" w:rsidRDefault="001919BF" w:rsidP="001919BF">
            <w:pPr>
              <w:rPr>
                <w:rFonts w:ascii="Arial" w:hAnsi="Arial" w:cs="Arial"/>
                <w:sz w:val="20"/>
                <w:szCs w:val="20"/>
              </w:rPr>
            </w:pPr>
            <w:r w:rsidRPr="005F373B">
              <w:rPr>
                <w:rFonts w:ascii="Arial" w:hAnsi="Arial" w:cs="Arial"/>
                <w:sz w:val="20"/>
                <w:szCs w:val="20"/>
              </w:rPr>
              <w:t xml:space="preserve">The percentage of people </w:t>
            </w:r>
            <w:r w:rsidR="00332C23" w:rsidRPr="005F373B">
              <w:rPr>
                <w:rFonts w:ascii="Arial" w:hAnsi="Arial" w:cs="Arial"/>
                <w:sz w:val="20"/>
                <w:szCs w:val="20"/>
              </w:rPr>
              <w:t>answering,</w:t>
            </w:r>
            <w:r w:rsidRPr="005F373B">
              <w:rPr>
                <w:rFonts w:ascii="Arial" w:hAnsi="Arial" w:cs="Arial"/>
                <w:sz w:val="20"/>
                <w:szCs w:val="20"/>
              </w:rPr>
              <w:t xml:space="preserve"> “very easy to find” and “fairly easy to find” to the question “</w:t>
            </w:r>
            <w:r w:rsidRPr="005F373B">
              <w:rPr>
                <w:rFonts w:ascii="Arial" w:hAnsi="Arial" w:cs="Arial"/>
                <w:i/>
                <w:iCs/>
                <w:sz w:val="20"/>
                <w:szCs w:val="20"/>
              </w:rPr>
              <w:t>In the past year, have you generally found it easy or difficult to find information and advice about support, services or benefits?”</w:t>
            </w:r>
            <w:r w:rsidRPr="005F373B">
              <w:rPr>
                <w:rFonts w:ascii="Arial" w:hAnsi="Arial" w:cs="Arial"/>
                <w:sz w:val="20"/>
                <w:szCs w:val="20"/>
              </w:rPr>
              <w:t xml:space="preserve"> after weighting has been applied.</w:t>
            </w:r>
          </w:p>
        </w:tc>
      </w:tr>
      <w:tr w:rsidR="005F373B" w:rsidRPr="005F373B" w14:paraId="6E1036B1" w14:textId="77777777" w:rsidTr="005F373B">
        <w:tc>
          <w:tcPr>
            <w:tcW w:w="1804" w:type="dxa"/>
          </w:tcPr>
          <w:p w14:paraId="3CE98FA2" w14:textId="77777777" w:rsidR="001919BF" w:rsidRPr="005F373B" w:rsidRDefault="001919BF" w:rsidP="001919BF">
            <w:pPr>
              <w:rPr>
                <w:rFonts w:ascii="Arial" w:hAnsi="Arial" w:cs="Arial"/>
                <w:b/>
                <w:sz w:val="20"/>
                <w:szCs w:val="20"/>
              </w:rPr>
            </w:pPr>
            <w:r w:rsidRPr="005F373B">
              <w:rPr>
                <w:rFonts w:ascii="Arial" w:hAnsi="Arial" w:cs="Arial"/>
                <w:sz w:val="20"/>
                <w:szCs w:val="20"/>
              </w:rPr>
              <w:t>Data Source</w:t>
            </w:r>
          </w:p>
        </w:tc>
        <w:tc>
          <w:tcPr>
            <w:tcW w:w="12366" w:type="dxa"/>
          </w:tcPr>
          <w:p w14:paraId="265F6072" w14:textId="77777777" w:rsidR="000D0D73" w:rsidRPr="005F373B" w:rsidRDefault="000D0D73" w:rsidP="000D0D73">
            <w:pPr>
              <w:spacing w:before="60" w:after="60"/>
              <w:rPr>
                <w:rFonts w:ascii="Arial" w:hAnsi="Arial" w:cs="Arial"/>
                <w:sz w:val="20"/>
                <w:szCs w:val="20"/>
              </w:rPr>
            </w:pPr>
            <w:r w:rsidRPr="005F373B">
              <w:rPr>
                <w:rFonts w:ascii="Arial" w:hAnsi="Arial" w:cs="Arial"/>
                <w:sz w:val="20"/>
                <w:szCs w:val="20"/>
              </w:rPr>
              <w:t xml:space="preserve">Adult Social Care Survey (ASCS). </w:t>
            </w:r>
          </w:p>
          <w:p w14:paraId="3403ADFC" w14:textId="77777777" w:rsidR="000D0D73" w:rsidRPr="005F373B" w:rsidRDefault="008A7875" w:rsidP="000D0D73">
            <w:pPr>
              <w:spacing w:before="60" w:after="60"/>
              <w:rPr>
                <w:rFonts w:ascii="Arial" w:hAnsi="Arial" w:cs="Arial"/>
                <w:sz w:val="20"/>
                <w:szCs w:val="20"/>
              </w:rPr>
            </w:pPr>
            <w:hyperlink r:id="rId7" w:history="1">
              <w:r w:rsidR="000D0D73" w:rsidRPr="005F373B">
                <w:rPr>
                  <w:rStyle w:val="Hyperlink"/>
                  <w:rFonts w:ascii="Arial" w:hAnsi="Arial" w:cs="Arial"/>
                  <w:color w:val="auto"/>
                  <w:sz w:val="20"/>
                  <w:szCs w:val="20"/>
                </w:rPr>
                <w:t>https://digital.nhs.uk/binaries/content/assets/website-assets/data-and-information/data-collections/social-care-user-surveys/ascs_guidance_2018-19.pdf</w:t>
              </w:r>
            </w:hyperlink>
            <w:r w:rsidR="000D0D73" w:rsidRPr="005F373B">
              <w:rPr>
                <w:rStyle w:val="Hyperlink"/>
                <w:rFonts w:ascii="Arial" w:hAnsi="Arial" w:cs="Arial"/>
                <w:color w:val="auto"/>
                <w:sz w:val="20"/>
                <w:szCs w:val="20"/>
              </w:rPr>
              <w:t xml:space="preserve">  </w:t>
            </w:r>
          </w:p>
          <w:p w14:paraId="6738187C" w14:textId="7C5D67AD" w:rsidR="001919BF" w:rsidRPr="005F373B" w:rsidRDefault="001919BF" w:rsidP="001919BF">
            <w:pPr>
              <w:rPr>
                <w:rFonts w:ascii="Arial" w:hAnsi="Arial" w:cs="Arial"/>
                <w:sz w:val="20"/>
                <w:szCs w:val="20"/>
              </w:rPr>
            </w:pPr>
          </w:p>
        </w:tc>
      </w:tr>
      <w:tr w:rsidR="005F373B" w:rsidRPr="005F373B" w14:paraId="1EF5CCA7" w14:textId="77777777" w:rsidTr="005F373B">
        <w:tc>
          <w:tcPr>
            <w:tcW w:w="1804" w:type="dxa"/>
          </w:tcPr>
          <w:p w14:paraId="75E42FA3" w14:textId="77777777" w:rsidR="00E85960" w:rsidRPr="005F373B" w:rsidRDefault="00E85960" w:rsidP="00E85960">
            <w:pPr>
              <w:rPr>
                <w:rFonts w:ascii="Arial" w:hAnsi="Arial" w:cs="Arial"/>
                <w:b/>
                <w:sz w:val="20"/>
                <w:szCs w:val="20"/>
              </w:rPr>
            </w:pPr>
            <w:r w:rsidRPr="005F373B">
              <w:rPr>
                <w:rFonts w:ascii="Arial" w:hAnsi="Arial" w:cs="Arial"/>
                <w:sz w:val="20"/>
                <w:szCs w:val="20"/>
              </w:rPr>
              <w:t>Numerator</w:t>
            </w:r>
          </w:p>
        </w:tc>
        <w:tc>
          <w:tcPr>
            <w:tcW w:w="12366" w:type="dxa"/>
          </w:tcPr>
          <w:p w14:paraId="31DB2A89" w14:textId="77777777" w:rsidR="000C7612" w:rsidRPr="005F373B" w:rsidRDefault="007D3D67" w:rsidP="009E2200">
            <w:pPr>
              <w:spacing w:after="120"/>
              <w:rPr>
                <w:rFonts w:ascii="Arial" w:hAnsi="Arial" w:cs="Arial"/>
                <w:sz w:val="20"/>
                <w:szCs w:val="20"/>
              </w:rPr>
            </w:pPr>
            <w:r w:rsidRPr="005F373B">
              <w:rPr>
                <w:rFonts w:ascii="Arial" w:hAnsi="Arial" w:cs="Arial"/>
                <w:sz w:val="20"/>
                <w:szCs w:val="20"/>
              </w:rPr>
              <w:t>The Department of Health and Social Care (DHSC) defines the construction of the indicator.</w:t>
            </w:r>
          </w:p>
          <w:p w14:paraId="4E048882" w14:textId="65CE2E82" w:rsidR="00E85960" w:rsidRPr="005F373B" w:rsidRDefault="00E85960" w:rsidP="00A64E41">
            <w:pPr>
              <w:spacing w:after="120"/>
              <w:rPr>
                <w:rFonts w:ascii="Arial" w:hAnsi="Arial" w:cs="Arial"/>
                <w:sz w:val="20"/>
                <w:szCs w:val="20"/>
              </w:rPr>
            </w:pPr>
            <w:r w:rsidRPr="005F373B">
              <w:rPr>
                <w:rFonts w:ascii="Arial" w:hAnsi="Arial" w:cs="Arial"/>
                <w:sz w:val="20"/>
                <w:szCs w:val="20"/>
              </w:rPr>
              <w:t xml:space="preserve">For 3D part 1 (users), the numerator is the number of people answering “very easy to find” and “fairly easy to find” to the question </w:t>
            </w:r>
            <w:r w:rsidRPr="005F373B">
              <w:rPr>
                <w:rFonts w:ascii="Arial" w:hAnsi="Arial" w:cs="Arial"/>
                <w:i/>
                <w:iCs/>
                <w:sz w:val="20"/>
                <w:szCs w:val="20"/>
              </w:rPr>
              <w:t>“In the past year, have you generally found it easy or difficult to find information and advice about support, services or benefits?”</w:t>
            </w:r>
            <w:r w:rsidRPr="005F373B">
              <w:rPr>
                <w:rFonts w:ascii="Arial" w:hAnsi="Arial" w:cs="Arial"/>
                <w:sz w:val="20"/>
                <w:szCs w:val="20"/>
              </w:rPr>
              <w:t xml:space="preserve"> after weighting has been applied.</w:t>
            </w:r>
          </w:p>
        </w:tc>
      </w:tr>
      <w:tr w:rsidR="005F373B" w:rsidRPr="005F373B" w14:paraId="22216F2F" w14:textId="77777777" w:rsidTr="005F373B">
        <w:tc>
          <w:tcPr>
            <w:tcW w:w="1804" w:type="dxa"/>
          </w:tcPr>
          <w:p w14:paraId="6B547D53" w14:textId="77777777" w:rsidR="00E85960" w:rsidRPr="005F373B" w:rsidRDefault="00E85960" w:rsidP="00E85960">
            <w:pPr>
              <w:rPr>
                <w:rFonts w:ascii="Arial" w:hAnsi="Arial" w:cs="Arial"/>
                <w:b/>
                <w:sz w:val="20"/>
                <w:szCs w:val="20"/>
              </w:rPr>
            </w:pPr>
            <w:r w:rsidRPr="005F373B">
              <w:rPr>
                <w:rFonts w:ascii="Arial" w:hAnsi="Arial" w:cs="Arial"/>
                <w:sz w:val="20"/>
                <w:szCs w:val="20"/>
              </w:rPr>
              <w:t>Denominator</w:t>
            </w:r>
          </w:p>
        </w:tc>
        <w:tc>
          <w:tcPr>
            <w:tcW w:w="12366" w:type="dxa"/>
          </w:tcPr>
          <w:p w14:paraId="2358D649" w14:textId="19551181" w:rsidR="00E85960" w:rsidRPr="005F373B" w:rsidRDefault="00E85960" w:rsidP="00E85960">
            <w:pPr>
              <w:rPr>
                <w:rFonts w:ascii="Arial" w:hAnsi="Arial" w:cs="Arial"/>
                <w:sz w:val="20"/>
                <w:szCs w:val="20"/>
              </w:rPr>
            </w:pPr>
            <w:r w:rsidRPr="005F373B">
              <w:rPr>
                <w:rFonts w:ascii="Arial" w:hAnsi="Arial" w:cs="Arial"/>
                <w:sz w:val="20"/>
                <w:szCs w:val="20"/>
              </w:rPr>
              <w:t xml:space="preserve">The denominator is the number of people answering the questions </w:t>
            </w:r>
            <w:r w:rsidRPr="005F373B">
              <w:rPr>
                <w:rFonts w:ascii="Arial" w:hAnsi="Arial" w:cs="Arial"/>
                <w:i/>
                <w:iCs/>
                <w:sz w:val="20"/>
                <w:szCs w:val="20"/>
              </w:rPr>
              <w:t>“In the past year, have you generally found it easy or difficult to find information and advice about support, services or benefits?”</w:t>
            </w:r>
            <w:r w:rsidRPr="005F373B">
              <w:rPr>
                <w:rFonts w:ascii="Arial" w:hAnsi="Arial" w:cs="Arial"/>
                <w:sz w:val="20"/>
                <w:szCs w:val="20"/>
              </w:rPr>
              <w:t xml:space="preserve"> for part 1 after weighting has been applied. </w:t>
            </w:r>
          </w:p>
        </w:tc>
      </w:tr>
      <w:tr w:rsidR="005F373B" w:rsidRPr="005F373B" w14:paraId="5FC03589" w14:textId="77777777" w:rsidTr="005F373B">
        <w:tc>
          <w:tcPr>
            <w:tcW w:w="1804" w:type="dxa"/>
          </w:tcPr>
          <w:p w14:paraId="21F9D9B3" w14:textId="77777777" w:rsidR="001919BF" w:rsidRPr="005F373B" w:rsidRDefault="001919BF" w:rsidP="001919BF">
            <w:pPr>
              <w:rPr>
                <w:rFonts w:ascii="Arial" w:hAnsi="Arial" w:cs="Arial"/>
                <w:b/>
                <w:sz w:val="20"/>
                <w:szCs w:val="20"/>
              </w:rPr>
            </w:pPr>
            <w:r w:rsidRPr="005F373B">
              <w:rPr>
                <w:rFonts w:ascii="Arial" w:hAnsi="Arial" w:cs="Arial"/>
                <w:sz w:val="20"/>
                <w:szCs w:val="20"/>
              </w:rPr>
              <w:t>Calculation</w:t>
            </w:r>
          </w:p>
        </w:tc>
        <w:tc>
          <w:tcPr>
            <w:tcW w:w="12366" w:type="dxa"/>
          </w:tcPr>
          <w:p w14:paraId="155A8EAA" w14:textId="77777777" w:rsidR="0009710A" w:rsidRPr="005F373B" w:rsidRDefault="0009710A" w:rsidP="0009710A">
            <w:pPr>
              <w:spacing w:before="60" w:after="60"/>
              <w:rPr>
                <w:rFonts w:ascii="Arial" w:hAnsi="Arial" w:cs="Arial"/>
                <w:sz w:val="20"/>
                <w:szCs w:val="20"/>
              </w:rPr>
            </w:pPr>
            <w:r w:rsidRPr="005F373B">
              <w:rPr>
                <w:rFonts w:ascii="Arial" w:hAnsi="Arial" w:cs="Arial"/>
                <w:sz w:val="20"/>
                <w:szCs w:val="20"/>
              </w:rPr>
              <w:t>For both the numerator (X) and denominator (Y), weighted data should be used to calculate the measure.</w:t>
            </w:r>
          </w:p>
          <w:p w14:paraId="340A610A" w14:textId="77777777" w:rsidR="0009710A" w:rsidRPr="005F373B" w:rsidRDefault="008A7875" w:rsidP="0009710A">
            <w:pPr>
              <w:spacing w:before="60" w:after="60"/>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Y</m:t>
                    </m:r>
                  </m:den>
                </m:f>
                <m:r>
                  <w:rPr>
                    <w:rFonts w:ascii="Cambria Math" w:hAnsi="Cambria Math" w:cs="Arial"/>
                    <w:sz w:val="20"/>
                    <w:szCs w:val="20"/>
                  </w:rPr>
                  <m:t>*100</m:t>
                </m:r>
              </m:oMath>
            </m:oMathPara>
          </w:p>
          <w:p w14:paraId="724C1449" w14:textId="46B50B96" w:rsidR="0009710A" w:rsidRPr="005F373B" w:rsidRDefault="0009710A" w:rsidP="0009710A">
            <w:pPr>
              <w:spacing w:before="60" w:after="60"/>
              <w:rPr>
                <w:rFonts w:ascii="Arial" w:hAnsi="Arial" w:cs="Arial"/>
                <w:sz w:val="20"/>
                <w:szCs w:val="20"/>
              </w:rPr>
            </w:pPr>
            <w:r w:rsidRPr="005F373B">
              <w:rPr>
                <w:rFonts w:ascii="Arial" w:hAnsi="Arial" w:cs="Arial"/>
                <w:sz w:val="20"/>
                <w:szCs w:val="20"/>
              </w:rPr>
              <w:t xml:space="preserve">The data from the survey will be weighted by NHS Digital to take account of the </w:t>
            </w:r>
            <w:r w:rsidR="00AE672C" w:rsidRPr="005F373B">
              <w:rPr>
                <w:rFonts w:ascii="Arial" w:hAnsi="Arial" w:cs="Arial"/>
                <w:sz w:val="20"/>
                <w:szCs w:val="20"/>
              </w:rPr>
              <w:t xml:space="preserve">stratified </w:t>
            </w:r>
            <w:r w:rsidRPr="005F373B">
              <w:rPr>
                <w:rFonts w:ascii="Arial" w:hAnsi="Arial" w:cs="Arial"/>
                <w:sz w:val="20"/>
                <w:szCs w:val="20"/>
              </w:rPr>
              <w:t>sampling technique that has been used when conducting the survey. The weights are automatically calculated within the survey data return along with the ASCOF outcome measures.</w:t>
            </w:r>
          </w:p>
          <w:p w14:paraId="6BB32C2D" w14:textId="77777777" w:rsidR="0009710A" w:rsidRPr="005F373B" w:rsidRDefault="0009710A" w:rsidP="0009710A">
            <w:pPr>
              <w:spacing w:before="240" w:after="140"/>
              <w:textboxTightWrap w:val="lastLineOnly"/>
              <w:rPr>
                <w:rFonts w:ascii="Arial" w:hAnsi="Arial" w:cs="Arial"/>
                <w:sz w:val="20"/>
                <w:szCs w:val="20"/>
              </w:rPr>
            </w:pPr>
            <w:r w:rsidRPr="005F373B">
              <w:rPr>
                <w:rFonts w:ascii="Arial" w:hAnsi="Arial" w:cs="Arial"/>
                <w:b/>
                <w:sz w:val="20"/>
                <w:szCs w:val="20"/>
              </w:rPr>
              <w:t>Weighting Methodology</w:t>
            </w:r>
          </w:p>
          <w:p w14:paraId="53B2BDB2" w14:textId="77777777" w:rsidR="0009710A" w:rsidRPr="005F373B" w:rsidRDefault="0009710A" w:rsidP="0009710A">
            <w:pPr>
              <w:spacing w:before="240" w:after="140"/>
              <w:textboxTightWrap w:val="lastLineOnly"/>
              <w:rPr>
                <w:rFonts w:ascii="Arial" w:hAnsi="Arial" w:cs="Arial"/>
                <w:i/>
                <w:sz w:val="20"/>
                <w:szCs w:val="20"/>
              </w:rPr>
            </w:pPr>
            <w:r w:rsidRPr="005F373B">
              <w:rPr>
                <w:rFonts w:ascii="Arial" w:hAnsi="Arial" w:cs="Arial"/>
                <w:i/>
                <w:sz w:val="20"/>
                <w:szCs w:val="20"/>
              </w:rPr>
              <w:t>Variables and methodology:</w:t>
            </w:r>
          </w:p>
          <w:p w14:paraId="0B243F8B" w14:textId="77777777" w:rsidR="0009710A" w:rsidRPr="005F373B" w:rsidRDefault="0009710A" w:rsidP="0009710A">
            <w:pPr>
              <w:spacing w:before="240" w:after="140"/>
              <w:textboxTightWrap w:val="lastLineOnly"/>
              <w:rPr>
                <w:rFonts w:ascii="Arial" w:hAnsi="Arial" w:cs="Arial"/>
                <w:sz w:val="20"/>
                <w:szCs w:val="20"/>
              </w:rPr>
            </w:pPr>
            <w:r w:rsidRPr="005F373B">
              <w:rPr>
                <w:rFonts w:ascii="Arial" w:hAnsi="Arial" w:cs="Arial"/>
                <w:sz w:val="20"/>
                <w:szCs w:val="20"/>
              </w:rPr>
              <w:t>The introduction of stratified sampling and allowing councils to oversample in strata of interest to them, leads to the need to weight the data to convert the achieved sample back to represent the population from which the sample was drawn.</w:t>
            </w:r>
          </w:p>
          <w:p w14:paraId="08A65DDD" w14:textId="77777777" w:rsidR="0009710A" w:rsidRPr="005F373B" w:rsidRDefault="0009710A" w:rsidP="0009710A">
            <w:pPr>
              <w:spacing w:before="240" w:after="140"/>
              <w:textboxTightWrap w:val="lastLineOnly"/>
              <w:rPr>
                <w:rFonts w:ascii="Arial" w:hAnsi="Arial" w:cs="Arial"/>
                <w:sz w:val="20"/>
                <w:szCs w:val="20"/>
              </w:rPr>
            </w:pPr>
            <w:r w:rsidRPr="005F373B">
              <w:rPr>
                <w:rFonts w:ascii="Arial" w:hAnsi="Arial" w:cs="Arial"/>
                <w:sz w:val="20"/>
                <w:szCs w:val="20"/>
              </w:rPr>
              <w:t>This is commonly done by dividing the number of people in each of the stratum in the eligible population by the number of returned questionnaires in each stratum. This has the effect of weighting for both the sample design and non-response at the same time.</w:t>
            </w:r>
          </w:p>
          <w:p w14:paraId="09215B82" w14:textId="1697C1F8" w:rsidR="001919BF" w:rsidRPr="005F373B" w:rsidRDefault="0009710A" w:rsidP="00A64E41">
            <w:pPr>
              <w:spacing w:before="240" w:after="140"/>
              <w:textboxTightWrap w:val="lastLineOnly"/>
              <w:rPr>
                <w:rFonts w:ascii="Arial" w:hAnsi="Arial" w:cs="Arial"/>
                <w:sz w:val="20"/>
                <w:szCs w:val="20"/>
              </w:rPr>
            </w:pPr>
            <w:r w:rsidRPr="005F373B">
              <w:rPr>
                <w:rFonts w:ascii="Arial" w:hAnsi="Arial" w:cs="Arial"/>
                <w:sz w:val="20"/>
                <w:szCs w:val="20"/>
              </w:rPr>
              <w:t xml:space="preserve">These weights are provided automatically within the data return based on the number of responses in each stratum and the number in the eligible population in each stratum. </w:t>
            </w:r>
          </w:p>
        </w:tc>
      </w:tr>
      <w:tr w:rsidR="005F373B" w:rsidRPr="005F373B" w14:paraId="4E697DFD" w14:textId="77777777" w:rsidTr="005F373B">
        <w:tc>
          <w:tcPr>
            <w:tcW w:w="1804" w:type="dxa"/>
          </w:tcPr>
          <w:p w14:paraId="431E676E" w14:textId="77777777" w:rsidR="001919BF" w:rsidRPr="005F373B" w:rsidRDefault="001919BF" w:rsidP="001919BF">
            <w:pPr>
              <w:rPr>
                <w:rFonts w:ascii="Arial" w:hAnsi="Arial" w:cs="Arial"/>
                <w:b/>
                <w:sz w:val="20"/>
                <w:szCs w:val="20"/>
              </w:rPr>
            </w:pPr>
            <w:r w:rsidRPr="005F373B">
              <w:rPr>
                <w:rFonts w:ascii="Arial" w:hAnsi="Arial" w:cs="Arial"/>
                <w:sz w:val="20"/>
                <w:szCs w:val="20"/>
              </w:rPr>
              <w:t>Interpretation Guidelines</w:t>
            </w:r>
          </w:p>
        </w:tc>
        <w:tc>
          <w:tcPr>
            <w:tcW w:w="12366" w:type="dxa"/>
          </w:tcPr>
          <w:p w14:paraId="051DE10F" w14:textId="2A6C30CC" w:rsidR="00772EDD" w:rsidRPr="005F373B" w:rsidRDefault="00772EDD" w:rsidP="00A64E41">
            <w:pPr>
              <w:spacing w:before="240" w:after="140"/>
              <w:textboxTightWrap w:val="lastLineOnly"/>
              <w:rPr>
                <w:rFonts w:ascii="Arial" w:hAnsi="Arial" w:cs="Arial"/>
                <w:sz w:val="20"/>
                <w:szCs w:val="20"/>
              </w:rPr>
            </w:pPr>
            <w:r w:rsidRPr="005F373B">
              <w:rPr>
                <w:rFonts w:ascii="Arial" w:hAnsi="Arial" w:cs="Arial"/>
                <w:sz w:val="20"/>
                <w:szCs w:val="20"/>
              </w:rPr>
              <w:t>This is a two-part measure reflecting whether service users (part 1) and carers (part 2) find it easy to find information about services. The measures are calculated from data collected in the Adult Social Care Survey and the Carers Survey and have been split in to 2 separate indicators</w:t>
            </w:r>
            <w:r w:rsidR="00FB04F9" w:rsidRPr="005F373B">
              <w:rPr>
                <w:rFonts w:ascii="Arial" w:hAnsi="Arial" w:cs="Arial"/>
                <w:sz w:val="20"/>
                <w:szCs w:val="20"/>
              </w:rPr>
              <w:t>:</w:t>
            </w:r>
            <w:r w:rsidRPr="005F373B">
              <w:rPr>
                <w:rFonts w:ascii="Arial" w:hAnsi="Arial" w:cs="Arial"/>
                <w:sz w:val="20"/>
                <w:szCs w:val="20"/>
              </w:rPr>
              <w:t xml:space="preserve"> IAP00422 and IAP00423.</w:t>
            </w:r>
          </w:p>
          <w:p w14:paraId="1B9E1771" w14:textId="166B2CB9" w:rsidR="00772EDD" w:rsidRPr="005F373B" w:rsidRDefault="00772EDD" w:rsidP="00A64E41">
            <w:pPr>
              <w:spacing w:before="240" w:after="140"/>
              <w:textboxTightWrap w:val="lastLineOnly"/>
              <w:rPr>
                <w:rFonts w:ascii="Arial" w:hAnsi="Arial" w:cs="Arial"/>
                <w:sz w:val="20"/>
                <w:szCs w:val="20"/>
              </w:rPr>
            </w:pPr>
            <w:r w:rsidRPr="005F373B">
              <w:rPr>
                <w:rFonts w:ascii="Arial" w:hAnsi="Arial" w:cs="Arial"/>
                <w:sz w:val="20"/>
                <w:szCs w:val="20"/>
              </w:rPr>
              <w:lastRenderedPageBreak/>
              <w:t>This sits within Domain 3</w:t>
            </w:r>
            <w:r w:rsidR="00E9757C" w:rsidRPr="005F373B">
              <w:rPr>
                <w:rFonts w:ascii="Arial" w:hAnsi="Arial" w:cs="Arial"/>
                <w:sz w:val="20"/>
                <w:szCs w:val="20"/>
              </w:rPr>
              <w:t xml:space="preserve"> of the Adult Social Care Outcomes Framework (ASCOF) </w:t>
            </w:r>
            <w:r w:rsidRPr="005F373B">
              <w:rPr>
                <w:rFonts w:ascii="Arial" w:hAnsi="Arial" w:cs="Arial"/>
                <w:i/>
                <w:iCs/>
                <w:sz w:val="20"/>
                <w:szCs w:val="20"/>
              </w:rPr>
              <w:t>Ensuring people have a positive experience of care and support</w:t>
            </w:r>
            <w:r w:rsidRPr="005F373B">
              <w:rPr>
                <w:rFonts w:ascii="Arial" w:hAnsi="Arial" w:cs="Arial"/>
                <w:sz w:val="20"/>
                <w:szCs w:val="20"/>
              </w:rPr>
              <w:t xml:space="preserve"> which contains the following questions:</w:t>
            </w:r>
          </w:p>
          <w:p w14:paraId="6D75CE66" w14:textId="77777777" w:rsidR="00772EDD" w:rsidRPr="005F373B" w:rsidRDefault="00772EDD" w:rsidP="00772EDD">
            <w:pPr>
              <w:pStyle w:val="ListParagraph"/>
              <w:numPr>
                <w:ilvl w:val="0"/>
                <w:numId w:val="3"/>
              </w:numPr>
              <w:spacing w:before="60" w:after="60"/>
              <w:rPr>
                <w:rFonts w:ascii="Arial" w:hAnsi="Arial" w:cs="Arial"/>
                <w:sz w:val="20"/>
                <w:szCs w:val="20"/>
              </w:rPr>
            </w:pPr>
            <w:r w:rsidRPr="005F373B">
              <w:rPr>
                <w:rFonts w:ascii="Arial" w:hAnsi="Arial" w:cs="Arial"/>
                <w:sz w:val="20"/>
                <w:szCs w:val="20"/>
              </w:rPr>
              <w:t>(3A) Overall satisfaction of people who use services with their care and support (IAP00419)</w:t>
            </w:r>
          </w:p>
          <w:p w14:paraId="5B7C05A1" w14:textId="77777777" w:rsidR="00772EDD" w:rsidRPr="005F373B" w:rsidRDefault="00772EDD" w:rsidP="00772EDD">
            <w:pPr>
              <w:pStyle w:val="ListParagraph"/>
              <w:numPr>
                <w:ilvl w:val="0"/>
                <w:numId w:val="3"/>
              </w:numPr>
              <w:spacing w:before="60" w:after="60"/>
              <w:rPr>
                <w:rFonts w:ascii="Arial" w:hAnsi="Arial" w:cs="Arial"/>
                <w:sz w:val="20"/>
                <w:szCs w:val="20"/>
              </w:rPr>
            </w:pPr>
            <w:r w:rsidRPr="005F373B">
              <w:rPr>
                <w:rFonts w:ascii="Arial" w:hAnsi="Arial" w:cs="Arial"/>
                <w:sz w:val="20"/>
                <w:szCs w:val="20"/>
              </w:rPr>
              <w:t>(3B) Overall satisfaction of carers with social services (IAP00420)</w:t>
            </w:r>
          </w:p>
          <w:p w14:paraId="3FF0E4F4" w14:textId="77777777" w:rsidR="00772EDD" w:rsidRPr="005F373B" w:rsidRDefault="00772EDD" w:rsidP="00772EDD">
            <w:pPr>
              <w:pStyle w:val="ListParagraph"/>
              <w:numPr>
                <w:ilvl w:val="0"/>
                <w:numId w:val="3"/>
              </w:numPr>
              <w:spacing w:before="60" w:after="60"/>
              <w:rPr>
                <w:rFonts w:ascii="Arial" w:hAnsi="Arial" w:cs="Arial"/>
                <w:sz w:val="20"/>
                <w:szCs w:val="20"/>
              </w:rPr>
            </w:pPr>
            <w:r w:rsidRPr="005F373B">
              <w:rPr>
                <w:rFonts w:ascii="Arial" w:hAnsi="Arial" w:cs="Arial"/>
                <w:sz w:val="20"/>
                <w:szCs w:val="20"/>
              </w:rPr>
              <w:t>(3C) The proportion of carers who report that they have been included or consulted in discussions about the person they care for (IAP00421)</w:t>
            </w:r>
          </w:p>
          <w:p w14:paraId="52F96B67" w14:textId="77777777" w:rsidR="00772EDD" w:rsidRPr="005F373B" w:rsidRDefault="00772EDD" w:rsidP="00772EDD">
            <w:pPr>
              <w:pStyle w:val="ListParagraph"/>
              <w:numPr>
                <w:ilvl w:val="0"/>
                <w:numId w:val="3"/>
              </w:numPr>
              <w:spacing w:before="60" w:after="60"/>
              <w:rPr>
                <w:rFonts w:ascii="Arial" w:hAnsi="Arial" w:cs="Arial"/>
                <w:sz w:val="20"/>
                <w:szCs w:val="20"/>
              </w:rPr>
            </w:pPr>
            <w:r w:rsidRPr="005F373B">
              <w:rPr>
                <w:rFonts w:ascii="Arial" w:hAnsi="Arial" w:cs="Arial"/>
                <w:sz w:val="20"/>
                <w:szCs w:val="20"/>
              </w:rPr>
              <w:t>(3D, part 1) The proportion of people who use services and carers who find it easy to find information about support (people who use services) (IAP00422)</w:t>
            </w:r>
          </w:p>
          <w:p w14:paraId="0072C7D9" w14:textId="6C74AC0D" w:rsidR="001919BF" w:rsidRPr="005F373B" w:rsidRDefault="00772EDD" w:rsidP="00772EDD">
            <w:pPr>
              <w:pStyle w:val="ListParagraph"/>
              <w:numPr>
                <w:ilvl w:val="0"/>
                <w:numId w:val="3"/>
              </w:numPr>
              <w:spacing w:before="60" w:after="60"/>
              <w:rPr>
                <w:rFonts w:ascii="Arial" w:hAnsi="Arial" w:cs="Arial"/>
                <w:sz w:val="20"/>
                <w:szCs w:val="20"/>
              </w:rPr>
            </w:pPr>
            <w:r w:rsidRPr="005F373B">
              <w:rPr>
                <w:rFonts w:ascii="Arial" w:hAnsi="Arial" w:cs="Arial"/>
                <w:sz w:val="20"/>
                <w:szCs w:val="20"/>
              </w:rPr>
              <w:t>(3D part 2) The proportion of people who use services and carers who find it easy to find information about support (carers) (IAP00423)</w:t>
            </w:r>
          </w:p>
        </w:tc>
      </w:tr>
      <w:tr w:rsidR="005F373B" w:rsidRPr="005F373B" w14:paraId="0E3B7774" w14:textId="77777777" w:rsidTr="005F373B">
        <w:tc>
          <w:tcPr>
            <w:tcW w:w="1804" w:type="dxa"/>
          </w:tcPr>
          <w:p w14:paraId="2326D945" w14:textId="77777777" w:rsidR="001919BF" w:rsidRPr="005F373B" w:rsidRDefault="001919BF" w:rsidP="001919BF">
            <w:pPr>
              <w:rPr>
                <w:rFonts w:ascii="Arial" w:hAnsi="Arial" w:cs="Arial"/>
                <w:b/>
                <w:sz w:val="20"/>
                <w:szCs w:val="20"/>
              </w:rPr>
            </w:pPr>
            <w:r w:rsidRPr="005F373B">
              <w:rPr>
                <w:rFonts w:ascii="Arial" w:hAnsi="Arial" w:cs="Arial"/>
                <w:sz w:val="20"/>
                <w:szCs w:val="20"/>
              </w:rPr>
              <w:lastRenderedPageBreak/>
              <w:t>Caveats</w:t>
            </w:r>
          </w:p>
        </w:tc>
        <w:tc>
          <w:tcPr>
            <w:tcW w:w="12366" w:type="dxa"/>
          </w:tcPr>
          <w:p w14:paraId="1E287AE1" w14:textId="241DCF8B" w:rsidR="00950DC4" w:rsidRPr="005F373B" w:rsidRDefault="00336595" w:rsidP="00950DC4">
            <w:pPr>
              <w:pStyle w:val="ListParagraph"/>
              <w:numPr>
                <w:ilvl w:val="0"/>
                <w:numId w:val="3"/>
              </w:numPr>
              <w:spacing w:before="60" w:after="60"/>
              <w:rPr>
                <w:rFonts w:ascii="Arial" w:hAnsi="Arial" w:cs="Arial"/>
                <w:sz w:val="20"/>
                <w:szCs w:val="20"/>
              </w:rPr>
            </w:pPr>
            <w:r w:rsidRPr="005F373B">
              <w:rPr>
                <w:rFonts w:ascii="Arial" w:hAnsi="Arial" w:cs="Arial"/>
                <w:sz w:val="20"/>
                <w:szCs w:val="20"/>
              </w:rPr>
              <w:t xml:space="preserve">ASCOF </w:t>
            </w:r>
            <w:r w:rsidR="00950DC4" w:rsidRPr="005F373B">
              <w:rPr>
                <w:rFonts w:ascii="Arial" w:hAnsi="Arial" w:cs="Arial"/>
                <w:sz w:val="20"/>
                <w:szCs w:val="20"/>
              </w:rPr>
              <w:t xml:space="preserve">was developed as a whole suite of indicators however further rationale is needed to justify each individual indicator in the Framework </w:t>
            </w:r>
          </w:p>
          <w:p w14:paraId="11FED5B8" w14:textId="40765F2E" w:rsidR="00950DC4" w:rsidRPr="005F373B" w:rsidRDefault="00950DC4" w:rsidP="00950DC4">
            <w:pPr>
              <w:pStyle w:val="ListParagraph"/>
              <w:numPr>
                <w:ilvl w:val="0"/>
                <w:numId w:val="3"/>
              </w:numPr>
              <w:spacing w:before="60" w:after="60"/>
              <w:rPr>
                <w:rFonts w:ascii="Arial" w:hAnsi="Arial" w:cs="Arial"/>
                <w:sz w:val="20"/>
                <w:szCs w:val="20"/>
              </w:rPr>
            </w:pPr>
            <w:r w:rsidRPr="005F373B">
              <w:rPr>
                <w:rFonts w:ascii="Arial" w:hAnsi="Arial" w:cs="Arial"/>
                <w:sz w:val="20"/>
                <w:szCs w:val="20"/>
              </w:rPr>
              <w:t>A ‘good’ result is detailed as being a high percentage result however there needs to be an ideal range or a specific result specified on which to fully assess the data</w:t>
            </w:r>
          </w:p>
          <w:p w14:paraId="2469E9CF" w14:textId="3F342B50" w:rsidR="001919BF" w:rsidRPr="005F373B" w:rsidRDefault="00950DC4" w:rsidP="00A64E41">
            <w:pPr>
              <w:pStyle w:val="ListParagraph"/>
              <w:numPr>
                <w:ilvl w:val="0"/>
                <w:numId w:val="3"/>
              </w:numPr>
              <w:spacing w:before="60" w:after="60"/>
              <w:rPr>
                <w:rFonts w:ascii="Arial" w:hAnsi="Arial" w:cs="Arial"/>
                <w:sz w:val="20"/>
                <w:szCs w:val="20"/>
              </w:rPr>
            </w:pPr>
            <w:r w:rsidRPr="005F373B">
              <w:rPr>
                <w:rFonts w:ascii="Arial" w:hAnsi="Arial" w:cs="Arial"/>
                <w:sz w:val="20"/>
                <w:szCs w:val="20"/>
              </w:rPr>
              <w:t>The weighting methodology is explained however an actual example of the methodology in practice is required to allow accurate recreation of the published figures.</w:t>
            </w:r>
          </w:p>
        </w:tc>
      </w:tr>
    </w:tbl>
    <w:p w14:paraId="0F0CA932" w14:textId="40B9E96F" w:rsidR="00332C23" w:rsidRPr="00A64E41" w:rsidRDefault="00332C23" w:rsidP="00BD69FE">
      <w:pPr>
        <w:rPr>
          <w:b/>
        </w:rPr>
      </w:pPr>
    </w:p>
    <w:p w14:paraId="373D1F5E" w14:textId="77777777" w:rsidR="00332C23" w:rsidRPr="00A64E41" w:rsidRDefault="00332C23">
      <w:pPr>
        <w:rPr>
          <w:b/>
        </w:rPr>
      </w:pPr>
      <w:r w:rsidRPr="00A64E41">
        <w:rPr>
          <w:b/>
        </w:rPr>
        <w:br w:type="page"/>
      </w:r>
    </w:p>
    <w:p w14:paraId="28217BBB" w14:textId="77777777" w:rsidR="00332C23" w:rsidRPr="00A64E41" w:rsidRDefault="00332C23" w:rsidP="00A64E41">
      <w:pPr>
        <w:jc w:val="center"/>
        <w:rPr>
          <w:b/>
        </w:rPr>
      </w:pPr>
    </w:p>
    <w:tbl>
      <w:tblPr>
        <w:tblStyle w:val="TableGrid"/>
        <w:tblW w:w="14174" w:type="dxa"/>
        <w:tblLook w:val="04A0" w:firstRow="1" w:lastRow="0" w:firstColumn="1" w:lastColumn="0" w:noHBand="0" w:noVBand="1"/>
      </w:tblPr>
      <w:tblGrid>
        <w:gridCol w:w="3114"/>
        <w:gridCol w:w="4111"/>
        <w:gridCol w:w="2551"/>
        <w:gridCol w:w="4398"/>
      </w:tblGrid>
      <w:tr w:rsidR="00147C16" w:rsidRPr="00A64E41" w14:paraId="76C46F95" w14:textId="77777777" w:rsidTr="00A64E41">
        <w:tc>
          <w:tcPr>
            <w:tcW w:w="3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CCDFB7" w14:textId="26795FAB" w:rsidR="00147C16" w:rsidRPr="00A64E41" w:rsidRDefault="00147C16" w:rsidP="00A64E41">
            <w:pPr>
              <w:spacing w:before="60" w:after="60"/>
              <w:ind w:left="317" w:hanging="317"/>
              <w:rPr>
                <w:b/>
              </w:rPr>
            </w:pPr>
            <w:r w:rsidRPr="00A64E41">
              <w:rPr>
                <w:b/>
              </w:rPr>
              <w:t>Section 1: Introduction and Overview</w:t>
            </w:r>
          </w:p>
        </w:tc>
        <w:tc>
          <w:tcPr>
            <w:tcW w:w="4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AF2DC0" w14:textId="77777777" w:rsidR="00147C16" w:rsidRPr="00A64E41" w:rsidRDefault="00147C16" w:rsidP="00A64E41">
            <w:pPr>
              <w:pStyle w:val="FrontpageTitle"/>
              <w:rPr>
                <w:rFonts w:ascii="Arial" w:hAnsi="Arial" w:cs="Arial"/>
                <w:i w:val="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7AD00D" w14:textId="77777777" w:rsidR="00147C16" w:rsidRPr="00A64E41" w:rsidRDefault="00147C16" w:rsidP="00A64E41">
            <w:pPr>
              <w:spacing w:before="60" w:after="60"/>
              <w:ind w:left="318" w:hanging="318"/>
              <w:rPr>
                <w:b/>
              </w:rPr>
            </w:pPr>
          </w:p>
        </w:tc>
        <w:tc>
          <w:tcPr>
            <w:tcW w:w="43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8C707F" w14:textId="77777777" w:rsidR="00147C16" w:rsidRPr="00A64E41" w:rsidRDefault="00147C16" w:rsidP="00A64E41">
            <w:pPr>
              <w:spacing w:before="60" w:after="60"/>
              <w:ind w:left="318" w:hanging="318"/>
              <w:rPr>
                <w:i/>
              </w:rPr>
            </w:pPr>
          </w:p>
        </w:tc>
      </w:tr>
      <w:tr w:rsidR="00A64E41" w:rsidRPr="00A64E41" w14:paraId="6C5EB799" w14:textId="77777777" w:rsidTr="00A64E41">
        <w:tc>
          <w:tcPr>
            <w:tcW w:w="3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17D464" w14:textId="77777777" w:rsidR="00332C23" w:rsidRPr="00A64E41" w:rsidRDefault="00332C23" w:rsidP="00A64E41">
            <w:pPr>
              <w:spacing w:before="60" w:after="60"/>
              <w:ind w:left="317" w:hanging="317"/>
              <w:rPr>
                <w:b/>
              </w:rPr>
            </w:pPr>
            <w:r w:rsidRPr="00A64E41">
              <w:rPr>
                <w:b/>
              </w:rPr>
              <w:t>1.1 Indicator title</w:t>
            </w:r>
          </w:p>
        </w:tc>
        <w:tc>
          <w:tcPr>
            <w:tcW w:w="4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3BC8DC" w14:textId="77777777" w:rsidR="00332C23" w:rsidRPr="00A64E41" w:rsidRDefault="00332C23" w:rsidP="00A64E41">
            <w:pPr>
              <w:pStyle w:val="FrontpageTitle"/>
              <w:rPr>
                <w:rFonts w:ascii="Arial" w:hAnsi="Arial" w:cs="Arial"/>
                <w:b/>
                <w:i w:val="0"/>
              </w:rPr>
            </w:pPr>
            <w:r w:rsidRPr="00A64E41">
              <w:rPr>
                <w:rFonts w:ascii="Arial" w:hAnsi="Arial" w:cs="Arial"/>
                <w:i w:val="0"/>
              </w:rPr>
              <w:t>The proportion of people who use services and carers who find it easy to find information about support (people who use services) – 3D, Part 1</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95732B" w14:textId="77777777" w:rsidR="00332C23" w:rsidRPr="00A64E41" w:rsidRDefault="00332C23" w:rsidP="00A64E41">
            <w:pPr>
              <w:spacing w:before="60" w:after="60"/>
              <w:ind w:left="318" w:hanging="318"/>
              <w:rPr>
                <w:b/>
              </w:rPr>
            </w:pPr>
            <w:r w:rsidRPr="00A64E41">
              <w:rPr>
                <w:b/>
              </w:rPr>
              <w:t>1.8 Application type</w:t>
            </w:r>
          </w:p>
        </w:tc>
        <w:tc>
          <w:tcPr>
            <w:tcW w:w="43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700AE5" w14:textId="77777777" w:rsidR="00332C23" w:rsidRPr="00A64E41" w:rsidRDefault="00332C23" w:rsidP="00A64E41">
            <w:pPr>
              <w:spacing w:before="60" w:after="60"/>
              <w:ind w:left="318" w:hanging="318"/>
            </w:pPr>
            <w:r w:rsidRPr="00A64E41">
              <w:rPr>
                <w:i/>
              </w:rPr>
              <w:t>New</w:t>
            </w:r>
          </w:p>
        </w:tc>
      </w:tr>
      <w:tr w:rsidR="00A64E41" w:rsidRPr="00A64E41" w14:paraId="50E2E62B" w14:textId="77777777" w:rsidTr="00A64E41">
        <w:tc>
          <w:tcPr>
            <w:tcW w:w="3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B66292" w14:textId="77777777" w:rsidR="00332C23" w:rsidRPr="00A64E41" w:rsidRDefault="00332C23" w:rsidP="00A64E41">
            <w:pPr>
              <w:spacing w:before="60" w:after="60"/>
              <w:ind w:left="317" w:hanging="317"/>
              <w:rPr>
                <w:b/>
              </w:rPr>
            </w:pPr>
            <w:r w:rsidRPr="00A64E41">
              <w:rPr>
                <w:b/>
              </w:rPr>
              <w:t>1.2 Reference number</w:t>
            </w:r>
            <w:r w:rsidRPr="00A64E41">
              <w:rPr>
                <w:b/>
              </w:rPr>
              <w:br/>
            </w:r>
            <w:r w:rsidRPr="00A64E41">
              <w:rPr>
                <w:i/>
              </w:rPr>
              <w:t>(if unsure, please leave for IMAS team)</w:t>
            </w:r>
          </w:p>
        </w:tc>
        <w:tc>
          <w:tcPr>
            <w:tcW w:w="4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0236D" w14:textId="77777777" w:rsidR="00332C23" w:rsidRPr="00A64E41" w:rsidRDefault="00332C23" w:rsidP="00A64E41">
            <w:pPr>
              <w:spacing w:before="60" w:after="60"/>
            </w:pPr>
            <w:r w:rsidRPr="00A64E41">
              <w:t>IAP00422</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8BE2C4" w14:textId="77777777" w:rsidR="00332C23" w:rsidRPr="00A64E41" w:rsidRDefault="00332C23" w:rsidP="00A64E41">
            <w:pPr>
              <w:spacing w:before="60" w:after="60"/>
              <w:ind w:left="318" w:hanging="318"/>
              <w:rPr>
                <w:b/>
              </w:rPr>
            </w:pPr>
            <w:r w:rsidRPr="00A64E41">
              <w:rPr>
                <w:b/>
              </w:rPr>
              <w:t>1.9 Requesting</w:t>
            </w:r>
            <w:r w:rsidRPr="00A64E41">
              <w:rPr>
                <w:b/>
              </w:rPr>
              <w:br/>
              <w:t>organisation</w:t>
            </w:r>
          </w:p>
        </w:tc>
        <w:tc>
          <w:tcPr>
            <w:tcW w:w="43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874EB2" w14:textId="77777777" w:rsidR="00332C23" w:rsidRPr="00A64E41" w:rsidRDefault="00332C23" w:rsidP="00A64E41">
            <w:pPr>
              <w:spacing w:before="60" w:after="60"/>
              <w:ind w:left="318" w:hanging="318"/>
            </w:pPr>
            <w:r w:rsidRPr="00A64E41">
              <w:t>Department of Health and Social Care</w:t>
            </w:r>
          </w:p>
        </w:tc>
      </w:tr>
      <w:tr w:rsidR="00147C16" w:rsidRPr="00A64E41" w14:paraId="1F242143" w14:textId="77777777" w:rsidTr="00A64E41">
        <w:trPr>
          <w:trHeight w:val="369"/>
        </w:trPr>
        <w:tc>
          <w:tcPr>
            <w:tcW w:w="3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C3CD8F" w14:textId="0E37CD47" w:rsidR="00147C16" w:rsidRPr="00A64E41" w:rsidRDefault="00147C16" w:rsidP="00A64E41">
            <w:pPr>
              <w:spacing w:before="60" w:after="60"/>
              <w:ind w:left="317" w:hanging="317"/>
              <w:rPr>
                <w:b/>
              </w:rPr>
            </w:pPr>
            <w:r w:rsidRPr="00A64E41">
              <w:rPr>
                <w:b/>
              </w:rPr>
              <w:t>1.3 Topic area</w:t>
            </w:r>
          </w:p>
        </w:tc>
        <w:tc>
          <w:tcPr>
            <w:tcW w:w="4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B19DF2" w14:textId="475A3B49" w:rsidR="00147C16" w:rsidRPr="00A64E41" w:rsidRDefault="00147C16" w:rsidP="00A64E41">
            <w:pPr>
              <w:spacing w:before="60" w:after="60"/>
              <w:rPr>
                <w:b/>
              </w:rPr>
            </w:pPr>
            <w:r w:rsidRPr="00A64E41">
              <w:t>Adult Social Care</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053332" w14:textId="6B5061E2" w:rsidR="00147C16" w:rsidRPr="00A64E41" w:rsidRDefault="00147C16" w:rsidP="00A64E41">
            <w:pPr>
              <w:spacing w:before="60" w:after="60"/>
              <w:ind w:left="318" w:hanging="318"/>
              <w:rPr>
                <w:b/>
              </w:rPr>
            </w:pPr>
            <w:r w:rsidRPr="00A64E41">
              <w:rPr>
                <w:b/>
              </w:rPr>
              <w:t>1.10 Applicant details</w:t>
            </w:r>
          </w:p>
        </w:tc>
        <w:tc>
          <w:tcPr>
            <w:tcW w:w="43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47C2CF" w14:textId="77777777" w:rsidR="00147C16" w:rsidRPr="00A64E41" w:rsidRDefault="00147C16" w:rsidP="00147C16">
            <w:pPr>
              <w:spacing w:before="60" w:after="60"/>
              <w:ind w:left="318" w:hanging="318"/>
            </w:pPr>
            <w:r w:rsidRPr="00A64E41">
              <w:t>Name: Robyn Wilson</w:t>
            </w:r>
          </w:p>
          <w:p w14:paraId="6C094C73" w14:textId="77777777" w:rsidR="00147C16" w:rsidRPr="00A64E41" w:rsidRDefault="00147C16" w:rsidP="00147C16">
            <w:pPr>
              <w:spacing w:before="60" w:after="60"/>
              <w:ind w:left="318" w:hanging="318"/>
            </w:pPr>
            <w:r w:rsidRPr="00A64E41">
              <w:t>Title: Analytical Section Head</w:t>
            </w:r>
          </w:p>
          <w:p w14:paraId="3BC6BC08" w14:textId="77777777" w:rsidR="00147C16" w:rsidRPr="00A64E41" w:rsidRDefault="00147C16" w:rsidP="00147C16">
            <w:pPr>
              <w:spacing w:before="60" w:after="60"/>
              <w:ind w:left="318" w:hanging="318"/>
            </w:pPr>
            <w:r w:rsidRPr="00A64E41">
              <w:t>Phone: 01132542470</w:t>
            </w:r>
          </w:p>
          <w:p w14:paraId="5589B651" w14:textId="52285A3E" w:rsidR="00147C16" w:rsidRPr="00A64E41" w:rsidRDefault="00147C16" w:rsidP="00147C16">
            <w:pPr>
              <w:spacing w:before="60" w:after="60"/>
              <w:ind w:left="318" w:hanging="318"/>
            </w:pPr>
            <w:r w:rsidRPr="00A64E41">
              <w:t xml:space="preserve">Email: </w:t>
            </w:r>
            <w:hyperlink r:id="rId8" w:history="1">
              <w:r w:rsidRPr="00A64E41">
                <w:rPr>
                  <w:rStyle w:val="Hyperlink"/>
                  <w:color w:val="auto"/>
                </w:rPr>
                <w:t>robyn.wilson@nhs.net</w:t>
              </w:r>
            </w:hyperlink>
          </w:p>
        </w:tc>
      </w:tr>
      <w:tr w:rsidR="00147C16" w:rsidRPr="00A64E41" w14:paraId="4F8317BA" w14:textId="77777777" w:rsidTr="00A64E41">
        <w:trPr>
          <w:trHeight w:val="369"/>
        </w:trPr>
        <w:tc>
          <w:tcPr>
            <w:tcW w:w="3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393007" w14:textId="2BF0578C" w:rsidR="00147C16" w:rsidRPr="00A64E41" w:rsidRDefault="00147C16" w:rsidP="00A64E41">
            <w:pPr>
              <w:spacing w:before="60" w:after="60"/>
              <w:ind w:left="317" w:hanging="317"/>
              <w:rPr>
                <w:b/>
              </w:rPr>
            </w:pPr>
            <w:r w:rsidRPr="00A64E41">
              <w:rPr>
                <w:b/>
              </w:rPr>
              <w:t>1.4 Domain (if applicable)</w:t>
            </w:r>
          </w:p>
        </w:tc>
        <w:tc>
          <w:tcPr>
            <w:tcW w:w="4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F474CE" w14:textId="119B0468" w:rsidR="00147C16" w:rsidRPr="00A64E41" w:rsidRDefault="00147C16" w:rsidP="00A64E41">
            <w:pPr>
              <w:spacing w:before="60" w:after="60"/>
            </w:pPr>
            <w:r w:rsidRPr="00A64E41">
              <w:t>Domain 3: Ensuring people have a positive experience of care and support.</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1CAD7" w14:textId="7646435D" w:rsidR="00147C16" w:rsidRPr="00A64E41" w:rsidRDefault="00147C16" w:rsidP="00A64E41">
            <w:pPr>
              <w:spacing w:before="60" w:after="60"/>
              <w:ind w:left="318" w:hanging="318"/>
              <w:rPr>
                <w:b/>
              </w:rPr>
            </w:pPr>
            <w:r w:rsidRPr="00A64E41">
              <w:rPr>
                <w:b/>
              </w:rPr>
              <w:t>1.11 Alternate contact details</w:t>
            </w:r>
          </w:p>
        </w:tc>
        <w:tc>
          <w:tcPr>
            <w:tcW w:w="43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7C7390" w14:textId="77777777" w:rsidR="00147C16" w:rsidRPr="00A64E41" w:rsidRDefault="00147C16" w:rsidP="00147C16">
            <w:pPr>
              <w:spacing w:before="60" w:after="60"/>
              <w:ind w:left="318" w:hanging="318"/>
            </w:pPr>
            <w:r w:rsidRPr="00A64E41">
              <w:t>Name:</w:t>
            </w:r>
          </w:p>
          <w:p w14:paraId="7B3F894C" w14:textId="4C6A1827" w:rsidR="00147C16" w:rsidRPr="00A64E41" w:rsidRDefault="00147C16" w:rsidP="00147C16">
            <w:pPr>
              <w:spacing w:before="60" w:after="60"/>
              <w:ind w:left="318" w:hanging="318"/>
            </w:pPr>
            <w:r w:rsidRPr="00A64E41">
              <w:t>Email:</w:t>
            </w:r>
          </w:p>
        </w:tc>
      </w:tr>
      <w:tr w:rsidR="00A64E41" w:rsidRPr="00A64E41" w14:paraId="7C7B4B0F" w14:textId="77777777" w:rsidTr="00A64E41">
        <w:trPr>
          <w:trHeight w:val="488"/>
        </w:trPr>
        <w:tc>
          <w:tcPr>
            <w:tcW w:w="3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F596A1" w14:textId="77777777" w:rsidR="00332C23" w:rsidRPr="00A64E41" w:rsidRDefault="00332C23" w:rsidP="00A64E41">
            <w:pPr>
              <w:spacing w:before="60" w:after="60"/>
              <w:ind w:left="317" w:hanging="317"/>
            </w:pPr>
            <w:r w:rsidRPr="00A64E41">
              <w:rPr>
                <w:b/>
              </w:rPr>
              <w:t>1.5 Set</w:t>
            </w:r>
          </w:p>
        </w:tc>
        <w:tc>
          <w:tcPr>
            <w:tcW w:w="4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A077E1" w14:textId="77777777" w:rsidR="00332C23" w:rsidRPr="00A64E41" w:rsidRDefault="00332C23" w:rsidP="00A64E41">
            <w:pPr>
              <w:spacing w:before="60" w:after="60"/>
            </w:pPr>
            <w:r w:rsidRPr="00A64E41">
              <w:t>Adult Social Care Outcomes Framework (ASCOF)</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23C0F6" w14:textId="184819FB" w:rsidR="00332C23" w:rsidRPr="00A64E41" w:rsidRDefault="00147C16" w:rsidP="00A64E41">
            <w:pPr>
              <w:spacing w:before="60" w:after="60"/>
              <w:ind w:left="318" w:hanging="318"/>
              <w:rPr>
                <w:b/>
              </w:rPr>
            </w:pPr>
            <w:r w:rsidRPr="00A64E41">
              <w:rPr>
                <w:b/>
              </w:rPr>
              <w:t>1.12 SRO/ sponsor / policy owner details</w:t>
            </w:r>
          </w:p>
        </w:tc>
        <w:tc>
          <w:tcPr>
            <w:tcW w:w="43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ACB03D" w14:textId="77777777" w:rsidR="00147C16" w:rsidRPr="00A64E41" w:rsidRDefault="00147C16" w:rsidP="00147C16">
            <w:pPr>
              <w:spacing w:before="60" w:after="60"/>
              <w:ind w:left="318" w:hanging="318"/>
            </w:pPr>
            <w:r w:rsidRPr="00A64E41">
              <w:t>Name: Jane Campbell</w:t>
            </w:r>
          </w:p>
          <w:p w14:paraId="17F1E9CE" w14:textId="77777777" w:rsidR="00147C16" w:rsidRPr="00A64E41" w:rsidRDefault="00147C16" w:rsidP="00147C16">
            <w:pPr>
              <w:spacing w:before="60" w:after="60"/>
              <w:ind w:left="318" w:hanging="318"/>
            </w:pPr>
            <w:r w:rsidRPr="00A64E41">
              <w:t>Title: Adult Social Care Informatics Policy Lead</w:t>
            </w:r>
          </w:p>
          <w:p w14:paraId="36A34EEA" w14:textId="77777777" w:rsidR="00147C16" w:rsidRPr="00A64E41" w:rsidRDefault="00147C16" w:rsidP="00147C16">
            <w:pPr>
              <w:spacing w:before="60" w:after="60"/>
              <w:ind w:left="318" w:hanging="318"/>
            </w:pPr>
            <w:r w:rsidRPr="00A64E41">
              <w:t>Phone:</w:t>
            </w:r>
          </w:p>
          <w:p w14:paraId="4CC35406" w14:textId="321740FF" w:rsidR="00332C23" w:rsidRPr="00A64E41" w:rsidRDefault="00147C16" w:rsidP="00147C16">
            <w:pPr>
              <w:spacing w:before="60" w:after="60"/>
              <w:ind w:left="318" w:hanging="318"/>
            </w:pPr>
            <w:r w:rsidRPr="00A64E41">
              <w:t xml:space="preserve">Email: </w:t>
            </w:r>
            <w:hyperlink r:id="rId9" w:history="1">
              <w:r w:rsidRPr="00A64E41">
                <w:rPr>
                  <w:rStyle w:val="Hyperlink"/>
                  <w:color w:val="auto"/>
                </w:rPr>
                <w:t>ASCOF@dhsc.gov.uk</w:t>
              </w:r>
            </w:hyperlink>
          </w:p>
        </w:tc>
      </w:tr>
      <w:tr w:rsidR="00A64E41" w:rsidRPr="00A64E41" w14:paraId="6BCE24B6" w14:textId="77777777" w:rsidTr="00A64E41">
        <w:trPr>
          <w:trHeight w:val="487"/>
        </w:trPr>
        <w:tc>
          <w:tcPr>
            <w:tcW w:w="3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FB7955" w14:textId="77777777" w:rsidR="00332C23" w:rsidRPr="00A64E41" w:rsidRDefault="00332C23" w:rsidP="00A64E41">
            <w:pPr>
              <w:spacing w:before="60" w:after="60"/>
              <w:ind w:left="317" w:hanging="317"/>
              <w:rPr>
                <w:b/>
              </w:rPr>
            </w:pPr>
            <w:r w:rsidRPr="00A64E41">
              <w:rPr>
                <w:b/>
              </w:rPr>
              <w:t>1.6 Please explain if ‘Set’ is ‘Other’ or ‘N/A’</w:t>
            </w:r>
          </w:p>
        </w:tc>
        <w:tc>
          <w:tcPr>
            <w:tcW w:w="4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6A8785" w14:textId="77777777" w:rsidR="00332C23" w:rsidRPr="00A64E41" w:rsidRDefault="00332C23" w:rsidP="00A64E41">
            <w:pPr>
              <w:spacing w:before="60" w:after="60"/>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DDEAC3" w14:textId="2F101D7D" w:rsidR="00332C23" w:rsidRPr="00A64E41" w:rsidRDefault="00332C23" w:rsidP="00A64E41">
            <w:pPr>
              <w:spacing w:before="60" w:after="60"/>
              <w:ind w:left="314" w:hanging="314"/>
              <w:rPr>
                <w:b/>
              </w:rPr>
            </w:pPr>
          </w:p>
        </w:tc>
        <w:tc>
          <w:tcPr>
            <w:tcW w:w="43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4BCB96" w14:textId="7D0F3D39" w:rsidR="00332C23" w:rsidRPr="00A64E41" w:rsidRDefault="00332C23" w:rsidP="00A64E41">
            <w:pPr>
              <w:spacing w:before="60" w:after="60"/>
            </w:pPr>
            <w:r w:rsidRPr="00A64E41">
              <w:t xml:space="preserve"> </w:t>
            </w:r>
          </w:p>
        </w:tc>
      </w:tr>
      <w:tr w:rsidR="00A64E41" w:rsidRPr="00A64E41" w14:paraId="26CF0C6A" w14:textId="77777777" w:rsidTr="00A64E41">
        <w:trPr>
          <w:trHeight w:val="487"/>
        </w:trPr>
        <w:tc>
          <w:tcPr>
            <w:tcW w:w="3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9CCE0" w14:textId="4B28B5BF" w:rsidR="00A64E41" w:rsidRPr="00A64E41" w:rsidRDefault="00A64E41" w:rsidP="00A64E41">
            <w:pPr>
              <w:spacing w:before="60" w:after="60"/>
              <w:ind w:left="317" w:hanging="317"/>
              <w:rPr>
                <w:b/>
              </w:rPr>
            </w:pPr>
            <w:r w:rsidRPr="00A64E41">
              <w:rPr>
                <w:b/>
              </w:rPr>
              <w:t>1.7 Brief Summary of indicator (max 100 words)</w:t>
            </w:r>
          </w:p>
        </w:tc>
        <w:tc>
          <w:tcPr>
            <w:tcW w:w="4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37BA9B" w14:textId="77777777" w:rsidR="00A64E41" w:rsidRPr="00A64E41" w:rsidRDefault="00A64E41" w:rsidP="00A64E41">
            <w:pPr>
              <w:spacing w:before="60" w:after="60"/>
            </w:pPr>
            <w:r w:rsidRPr="00A64E41">
              <w:t xml:space="preserve">This measure reflects social services users’ and carers’ experience of access to information and advice about social care in the past year. Information is a core universal service and a key factor </w:t>
            </w:r>
            <w:r w:rsidRPr="00A64E41">
              <w:lastRenderedPageBreak/>
              <w:t>in early intervention and reducing dependency.</w:t>
            </w:r>
          </w:p>
          <w:p w14:paraId="1CFEB67C" w14:textId="77777777" w:rsidR="00A64E41" w:rsidRPr="00A64E41" w:rsidRDefault="00A64E41" w:rsidP="00A64E41">
            <w:pPr>
              <w:spacing w:before="60" w:after="60"/>
            </w:pPr>
            <w:r w:rsidRPr="00A64E41">
              <w:t xml:space="preserve">This is a two-part measure reflecting whether service users (part 1) and carers (part 2) find it easy to find information about services. The measures are calculated from data collected in the </w:t>
            </w:r>
            <w:r w:rsidRPr="00A64E41">
              <w:rPr>
                <w:b/>
              </w:rPr>
              <w:t>Adult Social Care Survey (ASCS) for Part 1</w:t>
            </w:r>
            <w:r w:rsidRPr="00A64E41">
              <w:t xml:space="preserve"> (IAP00422)and the </w:t>
            </w:r>
            <w:r w:rsidRPr="00A64E41">
              <w:rPr>
                <w:b/>
              </w:rPr>
              <w:t xml:space="preserve">Survey of Adult Carers in England (SACE) for Part 2 </w:t>
            </w:r>
            <w:r w:rsidRPr="00A64E41">
              <w:t xml:space="preserve">(IAP00423). </w:t>
            </w:r>
          </w:p>
          <w:p w14:paraId="3885A09E" w14:textId="77777777" w:rsidR="00A64E41" w:rsidRPr="00A64E41" w:rsidRDefault="00A64E41" w:rsidP="00A64E41">
            <w:pPr>
              <w:spacing w:before="60" w:after="60"/>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6F8ECF" w14:textId="77777777" w:rsidR="00A64E41" w:rsidRPr="00A64E41" w:rsidRDefault="00A64E41" w:rsidP="00A64E41">
            <w:pPr>
              <w:spacing w:before="60" w:after="60"/>
              <w:ind w:left="314" w:hanging="314"/>
              <w:rPr>
                <w:b/>
              </w:rPr>
            </w:pPr>
          </w:p>
        </w:tc>
        <w:tc>
          <w:tcPr>
            <w:tcW w:w="43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C68AFE" w14:textId="77777777" w:rsidR="00A64E41" w:rsidRPr="00A64E41" w:rsidRDefault="00A64E41" w:rsidP="00A64E41">
            <w:pPr>
              <w:spacing w:before="60" w:after="60"/>
              <w:ind w:left="318" w:hanging="318"/>
            </w:pPr>
          </w:p>
        </w:tc>
      </w:tr>
    </w:tbl>
    <w:p w14:paraId="43A639A8" w14:textId="77777777" w:rsidR="00332C23" w:rsidRPr="00A64E41" w:rsidRDefault="00332C23">
      <w:r w:rsidRPr="00A64E41">
        <w:rPr>
          <w:noProof/>
        </w:rPr>
        <mc:AlternateContent>
          <mc:Choice Requires="wps">
            <w:drawing>
              <wp:inline distT="0" distB="0" distL="0" distR="0" wp14:anchorId="2C731EC3" wp14:editId="65527604">
                <wp:extent cx="9086850" cy="1724025"/>
                <wp:effectExtent l="57150" t="19050" r="76200" b="1047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1724025"/>
                        </a:xfrm>
                        <a:prstGeom prst="rect">
                          <a:avLst/>
                        </a:prstGeom>
                        <a:noFill/>
                        <a:ln>
                          <a:headEnd/>
                          <a:tailEnd/>
                        </a:ln>
                      </wps:spPr>
                      <wps:style>
                        <a:lnRef idx="1">
                          <a:schemeClr val="accent4"/>
                        </a:lnRef>
                        <a:fillRef idx="3">
                          <a:schemeClr val="accent4"/>
                        </a:fillRef>
                        <a:effectRef idx="2">
                          <a:schemeClr val="accent4"/>
                        </a:effectRef>
                        <a:fontRef idx="minor">
                          <a:schemeClr val="lt1"/>
                        </a:fontRef>
                      </wps:style>
                      <wps:txbx>
                        <w:txbxContent>
                          <w:p w14:paraId="041D2820" w14:textId="77777777" w:rsidR="00A64E41" w:rsidRPr="005F373B" w:rsidRDefault="00A64E41">
                            <w:pPr>
                              <w:rPr>
                                <w:color w:val="000000" w:themeColor="text1"/>
                              </w:rPr>
                            </w:pPr>
                            <w:r w:rsidRPr="005F373B">
                              <w:rPr>
                                <w:color w:val="000000" w:themeColor="text1"/>
                              </w:rPr>
                              <w:t xml:space="preserve">This application form should cover one indicator. Each indicator in a set will require its own application. Wherever you’re unsure about answering any section please contact </w:t>
                            </w:r>
                            <w:hyperlink r:id="rId10" w:history="1">
                              <w:r w:rsidRPr="005F373B">
                                <w:rPr>
                                  <w:rStyle w:val="Hyperlink"/>
                                  <w:color w:val="000000" w:themeColor="text1"/>
                                </w:rPr>
                                <w:t>indicator.assurance@nhs.net</w:t>
                              </w:r>
                            </w:hyperlink>
                            <w:r w:rsidRPr="005F373B">
                              <w:rPr>
                                <w:color w:val="000000" w:themeColor="text1"/>
                              </w:rPr>
                              <w:t xml:space="preserve"> </w:t>
                            </w:r>
                          </w:p>
                          <w:p w14:paraId="6D99096C" w14:textId="77777777" w:rsidR="00A64E41" w:rsidRPr="005F373B" w:rsidRDefault="00A64E41">
                            <w:pPr>
                              <w:rPr>
                                <w:color w:val="000000" w:themeColor="text1"/>
                              </w:rPr>
                            </w:pPr>
                            <w:r w:rsidRPr="005F373B">
                              <w:rPr>
                                <w:color w:val="000000" w:themeColor="text1"/>
                              </w:rPr>
                              <w:t>Sections 2 and 3 cover policy and presentation which will be reviewed and approved by the Indicator Governance Board (IGB).</w:t>
                            </w:r>
                          </w:p>
                          <w:p w14:paraId="230B6C7B" w14:textId="77777777" w:rsidR="00A64E41" w:rsidRPr="005F373B" w:rsidRDefault="00A64E41">
                            <w:pPr>
                              <w:rPr>
                                <w:color w:val="000000" w:themeColor="text1"/>
                              </w:rPr>
                            </w:pPr>
                            <w:r w:rsidRPr="005F373B">
                              <w:rPr>
                                <w:color w:val="000000" w:themeColor="text1"/>
                              </w:rPr>
                              <w:t>Sections 4 and 5 cover the data, construction and testing of the indicator and will be reviewed and approved by the Methodology Review Group (MRG). MRG will also advise IGB of their thoughts on policy and presentation as appropriate.</w:t>
                            </w:r>
                          </w:p>
                          <w:p w14:paraId="084D8221" w14:textId="77777777" w:rsidR="00A64E41" w:rsidRPr="005F373B" w:rsidRDefault="00A64E41">
                            <w:pPr>
                              <w:rPr>
                                <w:color w:val="000000" w:themeColor="text1"/>
                              </w:rPr>
                            </w:pPr>
                            <w:r w:rsidRPr="005F373B">
                              <w:rPr>
                                <w:color w:val="000000" w:themeColor="text1"/>
                              </w:rPr>
                              <w:t>The final section is an overall view of the application by the Indicator and Methodology Assurance Service (IMAS) and will be completed by IMAS in conjunction with the applicant to advise both MRG and IGB.</w:t>
                            </w:r>
                          </w:p>
                          <w:p w14:paraId="2085DE7E" w14:textId="77777777" w:rsidR="00A64E41" w:rsidRPr="005F373B" w:rsidRDefault="00A64E41">
                            <w:pPr>
                              <w:rPr>
                                <w:color w:val="000000" w:themeColor="text1"/>
                              </w:rPr>
                            </w:pPr>
                            <w:r w:rsidRPr="005F373B">
                              <w:rPr>
                                <w:color w:val="000000" w:themeColor="text1"/>
                              </w:rPr>
                              <w:t xml:space="preserve">Applications should be updated to take on board comments from IGB and MRG'; once approved, the finalised application and the Appraisal Log will form the basis of for its entry into the National Library of Quality Assured Indicators </w:t>
                            </w:r>
                          </w:p>
                        </w:txbxContent>
                      </wps:txbx>
                      <wps:bodyPr rot="0" vert="horz" wrap="square" lIns="91440" tIns="45720" rIns="91440" bIns="45720" anchor="t" anchorCtr="0">
                        <a:noAutofit/>
                      </wps:bodyPr>
                    </wps:wsp>
                  </a:graphicData>
                </a:graphic>
              </wp:inline>
            </w:drawing>
          </mc:Choice>
          <mc:Fallback>
            <w:pict>
              <v:shapetype w14:anchorId="2C731EC3" id="_x0000_t202" coordsize="21600,21600" o:spt="202" path="m,l,21600r21600,l21600,xe">
                <v:stroke joinstyle="miter"/>
                <v:path gradientshapeok="t" o:connecttype="rect"/>
              </v:shapetype>
              <v:shape id="Text Box 2" o:spid="_x0000_s1026" type="#_x0000_t202" style="width:715.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" filled="f" strokecolor="#795d9b [3047]">
                <v:shadow on="t" color="black" opacity="22937f" origin=",.5" offset="0,.63889mm"/>
                <v:textbox>
                  <w:txbxContent>
                    <w:p w14:paraId="041D2820" w14:textId="77777777" w:rsidR="00A64E41" w:rsidRPr="005F373B" w:rsidRDefault="00A64E41">
                      <w:pPr>
                        <w:rPr>
                          <w:color w:val="000000" w:themeColor="text1"/>
                        </w:rPr>
                      </w:pPr>
                      <w:r w:rsidRPr="005F373B">
                        <w:rPr>
                          <w:color w:val="000000" w:themeColor="text1"/>
                        </w:rPr>
                        <w:t xml:space="preserve">This application form should cover one indicator. Each indicator in a set will require its own application. Wherever you’re unsure about answering any section please contact </w:t>
                      </w:r>
                      <w:hyperlink r:id="rId11" w:history="1">
                        <w:r w:rsidRPr="005F373B">
                          <w:rPr>
                            <w:rStyle w:val="Hyperlink"/>
                            <w:color w:val="000000" w:themeColor="text1"/>
                          </w:rPr>
                          <w:t>indicator.assurance@nhs.net</w:t>
                        </w:r>
                      </w:hyperlink>
                      <w:r w:rsidRPr="005F373B">
                        <w:rPr>
                          <w:color w:val="000000" w:themeColor="text1"/>
                        </w:rPr>
                        <w:t xml:space="preserve"> </w:t>
                      </w:r>
                    </w:p>
                    <w:p w14:paraId="6D99096C" w14:textId="77777777" w:rsidR="00A64E41" w:rsidRPr="005F373B" w:rsidRDefault="00A64E41">
                      <w:pPr>
                        <w:rPr>
                          <w:color w:val="000000" w:themeColor="text1"/>
                        </w:rPr>
                      </w:pPr>
                      <w:r w:rsidRPr="005F373B">
                        <w:rPr>
                          <w:color w:val="000000" w:themeColor="text1"/>
                        </w:rPr>
                        <w:t>Sections 2 and 3 cover policy and presentation which will be reviewed and approved by the Indicator Governance Board (IGB).</w:t>
                      </w:r>
                    </w:p>
                    <w:p w14:paraId="230B6C7B" w14:textId="77777777" w:rsidR="00A64E41" w:rsidRPr="005F373B" w:rsidRDefault="00A64E41">
                      <w:pPr>
                        <w:rPr>
                          <w:color w:val="000000" w:themeColor="text1"/>
                        </w:rPr>
                      </w:pPr>
                      <w:r w:rsidRPr="005F373B">
                        <w:rPr>
                          <w:color w:val="000000" w:themeColor="text1"/>
                        </w:rPr>
                        <w:t>Sections 4 and 5 cover the data, construction and testing of the indicator and will be reviewed and approved by the Methodology Review Group (MRG). MRG will also advise IGB of their thoughts on policy and presentation as appropriate.</w:t>
                      </w:r>
                    </w:p>
                    <w:p w14:paraId="084D8221" w14:textId="77777777" w:rsidR="00A64E41" w:rsidRPr="005F373B" w:rsidRDefault="00A64E41">
                      <w:pPr>
                        <w:rPr>
                          <w:color w:val="000000" w:themeColor="text1"/>
                        </w:rPr>
                      </w:pPr>
                      <w:r w:rsidRPr="005F373B">
                        <w:rPr>
                          <w:color w:val="000000" w:themeColor="text1"/>
                        </w:rPr>
                        <w:t>The final section is an overall view of the application by the Indicator and Methodology Assurance Service (IMAS) and will be completed by IMAS in conjunction with the applicant to advise both MRG and IGB.</w:t>
                      </w:r>
                    </w:p>
                    <w:p w14:paraId="2085DE7E" w14:textId="77777777" w:rsidR="00A64E41" w:rsidRPr="005F373B" w:rsidRDefault="00A64E41">
                      <w:pPr>
                        <w:rPr>
                          <w:color w:val="000000" w:themeColor="text1"/>
                        </w:rPr>
                      </w:pPr>
                      <w:r w:rsidRPr="005F373B">
                        <w:rPr>
                          <w:color w:val="000000" w:themeColor="text1"/>
                        </w:rPr>
                        <w:t xml:space="preserve">Applications should be updated to take on board comments from IGB and MRG'; once approved, the finalised application and the Appraisal Log will form the basis of for its entry into the National Library of Quality Assured Indicators </w:t>
                      </w:r>
                    </w:p>
                  </w:txbxContent>
                </v:textbox>
                <w10:anchorlock/>
              </v:shape>
            </w:pict>
          </mc:Fallback>
        </mc:AlternateContent>
      </w:r>
      <w:r w:rsidRPr="00A64E41">
        <w:br w:type="page"/>
      </w:r>
    </w:p>
    <w:tbl>
      <w:tblPr>
        <w:tblStyle w:val="TableGrid"/>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0635"/>
      </w:tblGrid>
      <w:tr w:rsidR="00A64E41" w:rsidRPr="00A64E41" w14:paraId="762ABA7F" w14:textId="77777777" w:rsidTr="00A64E41">
        <w:tc>
          <w:tcPr>
            <w:tcW w:w="3539" w:type="dxa"/>
          </w:tcPr>
          <w:p w14:paraId="6B194527" w14:textId="6CE2C613" w:rsidR="00A64E41" w:rsidRPr="00A64E41" w:rsidRDefault="00A64E41" w:rsidP="00A64E41">
            <w:pPr>
              <w:spacing w:before="60" w:after="60"/>
              <w:ind w:left="33"/>
              <w:rPr>
                <w:b/>
              </w:rPr>
            </w:pPr>
            <w:r w:rsidRPr="00A64E41">
              <w:rPr>
                <w:b/>
              </w:rPr>
              <w:lastRenderedPageBreak/>
              <w:t>Section 2: Rationale and Policy Basis (IGB to assess, MRG to advise)</w:t>
            </w:r>
          </w:p>
        </w:tc>
        <w:tc>
          <w:tcPr>
            <w:tcW w:w="10635" w:type="dxa"/>
          </w:tcPr>
          <w:p w14:paraId="437EE52D" w14:textId="77777777" w:rsidR="00A64E41" w:rsidRPr="00A64E41" w:rsidRDefault="00A64E41" w:rsidP="00A64E41">
            <w:pPr>
              <w:spacing w:before="60" w:after="60"/>
            </w:pPr>
          </w:p>
        </w:tc>
      </w:tr>
      <w:tr w:rsidR="00A64E41" w:rsidRPr="00A64E41" w14:paraId="738A4C70" w14:textId="77777777" w:rsidTr="00A64E41">
        <w:tc>
          <w:tcPr>
            <w:tcW w:w="3539" w:type="dxa"/>
          </w:tcPr>
          <w:p w14:paraId="513D1E32" w14:textId="77777777" w:rsidR="00332C23" w:rsidRPr="00A64E41" w:rsidRDefault="00332C23" w:rsidP="00A64E41">
            <w:pPr>
              <w:spacing w:before="60" w:after="60"/>
              <w:ind w:left="33"/>
              <w:rPr>
                <w:b/>
              </w:rPr>
            </w:pPr>
            <w:r w:rsidRPr="00A64E41">
              <w:rPr>
                <w:b/>
              </w:rPr>
              <w:t>2.1 Why is this indicator needed and why is it important that it be measured?</w:t>
            </w:r>
          </w:p>
        </w:tc>
        <w:tc>
          <w:tcPr>
            <w:tcW w:w="10635" w:type="dxa"/>
          </w:tcPr>
          <w:p w14:paraId="30BC4366" w14:textId="77777777" w:rsidR="00332C23" w:rsidRPr="00A64E41" w:rsidRDefault="00332C23" w:rsidP="00A64E41">
            <w:pPr>
              <w:spacing w:before="60" w:after="60"/>
            </w:pPr>
            <w:r w:rsidRPr="00A64E41">
              <w:t>This measure reflects social services users’ and carers’ experience of access to information and advice about social care in the past year. Information is a core universal service and a key factor in early intervention and reducing dependency.</w:t>
            </w:r>
          </w:p>
          <w:p w14:paraId="417274B9" w14:textId="77777777" w:rsidR="00332C23" w:rsidRPr="00A64E41" w:rsidRDefault="00332C23" w:rsidP="00A64E41">
            <w:pPr>
              <w:spacing w:before="60" w:after="60"/>
            </w:pPr>
            <w:r w:rsidRPr="00A64E41">
              <w:t xml:space="preserve">This is a two-part measure reflecting whether service users (3D, part 1) and carers (3D, part 2) find it easy to find information about services. The measures are calculated from data collected in the </w:t>
            </w:r>
            <w:r w:rsidRPr="00A64E41">
              <w:rPr>
                <w:b/>
              </w:rPr>
              <w:t>Adult Social Care Survey (ASCS)</w:t>
            </w:r>
            <w:r w:rsidRPr="00A64E41">
              <w:t xml:space="preserve"> and the </w:t>
            </w:r>
            <w:r w:rsidRPr="00A64E41">
              <w:rPr>
                <w:b/>
              </w:rPr>
              <w:t>Survey of Adult Carers in England (SACE)</w:t>
            </w:r>
            <w:r w:rsidRPr="00A64E41">
              <w:t xml:space="preserve"> and produced as IAP00422 and IAP00423.</w:t>
            </w:r>
          </w:p>
          <w:p w14:paraId="5EF4C0C9" w14:textId="77777777" w:rsidR="00332C23" w:rsidRPr="00A64E41" w:rsidRDefault="00332C23" w:rsidP="00A64E41">
            <w:pPr>
              <w:spacing w:before="60" w:after="60"/>
            </w:pPr>
            <w:r w:rsidRPr="00A64E41">
              <w:t>The question from the Adult Social Care Survey for part 1 is Question 12; "In the past year, have you generally found it easy or difficult to find information and advice about support, services or benefits?" (this application).</w:t>
            </w:r>
          </w:p>
          <w:p w14:paraId="6E94C837" w14:textId="77777777" w:rsidR="00332C23" w:rsidRPr="00A64E41" w:rsidRDefault="00332C23" w:rsidP="00A64E41">
            <w:pPr>
              <w:spacing w:before="60" w:after="60"/>
            </w:pPr>
            <w:r w:rsidRPr="00A64E41">
              <w:t>The question from the Survey of Adult Carers in England for part 2 is Question 16; "In the past 12 months, have you found it easy or difficult to find information about support, services or benefits?" and can be found as IAP00423</w:t>
            </w:r>
          </w:p>
          <w:p w14:paraId="5CD1E715" w14:textId="77777777" w:rsidR="00332C23" w:rsidRPr="00A64E41" w:rsidRDefault="00332C23" w:rsidP="00A64E41">
            <w:pPr>
              <w:spacing w:before="60" w:after="60"/>
            </w:pPr>
            <w:r w:rsidRPr="00A64E41">
              <w:t>This measure reflects experience of access to information and advice about social care. Information is a core universal service, and a key factor in early intervention and reducing dependency. Improved and/or more information benefits service users by helping them to have greater choice and control over their lives. Improved and/or more information benefits carers by helping them to have greater choice and control over their lives. This may help to sustain caring relationships through, for example, reduction in stress, improved welfare and physical health improvements.</w:t>
            </w:r>
          </w:p>
          <w:p w14:paraId="7B9AE944" w14:textId="77777777" w:rsidR="00332C23" w:rsidRPr="00A64E41" w:rsidRDefault="00332C23" w:rsidP="00A64E41">
            <w:pPr>
              <w:spacing w:before="60" w:after="60"/>
            </w:pPr>
          </w:p>
          <w:p w14:paraId="00F3D157" w14:textId="77777777" w:rsidR="00332C23" w:rsidRPr="00A64E41" w:rsidRDefault="00332C23" w:rsidP="00A64E41">
            <w:pPr>
              <w:spacing w:before="60" w:after="60"/>
            </w:pPr>
            <w:r w:rsidRPr="00A64E41">
              <w:t>Improved and/or more information benefits carers and the people they support by helping them to have greater choice and control over their lives. This may help to sustain caring relationships through, for example, reduction in stress, improved welfare and physical health improvements. These benefits accrue only where information is accessed that would not otherwise have been accessed, or in those cases where the same information is obtained more easily.</w:t>
            </w:r>
          </w:p>
          <w:p w14:paraId="24B29EFE" w14:textId="77777777" w:rsidR="00332C23" w:rsidRPr="00A64E41" w:rsidRDefault="00332C23" w:rsidP="00A64E41">
            <w:pPr>
              <w:spacing w:before="60" w:after="60"/>
              <w:rPr>
                <w:iCs/>
              </w:rPr>
            </w:pPr>
          </w:p>
        </w:tc>
      </w:tr>
      <w:tr w:rsidR="00A64E41" w:rsidRPr="00A64E41" w14:paraId="09AEFEAA" w14:textId="77777777" w:rsidTr="00A64E41">
        <w:tc>
          <w:tcPr>
            <w:tcW w:w="3539" w:type="dxa"/>
          </w:tcPr>
          <w:p w14:paraId="1BA36C0C" w14:textId="77777777" w:rsidR="00332C23" w:rsidRPr="00A64E41" w:rsidRDefault="00332C23" w:rsidP="00A64E41">
            <w:pPr>
              <w:spacing w:before="60" w:after="60"/>
              <w:ind w:left="33"/>
              <w:rPr>
                <w:b/>
              </w:rPr>
            </w:pPr>
            <w:r w:rsidRPr="00A64E41">
              <w:rPr>
                <w:b/>
              </w:rPr>
              <w:t xml:space="preserve">2.2 Is there any clinical evidence or professional </w:t>
            </w:r>
            <w:r w:rsidRPr="00A64E41">
              <w:rPr>
                <w:b/>
              </w:rPr>
              <w:lastRenderedPageBreak/>
              <w:t>opinion that can be cited in the development of this indicator?</w:t>
            </w:r>
          </w:p>
          <w:p w14:paraId="6774D442" w14:textId="77777777" w:rsidR="00332C23" w:rsidRPr="00A64E41" w:rsidRDefault="00332C23" w:rsidP="00A64E41">
            <w:pPr>
              <w:spacing w:before="60" w:after="60"/>
              <w:ind w:left="33"/>
              <w:rPr>
                <w:i/>
              </w:rPr>
            </w:pPr>
            <w:r w:rsidRPr="00A64E41">
              <w:rPr>
                <w:i/>
              </w:rPr>
              <w:t>.</w:t>
            </w:r>
          </w:p>
        </w:tc>
        <w:tc>
          <w:tcPr>
            <w:tcW w:w="10635" w:type="dxa"/>
          </w:tcPr>
          <w:p w14:paraId="07FFE842" w14:textId="77777777" w:rsidR="00332C23" w:rsidRPr="00A64E41" w:rsidRDefault="00332C23" w:rsidP="00A64E41">
            <w:pPr>
              <w:spacing w:before="60" w:after="60"/>
            </w:pPr>
            <w:r w:rsidRPr="00A64E41">
              <w:lastRenderedPageBreak/>
              <w:t>The framework has been developed by the Department of Health and Social Care (DHSC), the Association of Directors of Adult Social Services (ADASS), and the Local Government Association (LGA).</w:t>
            </w:r>
          </w:p>
          <w:p w14:paraId="7F7DDE40" w14:textId="77777777" w:rsidR="00332C23" w:rsidRPr="00A64E41" w:rsidRDefault="00332C23" w:rsidP="00A64E41">
            <w:pPr>
              <w:spacing w:before="60" w:after="60"/>
            </w:pPr>
          </w:p>
          <w:p w14:paraId="1AC438E2" w14:textId="77777777" w:rsidR="00332C23" w:rsidRPr="00A64E41" w:rsidRDefault="00332C23" w:rsidP="00A64E41">
            <w:pPr>
              <w:spacing w:before="60" w:after="60"/>
            </w:pPr>
            <w:r w:rsidRPr="00A64E41">
              <w:lastRenderedPageBreak/>
              <w:t xml:space="preserve">On 31 March 2011, Transparency in outcomes: a framework for adult social care announced the first Adult Social Care Outcomes Framework (ASCOF), covering the year 2011/12. </w:t>
            </w:r>
          </w:p>
          <w:p w14:paraId="74C704D9" w14:textId="77777777" w:rsidR="00332C23" w:rsidRPr="00A64E41" w:rsidRDefault="00332C23" w:rsidP="00A64E41">
            <w:pPr>
              <w:spacing w:before="60" w:after="60"/>
            </w:pPr>
          </w:p>
          <w:p w14:paraId="1211F55E" w14:textId="77777777" w:rsidR="00332C23" w:rsidRPr="00A64E41" w:rsidRDefault="00332C23" w:rsidP="00A64E41">
            <w:pPr>
              <w:spacing w:before="60" w:after="60"/>
            </w:pPr>
            <w:r w:rsidRPr="00A64E41">
              <w:t>This followed consultation on both the general approach and a draft Outcomes Framework between November 2010 and February 2011, where respondents commented on the framework as a whole as well as the proposed criteria for including specific measures. Based on responses to the consultation, a final framework was agreed ADASS, the Local Government Group (LGG) and the Department of Health (DH).</w:t>
            </w:r>
          </w:p>
          <w:p w14:paraId="55FEC66D" w14:textId="77777777" w:rsidR="00332C23" w:rsidRPr="00A64E41" w:rsidRDefault="00332C23" w:rsidP="00A64E41">
            <w:pPr>
              <w:spacing w:before="60" w:after="60"/>
            </w:pPr>
          </w:p>
          <w:p w14:paraId="2A0F350A" w14:textId="77777777" w:rsidR="00332C23" w:rsidRPr="00A64E41" w:rsidRDefault="00332C23" w:rsidP="00A64E41">
            <w:pPr>
              <w:spacing w:before="60" w:after="60"/>
            </w:pPr>
            <w:r w:rsidRPr="00A64E41">
              <w:t xml:space="preserve">Previously the framework was overseen by the Outcomes and Information Development Board (OIDB) made up of representatives from across the social care sector including HSCIC, Local Government Association (LGA) and Care Quality Commission (CQC) and co-chaired by the Department of Health and Social Care and ADASS. </w:t>
            </w:r>
          </w:p>
          <w:p w14:paraId="24729AA0" w14:textId="77777777" w:rsidR="00332C23" w:rsidRPr="00A64E41" w:rsidRDefault="00332C23" w:rsidP="00A64E41">
            <w:pPr>
              <w:spacing w:before="60" w:after="60"/>
            </w:pPr>
          </w:p>
          <w:p w14:paraId="5BA2A55E" w14:textId="77777777" w:rsidR="00332C23" w:rsidRPr="00A64E41" w:rsidRDefault="00332C23" w:rsidP="00A64E41">
            <w:pPr>
              <w:spacing w:before="60" w:after="60"/>
              <w:rPr>
                <w:iCs/>
              </w:rPr>
            </w:pPr>
            <w:r w:rsidRPr="00A64E41">
              <w:t>Due to the increasing remit of the board, it was decided to split the board to allow for a more tailored approach to the issues. In September 2014, two new boards were established; the Adult Social Care Data and Outcomes Board (ASC-DOB) and the Adult Social Care Technology and Informatics Group (ASC-TIG). Going forward ASC-DOB will be responsible for overseeing national data collections and for the annual Framework publication and Handbook of Definitions.</w:t>
            </w:r>
          </w:p>
        </w:tc>
      </w:tr>
      <w:tr w:rsidR="00A64E41" w:rsidRPr="00A64E41" w14:paraId="68A18A2D" w14:textId="77777777" w:rsidTr="00A64E41">
        <w:tc>
          <w:tcPr>
            <w:tcW w:w="3539" w:type="dxa"/>
          </w:tcPr>
          <w:p w14:paraId="196C685F" w14:textId="77777777" w:rsidR="00332C23" w:rsidRPr="00A64E41" w:rsidRDefault="00332C23" w:rsidP="00A64E41">
            <w:pPr>
              <w:spacing w:before="60" w:after="60"/>
              <w:ind w:left="33"/>
              <w:rPr>
                <w:b/>
              </w:rPr>
            </w:pPr>
            <w:r w:rsidRPr="00A64E41">
              <w:rPr>
                <w:b/>
              </w:rPr>
              <w:lastRenderedPageBreak/>
              <w:t>2.3 Is there any clinical evidence or professional opinion to support the ongoing need for this indicator?</w:t>
            </w:r>
          </w:p>
        </w:tc>
        <w:tc>
          <w:tcPr>
            <w:tcW w:w="10635" w:type="dxa"/>
          </w:tcPr>
          <w:p w14:paraId="6EECC938"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The framework has been developed by the Department of Health (DH), the Association of Directors of Adult Social Services (ADASS), and the Local Government Association (LGA). </w:t>
            </w:r>
          </w:p>
          <w:p w14:paraId="0CF058D7" w14:textId="77777777" w:rsidR="00332C23" w:rsidRPr="00A64E41" w:rsidRDefault="00332C23" w:rsidP="00A64E41">
            <w:pPr>
              <w:spacing w:beforeLines="60" w:before="144" w:afterLines="60" w:after="144"/>
            </w:pPr>
            <w:r w:rsidRPr="00A64E41">
              <w:t xml:space="preserve">Previously the framework was overseen by the Outcomes and Information Development Board (OIDB) made up of representatives from across the social care sector including HSCIC, Local Government Association (LGA) and Care Quality Commission (CQC) and co-chaired by the Department of Health and Association for the Directors of Adult Social Services (ADASS). Due to the increasing remit of the board, it was decided to split the board to allow for a more tailored approach to the issues. In September 2014, two new boards were established; the Adult Social Care Data and Outcomes Board (ASC-DOB) and the Adult Social Care Technology and Informatics Group (ASC-TIG). Going forward ASC-DOB will be responsible for overseeing national data collections and for the annual Framework publication and Handbook of Definitions. </w:t>
            </w:r>
          </w:p>
          <w:p w14:paraId="7B8CEE5E" w14:textId="77777777" w:rsidR="00332C23" w:rsidRPr="00A64E41" w:rsidRDefault="00332C23" w:rsidP="00A64E41">
            <w:pPr>
              <w:spacing w:beforeLines="60" w:before="144" w:afterLines="60" w:after="144"/>
            </w:pPr>
            <w:r w:rsidRPr="00A64E41">
              <w:t xml:space="preserve">The development project was carried out by Personal Social Services Research Unit (PSSRU), which fed into the survey design. There are various studies using ASCOF data by the PSSRU such as </w:t>
            </w:r>
            <w:hyperlink r:id="rId12" w:history="1">
              <w:r w:rsidRPr="00A64E41">
                <w:rPr>
                  <w:rStyle w:val="Hyperlink"/>
                  <w:color w:val="auto"/>
                </w:rPr>
                <w:t>https://www.pssru.ac.uk/pub/dp2542.pdf</w:t>
              </w:r>
            </w:hyperlink>
            <w:r w:rsidRPr="00A64E41">
              <w:t xml:space="preserve">, </w:t>
            </w:r>
            <w:hyperlink r:id="rId13" w:history="1">
              <w:r w:rsidRPr="00A64E41">
                <w:rPr>
                  <w:rStyle w:val="Hyperlink"/>
                  <w:color w:val="auto"/>
                </w:rPr>
                <w:t>https://www.pssru.ac.uk/pub/4633.pdf</w:t>
              </w:r>
            </w:hyperlink>
            <w:r w:rsidRPr="00A64E41">
              <w:t xml:space="preserve">  which demonstrate the </w:t>
            </w:r>
            <w:r w:rsidRPr="00A64E41">
              <w:lastRenderedPageBreak/>
              <w:t xml:space="preserve">importance of ASCOF, however they don’t specifically reference the development of ASCOF. Information on this may exist in a historic PSSRU paper, however this has not been located. </w:t>
            </w:r>
          </w:p>
        </w:tc>
      </w:tr>
      <w:tr w:rsidR="00A64E41" w:rsidRPr="00A64E41" w14:paraId="7A5054E0" w14:textId="77777777" w:rsidTr="00A64E41">
        <w:tc>
          <w:tcPr>
            <w:tcW w:w="3539" w:type="dxa"/>
          </w:tcPr>
          <w:p w14:paraId="183ECE45" w14:textId="77777777" w:rsidR="00332C23" w:rsidRPr="00A64E41" w:rsidRDefault="00332C23" w:rsidP="00A64E41">
            <w:pPr>
              <w:spacing w:before="60" w:after="60"/>
              <w:ind w:left="33"/>
              <w:rPr>
                <w:b/>
              </w:rPr>
            </w:pPr>
            <w:r w:rsidRPr="00A64E41">
              <w:rPr>
                <w:b/>
              </w:rPr>
              <w:lastRenderedPageBreak/>
              <w:t>2.4 Which governmental strategies or policies is supported by the use of this indicator?</w:t>
            </w:r>
          </w:p>
        </w:tc>
        <w:tc>
          <w:tcPr>
            <w:tcW w:w="10635" w:type="dxa"/>
          </w:tcPr>
          <w:p w14:paraId="3C7BF273" w14:textId="77777777" w:rsidR="00332C23" w:rsidRPr="00A64E41" w:rsidRDefault="00332C23" w:rsidP="00A64E41">
            <w:pPr>
              <w:spacing w:before="60" w:after="60"/>
            </w:pPr>
            <w:r w:rsidRPr="00A64E41">
              <w:t>The Care and Support White Paper, published in July 2012, set out the Government’s vision for a reformed care and support system, building on the 2010 Vision for Adult Social Care, and Transparency in Outcomes: a framework for quality in adult social care</w:t>
            </w:r>
          </w:p>
          <w:p w14:paraId="7A110741" w14:textId="77777777" w:rsidR="00332C23" w:rsidRPr="00A64E41" w:rsidRDefault="00332C23" w:rsidP="00A64E41">
            <w:pPr>
              <w:spacing w:before="60" w:after="60"/>
              <w:rPr>
                <w:iCs/>
              </w:rPr>
            </w:pPr>
            <w:r w:rsidRPr="00A64E41">
              <w:t>The Care Bill became the Care Act in May 2014, signalling the most significant change in care and support policies in over sixty years. The impact of the Care Act will be far reaching with fundamental changes to the way that care is delivered and paid for taking place over the next few years. These changes will mean that users of the services and their cares are in control of their own care and support. The ASCOF for 2018/19 will support councils to rise to this challenge of delivering key priorities by providing a clear focus for local priority setting and improvement and by strengthening the accountability of councils to local people.</w:t>
            </w:r>
          </w:p>
        </w:tc>
      </w:tr>
      <w:tr w:rsidR="00A64E41" w:rsidRPr="00A64E41" w14:paraId="4FFFBD94" w14:textId="77777777" w:rsidTr="00A64E41">
        <w:tc>
          <w:tcPr>
            <w:tcW w:w="3539" w:type="dxa"/>
          </w:tcPr>
          <w:p w14:paraId="76D516C6" w14:textId="77777777" w:rsidR="00332C23" w:rsidRPr="00A64E41" w:rsidRDefault="00332C23" w:rsidP="00A64E41">
            <w:pPr>
              <w:spacing w:before="60" w:after="60"/>
              <w:rPr>
                <w:b/>
              </w:rPr>
            </w:pPr>
            <w:r w:rsidRPr="00A64E41">
              <w:rPr>
                <w:b/>
              </w:rPr>
              <w:t>2.5 Who would use this indicator and why?</w:t>
            </w:r>
          </w:p>
          <w:p w14:paraId="67D79E71" w14:textId="77777777" w:rsidR="00332C23" w:rsidRPr="00A64E41" w:rsidRDefault="00332C23" w:rsidP="00A64E41">
            <w:pPr>
              <w:spacing w:before="60" w:after="60"/>
              <w:ind w:left="33"/>
              <w:rPr>
                <w:b/>
              </w:rPr>
            </w:pPr>
          </w:p>
          <w:p w14:paraId="55E64046" w14:textId="77777777" w:rsidR="00332C23" w:rsidRPr="00A64E41" w:rsidRDefault="00332C23" w:rsidP="00A64E41">
            <w:pPr>
              <w:spacing w:before="60" w:after="60"/>
              <w:ind w:left="33"/>
              <w:rPr>
                <w:i/>
              </w:rPr>
            </w:pPr>
          </w:p>
        </w:tc>
        <w:tc>
          <w:tcPr>
            <w:tcW w:w="10635" w:type="dxa"/>
          </w:tcPr>
          <w:p w14:paraId="7D3C947E" w14:textId="77777777" w:rsidR="00332C23" w:rsidRPr="00A64E41" w:rsidRDefault="00332C23" w:rsidP="00A64E41">
            <w:pPr>
              <w:spacing w:before="60" w:after="60"/>
            </w:pPr>
            <w:r w:rsidRPr="00A64E41">
              <w:t>Department of Health and Social Care (DHSC) define the construction of the indicator and NHS Digital conform to this methodology. Local authorities also use their data for their own benchmarking purposes.</w:t>
            </w:r>
          </w:p>
          <w:p w14:paraId="1819A887" w14:textId="77777777" w:rsidR="00332C23" w:rsidRPr="00A64E41" w:rsidRDefault="00332C23" w:rsidP="00A64E41">
            <w:pPr>
              <w:spacing w:before="60" w:after="60"/>
            </w:pPr>
          </w:p>
          <w:p w14:paraId="2B62F52C" w14:textId="77777777" w:rsidR="00332C23" w:rsidRPr="00A64E41" w:rsidRDefault="00332C23" w:rsidP="00A64E41">
            <w:pPr>
              <w:spacing w:before="60" w:after="60"/>
            </w:pPr>
            <w:r w:rsidRPr="00A64E41">
              <w:t>The Adult Social Care Outcomes Framework (ASCOF) is used both locally and nationally to set priorities for care and support, measure progress and strengthen transparency and accountability.</w:t>
            </w:r>
          </w:p>
          <w:p w14:paraId="0E646052" w14:textId="77777777" w:rsidR="00332C23" w:rsidRPr="00A64E41" w:rsidRDefault="00332C23" w:rsidP="00A64E41">
            <w:pPr>
              <w:spacing w:before="60" w:after="60"/>
            </w:pPr>
            <w:r w:rsidRPr="00A64E41">
              <w:t>The key roles of the ASCOF are:</w:t>
            </w:r>
          </w:p>
          <w:p w14:paraId="3BCFDA45" w14:textId="77777777" w:rsidR="00332C23" w:rsidRPr="00A64E41" w:rsidRDefault="00332C23" w:rsidP="00A64E41">
            <w:pPr>
              <w:pStyle w:val="ListParagraph"/>
              <w:numPr>
                <w:ilvl w:val="0"/>
                <w:numId w:val="5"/>
              </w:numPr>
              <w:spacing w:before="60" w:after="60"/>
              <w:rPr>
                <w:rFonts w:ascii="Arial" w:hAnsi="Arial" w:cs="Arial"/>
              </w:rPr>
            </w:pPr>
            <w:r w:rsidRPr="00A64E41">
              <w:rPr>
                <w:rFonts w:ascii="Arial" w:hAnsi="Arial" w:cs="Arial"/>
              </w:rPr>
              <w:t>Locally, the ASCOF provides councils with robust information that enables them to monitor the success of local interventions in improving outcomes, and to identify their priorities for making improvements. Local Authorities can also use ASCOF to inform outcome-based commissioning models.</w:t>
            </w:r>
          </w:p>
          <w:p w14:paraId="2FF5508D" w14:textId="77777777" w:rsidR="00332C23" w:rsidRPr="00A64E41" w:rsidRDefault="00332C23" w:rsidP="00A64E41">
            <w:pPr>
              <w:pStyle w:val="ListParagraph"/>
              <w:numPr>
                <w:ilvl w:val="0"/>
                <w:numId w:val="5"/>
              </w:numPr>
              <w:spacing w:before="60" w:after="60"/>
              <w:rPr>
                <w:rFonts w:ascii="Arial" w:hAnsi="Arial" w:cs="Arial"/>
              </w:rPr>
            </w:pPr>
            <w:r w:rsidRPr="00A64E41">
              <w:rPr>
                <w:rFonts w:ascii="Arial" w:hAnsi="Arial" w:cs="Arial"/>
              </w:rPr>
              <w:t>Locally, it is also a useful resource for Health and Wellbeing boards who can use the information to inform their strategic planning and leadership role for local commissioning.</w:t>
            </w:r>
          </w:p>
          <w:p w14:paraId="711FEFA3" w14:textId="77777777" w:rsidR="00332C23" w:rsidRPr="00A64E41" w:rsidRDefault="00332C23" w:rsidP="00A64E41">
            <w:pPr>
              <w:pStyle w:val="ListParagraph"/>
              <w:numPr>
                <w:ilvl w:val="0"/>
                <w:numId w:val="5"/>
              </w:numPr>
              <w:spacing w:before="60" w:after="60"/>
              <w:rPr>
                <w:rFonts w:ascii="Arial" w:hAnsi="Arial" w:cs="Arial"/>
              </w:rPr>
            </w:pPr>
            <w:r w:rsidRPr="00A64E41">
              <w:rPr>
                <w:rFonts w:ascii="Arial" w:hAnsi="Arial" w:cs="Arial"/>
              </w:rPr>
              <w:t>Locally, the ASCOF also strengthens accountability to local people. By fostering greater transparency on the outcomes delivered by care and support services, it enables local people to hold their council to account for the quality of the services that they provide, commission or arrange. Local authorities are also using the ASCOF to develop and publish local accounts to communicate directly with local communities on the outcomes that are being achieved, and their priorities for developing local services.</w:t>
            </w:r>
          </w:p>
          <w:p w14:paraId="713925D1" w14:textId="77777777" w:rsidR="00332C23" w:rsidRPr="00A64E41" w:rsidRDefault="00332C23" w:rsidP="00A64E41">
            <w:pPr>
              <w:pStyle w:val="ListParagraph"/>
              <w:numPr>
                <w:ilvl w:val="0"/>
                <w:numId w:val="5"/>
              </w:numPr>
              <w:spacing w:before="60" w:after="60"/>
              <w:rPr>
                <w:rFonts w:ascii="Arial" w:hAnsi="Arial" w:cs="Arial"/>
              </w:rPr>
            </w:pPr>
            <w:r w:rsidRPr="00A64E41">
              <w:rPr>
                <w:rFonts w:ascii="Arial" w:hAnsi="Arial" w:cs="Arial"/>
              </w:rPr>
              <w:t>Regionally, the data supports sector led improvement; bringing councils together to understand and benchmark their performance. This, in turn, stimulates discussions between councils on priorities for improvement, and promotes the sharing of learning and best practice.</w:t>
            </w:r>
          </w:p>
          <w:p w14:paraId="386CA874" w14:textId="77777777" w:rsidR="00332C23" w:rsidRPr="00A64E41" w:rsidRDefault="00332C23" w:rsidP="00A64E41">
            <w:pPr>
              <w:pStyle w:val="ListParagraph"/>
              <w:numPr>
                <w:ilvl w:val="0"/>
                <w:numId w:val="5"/>
              </w:numPr>
              <w:spacing w:before="60" w:after="60"/>
              <w:rPr>
                <w:rFonts w:ascii="Arial" w:hAnsi="Arial" w:cs="Arial"/>
              </w:rPr>
            </w:pPr>
            <w:r w:rsidRPr="00A64E41">
              <w:rPr>
                <w:rFonts w:ascii="Arial" w:hAnsi="Arial" w:cs="Arial"/>
              </w:rPr>
              <w:lastRenderedPageBreak/>
              <w:t>At the national level, the ASCOF demonstrates the performance of the adult social care system as a whole, and its success in delivering high-quality, personalised care and support. Meanwhile, the framework supports Ministers in discharging their accountability to the public and Parliament for the adult social care system, and continues to inform, and support, national policy development.</w:t>
            </w:r>
          </w:p>
          <w:p w14:paraId="3B8748C7" w14:textId="77777777" w:rsidR="00332C23" w:rsidRPr="00A64E41" w:rsidRDefault="00332C23" w:rsidP="00A64E41">
            <w:pPr>
              <w:spacing w:before="60" w:after="60"/>
              <w:rPr>
                <w:i/>
              </w:rPr>
            </w:pPr>
            <w:r w:rsidRPr="00A64E41">
              <w:t>The Government does not seek to performance manage councils in relation to any of the measures set out in this framework. Instead, the ASCOF will inform and support improvement led by the sector itself, underpinned by strengthened transparency and local accountability.</w:t>
            </w:r>
          </w:p>
        </w:tc>
      </w:tr>
      <w:tr w:rsidR="00A64E41" w:rsidRPr="00A64E41" w14:paraId="30B7EE86" w14:textId="77777777" w:rsidTr="00A64E41">
        <w:tc>
          <w:tcPr>
            <w:tcW w:w="3539" w:type="dxa"/>
          </w:tcPr>
          <w:p w14:paraId="2118B4F4" w14:textId="77777777" w:rsidR="00332C23" w:rsidRPr="00A64E41" w:rsidRDefault="00332C23" w:rsidP="00A64E41">
            <w:pPr>
              <w:spacing w:before="60" w:after="60"/>
              <w:ind w:left="33"/>
              <w:rPr>
                <w:b/>
              </w:rPr>
            </w:pPr>
            <w:r w:rsidRPr="00A64E41">
              <w:rPr>
                <w:b/>
              </w:rPr>
              <w:lastRenderedPageBreak/>
              <w:t>2.6 Is there a relationship to other existing indicators?</w:t>
            </w:r>
          </w:p>
          <w:p w14:paraId="4BE2B47B" w14:textId="77777777" w:rsidR="00332C23" w:rsidRPr="00A64E41" w:rsidRDefault="00332C23" w:rsidP="00A64E41">
            <w:pPr>
              <w:spacing w:before="60" w:after="60"/>
              <w:ind w:left="33"/>
              <w:rPr>
                <w:i/>
              </w:rPr>
            </w:pPr>
          </w:p>
        </w:tc>
        <w:tc>
          <w:tcPr>
            <w:tcW w:w="10635" w:type="dxa"/>
          </w:tcPr>
          <w:p w14:paraId="5332A33B" w14:textId="77777777" w:rsidR="00332C23" w:rsidRPr="00A64E41" w:rsidRDefault="00332C23" w:rsidP="00A64E41">
            <w:pPr>
              <w:spacing w:before="60" w:after="60"/>
            </w:pPr>
            <w:r w:rsidRPr="00A64E41">
              <w:t>This is a two-part measure reflecting whether service users (part 1) and carers (part 2) find it easy to find information about services. The measures are calculated from data collected in the Adult Social Care Survey and the Carers Survey, and have been split in to 2 separate indicators, IAP00422 and IAP00423.</w:t>
            </w:r>
          </w:p>
          <w:p w14:paraId="58ACF263" w14:textId="77777777" w:rsidR="00332C23" w:rsidRPr="00A64E41" w:rsidRDefault="00332C23" w:rsidP="00A64E41">
            <w:pPr>
              <w:spacing w:before="60" w:after="60"/>
            </w:pPr>
          </w:p>
          <w:p w14:paraId="7DDBA5A4" w14:textId="77777777" w:rsidR="00332C23" w:rsidRPr="00A64E41" w:rsidRDefault="00332C23" w:rsidP="00A64E41">
            <w:pPr>
              <w:spacing w:before="60" w:after="60"/>
            </w:pPr>
            <w:r w:rsidRPr="00A64E41">
              <w:t>This is part of the ASCOF Indicators and sits within Domain 3. Ensuring people have a positive experience of care and support., which contains the following questions:</w:t>
            </w:r>
          </w:p>
          <w:p w14:paraId="6E6E7112" w14:textId="77777777" w:rsidR="00332C23" w:rsidRPr="00A64E41" w:rsidRDefault="00332C23" w:rsidP="00A64E41">
            <w:pPr>
              <w:spacing w:before="60" w:after="60"/>
            </w:pPr>
          </w:p>
          <w:p w14:paraId="1DF4C058" w14:textId="77777777" w:rsidR="00332C23" w:rsidRPr="00A64E41" w:rsidRDefault="00332C23" w:rsidP="00A64E41">
            <w:pPr>
              <w:pStyle w:val="ListParagraph"/>
              <w:numPr>
                <w:ilvl w:val="0"/>
                <w:numId w:val="3"/>
              </w:numPr>
              <w:spacing w:before="60" w:after="60"/>
              <w:ind w:left="720"/>
              <w:rPr>
                <w:rFonts w:ascii="Arial" w:hAnsi="Arial" w:cs="Arial"/>
              </w:rPr>
            </w:pPr>
            <w:r w:rsidRPr="00A64E41">
              <w:rPr>
                <w:rFonts w:ascii="Arial" w:hAnsi="Arial" w:cs="Arial"/>
              </w:rPr>
              <w:t>(3A) Overall satisfaction of people who use services with their care and support (IAP00419)</w:t>
            </w:r>
          </w:p>
          <w:p w14:paraId="5183ACBC" w14:textId="77777777" w:rsidR="00332C23" w:rsidRPr="00A64E41" w:rsidRDefault="00332C23" w:rsidP="00A64E41">
            <w:pPr>
              <w:pStyle w:val="ListParagraph"/>
              <w:numPr>
                <w:ilvl w:val="0"/>
                <w:numId w:val="3"/>
              </w:numPr>
              <w:spacing w:before="60" w:after="60"/>
              <w:ind w:left="720"/>
              <w:rPr>
                <w:rFonts w:ascii="Arial" w:hAnsi="Arial" w:cs="Arial"/>
              </w:rPr>
            </w:pPr>
            <w:r w:rsidRPr="00A64E41">
              <w:rPr>
                <w:rFonts w:ascii="Arial" w:hAnsi="Arial" w:cs="Arial"/>
              </w:rPr>
              <w:t>(3B) Overall satisfaction of carers with social services (IAP00420)</w:t>
            </w:r>
          </w:p>
          <w:p w14:paraId="43868E0D" w14:textId="77777777" w:rsidR="00332C23" w:rsidRPr="00A64E41" w:rsidRDefault="00332C23" w:rsidP="00A64E41">
            <w:pPr>
              <w:pStyle w:val="ListParagraph"/>
              <w:numPr>
                <w:ilvl w:val="0"/>
                <w:numId w:val="3"/>
              </w:numPr>
              <w:spacing w:before="60" w:after="60"/>
              <w:ind w:left="720"/>
              <w:rPr>
                <w:rFonts w:ascii="Arial" w:hAnsi="Arial" w:cs="Arial"/>
              </w:rPr>
            </w:pPr>
            <w:r w:rsidRPr="00A64E41">
              <w:rPr>
                <w:rFonts w:ascii="Arial" w:hAnsi="Arial" w:cs="Arial"/>
              </w:rPr>
              <w:t>(3C) The proportion of carers who report that they have been included or consulted in discussions about the person they care for (IAP00421)</w:t>
            </w:r>
          </w:p>
          <w:p w14:paraId="1C0455D4" w14:textId="77777777" w:rsidR="00332C23" w:rsidRPr="00A64E41" w:rsidRDefault="00332C23" w:rsidP="00A64E41">
            <w:pPr>
              <w:pStyle w:val="ListParagraph"/>
              <w:numPr>
                <w:ilvl w:val="0"/>
                <w:numId w:val="3"/>
              </w:numPr>
              <w:spacing w:before="60" w:after="60"/>
              <w:ind w:left="720"/>
              <w:rPr>
                <w:rFonts w:ascii="Arial" w:hAnsi="Arial" w:cs="Arial"/>
              </w:rPr>
            </w:pPr>
            <w:r w:rsidRPr="00A64E41">
              <w:rPr>
                <w:rFonts w:ascii="Arial" w:hAnsi="Arial" w:cs="Arial"/>
              </w:rPr>
              <w:t>(3D, part 1) The proportion of people who use services and carers who find it easy to find information about support (people who use services) (IAP00422)</w:t>
            </w:r>
          </w:p>
          <w:p w14:paraId="6D5D55F8" w14:textId="77777777" w:rsidR="00332C23" w:rsidRPr="00A64E41" w:rsidRDefault="00332C23" w:rsidP="00A64E41">
            <w:pPr>
              <w:pStyle w:val="ListParagraph"/>
              <w:numPr>
                <w:ilvl w:val="0"/>
                <w:numId w:val="3"/>
              </w:numPr>
              <w:spacing w:before="60" w:after="60"/>
              <w:ind w:left="720"/>
              <w:rPr>
                <w:rFonts w:ascii="Arial" w:hAnsi="Arial" w:cs="Arial"/>
              </w:rPr>
            </w:pPr>
            <w:r w:rsidRPr="00A64E41">
              <w:rPr>
                <w:rFonts w:ascii="Arial" w:hAnsi="Arial" w:cs="Arial"/>
              </w:rPr>
              <w:t>(3D part 2) The proportion of people who use services and carers who find it easy to find information about support (carers) (IAP00423)</w:t>
            </w:r>
          </w:p>
        </w:tc>
      </w:tr>
      <w:tr w:rsidR="00A64E41" w:rsidRPr="00A64E41" w14:paraId="4BA9A66B" w14:textId="77777777" w:rsidTr="00A64E41">
        <w:tc>
          <w:tcPr>
            <w:tcW w:w="3539" w:type="dxa"/>
          </w:tcPr>
          <w:p w14:paraId="1B466605" w14:textId="77777777" w:rsidR="00332C23" w:rsidRPr="00A64E41" w:rsidRDefault="00332C23" w:rsidP="00A64E41">
            <w:pPr>
              <w:spacing w:before="60" w:after="60"/>
              <w:ind w:left="33"/>
              <w:rPr>
                <w:b/>
              </w:rPr>
            </w:pPr>
            <w:r w:rsidRPr="00A64E41">
              <w:rPr>
                <w:b/>
              </w:rPr>
              <w:t>2.7 Comparability to other existing indicators</w:t>
            </w:r>
          </w:p>
          <w:p w14:paraId="76C49166" w14:textId="77777777" w:rsidR="00332C23" w:rsidRPr="00A64E41" w:rsidRDefault="00332C23" w:rsidP="00A64E41">
            <w:pPr>
              <w:spacing w:before="60" w:after="60"/>
              <w:ind w:left="33"/>
              <w:rPr>
                <w:b/>
              </w:rPr>
            </w:pPr>
          </w:p>
        </w:tc>
        <w:tc>
          <w:tcPr>
            <w:tcW w:w="10635" w:type="dxa"/>
          </w:tcPr>
          <w:p w14:paraId="6E0AF01C"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The comparability of measure 3D(1) and 3D(2) over time is addressed via the ASCOF publication. In common with all ASCS-based measures (1A, 1B, 1I(1), 1J, 3A, 3D(1), 4A and 4B), changes to these measures have created a break in the time-series, as described in early sections due to the change in eligible population from which survey samples are selected with the introduction of Short and Long Term Support (SALT) return. </w:t>
            </w:r>
          </w:p>
          <w:p w14:paraId="34AA5E54"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Previously, the eligible population of adult social care users for the ASCS had been those in receipt of Council with Adult Social Service Responsibility (CASSR) funded services following a full assessment of need (i.e. a snapshot of those eligible for inclusion in Referrals, Assessments and Packages of Care (RAP) return table P1). However, with the introduction of SALT, the eligible population has changed to a snapshot of the most closely comparable SALT table, LTS001b, as at the chosen extract date. To be included in </w:t>
            </w:r>
            <w:r w:rsidRPr="00A64E41">
              <w:rPr>
                <w:color w:val="auto"/>
                <w:sz w:val="22"/>
                <w:szCs w:val="22"/>
              </w:rPr>
              <w:lastRenderedPageBreak/>
              <w:t xml:space="preserve">table LTS001b, a service user must, at the point that data are extracted from CASSR systems, be in receipt of long-term support services funded or managed by the CASSR following a full assessment of need. </w:t>
            </w:r>
          </w:p>
          <w:p w14:paraId="06F1959C" w14:textId="77777777" w:rsidR="00332C23" w:rsidRPr="00A64E41" w:rsidRDefault="00332C23" w:rsidP="00A64E41">
            <w:pPr>
              <w:spacing w:beforeLines="60" w:before="144" w:afterLines="60" w:after="144"/>
              <w:rPr>
                <w:i/>
              </w:rPr>
            </w:pPr>
            <w:r w:rsidRPr="00A64E41">
              <w:t xml:space="preserve">Further information can be found on in the publications in Appendix C and a specific sheet detailing comparability over time in the timeseries publications that accompany the ASCOF release, the most recent was published in October 2017 and can be found at </w:t>
            </w:r>
            <w:hyperlink r:id="rId14" w:history="1">
              <w:r w:rsidRPr="00A64E41">
                <w:rPr>
                  <w:rStyle w:val="Hyperlink"/>
                  <w:color w:val="auto"/>
                </w:rPr>
                <w:t>https://digital.nhs.uk/data-and-information/publications/clinical-indicators/adult-social-care-outcomes-framework-ascof/current</w:t>
              </w:r>
            </w:hyperlink>
            <w:r w:rsidRPr="00A64E41">
              <w:t xml:space="preserve">  </w:t>
            </w:r>
          </w:p>
          <w:p w14:paraId="7D053405" w14:textId="77777777" w:rsidR="00332C23" w:rsidRPr="00A64E41" w:rsidRDefault="00332C23" w:rsidP="00A64E41">
            <w:pPr>
              <w:spacing w:before="60" w:after="60"/>
              <w:rPr>
                <w:i/>
              </w:rPr>
            </w:pPr>
          </w:p>
        </w:tc>
      </w:tr>
      <w:tr w:rsidR="00A64E41" w:rsidRPr="00A64E41" w14:paraId="5987F14C" w14:textId="77777777" w:rsidTr="00A64E41">
        <w:tc>
          <w:tcPr>
            <w:tcW w:w="3539" w:type="dxa"/>
          </w:tcPr>
          <w:p w14:paraId="717FD9F9" w14:textId="1B022A51" w:rsidR="00A64E41" w:rsidRPr="00A64E41" w:rsidRDefault="00A64E41" w:rsidP="00A64E41">
            <w:pPr>
              <w:spacing w:before="60" w:after="60"/>
              <w:rPr>
                <w:b/>
              </w:rPr>
            </w:pPr>
            <w:r w:rsidRPr="00A64E41">
              <w:rPr>
                <w:b/>
              </w:rPr>
              <w:lastRenderedPageBreak/>
              <w:t>Section 3: Presentation and interpretation (IGB to assess, MRG to advise)</w:t>
            </w:r>
          </w:p>
        </w:tc>
        <w:tc>
          <w:tcPr>
            <w:tcW w:w="10635" w:type="dxa"/>
          </w:tcPr>
          <w:p w14:paraId="50DA15EC" w14:textId="77777777" w:rsidR="00A64E41" w:rsidRPr="00A64E41" w:rsidRDefault="00A64E41" w:rsidP="00A64E41">
            <w:pPr>
              <w:pStyle w:val="BodyText"/>
              <w:kinsoku w:val="0"/>
              <w:overflowPunct w:val="0"/>
              <w:spacing w:before="60" w:afterLines="60" w:after="144"/>
              <w:rPr>
                <w:rFonts w:ascii="Arial" w:hAnsi="Arial" w:cs="Arial"/>
              </w:rPr>
            </w:pPr>
          </w:p>
        </w:tc>
      </w:tr>
      <w:tr w:rsidR="00A64E41" w:rsidRPr="00A64E41" w14:paraId="1D702855" w14:textId="77777777" w:rsidTr="00A64E41">
        <w:tc>
          <w:tcPr>
            <w:tcW w:w="3539" w:type="dxa"/>
          </w:tcPr>
          <w:p w14:paraId="1C90C814" w14:textId="77777777" w:rsidR="00332C23" w:rsidRPr="00A64E41" w:rsidRDefault="00332C23" w:rsidP="00A64E41">
            <w:pPr>
              <w:spacing w:before="60" w:after="60"/>
              <w:rPr>
                <w:b/>
              </w:rPr>
            </w:pPr>
            <w:r w:rsidRPr="00A64E41">
              <w:rPr>
                <w:b/>
              </w:rPr>
              <w:t>3.1 How will the indicator be presented?</w:t>
            </w:r>
          </w:p>
          <w:p w14:paraId="795875CA" w14:textId="77777777" w:rsidR="00332C23" w:rsidRPr="00A64E41" w:rsidRDefault="00332C23" w:rsidP="00A64E41">
            <w:pPr>
              <w:spacing w:before="60" w:after="60"/>
              <w:rPr>
                <w:b/>
                <w:i/>
              </w:rPr>
            </w:pPr>
            <w:r w:rsidRPr="00A64E41">
              <w:rPr>
                <w:i/>
              </w:rPr>
              <w:t>.</w:t>
            </w:r>
          </w:p>
        </w:tc>
        <w:tc>
          <w:tcPr>
            <w:tcW w:w="10635" w:type="dxa"/>
          </w:tcPr>
          <w:p w14:paraId="51ABAE02" w14:textId="77777777" w:rsidR="00332C23" w:rsidRPr="00A64E41" w:rsidRDefault="00332C23" w:rsidP="00A64E41">
            <w:pPr>
              <w:pStyle w:val="BodyText"/>
              <w:kinsoku w:val="0"/>
              <w:overflowPunct w:val="0"/>
              <w:spacing w:before="60" w:afterLines="60" w:after="144"/>
              <w:rPr>
                <w:rFonts w:ascii="Arial" w:hAnsi="Arial" w:cs="Arial"/>
              </w:rPr>
            </w:pPr>
            <w:r w:rsidRPr="00A64E41">
              <w:rPr>
                <w:rFonts w:ascii="Arial" w:hAnsi="Arial" w:cs="Arial"/>
              </w:rPr>
              <w:t xml:space="preserve">This indicator is disseminated by NHS Digital as part of ASCOF annual publications. There is an annual disaggregated spreadsheet released, as well as a time-series of aggregated outcomes. </w:t>
            </w:r>
          </w:p>
          <w:p w14:paraId="423F64A8" w14:textId="77777777" w:rsidR="00332C23" w:rsidRPr="00A64E41" w:rsidRDefault="00332C23" w:rsidP="00A64E41">
            <w:pPr>
              <w:pStyle w:val="BodyText"/>
              <w:kinsoku w:val="0"/>
              <w:overflowPunct w:val="0"/>
              <w:spacing w:before="60" w:afterLines="60" w:after="144"/>
              <w:rPr>
                <w:rFonts w:ascii="Arial" w:hAnsi="Arial" w:cs="Arial"/>
              </w:rPr>
            </w:pPr>
            <w:r w:rsidRPr="00A64E41">
              <w:rPr>
                <w:rFonts w:ascii="Arial" w:hAnsi="Arial" w:cs="Arial"/>
              </w:rPr>
              <w:t>The data is also available in a PowerBI report which is available in the Social Care Analytical Hub(</w:t>
            </w:r>
            <w:hyperlink r:id="rId15" w:history="1">
              <w:r w:rsidRPr="00A64E41">
                <w:rPr>
                  <w:rFonts w:ascii="Arial" w:hAnsi="Arial" w:cs="Arial"/>
                </w:rPr>
                <w:t xml:space="preserve">http://bit.ly/SocialCare_HUB). </w:t>
              </w:r>
            </w:hyperlink>
            <w:r w:rsidRPr="00A64E41">
              <w:rPr>
                <w:rFonts w:ascii="Arial" w:hAnsi="Arial" w:cs="Arial"/>
              </w:rPr>
              <w:t>This enables councils to view interactive tables and charts of their data compared to their peers and councils in their region.</w:t>
            </w:r>
          </w:p>
          <w:p w14:paraId="15056A62" w14:textId="77777777" w:rsidR="00332C23" w:rsidRPr="00A64E41" w:rsidRDefault="00332C23" w:rsidP="00A64E41">
            <w:pPr>
              <w:kinsoku w:val="0"/>
              <w:overflowPunct w:val="0"/>
              <w:autoSpaceDE w:val="0"/>
              <w:autoSpaceDN w:val="0"/>
              <w:adjustRightInd w:val="0"/>
              <w:spacing w:before="60" w:afterLines="60" w:after="144"/>
            </w:pPr>
            <w:r w:rsidRPr="00A64E41">
              <w:t>The data is also available in the NHS Digita</w:t>
            </w:r>
            <w:hyperlink r:id="rId16" w:history="1">
              <w:r w:rsidRPr="00A64E41">
                <w:t xml:space="preserve">l Clinical Indicators </w:t>
              </w:r>
            </w:hyperlink>
            <w:r w:rsidRPr="00A64E41">
              <w:t>collection.</w:t>
            </w:r>
          </w:p>
          <w:p w14:paraId="0BCEF3EB" w14:textId="77777777" w:rsidR="00332C23" w:rsidRPr="00A64E41" w:rsidRDefault="00332C23" w:rsidP="00A64E41">
            <w:pPr>
              <w:spacing w:before="60" w:after="60"/>
            </w:pPr>
          </w:p>
        </w:tc>
      </w:tr>
      <w:tr w:rsidR="00A64E41" w:rsidRPr="00A64E41" w14:paraId="53DF0432" w14:textId="77777777" w:rsidTr="00A64E41">
        <w:tc>
          <w:tcPr>
            <w:tcW w:w="3539" w:type="dxa"/>
          </w:tcPr>
          <w:p w14:paraId="72C813ED" w14:textId="77777777" w:rsidR="00332C23" w:rsidRPr="00A64E41" w:rsidRDefault="00332C23" w:rsidP="00A64E41">
            <w:pPr>
              <w:spacing w:before="60" w:after="60"/>
              <w:rPr>
                <w:b/>
              </w:rPr>
            </w:pPr>
            <w:r w:rsidRPr="00A64E41">
              <w:rPr>
                <w:b/>
              </w:rPr>
              <w:t>3.2 What contextual information will be provided alongside the indicator?</w:t>
            </w:r>
          </w:p>
          <w:p w14:paraId="00B15D25" w14:textId="77777777" w:rsidR="00332C23" w:rsidRPr="00A64E41" w:rsidRDefault="00332C23" w:rsidP="00A64E41">
            <w:pPr>
              <w:spacing w:before="60" w:after="60"/>
              <w:rPr>
                <w:i/>
              </w:rPr>
            </w:pPr>
            <w:r w:rsidRPr="00A64E41">
              <w:rPr>
                <w:i/>
              </w:rPr>
              <w:t xml:space="preserve">.  </w:t>
            </w:r>
          </w:p>
        </w:tc>
        <w:tc>
          <w:tcPr>
            <w:tcW w:w="10635" w:type="dxa"/>
          </w:tcPr>
          <w:p w14:paraId="2F4EF33D" w14:textId="77777777" w:rsidR="00332C23" w:rsidRPr="00A64E41" w:rsidRDefault="00332C23" w:rsidP="00A64E41">
            <w:pPr>
              <w:spacing w:before="60" w:after="60"/>
            </w:pPr>
            <w:r w:rsidRPr="00A64E41">
              <w:t>There is a need to understand more about how services and support are affecting the outcomes in people’s lives. Personalisation means putting the user at the heart of care planning and provision and it is critical to have high quality information to aid our understanding of the impact and outcomes achieved, to enable choice and inform services development and improvement. A robust survey programme, collecting the views of the people who use services and support, is the best and most appropriate vehicle to achieve this.</w:t>
            </w:r>
          </w:p>
          <w:p w14:paraId="02D637BE" w14:textId="77777777" w:rsidR="00332C23" w:rsidRPr="00A64E41" w:rsidRDefault="00332C23" w:rsidP="00A64E41">
            <w:pPr>
              <w:spacing w:before="60" w:after="60"/>
            </w:pPr>
          </w:p>
          <w:p w14:paraId="6F252510" w14:textId="77777777" w:rsidR="00332C23" w:rsidRPr="00A64E41" w:rsidRDefault="00332C23" w:rsidP="00A64E41">
            <w:pPr>
              <w:spacing w:before="60" w:after="60"/>
            </w:pPr>
            <w:r w:rsidRPr="00A64E41">
              <w:t>The Care Act 2014 consolidates past legislation and regulation, and continues to strive for greater transparency, accountability and personalisation in health and social care. Key to supporting the implementation of the Act is the need for outcome-focused intelligence.</w:t>
            </w:r>
          </w:p>
          <w:p w14:paraId="7F0BBF60" w14:textId="77777777" w:rsidR="00332C23" w:rsidRPr="00A64E41" w:rsidRDefault="00332C23" w:rsidP="00A64E41">
            <w:pPr>
              <w:spacing w:before="60" w:after="60"/>
            </w:pPr>
          </w:p>
          <w:p w14:paraId="00B9B60C" w14:textId="77777777" w:rsidR="00332C23" w:rsidRPr="00A64E41" w:rsidRDefault="00332C23" w:rsidP="00A64E41">
            <w:pPr>
              <w:spacing w:before="60" w:after="60"/>
            </w:pPr>
            <w:r w:rsidRPr="00A64E41">
              <w:lastRenderedPageBreak/>
              <w:t>The ASCS is the most significant pool of personal outcome information for those receiving LA-funded or managed adult social care. It is an important resource for reporting what has been achieved for local people, supporting development and improvement of local services and enabling people to make better choices about their care.</w:t>
            </w:r>
          </w:p>
          <w:p w14:paraId="6F899AB0" w14:textId="77777777" w:rsidR="00332C23" w:rsidRPr="00A64E41" w:rsidRDefault="00332C23" w:rsidP="00A64E41">
            <w:pPr>
              <w:spacing w:before="60" w:after="60"/>
            </w:pPr>
            <w:r w:rsidRPr="00A64E41">
              <w:t>It is important to understand at national level how well services are meeting user and carer needs. However, data from the survey is not intended to be used solely to monitor performance through national outcome measures but also to be used locally to inform delivery of service and support and to monitor and develop standards. It is recognised that surveys are an important means for obtaining this information. It is understood that some councils may undertake regular feedback via their agreements with service providers but this survey will give a greater insight into outcomes for users and provide a consistent basis for comparing results across different areas.</w:t>
            </w:r>
          </w:p>
          <w:p w14:paraId="0D0031DA" w14:textId="77777777" w:rsidR="00332C23" w:rsidRPr="00A64E41" w:rsidRDefault="00332C23" w:rsidP="00A64E41">
            <w:pPr>
              <w:spacing w:before="60" w:after="60"/>
            </w:pPr>
          </w:p>
          <w:p w14:paraId="5B852407" w14:textId="1BB36712" w:rsidR="00332C23" w:rsidRPr="00A64E41" w:rsidRDefault="00332C23" w:rsidP="00A64E41">
            <w:pPr>
              <w:spacing w:before="60" w:after="60"/>
            </w:pPr>
            <w:r w:rsidRPr="00A64E41">
              <w:t>Both surveys provide assured, benchmarked local data on outcomes to support local services to think about ways of improving outcomes in a very challenging financial climate. It is constructed so that an individual outcome can be disaggregated into constituent groups. So, as well as providing an overall quality of life index, it provides intelligence on whether specific groups experience better outcomes, whether services and support are meeting all outcome needs, and, in time, the value-added by social care services.</w:t>
            </w:r>
          </w:p>
          <w:p w14:paraId="1DC4045A" w14:textId="77777777" w:rsidR="00332C23" w:rsidRPr="00A64E41" w:rsidRDefault="00332C23" w:rsidP="00A64E41">
            <w:pPr>
              <w:spacing w:before="60" w:after="60"/>
            </w:pPr>
          </w:p>
          <w:p w14:paraId="03E7A214" w14:textId="77777777" w:rsidR="00332C23" w:rsidRPr="00A64E41" w:rsidRDefault="00332C23" w:rsidP="00A64E41">
            <w:pPr>
              <w:spacing w:before="60" w:after="60"/>
            </w:pPr>
            <w:r w:rsidRPr="00A64E41">
              <w:t>Numerators and denominators are presented in the annex files alongside the publication. Data is available at council, council type, regional and England level.</w:t>
            </w:r>
          </w:p>
          <w:p w14:paraId="68418146" w14:textId="77777777" w:rsidR="00332C23" w:rsidRPr="00A64E41" w:rsidRDefault="00332C23" w:rsidP="00A64E41">
            <w:pPr>
              <w:spacing w:before="60" w:after="60"/>
            </w:pPr>
          </w:p>
          <w:p w14:paraId="34095A7C" w14:textId="77777777" w:rsidR="00332C23" w:rsidRPr="00A64E41" w:rsidRDefault="00332C23" w:rsidP="00A64E41">
            <w:pPr>
              <w:spacing w:before="60" w:after="60"/>
              <w:rPr>
                <w:highlight w:val="yellow"/>
              </w:rPr>
            </w:pPr>
            <w:r w:rsidRPr="00A64E41">
              <w:t xml:space="preserve">Furthermore, the 2017-18 Adult Social Care Survey publication can be found at </w:t>
            </w:r>
            <w:r w:rsidRPr="00A64E41">
              <w:rPr>
                <w:highlight w:val="yellow"/>
              </w:rPr>
              <w:fldChar w:fldCharType="begin"/>
            </w:r>
            <w:r w:rsidRPr="00A64E41">
              <w:rPr>
                <w:highlight w:val="yellow"/>
              </w:rPr>
              <w:instrText xml:space="preserve"> HYPERLINK "</w:instrText>
            </w:r>
          </w:p>
          <w:p w14:paraId="65E10AC8" w14:textId="77777777" w:rsidR="00332C23" w:rsidRPr="00A64E41" w:rsidRDefault="00332C23" w:rsidP="00A64E41">
            <w:pPr>
              <w:spacing w:before="60" w:after="60"/>
              <w:rPr>
                <w:rStyle w:val="Hyperlink"/>
                <w:color w:val="auto"/>
                <w:highlight w:val="yellow"/>
              </w:rPr>
            </w:pPr>
            <w:r w:rsidRPr="00A64E41">
              <w:instrText xml:space="preserve">https://digital.nhs.uk/data-and-information/publications/statistical/personal-social-services-adult-social-care-survey/2017-18 </w:instrText>
            </w:r>
            <w:r w:rsidRPr="00A64E41">
              <w:rPr>
                <w:highlight w:val="yellow"/>
              </w:rPr>
              <w:instrText xml:space="preserve"> </w:instrText>
            </w:r>
            <w:r w:rsidRPr="00A64E41">
              <w:instrText>and the 2016-17</w:instrText>
            </w:r>
            <w:r w:rsidRPr="00A64E41">
              <w:rPr>
                <w:highlight w:val="yellow"/>
              </w:rPr>
              <w:instrText xml:space="preserve">" </w:instrText>
            </w:r>
            <w:r w:rsidRPr="00A64E41">
              <w:rPr>
                <w:highlight w:val="yellow"/>
              </w:rPr>
              <w:fldChar w:fldCharType="separate"/>
            </w:r>
          </w:p>
          <w:p w14:paraId="05677C4B" w14:textId="77777777" w:rsidR="00332C23" w:rsidRPr="00A64E41" w:rsidRDefault="00332C23" w:rsidP="00A64E41">
            <w:pPr>
              <w:spacing w:before="60" w:after="60"/>
            </w:pPr>
            <w:proofErr w:type="gramStart"/>
            <w:r w:rsidRPr="00A64E41">
              <w:rPr>
                <w:rStyle w:val="Hyperlink"/>
                <w:color w:val="auto"/>
              </w:rPr>
              <w:t>https://digital.nhs.uk/data-and-information/publications/statistical/personal-social-services-adult-social-care-survey/2017-18  an</w:t>
            </w:r>
            <w:proofErr w:type="gramEnd"/>
            <w:r w:rsidRPr="00A64E41">
              <w:rPr>
                <w:rStyle w:val="Hyperlink"/>
                <w:color w:val="auto"/>
              </w:rPr>
              <w:t>d the 2016-17</w:t>
            </w:r>
            <w:r w:rsidRPr="00A64E41">
              <w:rPr>
                <w:highlight w:val="yellow"/>
              </w:rPr>
              <w:fldChar w:fldCharType="end"/>
            </w:r>
            <w:r w:rsidRPr="00A64E41">
              <w:t xml:space="preserve"> Survey of Adult Carers in England can be found at </w:t>
            </w:r>
          </w:p>
          <w:p w14:paraId="6E17F05B" w14:textId="77777777" w:rsidR="00332C23" w:rsidRPr="00A64E41" w:rsidRDefault="008A7875" w:rsidP="00A64E41">
            <w:pPr>
              <w:spacing w:before="60" w:after="60"/>
            </w:pPr>
            <w:hyperlink r:id="rId17" w:history="1">
              <w:r w:rsidR="00332C23" w:rsidRPr="00A64E41">
                <w:rPr>
                  <w:rStyle w:val="Hyperlink"/>
                  <w:color w:val="auto"/>
                </w:rPr>
                <w:t>https://digital.nhs.uk/data-and-information/publications/statistical/personal-social-services-survey-of-adult-carers/personal-social-services-survey-of-adult-carers-in-england-2016-17</w:t>
              </w:r>
            </w:hyperlink>
            <w:r w:rsidR="00332C23" w:rsidRPr="00A64E41">
              <w:t xml:space="preserve"> </w:t>
            </w:r>
          </w:p>
          <w:p w14:paraId="276CCC38" w14:textId="77777777" w:rsidR="00332C23" w:rsidRPr="00A64E41" w:rsidRDefault="00332C23" w:rsidP="00A64E41">
            <w:pPr>
              <w:spacing w:before="60" w:after="60"/>
            </w:pPr>
          </w:p>
          <w:p w14:paraId="13E34F3F" w14:textId="77777777" w:rsidR="00332C23" w:rsidRPr="00A64E41" w:rsidRDefault="00332C23" w:rsidP="00A64E41">
            <w:pPr>
              <w:spacing w:before="60" w:after="60"/>
            </w:pPr>
            <w:r w:rsidRPr="00A64E41">
              <w:t>Outputs published include a narrative-based report which provides analysis of the key themes and trends in the data as well as a series of annex files which provide:</w:t>
            </w:r>
          </w:p>
          <w:p w14:paraId="1263E1A1" w14:textId="77777777" w:rsidR="00332C23" w:rsidRPr="00A64E41" w:rsidRDefault="00332C23" w:rsidP="00A64E41">
            <w:pPr>
              <w:spacing w:before="60" w:after="60"/>
            </w:pPr>
            <w:r w:rsidRPr="00A64E41">
              <w:t>a) details of the methodology and</w:t>
            </w:r>
          </w:p>
          <w:p w14:paraId="1CD3AABE" w14:textId="77777777" w:rsidR="00332C23" w:rsidRPr="00A64E41" w:rsidRDefault="00332C23" w:rsidP="00A64E41">
            <w:pPr>
              <w:spacing w:before="60" w:after="60"/>
            </w:pPr>
            <w:r w:rsidRPr="00A64E41">
              <w:t>b) datasets in various formats (by question, local authority and key demographics)</w:t>
            </w:r>
          </w:p>
          <w:p w14:paraId="7F49F8E9" w14:textId="77777777" w:rsidR="00332C23" w:rsidRPr="00A64E41" w:rsidRDefault="00332C23" w:rsidP="00A64E41">
            <w:pPr>
              <w:spacing w:before="60" w:after="60"/>
            </w:pPr>
            <w:r w:rsidRPr="00A64E41">
              <w:lastRenderedPageBreak/>
              <w:t>to support further analysis by end-users.</w:t>
            </w:r>
          </w:p>
        </w:tc>
      </w:tr>
      <w:tr w:rsidR="00A64E41" w:rsidRPr="00A64E41" w14:paraId="53C9CF2A" w14:textId="77777777" w:rsidTr="00A64E41">
        <w:tc>
          <w:tcPr>
            <w:tcW w:w="3539" w:type="dxa"/>
          </w:tcPr>
          <w:p w14:paraId="2DB0CE41" w14:textId="77777777" w:rsidR="00332C23" w:rsidRPr="00A64E41" w:rsidRDefault="00332C23" w:rsidP="00A64E41">
            <w:pPr>
              <w:spacing w:before="60" w:after="60"/>
              <w:rPr>
                <w:b/>
              </w:rPr>
            </w:pPr>
            <w:r w:rsidRPr="00A64E41">
              <w:rPr>
                <w:b/>
              </w:rPr>
              <w:lastRenderedPageBreak/>
              <w:t>3.3 What is considered “good” performance? What is considered “bad” performance?</w:t>
            </w:r>
          </w:p>
        </w:tc>
        <w:tc>
          <w:tcPr>
            <w:tcW w:w="10635" w:type="dxa"/>
          </w:tcPr>
          <w:p w14:paraId="72E55027" w14:textId="77777777" w:rsidR="00332C23" w:rsidRPr="00A64E41" w:rsidRDefault="00332C23" w:rsidP="00A64E41">
            <w:pPr>
              <w:spacing w:before="60" w:after="60"/>
            </w:pPr>
            <w:r w:rsidRPr="00A64E41">
              <w:t xml:space="preserve">The higher the indicator value the better the performance. However, as with all indicators, particularly high values should be investigated, either for good practice which can be shared across organisations, or to find out if there are untoward reasons for the high scores. </w:t>
            </w:r>
          </w:p>
          <w:p w14:paraId="6240DF61" w14:textId="77777777" w:rsidR="00332C23" w:rsidRPr="00A64E41" w:rsidRDefault="00332C23" w:rsidP="00A64E41">
            <w:r w:rsidRPr="00A64E41">
              <w:t>In 2017-18, the proportion of respondents (adult social care users who were randomly sampled to receive a questionnaire) who answered they find it “very easy” or “fairly easy” to find information about services ranged from 63.0% (Derby) to 85.0% (Liverpool).</w:t>
            </w:r>
          </w:p>
          <w:p w14:paraId="6DC665C6" w14:textId="77777777" w:rsidR="00332C23" w:rsidRPr="00A64E41" w:rsidRDefault="00332C23" w:rsidP="00A64E41">
            <w:pPr>
              <w:spacing w:before="60" w:after="60"/>
            </w:pPr>
            <w:r w:rsidRPr="00A64E41">
              <w:t>In 2017-18, the proportion of carers who answered they find it “very easy” or “fairly easy” to find information about services ranged from 47.5% (Hackney) to 85.4% (St Helens).</w:t>
            </w:r>
          </w:p>
          <w:p w14:paraId="6F3B5F74" w14:textId="77777777" w:rsidR="00332C23" w:rsidRPr="00A64E41" w:rsidRDefault="00332C23" w:rsidP="00A64E41">
            <w:pPr>
              <w:spacing w:before="60" w:after="60"/>
            </w:pPr>
          </w:p>
        </w:tc>
      </w:tr>
      <w:tr w:rsidR="00A64E41" w:rsidRPr="00A64E41" w14:paraId="3447CFA2" w14:textId="77777777" w:rsidTr="00A64E41">
        <w:tc>
          <w:tcPr>
            <w:tcW w:w="3539" w:type="dxa"/>
          </w:tcPr>
          <w:p w14:paraId="001D5900" w14:textId="77777777" w:rsidR="00332C23" w:rsidRPr="00A64E41" w:rsidRDefault="00332C23" w:rsidP="00A64E41">
            <w:pPr>
              <w:spacing w:before="60" w:after="60"/>
              <w:rPr>
                <w:b/>
              </w:rPr>
            </w:pPr>
            <w:r w:rsidRPr="00A64E41">
              <w:rPr>
                <w:b/>
              </w:rPr>
              <w:t>3.4 Is there a target to be achieved?</w:t>
            </w:r>
          </w:p>
        </w:tc>
        <w:tc>
          <w:tcPr>
            <w:tcW w:w="10635" w:type="dxa"/>
          </w:tcPr>
          <w:p w14:paraId="00EC0735" w14:textId="77777777" w:rsidR="00332C23" w:rsidRPr="00A64E41" w:rsidRDefault="00332C23" w:rsidP="00A64E41">
            <w:pPr>
              <w:spacing w:before="60" w:after="60"/>
            </w:pPr>
            <w:r w:rsidRPr="00A64E41">
              <w:t>The Government does not seek to performance manage councils in relation to any of the measures set out in this framework. Instead, the ASCOF will inform and support improvement led by the sector itself, underpinned by strengthened transparency and local accountability.</w:t>
            </w:r>
          </w:p>
          <w:p w14:paraId="79DD2430" w14:textId="77777777" w:rsidR="00332C23" w:rsidRPr="00A64E41" w:rsidRDefault="00332C23" w:rsidP="00A64E41">
            <w:pPr>
              <w:spacing w:before="60" w:after="60"/>
            </w:pPr>
            <w:r w:rsidRPr="00A64E41">
              <w:t>Regionally however, the data supports sector led improvement; bringing councils together to understand and benchmark their performance. This, in turn, stimulates discussions between councils on priorities for improvement, and promotes the sharing of learning and best practice.</w:t>
            </w:r>
          </w:p>
          <w:p w14:paraId="33C24CE5" w14:textId="77777777" w:rsidR="00332C23" w:rsidRPr="00A64E41" w:rsidRDefault="00332C23" w:rsidP="00A64E41">
            <w:pPr>
              <w:spacing w:before="60" w:after="60"/>
            </w:pPr>
            <w:r w:rsidRPr="00A64E41">
              <w:t>Using the PowerBI report, councils can for example benchmark their performance against Chartered Institute of Public Finance and Accountancy (CIPFA) derived nearest neighbour peer groups as well as against their regional peers or known, similar organizations. CIPFA derived nearest neighbour peer groups are groupings of comparable local authorities chosen using a model which finds similarities between authorities based on a range of social and economic indicators such as employment. More information about the Nearest Neighbour Model is on the CIPFA website (</w:t>
            </w:r>
            <w:hyperlink r:id="rId18" w:history="1">
              <w:r w:rsidRPr="00A64E41">
                <w:rPr>
                  <w:rStyle w:val="Hyperlink"/>
                  <w:color w:val="auto"/>
                </w:rPr>
                <w:t>http://www.cipfastats.net/resources/nearestneighbours/</w:t>
              </w:r>
            </w:hyperlink>
            <w:r w:rsidRPr="00A64E41">
              <w:t xml:space="preserve">). The standard 2018 model (i.e. using default settings) is currently being used. </w:t>
            </w:r>
          </w:p>
          <w:p w14:paraId="400CCB60" w14:textId="77777777" w:rsidR="00332C23" w:rsidRPr="00A64E41" w:rsidRDefault="00332C23" w:rsidP="00A64E41">
            <w:pPr>
              <w:spacing w:before="60" w:after="60"/>
            </w:pPr>
          </w:p>
          <w:p w14:paraId="45E30814" w14:textId="77777777" w:rsidR="00332C23" w:rsidRPr="00A64E41" w:rsidRDefault="00332C23" w:rsidP="00A64E41">
            <w:pPr>
              <w:spacing w:before="60" w:after="60"/>
            </w:pPr>
            <w:r w:rsidRPr="00A64E41">
              <w:t>Also, as outlined above, local authorities are also using the ASCOF to develop and publish local accounts to communicate directly with local communities on the outcomes that are being achieved, and their priorities for developing local services.</w:t>
            </w:r>
          </w:p>
          <w:p w14:paraId="31B9B7D1" w14:textId="77777777" w:rsidR="00332C23" w:rsidRPr="00A64E41" w:rsidRDefault="00332C23" w:rsidP="00A64E41">
            <w:pPr>
              <w:spacing w:before="60" w:after="60"/>
            </w:pPr>
          </w:p>
          <w:p w14:paraId="3CCD8A84" w14:textId="77777777" w:rsidR="00332C23" w:rsidRPr="00A64E41" w:rsidRDefault="00332C23">
            <w:pPr>
              <w:spacing w:before="60" w:after="60"/>
            </w:pPr>
            <w:r w:rsidRPr="00A64E41">
              <w:t xml:space="preserve">Furthermore, within the 2014/15 ASCOF publication, we were able to include evidence of where local authorities had been able to identify areas to improve processes: “We use ASCOF scores to produce summary sheets with quartiles, rankings and colour coding to show how our local authority is performing </w:t>
            </w:r>
            <w:r w:rsidRPr="00A64E41">
              <w:lastRenderedPageBreak/>
              <w:t xml:space="preserve">compared to other local authorities within the region and nationally. We identify area where performance looks low and add text boxes to document explanations. From the comments received we have identified some themes and we are now using these to produce an action plan to address the issues. We also highlight areas where we are performing well. We have used the benchmarking data to improve our 2C part 2 measure outcome by reviewing processes and implementing regular monitoring.” </w:t>
            </w:r>
          </w:p>
        </w:tc>
      </w:tr>
      <w:tr w:rsidR="00A64E41" w:rsidRPr="00A64E41" w14:paraId="2CD6C0E2" w14:textId="77777777" w:rsidTr="00A64E41">
        <w:tc>
          <w:tcPr>
            <w:tcW w:w="3539" w:type="dxa"/>
          </w:tcPr>
          <w:p w14:paraId="41F53FFC" w14:textId="77777777" w:rsidR="00332C23" w:rsidRPr="00A64E41" w:rsidRDefault="00332C23" w:rsidP="00A64E41">
            <w:pPr>
              <w:spacing w:before="60" w:after="60"/>
              <w:rPr>
                <w:b/>
              </w:rPr>
            </w:pPr>
            <w:r w:rsidRPr="00A64E41">
              <w:rPr>
                <w:b/>
              </w:rPr>
              <w:lastRenderedPageBreak/>
              <w:t>3.5 How will any interested parties use the information provided by the indicator?</w:t>
            </w:r>
          </w:p>
        </w:tc>
        <w:tc>
          <w:tcPr>
            <w:tcW w:w="10635" w:type="dxa"/>
          </w:tcPr>
          <w:p w14:paraId="78A480FB" w14:textId="77777777" w:rsidR="00332C23" w:rsidRPr="00A64E41" w:rsidRDefault="00332C23" w:rsidP="00A64E41">
            <w:pPr>
              <w:textAlignment w:val="baseline"/>
              <w:rPr>
                <w:rFonts w:eastAsia="Times New Roman"/>
                <w:lang w:eastAsia="en-GB"/>
              </w:rPr>
            </w:pPr>
            <w:r w:rsidRPr="00A64E41">
              <w:rPr>
                <w:rFonts w:eastAsia="Times New Roman"/>
                <w:lang w:eastAsia="en-GB"/>
              </w:rPr>
              <w:t>See 2.5. </w:t>
            </w:r>
          </w:p>
          <w:p w14:paraId="59F5269A" w14:textId="77777777" w:rsidR="00332C23" w:rsidRPr="00A64E41" w:rsidRDefault="00332C23" w:rsidP="00A64E41"/>
        </w:tc>
      </w:tr>
      <w:tr w:rsidR="00332C23" w:rsidRPr="00A64E41" w14:paraId="0C043C51" w14:textId="77777777" w:rsidTr="00A64E41">
        <w:tc>
          <w:tcPr>
            <w:tcW w:w="3539" w:type="dxa"/>
          </w:tcPr>
          <w:p w14:paraId="45B256E6" w14:textId="77777777" w:rsidR="00332C23" w:rsidRPr="00A64E41" w:rsidRDefault="00332C23" w:rsidP="00A64E41">
            <w:pPr>
              <w:spacing w:before="60" w:after="60"/>
              <w:rPr>
                <w:b/>
              </w:rPr>
            </w:pPr>
            <w:r w:rsidRPr="00A64E41">
              <w:rPr>
                <w:b/>
              </w:rPr>
              <w:t>3.6 Consider how the results can be used for benchmarking. If so, what methodology will be used?</w:t>
            </w:r>
          </w:p>
        </w:tc>
        <w:tc>
          <w:tcPr>
            <w:tcW w:w="10635" w:type="dxa"/>
          </w:tcPr>
          <w:p w14:paraId="65BC8341" w14:textId="77777777" w:rsidR="00332C23" w:rsidRPr="00A64E41" w:rsidRDefault="00332C23" w:rsidP="00A64E41">
            <w:pPr>
              <w:spacing w:before="60" w:after="60"/>
            </w:pPr>
            <w:r w:rsidRPr="00A64E41">
              <w:t>As 3.3</w:t>
            </w:r>
          </w:p>
        </w:tc>
      </w:tr>
    </w:tbl>
    <w:p w14:paraId="198AB1E4" w14:textId="77777777" w:rsidR="00332C23" w:rsidRPr="00A64E41" w:rsidRDefault="00332C23" w:rsidP="00A64E41"/>
    <w:tbl>
      <w:tblPr>
        <w:tblStyle w:val="TableGrid"/>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32"/>
        <w:gridCol w:w="10842"/>
      </w:tblGrid>
      <w:tr w:rsidR="00A64E41" w:rsidRPr="00A64E41" w14:paraId="37A55303" w14:textId="77777777" w:rsidTr="00A64E41">
        <w:tc>
          <w:tcPr>
            <w:tcW w:w="3332" w:type="dxa"/>
          </w:tcPr>
          <w:p w14:paraId="1D9D6D04" w14:textId="06537F6C" w:rsidR="00A64E41" w:rsidRPr="00A64E41" w:rsidRDefault="00A64E41" w:rsidP="00A64E41">
            <w:pPr>
              <w:spacing w:before="60" w:after="60"/>
              <w:rPr>
                <w:b/>
              </w:rPr>
            </w:pPr>
            <w:r w:rsidRPr="00A64E41">
              <w:rPr>
                <w:b/>
              </w:rPr>
              <w:t>Section 4: Data (MRG to assess)</w:t>
            </w:r>
          </w:p>
        </w:tc>
        <w:tc>
          <w:tcPr>
            <w:tcW w:w="10842" w:type="dxa"/>
            <w:shd w:val="clear" w:color="auto" w:fill="auto"/>
          </w:tcPr>
          <w:p w14:paraId="3B6BF511" w14:textId="77777777" w:rsidR="00A64E41" w:rsidRPr="00A64E41" w:rsidRDefault="00A64E41" w:rsidP="00A64E41">
            <w:pPr>
              <w:spacing w:before="60" w:after="60"/>
            </w:pPr>
          </w:p>
        </w:tc>
      </w:tr>
      <w:tr w:rsidR="00A64E41" w:rsidRPr="00A64E41" w14:paraId="74F74EBB" w14:textId="77777777" w:rsidTr="00A64E41">
        <w:tc>
          <w:tcPr>
            <w:tcW w:w="3332" w:type="dxa"/>
          </w:tcPr>
          <w:p w14:paraId="512A8ABD" w14:textId="77777777" w:rsidR="00332C23" w:rsidRPr="00A64E41" w:rsidRDefault="00332C23" w:rsidP="00A64E41">
            <w:pPr>
              <w:spacing w:before="60" w:after="60"/>
              <w:rPr>
                <w:b/>
              </w:rPr>
            </w:pPr>
            <w:r w:rsidRPr="00A64E41">
              <w:rPr>
                <w:b/>
              </w:rPr>
              <w:t>4.1 What is the source of the data and why should it be used?</w:t>
            </w:r>
          </w:p>
          <w:p w14:paraId="68196008" w14:textId="77777777" w:rsidR="00332C23" w:rsidRPr="00A64E41" w:rsidRDefault="00332C23" w:rsidP="00A64E41">
            <w:pPr>
              <w:spacing w:before="60" w:after="60"/>
              <w:rPr>
                <w:i/>
              </w:rPr>
            </w:pPr>
          </w:p>
        </w:tc>
        <w:tc>
          <w:tcPr>
            <w:tcW w:w="10842" w:type="dxa"/>
            <w:shd w:val="clear" w:color="auto" w:fill="auto"/>
          </w:tcPr>
          <w:p w14:paraId="3085F7E9" w14:textId="77777777" w:rsidR="00332C23" w:rsidRPr="00A64E41" w:rsidRDefault="00332C23" w:rsidP="00A64E41">
            <w:pPr>
              <w:spacing w:before="60" w:after="60"/>
            </w:pPr>
            <w:r w:rsidRPr="00A64E41">
              <w:t>This indicator (3D, Part 1) uses the Adult Social Care Survey (ASCS).</w:t>
            </w:r>
          </w:p>
          <w:p w14:paraId="1E8479CB" w14:textId="77777777" w:rsidR="00332C23" w:rsidRPr="00A64E41" w:rsidRDefault="00332C23" w:rsidP="00A64E41">
            <w:pPr>
              <w:spacing w:before="60" w:after="60"/>
            </w:pPr>
            <w:r w:rsidRPr="00A64E41">
              <w:t xml:space="preserve">The Adult Social Care User Survey was created in 2010-11, one year before becoming the basis for a number of the indicators in the ASCOF. </w:t>
            </w:r>
          </w:p>
          <w:p w14:paraId="5B41138C" w14:textId="77777777" w:rsidR="00332C23" w:rsidRPr="00A64E41" w:rsidRDefault="00332C23" w:rsidP="00A64E41">
            <w:pPr>
              <w:spacing w:before="60" w:after="60"/>
            </w:pPr>
            <w:r w:rsidRPr="00A64E41">
              <w:t>The ASCS is an annual survey of users who are in receipt of council funded services. Service users are sent a self-completion questionnaire, although those in residential care who are deemed to not have the capacity to consent to take part in the survey are removed from the sample before the questionnaires are sent out. Also, some service users have help completing the questionnaire.</w:t>
            </w:r>
          </w:p>
          <w:p w14:paraId="6A97C18A" w14:textId="77777777" w:rsidR="00332C23" w:rsidRPr="00A64E41" w:rsidRDefault="00332C23" w:rsidP="00A64E41">
            <w:pPr>
              <w:spacing w:before="60" w:after="60"/>
            </w:pPr>
            <w:r w:rsidRPr="00A64E41">
              <w:t>There are three variants of the questionnaire which can be sent to a service user depending on their particular situation. However, these variants are designed to cover the same questions and the answers are combined to produce the results. The variants are:</w:t>
            </w:r>
          </w:p>
          <w:p w14:paraId="5AE8C99C" w14:textId="77777777" w:rsidR="00332C23" w:rsidRPr="00A64E41" w:rsidRDefault="00332C23" w:rsidP="00A64E41">
            <w:pPr>
              <w:spacing w:before="60" w:after="60"/>
            </w:pPr>
            <w:r w:rsidRPr="00A64E41">
              <w:t>•</w:t>
            </w:r>
            <w:r w:rsidRPr="00A64E41">
              <w:tab/>
              <w:t>Users receiving services in the community.</w:t>
            </w:r>
          </w:p>
          <w:p w14:paraId="2F8B56E4" w14:textId="77777777" w:rsidR="00332C23" w:rsidRPr="00A64E41" w:rsidRDefault="00332C23" w:rsidP="00A64E41">
            <w:pPr>
              <w:spacing w:before="60" w:after="60"/>
            </w:pPr>
            <w:r w:rsidRPr="00A64E41">
              <w:t>•</w:t>
            </w:r>
            <w:r w:rsidRPr="00A64E41">
              <w:tab/>
              <w:t>Users in residential care.</w:t>
            </w:r>
          </w:p>
          <w:p w14:paraId="0F912DEA" w14:textId="77777777" w:rsidR="00332C23" w:rsidRPr="00A64E41" w:rsidRDefault="00332C23" w:rsidP="00A64E41">
            <w:pPr>
              <w:spacing w:before="60" w:after="60"/>
            </w:pPr>
            <w:r w:rsidRPr="00A64E41">
              <w:t>•</w:t>
            </w:r>
            <w:r w:rsidRPr="00A64E41">
              <w:tab/>
              <w:t>Users with a learning disability.</w:t>
            </w:r>
          </w:p>
          <w:p w14:paraId="4F9B2F9E" w14:textId="77777777" w:rsidR="00332C23" w:rsidRPr="00A64E41" w:rsidRDefault="008A7875" w:rsidP="00A64E41">
            <w:pPr>
              <w:spacing w:before="60" w:after="60"/>
            </w:pPr>
            <w:hyperlink r:id="rId19" w:history="1">
              <w:r w:rsidR="00332C23" w:rsidRPr="00A64E41">
                <w:rPr>
                  <w:rStyle w:val="Hyperlink"/>
                  <w:rFonts w:eastAsia="Times New Roman"/>
                  <w:color w:val="auto"/>
                  <w:lang w:eastAsia="en-GB"/>
                </w:rPr>
                <w:t>https://digital.nhs.uk/data-and-information/data-collections-and-data-sets/data-collections/social-care-user-surveys/social-care-users-survey-2018-19</w:t>
              </w:r>
            </w:hyperlink>
            <w:r w:rsidR="00332C23" w:rsidRPr="00A64E41">
              <w:rPr>
                <w:rFonts w:eastAsia="Times New Roman"/>
                <w:lang w:eastAsia="en-GB"/>
              </w:rPr>
              <w:t xml:space="preserve">  </w:t>
            </w:r>
          </w:p>
          <w:p w14:paraId="0F7E906D" w14:textId="77777777" w:rsidR="00332C23" w:rsidRPr="00A64E41" w:rsidRDefault="00332C23" w:rsidP="00A64E41">
            <w:pPr>
              <w:spacing w:before="60" w:after="60"/>
            </w:pPr>
          </w:p>
          <w:p w14:paraId="057758C7" w14:textId="77777777" w:rsidR="00332C23" w:rsidRPr="00A64E41" w:rsidRDefault="00332C23" w:rsidP="00A64E41">
            <w:pPr>
              <w:spacing w:before="60" w:after="60"/>
            </w:pPr>
            <w:r w:rsidRPr="00A64E41">
              <w:lastRenderedPageBreak/>
              <w:t>IAP00423 (3D, Part 2) uses Survey of Adult Carers in England (SACE). Part 1 and 2 are not combined to a single figure.</w:t>
            </w:r>
          </w:p>
          <w:p w14:paraId="4E958017" w14:textId="77777777" w:rsidR="00332C23" w:rsidRPr="00A64E41" w:rsidRDefault="00332C23" w:rsidP="00A64E41">
            <w:pPr>
              <w:spacing w:before="60" w:after="60"/>
            </w:pPr>
          </w:p>
          <w:p w14:paraId="585FDC3A" w14:textId="77777777" w:rsidR="00332C23" w:rsidRPr="00A64E41" w:rsidRDefault="00332C23" w:rsidP="00A64E41">
            <w:pPr>
              <w:spacing w:before="60" w:after="60"/>
            </w:pPr>
            <w:r w:rsidRPr="00A64E41">
              <w:t>All LAs with an eligible population of 150 or more service users are required to participate in the survey. LAs with an eligible population totalling less than 150 are not required to participate in the survey, as the resulting data may not meet the minimum requirements that are set out in terms of statistical accuracy.</w:t>
            </w:r>
          </w:p>
          <w:p w14:paraId="70909028" w14:textId="0860BF7B" w:rsidR="00332C23" w:rsidRPr="00A64E41" w:rsidRDefault="00332C23" w:rsidP="00A64E41">
            <w:pPr>
              <w:spacing w:before="60" w:after="60"/>
            </w:pPr>
            <w:r w:rsidRPr="00A64E41">
              <w:t>The survey was put in place to generate the data needed for the outcome’s framework.  There are no other data sources to consider as this is the only source available.</w:t>
            </w:r>
          </w:p>
        </w:tc>
      </w:tr>
      <w:tr w:rsidR="00A64E41" w:rsidRPr="00A64E41" w14:paraId="77C1EF08" w14:textId="77777777" w:rsidTr="00A64E41">
        <w:tc>
          <w:tcPr>
            <w:tcW w:w="3332" w:type="dxa"/>
          </w:tcPr>
          <w:p w14:paraId="4E94540B" w14:textId="77777777" w:rsidR="00332C23" w:rsidRPr="00A64E41" w:rsidRDefault="00332C23" w:rsidP="00A64E41">
            <w:pPr>
              <w:spacing w:before="60" w:after="60"/>
              <w:rPr>
                <w:b/>
              </w:rPr>
            </w:pPr>
            <w:r w:rsidRPr="00A64E41">
              <w:rPr>
                <w:b/>
              </w:rPr>
              <w:lastRenderedPageBreak/>
              <w:t xml:space="preserve">4.2 Was any other data source considered? </w:t>
            </w:r>
          </w:p>
        </w:tc>
        <w:tc>
          <w:tcPr>
            <w:tcW w:w="10842" w:type="dxa"/>
            <w:shd w:val="clear" w:color="auto" w:fill="auto"/>
          </w:tcPr>
          <w:p w14:paraId="2B690A6E" w14:textId="77777777" w:rsidR="00332C23" w:rsidRPr="00A64E41" w:rsidRDefault="00332C23" w:rsidP="00A64E41">
            <w:pPr>
              <w:spacing w:before="60" w:after="60"/>
              <w:rPr>
                <w:i/>
              </w:rPr>
            </w:pPr>
            <w:r w:rsidRPr="00A64E41">
              <w:t>No, the ASCS and SACE are the only available data collections that we can use for this.</w:t>
            </w:r>
          </w:p>
        </w:tc>
      </w:tr>
      <w:tr w:rsidR="00A64E41" w:rsidRPr="00A64E41" w14:paraId="0EA872C1" w14:textId="77777777" w:rsidTr="00A64E41">
        <w:trPr>
          <w:trHeight w:val="485"/>
        </w:trPr>
        <w:tc>
          <w:tcPr>
            <w:tcW w:w="3332" w:type="dxa"/>
          </w:tcPr>
          <w:p w14:paraId="65FBF446" w14:textId="77777777" w:rsidR="00332C23" w:rsidRPr="00A64E41" w:rsidRDefault="00332C23" w:rsidP="00A64E41">
            <w:pPr>
              <w:spacing w:before="60" w:after="60"/>
              <w:rPr>
                <w:b/>
              </w:rPr>
            </w:pPr>
            <w:r w:rsidRPr="00A64E41">
              <w:rPr>
                <w:b/>
              </w:rPr>
              <w:t>4.3 What is the coverage period of the data?</w:t>
            </w:r>
          </w:p>
        </w:tc>
        <w:tc>
          <w:tcPr>
            <w:tcW w:w="10842" w:type="dxa"/>
            <w:shd w:val="clear" w:color="auto" w:fill="auto"/>
          </w:tcPr>
          <w:p w14:paraId="0DD710B4" w14:textId="77777777" w:rsidR="00332C23" w:rsidRPr="00A64E41" w:rsidRDefault="00332C23" w:rsidP="00A64E41">
            <w:pPr>
              <w:spacing w:before="60" w:after="60"/>
            </w:pPr>
            <w:r w:rsidRPr="00A64E41">
              <w:t>The ASCS survey is carried out annually. The SACE survey is carried out biennially.</w:t>
            </w:r>
          </w:p>
        </w:tc>
      </w:tr>
      <w:tr w:rsidR="00A64E41" w:rsidRPr="00A64E41" w14:paraId="56C0D0B6" w14:textId="77777777" w:rsidTr="00A64E41">
        <w:trPr>
          <w:trHeight w:val="738"/>
        </w:trPr>
        <w:tc>
          <w:tcPr>
            <w:tcW w:w="3332" w:type="dxa"/>
          </w:tcPr>
          <w:p w14:paraId="6F4713C7" w14:textId="77777777" w:rsidR="00332C23" w:rsidRPr="00A64E41" w:rsidRDefault="00332C23" w:rsidP="00A64E41">
            <w:pPr>
              <w:spacing w:before="60" w:after="60"/>
              <w:rPr>
                <w:b/>
              </w:rPr>
            </w:pPr>
            <w:r w:rsidRPr="00A64E41">
              <w:rPr>
                <w:b/>
              </w:rPr>
              <w:t>4.4 Which geographic area(s) will be covered and reported on by this indicator?</w:t>
            </w:r>
          </w:p>
        </w:tc>
        <w:tc>
          <w:tcPr>
            <w:tcW w:w="10842" w:type="dxa"/>
            <w:shd w:val="clear" w:color="auto" w:fill="auto"/>
          </w:tcPr>
          <w:p w14:paraId="14CEA5F1" w14:textId="77777777" w:rsidR="00332C23" w:rsidRPr="00A64E41" w:rsidRDefault="00332C23" w:rsidP="00A64E41">
            <w:pPr>
              <w:spacing w:before="60" w:after="60"/>
              <w:rPr>
                <w:i/>
              </w:rPr>
            </w:pPr>
            <w:r w:rsidRPr="00A64E41">
              <w:t>Data is available at council with adult social service responsibility (CASSR), regional and England levels.</w:t>
            </w:r>
          </w:p>
        </w:tc>
      </w:tr>
      <w:tr w:rsidR="00A64E41" w:rsidRPr="00A64E41" w14:paraId="1F171396" w14:textId="77777777" w:rsidTr="00A64E41">
        <w:tc>
          <w:tcPr>
            <w:tcW w:w="3332" w:type="dxa"/>
          </w:tcPr>
          <w:p w14:paraId="3E13BEDE" w14:textId="77777777" w:rsidR="00332C23" w:rsidRPr="00A64E41" w:rsidRDefault="00332C23" w:rsidP="00A64E41">
            <w:pPr>
              <w:spacing w:before="60" w:after="60"/>
              <w:rPr>
                <w:b/>
              </w:rPr>
            </w:pPr>
            <w:r w:rsidRPr="00A64E41">
              <w:rPr>
                <w:b/>
              </w:rPr>
              <w:t>4.5 How will the data be extracted or collected?</w:t>
            </w:r>
          </w:p>
          <w:p w14:paraId="168E21F1" w14:textId="77777777" w:rsidR="00332C23" w:rsidRPr="00A64E41" w:rsidRDefault="00332C23" w:rsidP="00A64E41">
            <w:pPr>
              <w:spacing w:before="60" w:after="60"/>
              <w:rPr>
                <w:b/>
              </w:rPr>
            </w:pPr>
          </w:p>
        </w:tc>
        <w:tc>
          <w:tcPr>
            <w:tcW w:w="10842" w:type="dxa"/>
            <w:shd w:val="clear" w:color="auto" w:fill="auto"/>
          </w:tcPr>
          <w:p w14:paraId="65B8E57A"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The ASCS is a survey of users who are in receipt of council funded services. Service users are sent a self-completion questionnaire, although some service users have help completing the questionnaire, which is returned by post using a pre-paid envelope. </w:t>
            </w:r>
          </w:p>
          <w:p w14:paraId="01486BBD"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There are two main variants of the questionnaire which can be sent to a service user depending on their particular situation. However, these variants are designed to cover the same questions and the answers are combined to produce the results. </w:t>
            </w:r>
          </w:p>
          <w:p w14:paraId="5259F326"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The variants are: </w:t>
            </w:r>
          </w:p>
          <w:p w14:paraId="5FD1C934" w14:textId="77777777" w:rsidR="00332C23" w:rsidRPr="00A64E41" w:rsidRDefault="00332C23" w:rsidP="00A64E41">
            <w:pPr>
              <w:pStyle w:val="Default"/>
              <w:numPr>
                <w:ilvl w:val="0"/>
                <w:numId w:val="6"/>
              </w:numPr>
              <w:spacing w:beforeLines="60" w:before="144" w:afterLines="60" w:after="144"/>
              <w:rPr>
                <w:color w:val="auto"/>
                <w:sz w:val="22"/>
                <w:szCs w:val="22"/>
              </w:rPr>
            </w:pPr>
            <w:r w:rsidRPr="00A64E41">
              <w:rPr>
                <w:color w:val="auto"/>
                <w:sz w:val="22"/>
                <w:szCs w:val="22"/>
              </w:rPr>
              <w:t xml:space="preserve">Users receiving services in the community / users in residential care (with slight differences to reflect different settings) </w:t>
            </w:r>
          </w:p>
          <w:p w14:paraId="0E20B160" w14:textId="77777777" w:rsidR="00332C23" w:rsidRPr="00A64E41" w:rsidRDefault="00332C23" w:rsidP="00A64E41">
            <w:pPr>
              <w:pStyle w:val="Default"/>
              <w:numPr>
                <w:ilvl w:val="0"/>
                <w:numId w:val="6"/>
              </w:numPr>
              <w:spacing w:beforeLines="60" w:before="144" w:afterLines="60" w:after="144"/>
              <w:rPr>
                <w:color w:val="auto"/>
                <w:sz w:val="22"/>
                <w:szCs w:val="22"/>
              </w:rPr>
            </w:pPr>
            <w:r w:rsidRPr="00A64E41">
              <w:rPr>
                <w:color w:val="auto"/>
                <w:sz w:val="22"/>
                <w:szCs w:val="22"/>
              </w:rPr>
              <w:t xml:space="preserve">Users with a learning disability (easy-read version) </w:t>
            </w:r>
          </w:p>
          <w:p w14:paraId="17416F6B"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Service users who are sent the easy-read version of the questionnaire (designed for, but not exclusively sent to, service users with a learning disability) will be treated in the same way, as this version of the questionnaire has been designed to be equivalent to the non-learning disabilities version. The easy-read </w:t>
            </w:r>
            <w:r w:rsidRPr="00A64E41">
              <w:rPr>
                <w:color w:val="auto"/>
                <w:sz w:val="22"/>
                <w:szCs w:val="22"/>
              </w:rPr>
              <w:lastRenderedPageBreak/>
              <w:t>version uses images from the Valuing People Clipart Collection (</w:t>
            </w:r>
            <w:hyperlink r:id="rId20" w:history="1">
              <w:r w:rsidRPr="00A64E41">
                <w:rPr>
                  <w:rStyle w:val="Hyperlink"/>
                  <w:color w:val="auto"/>
                  <w:sz w:val="22"/>
                  <w:szCs w:val="22"/>
                </w:rPr>
                <w:t>www.inspiredservices.org.uk</w:t>
              </w:r>
            </w:hyperlink>
            <w:r w:rsidRPr="00A64E41">
              <w:rPr>
                <w:color w:val="auto"/>
                <w:sz w:val="22"/>
                <w:szCs w:val="22"/>
              </w:rPr>
              <w:t xml:space="preserve">) to make the questionnaire accessible to those with learning difficulties. </w:t>
            </w:r>
          </w:p>
          <w:p w14:paraId="445C108C" w14:textId="77777777" w:rsidR="00332C23" w:rsidRPr="00A64E41" w:rsidRDefault="00332C23" w:rsidP="00A64E41">
            <w:pPr>
              <w:spacing w:beforeLines="60" w:before="144" w:afterLines="60" w:after="144"/>
            </w:pPr>
            <w:r w:rsidRPr="00A64E41">
              <w:t xml:space="preserve">This survey covers those individuals who were in receipt of a council-funded long-term social care support service, as defined in the Equalities and Classifications Framework for adult social care (EQ-CL) on an extract date chosen by the council (i.e. the date on which these data are extracted from council information systems). This is the same population of service users as would be reported in table LTS001b of the Short and Long Term services (SALT) return if this table was populated in relation to the chosen extract date rather than 31 March. These service users make up what is known as the ‘Eligible Population’ for the survey. In-depth information on the sample can be found in section 5 of the Information and guidance for the Adult Social Care Survey for 2018-19: </w:t>
            </w:r>
          </w:p>
          <w:p w14:paraId="1AF398F0" w14:textId="77777777" w:rsidR="00332C23" w:rsidRPr="00A64E41" w:rsidRDefault="008A7875" w:rsidP="00A64E41">
            <w:pPr>
              <w:spacing w:beforeLines="60" w:before="144" w:afterLines="60" w:after="144"/>
              <w:rPr>
                <w:i/>
              </w:rPr>
            </w:pPr>
            <w:hyperlink r:id="rId21" w:history="1">
              <w:r w:rsidR="00332C23" w:rsidRPr="00A64E41">
                <w:rPr>
                  <w:rStyle w:val="Hyperlink"/>
                  <w:color w:val="auto"/>
                </w:rPr>
                <w:t>https://digital.nhs.uk/binaries/content/assets/website-assets/data-and-information/data-collections/social-care-user-surveys/ascs_guidance_2018-19.pdf</w:t>
              </w:r>
            </w:hyperlink>
            <w:r w:rsidR="00332C23" w:rsidRPr="00A64E41">
              <w:t xml:space="preserve"> </w:t>
            </w:r>
          </w:p>
          <w:p w14:paraId="0E3EED02" w14:textId="77777777" w:rsidR="00332C23" w:rsidRPr="00A64E41" w:rsidRDefault="00332C23" w:rsidP="00A64E41">
            <w:pPr>
              <w:spacing w:beforeLines="60" w:before="144" w:afterLines="60" w:after="144"/>
              <w:rPr>
                <w:i/>
              </w:rPr>
            </w:pPr>
          </w:p>
        </w:tc>
      </w:tr>
      <w:tr w:rsidR="00A64E41" w:rsidRPr="00A64E41" w14:paraId="09A0CE47" w14:textId="77777777" w:rsidTr="00A64E41">
        <w:tc>
          <w:tcPr>
            <w:tcW w:w="3332" w:type="dxa"/>
          </w:tcPr>
          <w:p w14:paraId="53571B43" w14:textId="77777777" w:rsidR="00332C23" w:rsidRPr="00A64E41" w:rsidRDefault="00332C23" w:rsidP="00A64E41">
            <w:pPr>
              <w:spacing w:before="60" w:after="60"/>
              <w:rPr>
                <w:b/>
              </w:rPr>
            </w:pPr>
            <w:r w:rsidRPr="00A64E41">
              <w:rPr>
                <w:b/>
              </w:rPr>
              <w:lastRenderedPageBreak/>
              <w:t>4.6 Data fields required</w:t>
            </w:r>
          </w:p>
          <w:p w14:paraId="4FBDB4E7" w14:textId="77777777" w:rsidR="00332C23" w:rsidRPr="00A64E41" w:rsidRDefault="00332C23" w:rsidP="00A64E41">
            <w:pPr>
              <w:spacing w:before="60" w:after="60"/>
              <w:rPr>
                <w:i/>
              </w:rPr>
            </w:pPr>
          </w:p>
        </w:tc>
        <w:tc>
          <w:tcPr>
            <w:tcW w:w="10842" w:type="dxa"/>
            <w:shd w:val="clear" w:color="auto" w:fill="auto"/>
          </w:tcPr>
          <w:p w14:paraId="3BD1DA69" w14:textId="77777777" w:rsidR="00332C23" w:rsidRPr="00A64E41" w:rsidRDefault="00332C23" w:rsidP="00A64E41">
            <w:pPr>
              <w:spacing w:before="60" w:after="60"/>
            </w:pPr>
            <w:r w:rsidRPr="00A64E41">
              <w:t xml:space="preserve">Numerator - ASCS Question 12; "In the past year, have you generally found it easy or difficult to find information and advice about support, services or benefits?" </w:t>
            </w:r>
          </w:p>
          <w:p w14:paraId="7CB4B579" w14:textId="77777777" w:rsidR="00332C23" w:rsidRPr="00A64E41" w:rsidRDefault="00332C23" w:rsidP="00A64E41">
            <w:pPr>
              <w:spacing w:before="60"/>
            </w:pPr>
            <w:r w:rsidRPr="00A64E41">
              <w:t>X Very easy to find</w:t>
            </w:r>
          </w:p>
          <w:p w14:paraId="3BA2E02A" w14:textId="77777777" w:rsidR="00332C23" w:rsidRPr="00A64E41" w:rsidRDefault="00332C23" w:rsidP="00A64E41">
            <w:pPr>
              <w:spacing w:before="60"/>
            </w:pPr>
            <w:r w:rsidRPr="00A64E41">
              <w:t>X Fairly easy to find</w:t>
            </w:r>
          </w:p>
          <w:p w14:paraId="727E72D0" w14:textId="77777777" w:rsidR="00332C23" w:rsidRPr="00A64E41" w:rsidRDefault="00332C23" w:rsidP="00A64E41">
            <w:pPr>
              <w:spacing w:before="60"/>
            </w:pPr>
            <w:r w:rsidRPr="00A64E41">
              <w:t>X Fairly difficult to find</w:t>
            </w:r>
          </w:p>
          <w:p w14:paraId="7807814E" w14:textId="77777777" w:rsidR="00332C23" w:rsidRPr="00A64E41" w:rsidRDefault="00332C23" w:rsidP="00A64E41">
            <w:pPr>
              <w:spacing w:before="60"/>
            </w:pPr>
            <w:r w:rsidRPr="00A64E41">
              <w:t>X Very difficult to find</w:t>
            </w:r>
          </w:p>
          <w:p w14:paraId="52F89554" w14:textId="77777777" w:rsidR="00332C23" w:rsidRPr="00A64E41" w:rsidRDefault="00332C23" w:rsidP="00A64E41">
            <w:pPr>
              <w:spacing w:before="60" w:after="60"/>
            </w:pPr>
          </w:p>
          <w:p w14:paraId="2585AB6E" w14:textId="77777777" w:rsidR="00332C23" w:rsidRPr="00A64E41" w:rsidRDefault="00332C23" w:rsidP="00A64E41">
            <w:pPr>
              <w:spacing w:before="60" w:after="60"/>
            </w:pPr>
            <w:r w:rsidRPr="00A64E41">
              <w:t>Geographic CASSR Code</w:t>
            </w:r>
          </w:p>
          <w:p w14:paraId="140E74BA" w14:textId="77777777" w:rsidR="00332C23" w:rsidRPr="00A64E41" w:rsidRDefault="00332C23" w:rsidP="00A64E41">
            <w:pPr>
              <w:spacing w:before="60" w:after="60"/>
            </w:pPr>
            <w:r w:rsidRPr="00A64E41">
              <w:t>Denominator - Number of people who responded to the survey</w:t>
            </w:r>
          </w:p>
        </w:tc>
      </w:tr>
      <w:tr w:rsidR="00A64E41" w:rsidRPr="00A64E41" w14:paraId="34773FC1" w14:textId="77777777" w:rsidTr="00A64E41">
        <w:tc>
          <w:tcPr>
            <w:tcW w:w="3332" w:type="dxa"/>
          </w:tcPr>
          <w:p w14:paraId="791630F0" w14:textId="77777777" w:rsidR="00332C23" w:rsidRPr="00A64E41" w:rsidRDefault="00332C23" w:rsidP="00A64E41">
            <w:pPr>
              <w:spacing w:before="60" w:after="60"/>
              <w:rPr>
                <w:b/>
              </w:rPr>
            </w:pPr>
            <w:r w:rsidRPr="00A64E41">
              <w:rPr>
                <w:b/>
              </w:rPr>
              <w:t>4.7 Are any data filters required?</w:t>
            </w:r>
          </w:p>
          <w:p w14:paraId="63605B66" w14:textId="77777777" w:rsidR="00332C23" w:rsidRPr="00A64E41" w:rsidRDefault="00332C23" w:rsidP="00A64E41">
            <w:pPr>
              <w:spacing w:before="60" w:after="60"/>
              <w:rPr>
                <w:i/>
              </w:rPr>
            </w:pPr>
          </w:p>
        </w:tc>
        <w:tc>
          <w:tcPr>
            <w:tcW w:w="10842" w:type="dxa"/>
            <w:shd w:val="clear" w:color="auto" w:fill="auto"/>
          </w:tcPr>
          <w:p w14:paraId="029F4DC5" w14:textId="77777777" w:rsidR="00332C23" w:rsidRPr="00A64E41" w:rsidRDefault="00332C23" w:rsidP="00A64E41">
            <w:pPr>
              <w:spacing w:before="60" w:after="60"/>
            </w:pPr>
            <w:r w:rsidRPr="00A64E41">
              <w:t>None</w:t>
            </w:r>
          </w:p>
        </w:tc>
      </w:tr>
      <w:tr w:rsidR="00A64E41" w:rsidRPr="00A64E41" w14:paraId="1DAA9B38" w14:textId="77777777" w:rsidTr="00A64E41">
        <w:tc>
          <w:tcPr>
            <w:tcW w:w="3332" w:type="dxa"/>
          </w:tcPr>
          <w:p w14:paraId="5DD5AA01" w14:textId="77777777" w:rsidR="00332C23" w:rsidRPr="00A64E41" w:rsidRDefault="00332C23" w:rsidP="00A64E41">
            <w:pPr>
              <w:spacing w:before="60" w:after="60"/>
              <w:rPr>
                <w:b/>
              </w:rPr>
            </w:pPr>
            <w:r w:rsidRPr="00A64E41">
              <w:rPr>
                <w:b/>
              </w:rPr>
              <w:t>4.8 Are there any linkages to other datasets?</w:t>
            </w:r>
          </w:p>
        </w:tc>
        <w:tc>
          <w:tcPr>
            <w:tcW w:w="10842" w:type="dxa"/>
            <w:shd w:val="clear" w:color="auto" w:fill="auto"/>
          </w:tcPr>
          <w:p w14:paraId="68E7BF81" w14:textId="77777777" w:rsidR="00332C23" w:rsidRPr="00A64E41" w:rsidRDefault="00332C23" w:rsidP="00A64E41">
            <w:pPr>
              <w:spacing w:before="60" w:after="60"/>
            </w:pPr>
            <w:r w:rsidRPr="00A64E41">
              <w:t>N/A</w:t>
            </w:r>
          </w:p>
        </w:tc>
      </w:tr>
      <w:tr w:rsidR="00A64E41" w:rsidRPr="00A64E41" w14:paraId="04AAAC78" w14:textId="77777777" w:rsidTr="00A64E41">
        <w:tc>
          <w:tcPr>
            <w:tcW w:w="3332" w:type="dxa"/>
          </w:tcPr>
          <w:p w14:paraId="351187A4" w14:textId="77777777" w:rsidR="00332C23" w:rsidRPr="00A64E41" w:rsidRDefault="00332C23" w:rsidP="00A64E41">
            <w:pPr>
              <w:spacing w:before="60" w:after="60"/>
              <w:rPr>
                <w:b/>
              </w:rPr>
            </w:pPr>
            <w:r w:rsidRPr="00A64E41">
              <w:rPr>
                <w:b/>
              </w:rPr>
              <w:lastRenderedPageBreak/>
              <w:t>4.9 Are there any limitations or potential bias?</w:t>
            </w:r>
          </w:p>
        </w:tc>
        <w:tc>
          <w:tcPr>
            <w:tcW w:w="10842" w:type="dxa"/>
            <w:shd w:val="clear" w:color="auto" w:fill="auto"/>
          </w:tcPr>
          <w:p w14:paraId="7C8D5F50"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Ease of finding information is affected by variables that are not within the control of the service provider. e.g. literacy and English as a first language vary by Region and Council.</w:t>
            </w:r>
          </w:p>
          <w:p w14:paraId="568E7DDE"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The higher the level of non-response to a survey the greater the number of questionnaires that need to be sent out in order to achieve an acceptable sample size. Unfortunately, the higher the level of non-response, the higher the risk of serious non-response bias. Non-response bias comes about because the people who do not take part in a survey are different from those that do. If for example the people who respond to user satisfaction surveys are more likely to be dissatisfied than those that do not, any user satisfaction survey is likely to overestimate the true level of dissatisfaction among all users. The higher the level of non-response the greater this overestimation will be. In other words, any advantage gained by boosting the sample size in order to reduce the margins of error around results will be compromised if the issue of non-response is ignored. </w:t>
            </w:r>
          </w:p>
          <w:p w14:paraId="337F8697" w14:textId="77777777" w:rsidR="00332C23" w:rsidRPr="00A64E41" w:rsidRDefault="00332C23" w:rsidP="00A64E41">
            <w:pPr>
              <w:spacing w:beforeLines="60" w:before="144" w:afterLines="60" w:after="144"/>
            </w:pPr>
            <w:r w:rsidRPr="00A64E41">
              <w:t xml:space="preserve">To ensure results are meaningful and that comparisons can be made with a degree of certainty, it is a requirement that the margin of error around the estimates produced by the survey is no more than +/- 5%. Early in the process, councils need to work out how large a sample they will need to survey in order to achieve this margin of error. If the response rate achieved falls below that outlined as required by the sample size calculator available on the NHS Digital website at </w:t>
            </w:r>
            <w:hyperlink r:id="rId22" w:history="1">
              <w:r w:rsidRPr="00A64E41">
                <w:rPr>
                  <w:rStyle w:val="Hyperlink"/>
                  <w:color w:val="auto"/>
                </w:rPr>
                <w:t>https://digital.nhs.uk/data-and-information/data-collections-and-data-sets/data-collections/social-care-user-surveys/social-care-user-survey-2018-19</w:t>
              </w:r>
            </w:hyperlink>
            <w:r w:rsidRPr="00A64E41">
              <w:t xml:space="preserve">, the margins of error (produced as part of the annex outputs that are made available alongside the final report) could be too wide for the results to be useful. </w:t>
            </w:r>
          </w:p>
          <w:p w14:paraId="3E5B19A2"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Random variation – Not all service users are sent a questionnaire so the measures are only an estimate of the true value, which would be obtained only if the entire population was surveyed. Councils are required to select a sample size such that any estimates from the survey have a 95 per cent confidence interval of less than +/- 5 per cent. This also means that ASCOF measure 1A, which is calculated from scores based on eight questions, has a confidence interval of less than +/- 2 per cent. </w:t>
            </w:r>
          </w:p>
          <w:p w14:paraId="47F34055"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Survey design – Respondents are allowed to have help to complete the questionnaire. 81 per cent of respondents did so, and the type of help provided and who provided it was also captured. Although not ideal, allowing this as part of the survey design is essential in order to make the survey representative of as many service users as possible. </w:t>
            </w:r>
          </w:p>
          <w:p w14:paraId="59F7C69B"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The development project carried out by Personal Social Services Research Unit (PSSRU), which fed into the survey design, found that care home workers were instrumental in ensuring care home residents were able to respond. This help ranged from simply chasing up a response to helping residents to interpret the questions by making them more meaningful to their life. To mitigate against care home workers trying to </w:t>
            </w:r>
            <w:r w:rsidRPr="00A64E41">
              <w:rPr>
                <w:color w:val="auto"/>
                <w:sz w:val="22"/>
                <w:szCs w:val="22"/>
              </w:rPr>
              <w:lastRenderedPageBreak/>
              <w:t xml:space="preserve">persuade residents to answer more positively than they would do otherwise, both the covering sheet of the questionnaire and the letter which was sent to care home managers said the results would not be used for inspection purposes, however it is acceptable to breach the confidentiality clause, as detailed in sections 4.76 and 4.77 of guidance documentation at </w:t>
            </w:r>
            <w:hyperlink r:id="rId23" w:history="1">
              <w:r w:rsidRPr="00A64E41">
                <w:rPr>
                  <w:rStyle w:val="Hyperlink"/>
                  <w:color w:val="auto"/>
                  <w:sz w:val="22"/>
                  <w:szCs w:val="22"/>
                </w:rPr>
                <w:t>https://digital.nhs.uk/data-and-information/data-collections-and-data-sets/data-collections/social-care-user-surveys/social-care-user-survey-2018-19</w:t>
              </w:r>
            </w:hyperlink>
          </w:p>
          <w:p w14:paraId="118B1E53"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Anecdotal evidence also suggests it is very difficult to instruct a service user not to ask their care worker for help (both in residential and community settings) when they are used to turning to them for help with everyday tasks such as dealing with the post. Service users were also able to turn to friends and family members for assistance although the covering letter and instructions informed service users that it was their views which should be recorded and not those of the helper. </w:t>
            </w:r>
          </w:p>
          <w:p w14:paraId="21170CDA"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 xml:space="preserve">The service users who did complete the survey unaided are a small subset of state funded social care users and, therefore, restricting the survey to this small group would provide quite a biased impression of the view of social care users. It would also leave a much smaller number of respondents which would increase the potential of random bias. </w:t>
            </w:r>
          </w:p>
          <w:p w14:paraId="0C54D19A" w14:textId="77777777" w:rsidR="00332C23" w:rsidRPr="00A64E41" w:rsidRDefault="00332C23" w:rsidP="00A64E41">
            <w:pPr>
              <w:spacing w:beforeLines="60" w:before="144" w:afterLines="60" w:after="144"/>
            </w:pPr>
            <w:r w:rsidRPr="00A64E41">
              <w:t xml:space="preserve">Collection mode bias – 99.9 per cent of the returned questionnaires were completed by post (councils were able to use a face to face or telephone interview if requested by the service user) and therefore there is minimal bias caused by the different methods of data collection. </w:t>
            </w:r>
          </w:p>
          <w:p w14:paraId="2CF9C296" w14:textId="77777777" w:rsidR="00332C23" w:rsidRPr="00A64E41" w:rsidRDefault="00332C23" w:rsidP="00A64E41">
            <w:pPr>
              <w:spacing w:beforeLines="60" w:before="144" w:afterLines="60" w:after="144"/>
            </w:pPr>
          </w:p>
        </w:tc>
      </w:tr>
      <w:tr w:rsidR="00A64E41" w:rsidRPr="00A64E41" w14:paraId="1D3B525B" w14:textId="77777777" w:rsidTr="00A64E41">
        <w:tc>
          <w:tcPr>
            <w:tcW w:w="3332" w:type="dxa"/>
            <w:shd w:val="clear" w:color="auto" w:fill="auto"/>
          </w:tcPr>
          <w:p w14:paraId="22A71F02" w14:textId="77777777" w:rsidR="00332C23" w:rsidRPr="00A64E41" w:rsidRDefault="00332C23" w:rsidP="00A64E41">
            <w:pPr>
              <w:spacing w:before="60" w:after="60"/>
              <w:rPr>
                <w:b/>
              </w:rPr>
            </w:pPr>
            <w:r w:rsidRPr="00A64E41">
              <w:rPr>
                <w:b/>
              </w:rPr>
              <w:lastRenderedPageBreak/>
              <w:t xml:space="preserve">4.10 Further notes on data </w:t>
            </w:r>
          </w:p>
          <w:p w14:paraId="005D5809" w14:textId="77777777" w:rsidR="00332C23" w:rsidRPr="00A64E41" w:rsidRDefault="00332C23" w:rsidP="00A64E41">
            <w:pPr>
              <w:spacing w:before="60" w:after="60"/>
              <w:rPr>
                <w:b/>
              </w:rPr>
            </w:pPr>
          </w:p>
        </w:tc>
        <w:tc>
          <w:tcPr>
            <w:tcW w:w="10842" w:type="dxa"/>
            <w:shd w:val="clear" w:color="auto" w:fill="auto"/>
          </w:tcPr>
          <w:p w14:paraId="18070F9D" w14:textId="77777777" w:rsidR="00332C23" w:rsidRPr="00A64E41" w:rsidRDefault="00332C23" w:rsidP="00A64E41">
            <w:pPr>
              <w:pStyle w:val="Default"/>
              <w:spacing w:beforeLines="60" w:before="144" w:afterLines="60" w:after="144"/>
              <w:rPr>
                <w:color w:val="auto"/>
                <w:sz w:val="22"/>
                <w:szCs w:val="22"/>
              </w:rPr>
            </w:pPr>
            <w:r w:rsidRPr="00A64E41">
              <w:rPr>
                <w:color w:val="auto"/>
                <w:sz w:val="22"/>
                <w:szCs w:val="22"/>
              </w:rPr>
              <w:t>The response rate to question 12 for the 2017/18 ASCS was 94.5% for England, and response rates for CASSRs ranged from 77.3% (Nottingham) to 100% (Middlesbrough).</w:t>
            </w:r>
          </w:p>
          <w:p w14:paraId="61EEB24E" w14:textId="77777777" w:rsidR="00332C23" w:rsidRPr="00A64E41" w:rsidRDefault="00332C23" w:rsidP="00A64E41">
            <w:pPr>
              <w:spacing w:before="60" w:after="60"/>
            </w:pPr>
          </w:p>
        </w:tc>
      </w:tr>
    </w:tbl>
    <w:p w14:paraId="07D327F5" w14:textId="77777777" w:rsidR="00332C23" w:rsidRPr="00A64E41" w:rsidRDefault="00332C23">
      <w:r w:rsidRPr="00A64E41">
        <w:br w:type="page"/>
      </w:r>
    </w:p>
    <w:sdt>
      <w:sdtPr>
        <w:rPr>
          <w:rFonts w:ascii="Arial" w:eastAsia="+mn-ea" w:hAnsi="Arial" w:cs="Arial"/>
          <w:b/>
          <w:position w:val="1"/>
          <w:lang w:eastAsia="en-GB"/>
        </w:rPr>
        <w:id w:val="-28027844"/>
        <w:docPartObj>
          <w:docPartGallery w:val="Cover Pages"/>
          <w:docPartUnique/>
        </w:docPartObj>
      </w:sdtPr>
      <w:sdtEndPr>
        <w:rPr>
          <w:lang w:eastAsia="en-US"/>
        </w:rPr>
      </w:sdtEndPr>
      <w:sdtContent>
        <w:tbl>
          <w:tblPr>
            <w:tblStyle w:val="TableGrid1"/>
            <w:tblW w:w="14174" w:type="dxa"/>
            <w:tblInd w:w="0" w:type="dxa"/>
            <w:tblLook w:val="04A0" w:firstRow="1" w:lastRow="0" w:firstColumn="1" w:lastColumn="0" w:noHBand="0" w:noVBand="1"/>
          </w:tblPr>
          <w:tblGrid>
            <w:gridCol w:w="3332"/>
            <w:gridCol w:w="10842"/>
          </w:tblGrid>
          <w:tr w:rsidR="00A64E41" w:rsidRPr="00A64E41" w14:paraId="35CBD5B6" w14:textId="77777777" w:rsidTr="00A64E41">
            <w:tc>
              <w:tcPr>
                <w:tcW w:w="3332" w:type="dxa"/>
              </w:tcPr>
              <w:p w14:paraId="5D976886" w14:textId="74C72C1E" w:rsidR="00A64E41" w:rsidRPr="00A64E41" w:rsidRDefault="00A64E41" w:rsidP="00A64E41">
                <w:pPr>
                  <w:spacing w:before="60" w:after="60"/>
                  <w:rPr>
                    <w:b/>
                  </w:rPr>
                </w:pPr>
                <w:r w:rsidRPr="00A64E41">
                  <w:rPr>
                    <w:rFonts w:ascii="Arial" w:hAnsi="Arial" w:cs="Arial"/>
                    <w:b/>
                  </w:rPr>
                  <w:t>Section 5: Construction and Testing (MRG to assess)</w:t>
                </w:r>
              </w:p>
            </w:tc>
            <w:tc>
              <w:tcPr>
                <w:tcW w:w="10842" w:type="dxa"/>
              </w:tcPr>
              <w:p w14:paraId="1491BB51" w14:textId="77777777" w:rsidR="00A64E41" w:rsidRPr="00A64E41" w:rsidRDefault="00A64E41" w:rsidP="00A64E41">
                <w:pPr>
                  <w:spacing w:before="60" w:after="60"/>
                </w:pPr>
              </w:p>
            </w:tc>
          </w:tr>
          <w:tr w:rsidR="00A64E41" w:rsidRPr="00A64E41" w14:paraId="60BFE5FE" w14:textId="77777777" w:rsidTr="00A64E41">
            <w:tc>
              <w:tcPr>
                <w:tcW w:w="3332" w:type="dxa"/>
              </w:tcPr>
              <w:p w14:paraId="7225EA59" w14:textId="77777777" w:rsidR="00332C23" w:rsidRPr="00A64E41" w:rsidRDefault="00332C23" w:rsidP="00A64E41">
                <w:pPr>
                  <w:spacing w:before="60" w:after="60"/>
                  <w:rPr>
                    <w:rFonts w:ascii="Arial" w:hAnsi="Arial" w:cs="Arial"/>
                    <w:b/>
                  </w:rPr>
                </w:pPr>
                <w:r w:rsidRPr="00A64E41">
                  <w:rPr>
                    <w:rFonts w:ascii="Arial" w:hAnsi="Arial" w:cs="Arial"/>
                    <w:b/>
                  </w:rPr>
                  <w:t xml:space="preserve">5.1 How will the indicator measure be calculated / constructed? </w:t>
                </w:r>
              </w:p>
              <w:p w14:paraId="339C4727" w14:textId="77777777" w:rsidR="00332C23" w:rsidRPr="00A64E41" w:rsidRDefault="00332C23" w:rsidP="00A64E41">
                <w:pPr>
                  <w:spacing w:before="60" w:after="60"/>
                  <w:rPr>
                    <w:rFonts w:ascii="Arial" w:hAnsi="Arial" w:cs="Arial"/>
                    <w:i/>
                  </w:rPr>
                </w:pPr>
                <w:r w:rsidRPr="00A64E41">
                  <w:rPr>
                    <w:rFonts w:ascii="Arial" w:hAnsi="Arial" w:cs="Arial"/>
                    <w:i/>
                  </w:rPr>
                  <w:t>Please provide explanation of coding where applicable and rationale behind demographic breakdowns</w:t>
                </w:r>
              </w:p>
            </w:tc>
            <w:tc>
              <w:tcPr>
                <w:tcW w:w="10842" w:type="dxa"/>
              </w:tcPr>
              <w:p w14:paraId="0D626F86" w14:textId="77777777" w:rsidR="00332C23" w:rsidRPr="00A64E41" w:rsidRDefault="00332C23" w:rsidP="00A64E41">
                <w:pPr>
                  <w:spacing w:before="60" w:after="60"/>
                  <w:rPr>
                    <w:rFonts w:ascii="Arial" w:hAnsi="Arial" w:cs="Arial"/>
                  </w:rPr>
                </w:pPr>
                <w:r w:rsidRPr="00A64E41">
                  <w:rPr>
                    <w:rFonts w:ascii="Arial" w:hAnsi="Arial" w:cs="Arial"/>
                  </w:rPr>
                  <w:t>The indicator is calculated as the percentage. For both the numerator (X) and denominator (Y), weighted data should be used to calculate the measure.</w:t>
                </w:r>
              </w:p>
              <w:p w14:paraId="145D1EAE" w14:textId="77777777" w:rsidR="00332C23" w:rsidRPr="00A64E41" w:rsidRDefault="00332C23" w:rsidP="00A64E41">
                <w:pPr>
                  <w:spacing w:before="60" w:after="60"/>
                  <w:rPr>
                    <w:rFonts w:ascii="Arial" w:hAnsi="Arial" w:cs="Arial"/>
                  </w:rPr>
                </w:pPr>
              </w:p>
              <w:p w14:paraId="536EB920" w14:textId="77777777" w:rsidR="00332C23" w:rsidRPr="00A64E41" w:rsidRDefault="00332C23" w:rsidP="00A64E41">
                <w:pPr>
                  <w:spacing w:before="60" w:after="60"/>
                  <w:rPr>
                    <w:rFonts w:ascii="Arial" w:hAnsi="Arial" w:cs="Arial"/>
                  </w:rPr>
                </w:pPr>
              </w:p>
              <w:p w14:paraId="59C0D824" w14:textId="77777777" w:rsidR="00332C23" w:rsidRPr="00A64E41" w:rsidRDefault="008A7875" w:rsidP="00A64E41">
                <w:pPr>
                  <w:spacing w:before="60" w:after="60"/>
                  <w:rPr>
                    <w:rFonts w:ascii="Arial" w:hAnsi="Arial" w:cs="Arial"/>
                  </w:rPr>
                </w:pPr>
                <m:oMathPara>
                  <m:oMath>
                    <m:f>
                      <m:fPr>
                        <m:ctrlPr>
                          <w:rPr>
                            <w:rFonts w:ascii="Cambria Math" w:hAnsi="Cambria Math" w:cs="Arial"/>
                            <w:i/>
                          </w:rPr>
                        </m:ctrlPr>
                      </m:fPr>
                      <m:num>
                        <m:r>
                          <w:rPr>
                            <w:rFonts w:ascii="Cambria Math" w:hAnsi="Cambria Math" w:cs="Arial"/>
                          </w:rPr>
                          <m:t>X</m:t>
                        </m:r>
                      </m:num>
                      <m:den>
                        <m:r>
                          <w:rPr>
                            <w:rFonts w:ascii="Cambria Math" w:hAnsi="Cambria Math" w:cs="Arial"/>
                          </w:rPr>
                          <m:t>Y</m:t>
                        </m:r>
                      </m:den>
                    </m:f>
                    <m:r>
                      <w:rPr>
                        <w:rFonts w:ascii="Cambria Math" w:hAnsi="Cambria Math" w:cs="Arial"/>
                      </w:rPr>
                      <m:t>*100</m:t>
                    </m:r>
                  </m:oMath>
                </m:oMathPara>
              </w:p>
              <w:p w14:paraId="5630BCE9" w14:textId="77777777" w:rsidR="00332C23" w:rsidRPr="00A64E41" w:rsidRDefault="00332C23" w:rsidP="00A64E41">
                <w:pPr>
                  <w:spacing w:before="60" w:after="60"/>
                  <w:rPr>
                    <w:rFonts w:ascii="Arial" w:hAnsi="Arial" w:cs="Arial"/>
                  </w:rPr>
                </w:pPr>
              </w:p>
              <w:p w14:paraId="26CC1CB3" w14:textId="77777777" w:rsidR="00332C23" w:rsidRPr="00A64E41" w:rsidRDefault="00332C23" w:rsidP="00A64E41">
                <w:pPr>
                  <w:spacing w:before="60" w:after="60"/>
                  <w:rPr>
                    <w:rFonts w:ascii="Arial" w:hAnsi="Arial" w:cs="Arial"/>
                  </w:rPr>
                </w:pPr>
                <w:r w:rsidRPr="00A64E41">
                  <w:rPr>
                    <w:rFonts w:ascii="Arial" w:hAnsi="Arial" w:cs="Arial"/>
                  </w:rPr>
                  <w:t>The data from the survey will be weighted by the NHS Digital to take account of the Stratified sampling technique that has been used when conducting the survey. The weights are automatically calculated within the survey data return along with the ASCOF outcome measures.</w:t>
                </w:r>
              </w:p>
              <w:p w14:paraId="7F75C1A3" w14:textId="77777777" w:rsidR="00332C23" w:rsidRPr="00A64E41" w:rsidRDefault="00332C23" w:rsidP="00A64E41">
                <w:pPr>
                  <w:spacing w:before="60" w:after="60"/>
                  <w:rPr>
                    <w:rFonts w:ascii="Arial" w:hAnsi="Arial" w:cs="Arial"/>
                  </w:rPr>
                </w:pPr>
                <w:r w:rsidRPr="00A64E41">
                  <w:rPr>
                    <w:rFonts w:ascii="Arial" w:hAnsi="Arial" w:cs="Arial"/>
                  </w:rPr>
                  <w:t>Weights are used to ensure the survey results are representative of the eligible population. The following standard formula for variance of estimates in a stratified design has been used.</w:t>
                </w:r>
              </w:p>
              <w:p w14:paraId="63927669" w14:textId="77777777" w:rsidR="00332C23" w:rsidRPr="00A64E41" w:rsidRDefault="00332C23" w:rsidP="00A64E41">
                <w:pPr>
                  <w:spacing w:before="60" w:after="60"/>
                  <w:rPr>
                    <w:rFonts w:ascii="Arial" w:hAnsi="Arial" w:cs="Arial"/>
                  </w:rPr>
                </w:pPr>
                <w:r w:rsidRPr="00A64E41">
                  <w:rPr>
                    <w:rFonts w:ascii="Arial" w:hAnsi="Arial" w:cs="Arial"/>
                  </w:rPr>
                  <w:t xml:space="preserve">Taking H to be the total number of strata within the survey; the sampling weight for each stratum </w:t>
                </w:r>
                <w:r w:rsidRPr="00A64E41">
                  <w:rPr>
                    <w:rFonts w:ascii="Arial" w:hAnsi="Arial" w:cs="Arial"/>
                    <w:i/>
                  </w:rPr>
                  <w:t>h</w:t>
                </w:r>
                <w:r w:rsidRPr="00A64E41">
                  <w:rPr>
                    <w:rFonts w:ascii="Arial" w:hAnsi="Arial" w:cs="Arial"/>
                  </w:rPr>
                  <w:t xml:space="preserve">, where </w:t>
                </w:r>
                <w:r w:rsidRPr="00A64E41">
                  <w:rPr>
                    <w:rFonts w:ascii="Arial" w:hAnsi="Arial" w:cs="Arial"/>
                    <w:i/>
                  </w:rPr>
                  <w:t>h=1,…,H,</w:t>
                </w:r>
                <w:r w:rsidRPr="00A64E41">
                  <w:rPr>
                    <w:rFonts w:ascii="Arial" w:hAnsi="Arial" w:cs="Arial"/>
                  </w:rPr>
                  <w:t xml:space="preserve"> is denoted by:</w:t>
                </w:r>
              </w:p>
              <w:p w14:paraId="04D57F14" w14:textId="77777777" w:rsidR="00332C23" w:rsidRPr="00A64E41" w:rsidRDefault="00332C23" w:rsidP="00A64E41">
                <w:pPr>
                  <w:spacing w:before="60" w:after="60"/>
                  <w:rPr>
                    <w:rFonts w:ascii="Arial" w:hAnsi="Arial" w:cs="Arial"/>
                  </w:rPr>
                </w:pPr>
              </w:p>
              <w:p w14:paraId="0D78C915" w14:textId="77777777" w:rsidR="00332C23" w:rsidRPr="00A64E41" w:rsidRDefault="008A7875" w:rsidP="00A64E41">
                <w:pPr>
                  <w:spacing w:before="120"/>
                  <w:rPr>
                    <w:rFonts w:ascii="Arial" w:hAnsi="Arial" w:cs="Arial"/>
                  </w:rPr>
                </w:pPr>
                <m:oMathPara>
                  <m:oMathParaPr>
                    <m:jc m:val="left"/>
                  </m:oMathParaPr>
                  <m:oMath>
                    <m:sSub>
                      <m:sSubPr>
                        <m:ctrlPr>
                          <w:rPr>
                            <w:rFonts w:ascii="Cambria Math" w:hAnsi="Cambria Math" w:cs="Arial"/>
                            <w:i/>
                          </w:rPr>
                        </m:ctrlPr>
                      </m:sSubPr>
                      <m:e>
                        <m:r>
                          <w:rPr>
                            <w:rFonts w:ascii="Cambria Math" w:hAnsi="Cambria Math" w:cs="Arial"/>
                          </w:rPr>
                          <m:t>W</m:t>
                        </m:r>
                      </m:e>
                      <m:sub>
                        <m:r>
                          <w:rPr>
                            <w:rFonts w:ascii="Cambria Math" w:hAnsi="Cambria Math" w:cs="Arial"/>
                          </w:rPr>
                          <m:t>h</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num>
                      <m:den>
                        <m:nary>
                          <m:naryPr>
                            <m:chr m:val="∑"/>
                            <m:limLoc m:val="undOvr"/>
                            <m:ctrlPr>
                              <w:rPr>
                                <w:rFonts w:ascii="Cambria Math" w:hAnsi="Cambria Math" w:cs="Arial"/>
                                <w:i/>
                              </w:rPr>
                            </m:ctrlPr>
                          </m:naryPr>
                          <m:sub>
                            <m:r>
                              <w:rPr>
                                <w:rFonts w:ascii="Cambria Math" w:hAnsi="Cambria Math" w:cs="Arial"/>
                              </w:rPr>
                              <m:t>h=1</m:t>
                            </m:r>
                          </m:sub>
                          <m:sup>
                            <m:r>
                              <w:rPr>
                                <w:rFonts w:ascii="Cambria Math" w:hAnsi="Cambria Math" w:cs="Arial"/>
                              </w:rPr>
                              <m:t>H</m:t>
                            </m:r>
                          </m:sup>
                          <m:e>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e>
                        </m:nary>
                      </m:den>
                    </m:f>
                  </m:oMath>
                </m:oMathPara>
              </w:p>
              <w:p w14:paraId="6DC6E18D" w14:textId="77777777" w:rsidR="00332C23" w:rsidRPr="00A64E41" w:rsidRDefault="00332C23" w:rsidP="00A64E41">
                <w:pPr>
                  <w:spacing w:before="120"/>
                  <w:rPr>
                    <w:rFonts w:ascii="Arial" w:hAnsi="Arial" w:cs="Arial"/>
                  </w:rPr>
                </w:pPr>
              </w:p>
              <w:p w14:paraId="01C7BD89" w14:textId="77777777" w:rsidR="00332C23" w:rsidRPr="00A64E41" w:rsidRDefault="00332C23" w:rsidP="00A64E41">
                <w:pPr>
                  <w:spacing w:before="120"/>
                  <w:rPr>
                    <w:rFonts w:ascii="Arial" w:hAnsi="Arial" w:cs="Arial"/>
                  </w:rPr>
                </w:pPr>
                <w:r w:rsidRPr="00A64E41">
                  <w:rPr>
                    <w:rFonts w:ascii="Arial" w:hAnsi="Arial" w:cs="Arial"/>
                  </w:rPr>
                  <w:t xml:space="preserve">where </w:t>
                </w:r>
                <m:oMath>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oMath>
                <w:r w:rsidRPr="00A64E41">
                  <w:rPr>
                    <w:rFonts w:ascii="Arial" w:hAnsi="Arial" w:cs="Arial"/>
                  </w:rPr>
                  <w:t xml:space="preserve"> is the number of eligible population elements in each stratum and</w:t>
                </w:r>
              </w:p>
              <w:p w14:paraId="66BEE60B" w14:textId="77777777" w:rsidR="00332C23" w:rsidRPr="00A64E41" w:rsidRDefault="008A7875" w:rsidP="00A64E41">
                <w:pPr>
                  <w:spacing w:before="120"/>
                  <w:rPr>
                    <w:rFonts w:ascii="Arial" w:hAnsi="Arial" w:cs="Arial"/>
                  </w:rPr>
                </w:pPr>
                <m:oMathPara>
                  <m:oMathParaPr>
                    <m:jc m:val="left"/>
                  </m:oMathParaPr>
                  <m:oMath>
                    <m:nary>
                      <m:naryPr>
                        <m:chr m:val="∑"/>
                        <m:limLoc m:val="undOvr"/>
                        <m:ctrlPr>
                          <w:rPr>
                            <w:rFonts w:ascii="Cambria Math" w:hAnsi="Cambria Math" w:cs="Arial"/>
                            <w:i/>
                          </w:rPr>
                        </m:ctrlPr>
                      </m:naryPr>
                      <m:sub>
                        <m:r>
                          <w:rPr>
                            <w:rFonts w:ascii="Cambria Math" w:hAnsi="Cambria Math" w:cs="Arial"/>
                          </w:rPr>
                          <m:t>h=1</m:t>
                        </m:r>
                      </m:sub>
                      <m:sup>
                        <m:r>
                          <w:rPr>
                            <w:rFonts w:ascii="Cambria Math" w:hAnsi="Cambria Math" w:cs="Arial"/>
                          </w:rPr>
                          <m:t>H</m:t>
                        </m:r>
                      </m:sup>
                      <m:e>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e>
                    </m:nary>
                  </m:oMath>
                </m:oMathPara>
              </w:p>
              <w:p w14:paraId="448C1375" w14:textId="77777777" w:rsidR="00332C23" w:rsidRPr="00A64E41" w:rsidRDefault="00332C23" w:rsidP="00A64E41">
                <w:pPr>
                  <w:spacing w:before="120"/>
                  <w:rPr>
                    <w:rFonts w:ascii="Arial" w:hAnsi="Arial" w:cs="Arial"/>
                  </w:rPr>
                </w:pPr>
                <w:r w:rsidRPr="00A64E41">
                  <w:rPr>
                    <w:rFonts w:ascii="Arial" w:hAnsi="Arial" w:cs="Arial"/>
                  </w:rPr>
                  <w:t>is the overall eligible population for the survey.</w:t>
                </w:r>
              </w:p>
              <w:p w14:paraId="4CD349B8" w14:textId="77777777" w:rsidR="00332C23" w:rsidRPr="00A64E41" w:rsidRDefault="00332C23" w:rsidP="00A64E41">
                <w:pPr>
                  <w:spacing w:beforeLines="60" w:before="144" w:afterLines="60" w:after="144"/>
                  <w:rPr>
                    <w:rFonts w:ascii="Arial" w:hAnsi="Arial" w:cs="Arial"/>
                  </w:rPr>
                </w:pPr>
              </w:p>
            </w:tc>
          </w:tr>
          <w:tr w:rsidR="00A64E41" w:rsidRPr="00A64E41" w14:paraId="42A2CA01" w14:textId="77777777" w:rsidTr="00A64E41">
            <w:tc>
              <w:tcPr>
                <w:tcW w:w="3332" w:type="dxa"/>
              </w:tcPr>
              <w:p w14:paraId="3CE72C6C" w14:textId="77777777" w:rsidR="00332C23" w:rsidRPr="00A64E41" w:rsidRDefault="00332C23" w:rsidP="00A64E41">
                <w:pPr>
                  <w:spacing w:before="60" w:after="60"/>
                  <w:rPr>
                    <w:rFonts w:ascii="Arial" w:hAnsi="Arial" w:cs="Arial"/>
                    <w:b/>
                  </w:rPr>
                </w:pPr>
                <w:r w:rsidRPr="00A64E41">
                  <w:rPr>
                    <w:rFonts w:ascii="Arial" w:hAnsi="Arial" w:cs="Arial"/>
                    <w:b/>
                  </w:rPr>
                  <w:t>5.2 Numerator explanation</w:t>
                </w:r>
              </w:p>
            </w:tc>
            <w:tc>
              <w:tcPr>
                <w:tcW w:w="10842" w:type="dxa"/>
              </w:tcPr>
              <w:p w14:paraId="0B9FFB56" w14:textId="77777777" w:rsidR="00332C23" w:rsidRPr="00A64E41" w:rsidRDefault="00332C23" w:rsidP="00A64E41">
                <w:pPr>
                  <w:pStyle w:val="paragraph"/>
                  <w:textAlignment w:val="baseline"/>
                  <w:rPr>
                    <w:rFonts w:ascii="Arial" w:hAnsi="Arial" w:cs="Arial"/>
                    <w:sz w:val="22"/>
                    <w:szCs w:val="22"/>
                  </w:rPr>
                </w:pPr>
                <w:r w:rsidRPr="00A64E41">
                  <w:rPr>
                    <w:rStyle w:val="normaltextrun"/>
                    <w:rFonts w:ascii="Arial" w:hAnsi="Arial" w:cs="Arial"/>
                    <w:sz w:val="22"/>
                    <w:szCs w:val="22"/>
                  </w:rPr>
                  <w:t xml:space="preserve">For 3D part 1 (users), the numerator is the number of people answering “very easy to find” and “fairly easy to find” to the question “In the past year, have you generally found it easy or difficult to find information and </w:t>
                </w:r>
                <w:r w:rsidRPr="00A64E41">
                  <w:rPr>
                    <w:rStyle w:val="normaltextrun"/>
                    <w:rFonts w:ascii="Arial" w:hAnsi="Arial" w:cs="Arial"/>
                    <w:sz w:val="22"/>
                    <w:szCs w:val="22"/>
                  </w:rPr>
                  <w:lastRenderedPageBreak/>
                  <w:t>advice about support, services or benefits?” in ASCS after weighting has been applied (see section 5.6 for weighting methodology). </w:t>
                </w:r>
                <w:r w:rsidRPr="00A64E41">
                  <w:rPr>
                    <w:rStyle w:val="eop"/>
                    <w:rFonts w:ascii="Arial" w:hAnsi="Arial" w:cs="Arial"/>
                    <w:sz w:val="22"/>
                    <w:szCs w:val="22"/>
                  </w:rPr>
                  <w:t> </w:t>
                </w:r>
              </w:p>
              <w:p w14:paraId="1379CC64" w14:textId="77777777" w:rsidR="00332C23" w:rsidRPr="00A64E41" w:rsidRDefault="00332C23" w:rsidP="00A64E41">
                <w:pPr>
                  <w:pStyle w:val="Default"/>
                  <w:spacing w:beforeLines="60" w:before="144" w:afterLines="60" w:after="144"/>
                  <w:rPr>
                    <w:rFonts w:ascii="Arial" w:hAnsi="Arial" w:cs="Arial"/>
                    <w:color w:val="auto"/>
                    <w:sz w:val="22"/>
                    <w:szCs w:val="22"/>
                  </w:rPr>
                </w:pPr>
              </w:p>
            </w:tc>
          </w:tr>
          <w:tr w:rsidR="00A64E41" w:rsidRPr="00A64E41" w14:paraId="18EB42E5" w14:textId="77777777" w:rsidTr="00A64E41">
            <w:tc>
              <w:tcPr>
                <w:tcW w:w="3332" w:type="dxa"/>
              </w:tcPr>
              <w:p w14:paraId="7A2C729C" w14:textId="77777777" w:rsidR="00332C23" w:rsidRPr="00A64E41" w:rsidRDefault="00332C23" w:rsidP="00A64E41">
                <w:pPr>
                  <w:spacing w:before="60" w:after="60"/>
                  <w:rPr>
                    <w:rFonts w:ascii="Arial" w:hAnsi="Arial" w:cs="Arial"/>
                    <w:b/>
                  </w:rPr>
                </w:pPr>
                <w:r w:rsidRPr="00A64E41">
                  <w:rPr>
                    <w:rFonts w:ascii="Arial" w:hAnsi="Arial" w:cs="Arial"/>
                    <w:b/>
                  </w:rPr>
                  <w:lastRenderedPageBreak/>
                  <w:t>5.3 Denominator explanation</w:t>
                </w:r>
              </w:p>
              <w:p w14:paraId="1635BA3E" w14:textId="77777777" w:rsidR="00332C23" w:rsidRPr="00A64E41" w:rsidRDefault="00332C23" w:rsidP="00A64E41">
                <w:pPr>
                  <w:spacing w:before="60" w:after="60"/>
                  <w:rPr>
                    <w:rFonts w:ascii="Arial" w:hAnsi="Arial" w:cs="Arial"/>
                    <w:i/>
                  </w:rPr>
                </w:pPr>
                <w:r w:rsidRPr="00A64E41">
                  <w:rPr>
                    <w:rFonts w:ascii="Arial" w:hAnsi="Arial" w:cs="Arial"/>
                    <w:i/>
                  </w:rPr>
                  <w:t xml:space="preserve">. </w:t>
                </w:r>
              </w:p>
            </w:tc>
            <w:tc>
              <w:tcPr>
                <w:tcW w:w="10842" w:type="dxa"/>
              </w:tcPr>
              <w:p w14:paraId="2636A1D6" w14:textId="77777777" w:rsidR="00332C23" w:rsidRPr="00A64E41" w:rsidRDefault="00332C23" w:rsidP="00A64E41">
                <w:pPr>
                  <w:spacing w:beforeLines="60" w:before="144" w:afterLines="60" w:after="144"/>
                  <w:rPr>
                    <w:rFonts w:ascii="Arial" w:hAnsi="Arial" w:cs="Arial"/>
                  </w:rPr>
                </w:pPr>
                <w:r w:rsidRPr="00A64E41">
                  <w:rPr>
                    <w:rStyle w:val="normaltextrun"/>
                    <w:rFonts w:ascii="Arial" w:hAnsi="Arial" w:cs="Arial"/>
                  </w:rPr>
                  <w:t xml:space="preserve">The denominator is the number of people answering the question “In the past 12 months, have you found it easy or difficult to find information about support, services or benefits?” in ASCS after weighting has been applied (see section 5.6 for weighting methodology). </w:t>
                </w:r>
                <w:r w:rsidRPr="00A64E41">
                  <w:rPr>
                    <w:rStyle w:val="eop"/>
                    <w:rFonts w:ascii="Arial" w:hAnsi="Arial" w:cs="Arial"/>
                  </w:rPr>
                  <w:t> </w:t>
                </w:r>
              </w:p>
            </w:tc>
          </w:tr>
          <w:tr w:rsidR="00A64E41" w:rsidRPr="00A64E41" w14:paraId="00B0D575" w14:textId="77777777" w:rsidTr="00A64E41">
            <w:tc>
              <w:tcPr>
                <w:tcW w:w="3332" w:type="dxa"/>
              </w:tcPr>
              <w:p w14:paraId="14720EDB" w14:textId="77777777" w:rsidR="00332C23" w:rsidRPr="00A64E41" w:rsidRDefault="00332C23" w:rsidP="00A64E41">
                <w:pPr>
                  <w:spacing w:before="60" w:after="60"/>
                  <w:rPr>
                    <w:rFonts w:ascii="Arial" w:hAnsi="Arial" w:cs="Arial"/>
                    <w:b/>
                  </w:rPr>
                </w:pPr>
                <w:r w:rsidRPr="00A64E41">
                  <w:rPr>
                    <w:rFonts w:ascii="Arial" w:hAnsi="Arial" w:cs="Arial"/>
                    <w:b/>
                  </w:rPr>
                  <w:t>5.4 Provide a worked example</w:t>
                </w:r>
              </w:p>
            </w:tc>
            <w:tc>
              <w:tcPr>
                <w:tcW w:w="10842" w:type="dxa"/>
              </w:tcPr>
              <w:p w14:paraId="76B09BDB" w14:textId="77777777" w:rsidR="00332C23" w:rsidRPr="00A64E41" w:rsidRDefault="00332C23" w:rsidP="00A64E41">
                <w:pPr>
                  <w:spacing w:before="60" w:after="60"/>
                  <w:rPr>
                    <w:rFonts w:ascii="Arial" w:hAnsi="Arial" w:cs="Arial"/>
                  </w:rPr>
                </w:pPr>
                <w:r w:rsidRPr="00A64E41">
                  <w:rPr>
                    <w:rFonts w:ascii="Arial" w:hAnsi="Arial" w:cs="Arial"/>
                  </w:rPr>
                  <w:t>Worked example:</w:t>
                </w:r>
              </w:p>
              <w:p w14:paraId="70581884" w14:textId="77777777" w:rsidR="00332C23" w:rsidRPr="00A64E41" w:rsidRDefault="00332C23" w:rsidP="00A64E41">
                <w:pPr>
                  <w:spacing w:before="60" w:after="60"/>
                  <w:rPr>
                    <w:rFonts w:ascii="Arial" w:hAnsi="Arial" w:cs="Arial"/>
                  </w:rPr>
                </w:pPr>
              </w:p>
              <w:p w14:paraId="7EB178CF" w14:textId="4658203A" w:rsidR="00332C23" w:rsidRPr="00A64E41" w:rsidRDefault="00332C23" w:rsidP="00A64E41">
                <w:pPr>
                  <w:spacing w:before="60" w:after="60"/>
                  <w:rPr>
                    <w:rFonts w:ascii="Arial" w:hAnsi="Arial" w:cs="Arial"/>
                  </w:rPr>
                </w:pPr>
                <w:r w:rsidRPr="00A64E41">
                  <w:rPr>
                    <w:rFonts w:ascii="Arial" w:hAnsi="Arial" w:cs="Arial"/>
                  </w:rPr>
                  <w:t>The number of number of people answering, “very easy to find” and “fairly easy to find” to the question “In the past year, have you generally found it easy or difficult to find information and advice about support, services or benefits?” was 197.</w:t>
                </w:r>
              </w:p>
              <w:p w14:paraId="79749CF3" w14:textId="77777777" w:rsidR="00332C23" w:rsidRPr="00A64E41" w:rsidRDefault="00332C23" w:rsidP="00A64E41">
                <w:pPr>
                  <w:spacing w:before="60" w:after="60"/>
                  <w:rPr>
                    <w:rFonts w:ascii="Arial" w:hAnsi="Arial" w:cs="Arial"/>
                  </w:rPr>
                </w:pPr>
              </w:p>
              <w:p w14:paraId="09B60AF2" w14:textId="77777777" w:rsidR="00332C23" w:rsidRPr="00A64E41" w:rsidRDefault="00332C23" w:rsidP="00A64E41">
                <w:pPr>
                  <w:spacing w:before="60" w:after="60"/>
                  <w:rPr>
                    <w:rFonts w:ascii="Arial" w:hAnsi="Arial" w:cs="Arial"/>
                  </w:rPr>
                </w:pPr>
                <w:r w:rsidRPr="00A64E41">
                  <w:rPr>
                    <w:rFonts w:ascii="Arial" w:hAnsi="Arial" w:cs="Arial"/>
                  </w:rPr>
                  <w:t>The total number of users who responded to the question was 345.</w:t>
                </w:r>
              </w:p>
              <w:p w14:paraId="27CE9259" w14:textId="77777777" w:rsidR="00332C23" w:rsidRPr="00A64E41" w:rsidRDefault="00332C23" w:rsidP="00A64E41">
                <w:pPr>
                  <w:spacing w:before="60" w:after="60"/>
                  <w:rPr>
                    <w:rFonts w:ascii="Arial" w:hAnsi="Arial" w:cs="Arial"/>
                  </w:rPr>
                </w:pPr>
              </w:p>
              <w:p w14:paraId="3AD12F28" w14:textId="77777777" w:rsidR="00332C23" w:rsidRPr="00A64E41" w:rsidRDefault="00332C23" w:rsidP="00A64E41">
                <w:pPr>
                  <w:spacing w:before="60" w:after="60"/>
                  <w:rPr>
                    <w:rFonts w:ascii="Arial" w:hAnsi="Arial" w:cs="Arial"/>
                  </w:rPr>
                </w:pPr>
                <w:r w:rsidRPr="00A64E41">
                  <w:rPr>
                    <w:rFonts w:ascii="Arial" w:hAnsi="Arial" w:cs="Arial"/>
                  </w:rPr>
                  <w:t>Data weighted to reflect the stratified sampling technique that has been used when conducting the survey.</w:t>
                </w:r>
              </w:p>
              <w:p w14:paraId="060AEEAC" w14:textId="77777777" w:rsidR="00332C23" w:rsidRPr="00A64E41" w:rsidRDefault="00332C23" w:rsidP="00A64E41">
                <w:pPr>
                  <w:spacing w:before="60" w:after="60"/>
                  <w:rPr>
                    <w:rFonts w:ascii="Arial" w:hAnsi="Arial" w:cs="Arial"/>
                  </w:rPr>
                </w:pPr>
              </w:p>
              <w:p w14:paraId="6C72E77E" w14:textId="77777777" w:rsidR="00332C23" w:rsidRPr="00A64E41" w:rsidRDefault="00332C23" w:rsidP="00A64E41">
                <w:pPr>
                  <w:spacing w:before="60" w:after="60"/>
                  <w:rPr>
                    <w:rFonts w:ascii="Arial" w:hAnsi="Arial" w:cs="Arial"/>
                  </w:rPr>
                </w:pPr>
                <w:r w:rsidRPr="00A64E41">
                  <w:rPr>
                    <w:rFonts w:ascii="Arial" w:hAnsi="Arial" w:cs="Arial"/>
                  </w:rPr>
                  <w:t>The measure value is [(197/345)*100] which is equal to 57.1%.</w:t>
                </w:r>
              </w:p>
              <w:p w14:paraId="0F27B0A8" w14:textId="77777777" w:rsidR="00332C23" w:rsidRPr="00A64E41" w:rsidRDefault="00332C23" w:rsidP="00A64E41">
                <w:pPr>
                  <w:spacing w:before="60" w:after="60"/>
                  <w:rPr>
                    <w:rFonts w:ascii="Arial" w:hAnsi="Arial" w:cs="Arial"/>
                    <w:i/>
                  </w:rPr>
                </w:pPr>
              </w:p>
            </w:tc>
          </w:tr>
          <w:tr w:rsidR="00A64E41" w:rsidRPr="00A64E41" w14:paraId="49599706" w14:textId="77777777" w:rsidTr="00A64E41">
            <w:tc>
              <w:tcPr>
                <w:tcW w:w="3332" w:type="dxa"/>
              </w:tcPr>
              <w:p w14:paraId="1AF9945E" w14:textId="77777777" w:rsidR="00332C23" w:rsidRPr="00A64E41" w:rsidRDefault="00332C23" w:rsidP="00A64E41">
                <w:pPr>
                  <w:spacing w:before="60" w:after="60"/>
                  <w:rPr>
                    <w:rFonts w:ascii="Arial" w:hAnsi="Arial" w:cs="Arial"/>
                    <w:b/>
                  </w:rPr>
                </w:pPr>
                <w:r w:rsidRPr="00A64E41">
                  <w:rPr>
                    <w:rFonts w:ascii="Arial" w:hAnsi="Arial" w:cs="Arial"/>
                    <w:b/>
                  </w:rPr>
                  <w:t>5.5 Could any risks be associated with the use of this indicator?</w:t>
                </w:r>
              </w:p>
            </w:tc>
            <w:tc>
              <w:tcPr>
                <w:tcW w:w="10842" w:type="dxa"/>
              </w:tcPr>
              <w:p w14:paraId="73BD89BA" w14:textId="77777777" w:rsidR="00332C23" w:rsidRPr="00A64E41" w:rsidRDefault="00332C23" w:rsidP="00A64E41">
                <w:pPr>
                  <w:rPr>
                    <w:rFonts w:ascii="Arial" w:hAnsi="Arial" w:cs="Arial"/>
                  </w:rPr>
                </w:pPr>
                <w:r w:rsidRPr="00A64E41">
                  <w:rPr>
                    <w:rFonts w:ascii="Arial" w:hAnsi="Arial" w:cs="Arial"/>
                  </w:rPr>
                  <w:t>As 5.8</w:t>
                </w:r>
              </w:p>
            </w:tc>
          </w:tr>
          <w:tr w:rsidR="00A64E41" w:rsidRPr="00A64E41" w14:paraId="10B8E72E" w14:textId="77777777" w:rsidTr="00A64E41">
            <w:tc>
              <w:tcPr>
                <w:tcW w:w="3332" w:type="dxa"/>
              </w:tcPr>
              <w:p w14:paraId="0D039960" w14:textId="77777777" w:rsidR="00332C23" w:rsidRPr="00A64E41" w:rsidRDefault="00332C23" w:rsidP="00A64E41">
                <w:pPr>
                  <w:spacing w:before="60" w:after="60"/>
                  <w:rPr>
                    <w:rFonts w:ascii="Arial" w:hAnsi="Arial" w:cs="Arial"/>
                    <w:b/>
                  </w:rPr>
                </w:pPr>
                <w:r w:rsidRPr="00A64E41">
                  <w:rPr>
                    <w:rFonts w:ascii="Arial" w:hAnsi="Arial" w:cs="Arial"/>
                    <w:b/>
                  </w:rPr>
                  <w:t>5.6 Risk adjustment or standardisation type and methodology</w:t>
                </w:r>
              </w:p>
              <w:p w14:paraId="5E1FA355" w14:textId="77777777" w:rsidR="00332C23" w:rsidRPr="00A64E41" w:rsidRDefault="00332C23" w:rsidP="00A64E41">
                <w:pPr>
                  <w:spacing w:before="60" w:after="60"/>
                  <w:rPr>
                    <w:rFonts w:ascii="Arial" w:hAnsi="Arial" w:cs="Arial"/>
                    <w:i/>
                  </w:rPr>
                </w:pPr>
              </w:p>
            </w:tc>
            <w:tc>
              <w:tcPr>
                <w:tcW w:w="10842" w:type="dxa"/>
              </w:tcPr>
              <w:p w14:paraId="7EC9DB34" w14:textId="77777777" w:rsidR="00332C23" w:rsidRPr="00A64E41" w:rsidRDefault="00332C23" w:rsidP="00A64E41">
                <w:pPr>
                  <w:spacing w:before="240" w:after="140"/>
                  <w:textboxTightWrap w:val="lastLineOnly"/>
                  <w:rPr>
                    <w:rFonts w:ascii="Arial" w:hAnsi="Arial" w:cs="Arial"/>
                  </w:rPr>
                </w:pPr>
                <w:r w:rsidRPr="00A64E41">
                  <w:rPr>
                    <w:rFonts w:ascii="Arial" w:hAnsi="Arial" w:cs="Arial"/>
                    <w:b/>
                  </w:rPr>
                  <w:t>Weighting Methodology</w:t>
                </w:r>
              </w:p>
              <w:p w14:paraId="20EB463D" w14:textId="77777777" w:rsidR="00332C23" w:rsidRPr="00A64E41" w:rsidRDefault="00332C23" w:rsidP="00A64E41">
                <w:pPr>
                  <w:spacing w:before="240" w:after="140"/>
                  <w:textboxTightWrap w:val="lastLineOnly"/>
                  <w:rPr>
                    <w:rFonts w:ascii="Arial" w:hAnsi="Arial" w:cs="Arial"/>
                    <w:i/>
                  </w:rPr>
                </w:pPr>
                <w:r w:rsidRPr="00A64E41">
                  <w:rPr>
                    <w:rFonts w:ascii="Arial" w:hAnsi="Arial" w:cs="Arial"/>
                    <w:i/>
                  </w:rPr>
                  <w:t>Variables and methodology:</w:t>
                </w:r>
              </w:p>
              <w:p w14:paraId="7CF25ECF" w14:textId="77777777" w:rsidR="00332C23" w:rsidRPr="00A64E41" w:rsidRDefault="00332C23" w:rsidP="00A64E41">
                <w:pPr>
                  <w:spacing w:before="240" w:after="140"/>
                  <w:textboxTightWrap w:val="lastLineOnly"/>
                  <w:rPr>
                    <w:rFonts w:ascii="Arial" w:hAnsi="Arial" w:cs="Arial"/>
                  </w:rPr>
                </w:pPr>
                <w:r w:rsidRPr="00A64E41">
                  <w:rPr>
                    <w:rFonts w:ascii="Arial" w:hAnsi="Arial" w:cs="Arial"/>
                  </w:rPr>
                  <w:t>The introduction of stratified sampling and allowing councils to oversample in strata of interest to them, leads to the need to weight the data to convert the achieved sample back to represent the population from which the sample was drawn.</w:t>
                </w:r>
              </w:p>
              <w:p w14:paraId="792C246E" w14:textId="77777777" w:rsidR="00332C23" w:rsidRPr="00A64E41" w:rsidRDefault="00332C23" w:rsidP="00A64E41">
                <w:pPr>
                  <w:spacing w:before="240" w:after="140"/>
                  <w:textboxTightWrap w:val="lastLineOnly"/>
                  <w:rPr>
                    <w:rFonts w:ascii="Arial" w:hAnsi="Arial" w:cs="Arial"/>
                  </w:rPr>
                </w:pPr>
                <w:r w:rsidRPr="00A64E41">
                  <w:rPr>
                    <w:rFonts w:ascii="Arial" w:hAnsi="Arial" w:cs="Arial"/>
                  </w:rPr>
                  <w:lastRenderedPageBreak/>
                  <w:t>This is commonly done by dividing the number of people in each of the stratum in the eligible population by the number of returned questionnaires in each stratum. This has the effect of weighting for both the sample design and non-response at the same time.</w:t>
                </w:r>
              </w:p>
              <w:p w14:paraId="2D7E8C45" w14:textId="086C0B85" w:rsidR="00332C23" w:rsidRPr="00A64E41" w:rsidRDefault="00332C23" w:rsidP="00A64E41">
                <w:pPr>
                  <w:spacing w:before="240" w:after="140"/>
                  <w:textboxTightWrap w:val="lastLineOnly"/>
                  <w:rPr>
                    <w:rFonts w:ascii="Arial" w:hAnsi="Arial" w:cs="Arial"/>
                  </w:rPr>
                </w:pPr>
                <w:r w:rsidRPr="00A64E41">
                  <w:rPr>
                    <w:rFonts w:ascii="Arial" w:hAnsi="Arial" w:cs="Arial"/>
                  </w:rPr>
                  <w:t xml:space="preserve">These weights are provided automatically within the data return based on the number of responses in each stratum and the number of people in the eligible population in each stratum and vary from question to question. The below table is an example – these are not actual figures. </w:t>
                </w:r>
              </w:p>
              <w:p w14:paraId="6AD7F3BA" w14:textId="77777777" w:rsidR="00332C23" w:rsidRPr="00A64E41" w:rsidRDefault="00332C23" w:rsidP="00A64E41">
                <w:pPr>
                  <w:spacing w:before="240" w:after="140"/>
                  <w:textboxTightWrap w:val="lastLineOnly"/>
                  <w:rPr>
                    <w:rFonts w:ascii="Arial" w:hAnsi="Arial" w:cs="Arial"/>
                  </w:rPr>
                </w:pPr>
                <w:r w:rsidRPr="00A64E41">
                  <w:rPr>
                    <w:rFonts w:ascii="Arial" w:hAnsi="Arial" w:cs="Arial"/>
                  </w:rPr>
                  <w:t>LD = Learning Disability</w:t>
                </w:r>
              </w:p>
              <w:p w14:paraId="79AE1D67" w14:textId="2A93A047" w:rsidR="00332C23" w:rsidRDefault="00332C23" w:rsidP="00A64E41">
                <w:pPr>
                  <w:spacing w:before="240" w:after="140"/>
                  <w:textboxTightWrap w:val="lastLineOnly"/>
                  <w:rPr>
                    <w:rFonts w:ascii="Arial" w:hAnsi="Arial" w:cs="Arial"/>
                  </w:rPr>
                </w:pPr>
                <w:r w:rsidRPr="00A64E41">
                  <w:rPr>
                    <w:rFonts w:ascii="Arial" w:hAnsi="Arial" w:cs="Arial"/>
                  </w:rPr>
                  <w:t>Example:</w:t>
                </w:r>
              </w:p>
              <w:p w14:paraId="7C788F64" w14:textId="08B532F2" w:rsidR="00C100DE" w:rsidRDefault="00C100DE" w:rsidP="00A64E41">
                <w:pPr>
                  <w:spacing w:before="240" w:after="140"/>
                  <w:textboxTightWrap w:val="lastLineOnly"/>
                  <w:rPr>
                    <w:rFonts w:ascii="Arial" w:hAnsi="Arial" w:cs="Arial"/>
                  </w:rPr>
                </w:pPr>
                <w:r>
                  <w:rPr>
                    <w:rFonts w:ascii="Arial" w:hAnsi="Arial" w:cs="Arial"/>
                  </w:rPr>
                  <w:t>For LD all ages with an eligible population of 1000 and 100 returned questionnaires, weight is 10</w:t>
                </w:r>
              </w:p>
              <w:p w14:paraId="5EC5B617" w14:textId="3A9B4562" w:rsidR="00C100DE" w:rsidRDefault="00C100DE" w:rsidP="00A64E41">
                <w:pPr>
                  <w:spacing w:before="240" w:after="140"/>
                  <w:textboxTightWrap w:val="lastLineOnly"/>
                  <w:rPr>
                    <w:rFonts w:ascii="Arial" w:hAnsi="Arial" w:cs="Arial"/>
                  </w:rPr>
                </w:pPr>
                <w:r>
                  <w:rPr>
                    <w:rFonts w:ascii="Arial" w:hAnsi="Arial" w:cs="Arial"/>
                  </w:rPr>
                  <w:t xml:space="preserve">For </w:t>
                </w:r>
                <w:proofErr w:type="gramStart"/>
                <w:r>
                  <w:rPr>
                    <w:rFonts w:ascii="Arial" w:hAnsi="Arial" w:cs="Arial"/>
                  </w:rPr>
                  <w:t>Non LD</w:t>
                </w:r>
                <w:proofErr w:type="gramEnd"/>
                <w:r>
                  <w:rPr>
                    <w:rFonts w:ascii="Arial" w:hAnsi="Arial" w:cs="Arial"/>
                  </w:rPr>
                  <w:t xml:space="preserve"> aged 18-64 with an eligible population of 2000 and 100 returned questionnaires, weight is 20.</w:t>
                </w:r>
              </w:p>
              <w:p w14:paraId="42DD8BFA" w14:textId="2FAF97E8" w:rsidR="00C100DE" w:rsidRDefault="00C100DE" w:rsidP="00A64E41">
                <w:pPr>
                  <w:spacing w:before="240" w:after="140"/>
                  <w:textboxTightWrap w:val="lastLineOnly"/>
                  <w:rPr>
                    <w:rFonts w:ascii="Arial" w:hAnsi="Arial" w:cs="Arial"/>
                  </w:rPr>
                </w:pPr>
                <w:r>
                  <w:rPr>
                    <w:rFonts w:ascii="Arial" w:hAnsi="Arial" w:cs="Arial"/>
                  </w:rPr>
                  <w:t>Non-LD aged 65+ in residential and nursing care with an eligible population of 3000 and 200 returned questionnaires, weight is 15.</w:t>
                </w:r>
              </w:p>
              <w:p w14:paraId="6FC67A26" w14:textId="7FD868B4" w:rsidR="00C100DE" w:rsidRPr="00A64E41" w:rsidRDefault="00C100DE" w:rsidP="00A64E41">
                <w:pPr>
                  <w:spacing w:before="240" w:after="140"/>
                  <w:textboxTightWrap w:val="lastLineOnly"/>
                  <w:rPr>
                    <w:rFonts w:ascii="Arial" w:hAnsi="Arial" w:cs="Arial"/>
                  </w:rPr>
                </w:pPr>
                <w:proofErr w:type="gramStart"/>
                <w:r>
                  <w:rPr>
                    <w:rFonts w:ascii="Arial" w:hAnsi="Arial" w:cs="Arial"/>
                  </w:rPr>
                  <w:t>Non LD</w:t>
                </w:r>
                <w:proofErr w:type="gramEnd"/>
                <w:r>
                  <w:rPr>
                    <w:rFonts w:ascii="Arial" w:hAnsi="Arial" w:cs="Arial"/>
                  </w:rPr>
                  <w:t xml:space="preserve"> aged 65+ receiving community based services with an eligible population of 6000 and 500 returned questionnaires, weight is 12.</w:t>
                </w:r>
              </w:p>
              <w:p w14:paraId="74707543" w14:textId="77777777" w:rsidR="00332C23" w:rsidRPr="00A64E41" w:rsidRDefault="00332C23" w:rsidP="00A64E41">
                <w:pPr>
                  <w:spacing w:before="60" w:after="60"/>
                  <w:rPr>
                    <w:rFonts w:ascii="Arial" w:hAnsi="Arial" w:cs="Arial"/>
                  </w:rPr>
                </w:pPr>
                <w:r w:rsidRPr="00A64E41">
                  <w:rPr>
                    <w:rFonts w:ascii="Arial" w:hAnsi="Arial" w:cs="Arial"/>
                  </w:rPr>
                  <w:t>While the survey question asks directly about services, it is potentially subject to influence of exogenous factors, for example the characteristics of users. Further analysis will be required to explore this and establish whether risk adjustment should be applied.</w:t>
                </w:r>
              </w:p>
              <w:p w14:paraId="194F778A" w14:textId="77777777" w:rsidR="00332C23" w:rsidRPr="00A64E41" w:rsidRDefault="00332C23" w:rsidP="00A64E41">
                <w:pPr>
                  <w:spacing w:before="60" w:after="60"/>
                  <w:rPr>
                    <w:rFonts w:ascii="Arial" w:hAnsi="Arial" w:cs="Arial"/>
                  </w:rPr>
                </w:pPr>
              </w:p>
              <w:p w14:paraId="18A9A7B3" w14:textId="77777777" w:rsidR="00332C23" w:rsidRPr="00A64E41" w:rsidRDefault="00332C23" w:rsidP="00A64E41">
                <w:pPr>
                  <w:spacing w:before="60" w:after="60"/>
                  <w:rPr>
                    <w:rFonts w:ascii="Arial" w:hAnsi="Arial" w:cs="Arial"/>
                  </w:rPr>
                </w:pPr>
                <w:r w:rsidRPr="00A64E41">
                  <w:rPr>
                    <w:rFonts w:ascii="Arial" w:hAnsi="Arial" w:cs="Arial"/>
                  </w:rPr>
                  <w:t xml:space="preserve">The weighting methodology changes were developed and agreed by the Social Services User Survey Group, which includes representatives from the HSCIC, the Department of Health, the Personal Social Services Research Unit, the Care Quality Commission, and local authorities in England. See Appendix C of </w:t>
                </w:r>
                <w:hyperlink r:id="rId24" w:history="1">
                  <w:r w:rsidRPr="00A64E41">
                    <w:rPr>
                      <w:rStyle w:val="Hyperlink"/>
                      <w:rFonts w:ascii="Arial" w:hAnsi="Arial" w:cs="Arial"/>
                      <w:color w:val="auto"/>
                    </w:rPr>
                    <w:t>https://files.digital.nhs.uk/publicationimport/pub18xxx/pub18642/pss-ascs-eng-1415-rpt.pdf</w:t>
                  </w:r>
                </w:hyperlink>
                <w:r w:rsidRPr="00A64E41">
                  <w:rPr>
                    <w:rFonts w:ascii="Arial" w:hAnsi="Arial" w:cs="Arial"/>
                  </w:rPr>
                  <w:t xml:space="preserve"> </w:t>
                </w:r>
              </w:p>
              <w:p w14:paraId="3F934B34" w14:textId="77777777" w:rsidR="00332C23" w:rsidRPr="00A64E41" w:rsidRDefault="00332C23" w:rsidP="00A64E41">
                <w:pPr>
                  <w:textboxTightWrap w:val="lastLineOnly"/>
                  <w:rPr>
                    <w:rFonts w:ascii="Arial" w:hAnsi="Arial" w:cs="Arial"/>
                  </w:rPr>
                </w:pPr>
              </w:p>
            </w:tc>
          </w:tr>
          <w:tr w:rsidR="00A64E41" w:rsidRPr="00A64E41" w14:paraId="2B70B889" w14:textId="77777777" w:rsidTr="00A64E41">
            <w:tc>
              <w:tcPr>
                <w:tcW w:w="3332" w:type="dxa"/>
              </w:tcPr>
              <w:p w14:paraId="208988A9" w14:textId="77777777" w:rsidR="00332C23" w:rsidRPr="00A64E41" w:rsidRDefault="00332C23" w:rsidP="00A64E41">
                <w:pPr>
                  <w:spacing w:before="60" w:after="60"/>
                  <w:rPr>
                    <w:rFonts w:ascii="Arial" w:hAnsi="Arial" w:cs="Arial"/>
                    <w:b/>
                  </w:rPr>
                </w:pPr>
                <w:r w:rsidRPr="00A64E41">
                  <w:rPr>
                    <w:rFonts w:ascii="Arial" w:hAnsi="Arial" w:cs="Arial"/>
                    <w:b/>
                  </w:rPr>
                  <w:lastRenderedPageBreak/>
                  <w:t xml:space="preserve">5.7 What are the confidence intervals and control limits </w:t>
                </w:r>
                <w:r w:rsidRPr="00A64E41">
                  <w:rPr>
                    <w:rFonts w:ascii="Arial" w:hAnsi="Arial" w:cs="Arial"/>
                    <w:b/>
                  </w:rPr>
                  <w:lastRenderedPageBreak/>
                  <w:t>and why have they been used?</w:t>
                </w:r>
              </w:p>
            </w:tc>
            <w:tc>
              <w:tcPr>
                <w:tcW w:w="10842" w:type="dxa"/>
              </w:tcPr>
              <w:p w14:paraId="574C70AB" w14:textId="77777777" w:rsidR="00332C23" w:rsidRPr="00A64E41" w:rsidRDefault="00332C23" w:rsidP="00A64E41">
                <w:pPr>
                  <w:spacing w:before="60" w:after="60"/>
                  <w:rPr>
                    <w:rFonts w:ascii="Arial" w:hAnsi="Arial" w:cs="Arial"/>
                  </w:rPr>
                </w:pPr>
                <w:r w:rsidRPr="00A64E41">
                  <w:rPr>
                    <w:rFonts w:ascii="Arial" w:hAnsi="Arial" w:cs="Arial"/>
                  </w:rPr>
                  <w:lastRenderedPageBreak/>
                  <w:t xml:space="preserve">Confidence Intervals provide an indication on the reliability of a figure by calculating a range in which the value could sit. For example – if a figure is quoted as 46% but has CI of 42% - 48%, then we estimate that </w:t>
                </w:r>
                <w:r w:rsidRPr="00A64E41">
                  <w:rPr>
                    <w:rFonts w:ascii="Arial" w:hAnsi="Arial" w:cs="Arial"/>
                  </w:rPr>
                  <w:lastRenderedPageBreak/>
                  <w:t>the true value lies within this range. This is done to take into account we are projecting sample figures onto a population.</w:t>
                </w:r>
              </w:p>
              <w:p w14:paraId="2A8B2F95" w14:textId="77777777" w:rsidR="00332C23" w:rsidRPr="00A64E41" w:rsidRDefault="00332C23" w:rsidP="00A64E41">
                <w:pPr>
                  <w:spacing w:before="60" w:after="60"/>
                  <w:rPr>
                    <w:rFonts w:ascii="Arial" w:hAnsi="Arial" w:cs="Arial"/>
                  </w:rPr>
                </w:pPr>
              </w:p>
              <w:p w14:paraId="38AD2A57" w14:textId="77777777" w:rsidR="00332C23" w:rsidRPr="00A64E41" w:rsidRDefault="00332C23" w:rsidP="00A64E41">
                <w:pPr>
                  <w:spacing w:before="60" w:after="60"/>
                  <w:rPr>
                    <w:rFonts w:ascii="Arial" w:hAnsi="Arial" w:cs="Arial"/>
                  </w:rPr>
                </w:pPr>
                <w:r w:rsidRPr="00A64E41">
                  <w:rPr>
                    <w:rFonts w:ascii="Arial" w:hAnsi="Arial" w:cs="Arial"/>
                  </w:rPr>
                  <w:t>Confidence Intervals</w:t>
                </w:r>
              </w:p>
              <w:p w14:paraId="663E22D2" w14:textId="77777777" w:rsidR="00332C23" w:rsidRPr="00A64E41" w:rsidRDefault="00332C23" w:rsidP="00A64E41">
                <w:pPr>
                  <w:spacing w:before="60" w:after="60"/>
                  <w:rPr>
                    <w:rFonts w:ascii="Arial" w:hAnsi="Arial" w:cs="Arial"/>
                    <w:i/>
                  </w:rPr>
                </w:pPr>
                <w:r w:rsidRPr="00A64E41">
                  <w:rPr>
                    <w:rFonts w:ascii="Arial" w:hAnsi="Arial" w:cs="Arial"/>
                    <w:i/>
                  </w:rPr>
                  <w:t>Methodology</w:t>
                </w:r>
                <w:r w:rsidRPr="00A64E41">
                  <w:rPr>
                    <w:rStyle w:val="FootnoteReference"/>
                    <w:rFonts w:ascii="Arial" w:hAnsi="Arial" w:cs="Arial"/>
                    <w:i/>
                  </w:rPr>
                  <w:footnoteReference w:id="1"/>
                </w:r>
                <w:r w:rsidRPr="00A64E41">
                  <w:rPr>
                    <w:rFonts w:ascii="Arial" w:hAnsi="Arial" w:cs="Arial"/>
                    <w:i/>
                  </w:rPr>
                  <w:t>:</w:t>
                </w:r>
              </w:p>
              <w:p w14:paraId="78CABC9C" w14:textId="77777777" w:rsidR="00332C23" w:rsidRPr="00A64E41" w:rsidRDefault="00332C23" w:rsidP="00A64E41">
                <w:pPr>
                  <w:spacing w:before="60" w:after="60"/>
                  <w:rPr>
                    <w:rFonts w:ascii="Arial" w:hAnsi="Arial" w:cs="Arial"/>
                  </w:rPr>
                </w:pPr>
              </w:p>
              <w:p w14:paraId="14B2A336" w14:textId="7351489E" w:rsidR="00332C23" w:rsidRDefault="00332C23" w:rsidP="00A64E41">
                <w:pPr>
                  <w:spacing w:before="60" w:after="60"/>
                  <w:rPr>
                    <w:rFonts w:ascii="Arial" w:hAnsi="Arial" w:cs="Arial"/>
                    <w:lang w:val="en"/>
                  </w:rPr>
                </w:pPr>
                <w:r w:rsidRPr="00A64E41">
                  <w:rPr>
                    <w:rFonts w:ascii="Arial" w:hAnsi="Arial" w:cs="Arial"/>
                    <w:lang w:val="en"/>
                  </w:rPr>
                  <w:t xml:space="preserve">The confidence coefficient is determined by the value of the ALPHA= option, which by default equals 0.05 and produces 95% confidence limits. The confidence limits are computed as: </w:t>
                </w:r>
              </w:p>
              <w:p w14:paraId="105BB935" w14:textId="4ACBFAC2" w:rsidR="00C100DE" w:rsidRPr="00A64E41" w:rsidRDefault="00C100DE" w:rsidP="00A64E41">
                <w:pPr>
                  <w:spacing w:before="60" w:after="60"/>
                  <w:rPr>
                    <w:rFonts w:ascii="Arial" w:hAnsi="Arial" w:cs="Arial"/>
                    <w:lang w:val="en"/>
                  </w:rPr>
                </w:pPr>
                <w:r w:rsidRPr="00A64E41">
                  <w:rPr>
                    <w:noProof/>
                    <w:lang w:eastAsia="en-GB"/>
                  </w:rPr>
                  <w:drawing>
                    <wp:inline distT="0" distB="0" distL="0" distR="0" wp14:anchorId="0E5FCE94" wp14:editId="0C84BF0A">
                      <wp:extent cx="1362075" cy="219075"/>
                      <wp:effectExtent l="0" t="0" r="9525" b="9525"/>
                      <wp:docPr id="4" name="Picture 4" descr="Formula to show how to compute confidence lim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pport.sas.com/documentation/cdl/en/statug/63347/HTML/default/images/statug_surveymeans0075.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219075"/>
                              </a:xfrm>
                              <a:prstGeom prst="rect">
                                <a:avLst/>
                              </a:prstGeom>
                              <a:noFill/>
                              <a:ln>
                                <a:noFill/>
                              </a:ln>
                            </pic:spPr>
                          </pic:pic>
                        </a:graphicData>
                      </a:graphic>
                    </wp:inline>
                  </w:drawing>
                </w:r>
              </w:p>
              <w:p w14:paraId="39739C02" w14:textId="77777777" w:rsidR="00332C23" w:rsidRPr="00A64E41" w:rsidRDefault="00332C23" w:rsidP="00A64E41">
                <w:pPr>
                  <w:spacing w:before="60" w:after="60"/>
                  <w:rPr>
                    <w:rFonts w:ascii="Arial" w:hAnsi="Arial" w:cs="Arial"/>
                    <w:lang w:val="en"/>
                  </w:rPr>
                </w:pPr>
                <w:r w:rsidRPr="00A64E41">
                  <w:rPr>
                    <w:rFonts w:ascii="Arial" w:hAnsi="Arial" w:cs="Arial"/>
                    <w:lang w:val="en"/>
                  </w:rPr>
                  <w:t>Where:</w:t>
                </w:r>
              </w:p>
              <w:p w14:paraId="2334D903" w14:textId="77777777" w:rsidR="00332C23" w:rsidRPr="00A64E41" w:rsidRDefault="00332C23" w:rsidP="00A64E41">
                <w:pPr>
                  <w:spacing w:before="60" w:after="60"/>
                  <w:rPr>
                    <w:rFonts w:ascii="Arial" w:hAnsi="Arial" w:cs="Arial"/>
                    <w:lang w:val="en"/>
                  </w:rPr>
                </w:pPr>
                <w:r w:rsidRPr="00A64E41">
                  <w:rPr>
                    <w:noProof/>
                  </w:rPr>
                  <w:drawing>
                    <wp:inline distT="0" distB="0" distL="0" distR="0" wp14:anchorId="29520083" wp14:editId="418781E4">
                      <wp:extent cx="87630" cy="153670"/>
                      <wp:effectExtent l="0" t="0" r="7620" b="0"/>
                      <wp:docPr id="2" name="Picture 2" descr="symbol of estimate of the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pport.sas.com/documentation/cdl/en/statug/63347/HTML/default/images/statug_surveymeans005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630" cy="153670"/>
                              </a:xfrm>
                              <a:prstGeom prst="rect">
                                <a:avLst/>
                              </a:prstGeom>
                              <a:noFill/>
                              <a:ln>
                                <a:noFill/>
                              </a:ln>
                            </pic:spPr>
                          </pic:pic>
                        </a:graphicData>
                      </a:graphic>
                    </wp:inline>
                  </w:drawing>
                </w:r>
                <w:r w:rsidRPr="00A64E41">
                  <w:rPr>
                    <w:rFonts w:ascii="Arial" w:hAnsi="Arial" w:cs="Arial"/>
                    <w:lang w:val="en"/>
                  </w:rPr>
                  <w:t xml:space="preserve">is the estimate of the mean, </w:t>
                </w:r>
              </w:p>
              <w:p w14:paraId="3D760B3A" w14:textId="77777777" w:rsidR="00332C23" w:rsidRPr="00A64E41" w:rsidRDefault="00332C23" w:rsidP="00A64E41">
                <w:pPr>
                  <w:spacing w:before="60" w:after="60"/>
                  <w:rPr>
                    <w:rFonts w:ascii="Arial" w:hAnsi="Arial" w:cs="Arial"/>
                    <w:lang w:val="en"/>
                  </w:rPr>
                </w:pPr>
                <w:r w:rsidRPr="00A64E41">
                  <w:rPr>
                    <w:noProof/>
                    <w:lang w:eastAsia="en-GB"/>
                  </w:rPr>
                  <w:drawing>
                    <wp:inline distT="0" distB="0" distL="0" distR="0" wp14:anchorId="422C6C8A" wp14:editId="64218F77">
                      <wp:extent cx="561975" cy="190500"/>
                      <wp:effectExtent l="0" t="0" r="9525" b="0"/>
                      <wp:docPr id="7" name="Picture 7" descr="symbol for standard error of the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pport.sas.com/documentation/cdl/en/statug/63347/HTML/default/images/statug_surveymeans0076.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r w:rsidRPr="00A64E41">
                  <w:rPr>
                    <w:rFonts w:ascii="Arial" w:hAnsi="Arial" w:cs="Arial"/>
                    <w:lang w:val="en"/>
                  </w:rPr>
                  <w:t xml:space="preserve">is the standard error of the mean </w:t>
                </w:r>
              </w:p>
              <w:p w14:paraId="74998051" w14:textId="1A785FFE" w:rsidR="00332C23" w:rsidRDefault="008A7875" w:rsidP="00A64E41">
                <w:pPr>
                  <w:spacing w:before="60" w:after="60"/>
                  <w:rPr>
                    <w:rFonts w:ascii="Arial" w:hAnsi="Arial" w:cs="Arial"/>
                    <w:lang w:val="en"/>
                  </w:rPr>
                </w:pPr>
                <w:r>
                  <w:rPr>
                    <w:rFonts w:ascii="Arial" w:eastAsiaTheme="minorHAnsi" w:hAnsi="Arial" w:cs="Arial"/>
                  </w:rPr>
                  <w:pict w14:anchorId="2DA7D3E2">
                    <v:shape id="_x0000_i1026" type="#_x0000_t75" alt="Symbol for the " style="width:32.25pt;height:11.25pt;visibility:visible;mso-wrap-style:square">
                      <v:imagedata r:id="rId28" o:title="Symbol for the "/>
                    </v:shape>
                  </w:pict>
                </w:r>
                <w:r w:rsidR="00332C23" w:rsidRPr="00A64E41">
                  <w:rPr>
                    <w:rFonts w:ascii="Arial" w:hAnsi="Arial" w:cs="Arial"/>
                    <w:lang w:val="en"/>
                  </w:rPr>
                  <w:t xml:space="preserve">is the </w:t>
                </w:r>
                <w:r w:rsidR="00332C23" w:rsidRPr="00A64E41">
                  <w:rPr>
                    <w:noProof/>
                    <w:lang w:eastAsia="en-GB"/>
                  </w:rPr>
                  <w:drawing>
                    <wp:inline distT="0" distB="0" distL="0" distR="0" wp14:anchorId="07B6DC5A" wp14:editId="7ED21B0F">
                      <wp:extent cx="762000" cy="152400"/>
                      <wp:effectExtent l="0" t="0" r="0" b="0"/>
                      <wp:docPr id="5" name="Picture 5" descr="symbol for percentile used in calculation of the t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pport.sas.com/documentation/cdl/en/statug/63347/HTML/default/images/statug_surveymeans0078.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152400"/>
                              </a:xfrm>
                              <a:prstGeom prst="rect">
                                <a:avLst/>
                              </a:prstGeom>
                              <a:noFill/>
                              <a:ln>
                                <a:noFill/>
                              </a:ln>
                            </pic:spPr>
                          </pic:pic>
                        </a:graphicData>
                      </a:graphic>
                    </wp:inline>
                  </w:drawing>
                </w:r>
                <w:proofErr w:type="spellStart"/>
                <w:r w:rsidR="00332C23" w:rsidRPr="00A64E41">
                  <w:rPr>
                    <w:rFonts w:ascii="Arial" w:hAnsi="Arial" w:cs="Arial"/>
                    <w:lang w:val="en"/>
                  </w:rPr>
                  <w:t>th</w:t>
                </w:r>
                <w:proofErr w:type="spellEnd"/>
                <w:r w:rsidR="00332C23" w:rsidRPr="00A64E41">
                  <w:rPr>
                    <w:rFonts w:ascii="Arial" w:hAnsi="Arial" w:cs="Arial"/>
                    <w:lang w:val="en"/>
                  </w:rPr>
                  <w:t xml:space="preserve"> percentile of the </w:t>
                </w:r>
                <w:r w:rsidR="00332C23" w:rsidRPr="00A64E41">
                  <w:rPr>
                    <w:rFonts w:ascii="Arial" w:hAnsi="Arial" w:cs="Arial"/>
                    <w:b/>
                    <w:bCs/>
                    <w:i/>
                    <w:iCs/>
                    <w:lang w:val="en"/>
                  </w:rPr>
                  <w:t>t</w:t>
                </w:r>
                <w:r w:rsidR="00332C23" w:rsidRPr="00A64E41">
                  <w:rPr>
                    <w:rFonts w:ascii="Arial" w:hAnsi="Arial" w:cs="Arial"/>
                    <w:lang w:val="en"/>
                  </w:rPr>
                  <w:t xml:space="preserve"> distribution with </w:t>
                </w:r>
                <w:r w:rsidR="00332C23" w:rsidRPr="00A64E41">
                  <w:rPr>
                    <w:rFonts w:ascii="Arial" w:hAnsi="Arial" w:cs="Arial"/>
                    <w:b/>
                    <w:bCs/>
                    <w:i/>
                    <w:iCs/>
                    <w:lang w:val="en"/>
                  </w:rPr>
                  <w:t>df</w:t>
                </w:r>
                <w:r w:rsidR="00332C23" w:rsidRPr="00A64E41">
                  <w:rPr>
                    <w:rFonts w:ascii="Arial" w:hAnsi="Arial" w:cs="Arial"/>
                    <w:lang w:val="en"/>
                  </w:rPr>
                  <w:t xml:space="preserve"> calculated as: </w:t>
                </w:r>
              </w:p>
              <w:p w14:paraId="423153E9" w14:textId="77777777" w:rsidR="00C100DE" w:rsidRPr="00A64E41" w:rsidRDefault="00C100DE" w:rsidP="00A64E41">
                <w:pPr>
                  <w:spacing w:before="60" w:after="60"/>
                  <w:rPr>
                    <w:rFonts w:ascii="Arial" w:hAnsi="Arial" w:cs="Arial"/>
                    <w:lang w:val="en"/>
                  </w:rPr>
                </w:pPr>
              </w:p>
              <w:p w14:paraId="3FDC91DF" w14:textId="452DAF64" w:rsidR="00332C23" w:rsidRPr="00A64E41" w:rsidRDefault="00C100DE" w:rsidP="00A64E41">
                <w:pPr>
                  <w:spacing w:before="60" w:after="60"/>
                  <w:rPr>
                    <w:rFonts w:ascii="Arial" w:hAnsi="Arial" w:cs="Arial"/>
                    <w:lang w:val="en"/>
                  </w:rPr>
                </w:pPr>
                <w:r w:rsidRPr="00A64E41">
                  <w:rPr>
                    <w:noProof/>
                    <w:lang w:eastAsia="en-GB"/>
                  </w:rPr>
                  <w:drawing>
                    <wp:inline distT="0" distB="0" distL="0" distR="0" wp14:anchorId="04AE75E9" wp14:editId="33EE124F">
                      <wp:extent cx="1219200" cy="190500"/>
                      <wp:effectExtent l="0" t="0" r="0" b="0"/>
                      <wp:docPr id="8" name="Picture 8" descr="Formula to calculate 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upport.sas.com/documentation/cdl/en/statug/63347/HTML/default/images/statug_surveymeans007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19200" cy="190500"/>
                              </a:xfrm>
                              <a:prstGeom prst="rect">
                                <a:avLst/>
                              </a:prstGeom>
                              <a:noFill/>
                              <a:ln>
                                <a:noFill/>
                              </a:ln>
                            </pic:spPr>
                          </pic:pic>
                        </a:graphicData>
                      </a:graphic>
                    </wp:inline>
                  </w:drawing>
                </w:r>
              </w:p>
              <w:p w14:paraId="23CD81F9" w14:textId="77777777" w:rsidR="00332C23" w:rsidRPr="00A64E41" w:rsidRDefault="00332C23" w:rsidP="00A64E41">
                <w:pPr>
                  <w:spacing w:before="60" w:after="60"/>
                  <w:rPr>
                    <w:rFonts w:ascii="Arial" w:hAnsi="Arial" w:cs="Arial"/>
                  </w:rPr>
                </w:pPr>
              </w:p>
              <w:p w14:paraId="1DFFEC79" w14:textId="77777777" w:rsidR="00332C23" w:rsidRPr="00A64E41" w:rsidRDefault="00332C23" w:rsidP="00A64E41">
                <w:pPr>
                  <w:spacing w:before="60" w:after="60"/>
                  <w:rPr>
                    <w:rFonts w:ascii="Arial" w:hAnsi="Arial" w:cs="Arial"/>
                  </w:rPr>
                </w:pPr>
              </w:p>
              <w:p w14:paraId="7E1FAE94" w14:textId="77777777" w:rsidR="00332C23" w:rsidRPr="00A64E41" w:rsidRDefault="00332C23" w:rsidP="00A64E41">
                <w:pPr>
                  <w:spacing w:before="60" w:after="60"/>
                  <w:rPr>
                    <w:rFonts w:ascii="Arial" w:hAnsi="Arial" w:cs="Arial"/>
                  </w:rPr>
                </w:pPr>
                <w:r w:rsidRPr="00A64E41">
                  <w:rPr>
                    <w:rFonts w:ascii="Arial" w:hAnsi="Arial" w:cs="Arial"/>
                  </w:rPr>
                  <w:t>Weights are used to ensure the survey results are representative of the eligible population. The following standard formula for variance of estimates in a stratified design has been used.</w:t>
                </w:r>
              </w:p>
              <w:p w14:paraId="20794EB1" w14:textId="77777777" w:rsidR="00332C23" w:rsidRPr="00A64E41" w:rsidRDefault="00332C23" w:rsidP="00A64E41">
                <w:pPr>
                  <w:spacing w:before="60" w:after="60"/>
                  <w:rPr>
                    <w:rFonts w:ascii="Arial" w:hAnsi="Arial" w:cs="Arial"/>
                  </w:rPr>
                </w:pPr>
                <w:r w:rsidRPr="00A64E41">
                  <w:rPr>
                    <w:rFonts w:ascii="Arial" w:hAnsi="Arial" w:cs="Arial"/>
                  </w:rPr>
                  <w:t xml:space="preserve">Taking H to be the total number of strata within the survey; the sampling weight for each stratum </w:t>
                </w:r>
                <w:r w:rsidRPr="00A64E41">
                  <w:rPr>
                    <w:rFonts w:ascii="Arial" w:hAnsi="Arial" w:cs="Arial"/>
                    <w:i/>
                  </w:rPr>
                  <w:t>h</w:t>
                </w:r>
                <w:r w:rsidRPr="00A64E41">
                  <w:rPr>
                    <w:rFonts w:ascii="Arial" w:hAnsi="Arial" w:cs="Arial"/>
                  </w:rPr>
                  <w:t xml:space="preserve">, where </w:t>
                </w:r>
                <w:r w:rsidRPr="00A64E41">
                  <w:rPr>
                    <w:rFonts w:ascii="Arial" w:hAnsi="Arial" w:cs="Arial"/>
                    <w:i/>
                  </w:rPr>
                  <w:t>h=1,…,H,</w:t>
                </w:r>
                <w:r w:rsidRPr="00A64E41">
                  <w:rPr>
                    <w:rFonts w:ascii="Arial" w:hAnsi="Arial" w:cs="Arial"/>
                  </w:rPr>
                  <w:t xml:space="preserve"> is denoted by:</w:t>
                </w:r>
              </w:p>
              <w:p w14:paraId="68CC9791" w14:textId="77777777" w:rsidR="00332C23" w:rsidRPr="00A64E41" w:rsidRDefault="00332C23" w:rsidP="00A64E41">
                <w:pPr>
                  <w:spacing w:before="60" w:after="60"/>
                  <w:rPr>
                    <w:rFonts w:ascii="Arial" w:hAnsi="Arial" w:cs="Arial"/>
                  </w:rPr>
                </w:pPr>
              </w:p>
              <w:p w14:paraId="0BDF8985" w14:textId="77777777" w:rsidR="00332C23" w:rsidRPr="00A64E41" w:rsidRDefault="008A7875" w:rsidP="00A64E41">
                <w:pPr>
                  <w:spacing w:before="120"/>
                  <w:rPr>
                    <w:rFonts w:ascii="Arial" w:hAnsi="Arial" w:cs="Arial"/>
                  </w:rPr>
                </w:pPr>
                <m:oMathPara>
                  <m:oMathParaPr>
                    <m:jc m:val="left"/>
                  </m:oMathParaPr>
                  <m:oMath>
                    <m:sSub>
                      <m:sSubPr>
                        <m:ctrlPr>
                          <w:rPr>
                            <w:rFonts w:ascii="Cambria Math" w:hAnsi="Cambria Math" w:cs="Arial"/>
                            <w:i/>
                          </w:rPr>
                        </m:ctrlPr>
                      </m:sSubPr>
                      <m:e>
                        <m:r>
                          <w:rPr>
                            <w:rFonts w:ascii="Cambria Math" w:hAnsi="Cambria Math" w:cs="Arial"/>
                          </w:rPr>
                          <m:t>W</m:t>
                        </m:r>
                      </m:e>
                      <m:sub>
                        <m:r>
                          <w:rPr>
                            <w:rFonts w:ascii="Cambria Math" w:hAnsi="Cambria Math" w:cs="Arial"/>
                          </w:rPr>
                          <m:t>h</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num>
                      <m:den>
                        <m:nary>
                          <m:naryPr>
                            <m:chr m:val="∑"/>
                            <m:limLoc m:val="undOvr"/>
                            <m:ctrlPr>
                              <w:rPr>
                                <w:rFonts w:ascii="Cambria Math" w:hAnsi="Cambria Math" w:cs="Arial"/>
                                <w:i/>
                              </w:rPr>
                            </m:ctrlPr>
                          </m:naryPr>
                          <m:sub>
                            <m:r>
                              <w:rPr>
                                <w:rFonts w:ascii="Cambria Math" w:hAnsi="Cambria Math" w:cs="Arial"/>
                              </w:rPr>
                              <m:t>h=1</m:t>
                            </m:r>
                          </m:sub>
                          <m:sup>
                            <m:r>
                              <w:rPr>
                                <w:rFonts w:ascii="Cambria Math" w:hAnsi="Cambria Math" w:cs="Arial"/>
                              </w:rPr>
                              <m:t>H</m:t>
                            </m:r>
                          </m:sup>
                          <m:e>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e>
                        </m:nary>
                      </m:den>
                    </m:f>
                  </m:oMath>
                </m:oMathPara>
              </w:p>
              <w:p w14:paraId="19AB5FC0" w14:textId="77777777" w:rsidR="00332C23" w:rsidRPr="00A64E41" w:rsidRDefault="00332C23" w:rsidP="00A64E41">
                <w:pPr>
                  <w:spacing w:before="120"/>
                  <w:rPr>
                    <w:rFonts w:ascii="Arial" w:hAnsi="Arial" w:cs="Arial"/>
                  </w:rPr>
                </w:pPr>
              </w:p>
              <w:p w14:paraId="5E851793" w14:textId="77777777" w:rsidR="00332C23" w:rsidRPr="00A64E41" w:rsidRDefault="00332C23" w:rsidP="00A64E41">
                <w:pPr>
                  <w:spacing w:before="120"/>
                  <w:rPr>
                    <w:rFonts w:ascii="Arial" w:hAnsi="Arial" w:cs="Arial"/>
                  </w:rPr>
                </w:pPr>
                <w:r w:rsidRPr="00A64E41">
                  <w:rPr>
                    <w:rFonts w:ascii="Arial" w:hAnsi="Arial" w:cs="Arial"/>
                  </w:rPr>
                  <w:t xml:space="preserve">where </w:t>
                </w:r>
                <m:oMath>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oMath>
                <w:r w:rsidRPr="00A64E41">
                  <w:rPr>
                    <w:rFonts w:ascii="Arial" w:hAnsi="Arial" w:cs="Arial"/>
                  </w:rPr>
                  <w:t xml:space="preserve"> is the number of eligible population elements in each stratum and</w:t>
                </w:r>
              </w:p>
              <w:p w14:paraId="32E63F8A" w14:textId="77777777" w:rsidR="00332C23" w:rsidRPr="00A64E41" w:rsidRDefault="008A7875" w:rsidP="00A64E41">
                <w:pPr>
                  <w:spacing w:before="120"/>
                  <w:rPr>
                    <w:rFonts w:ascii="Arial" w:hAnsi="Arial" w:cs="Arial"/>
                  </w:rPr>
                </w:pPr>
                <m:oMathPara>
                  <m:oMathParaPr>
                    <m:jc m:val="left"/>
                  </m:oMathParaPr>
                  <m:oMath>
                    <m:nary>
                      <m:naryPr>
                        <m:chr m:val="∑"/>
                        <m:limLoc m:val="undOvr"/>
                        <m:ctrlPr>
                          <w:rPr>
                            <w:rFonts w:ascii="Cambria Math" w:hAnsi="Cambria Math" w:cs="Arial"/>
                            <w:i/>
                          </w:rPr>
                        </m:ctrlPr>
                      </m:naryPr>
                      <m:sub>
                        <m:r>
                          <w:rPr>
                            <w:rFonts w:ascii="Cambria Math" w:hAnsi="Cambria Math" w:cs="Arial"/>
                          </w:rPr>
                          <m:t>h=1</m:t>
                        </m:r>
                      </m:sub>
                      <m:sup>
                        <m:r>
                          <w:rPr>
                            <w:rFonts w:ascii="Cambria Math" w:hAnsi="Cambria Math" w:cs="Arial"/>
                          </w:rPr>
                          <m:t>H</m:t>
                        </m:r>
                      </m:sup>
                      <m:e>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e>
                    </m:nary>
                  </m:oMath>
                </m:oMathPara>
              </w:p>
              <w:p w14:paraId="46206281" w14:textId="77777777" w:rsidR="00332C23" w:rsidRPr="00A64E41" w:rsidRDefault="00332C23" w:rsidP="00A64E41">
                <w:pPr>
                  <w:spacing w:before="120"/>
                  <w:rPr>
                    <w:rFonts w:ascii="Arial" w:hAnsi="Arial" w:cs="Arial"/>
                  </w:rPr>
                </w:pPr>
                <w:r w:rsidRPr="00A64E41">
                  <w:rPr>
                    <w:rFonts w:ascii="Arial" w:hAnsi="Arial" w:cs="Arial"/>
                  </w:rPr>
                  <w:t>is the overall eligible population for the survey.</w:t>
                </w:r>
              </w:p>
              <w:p w14:paraId="636FD2BE" w14:textId="77777777" w:rsidR="00332C23" w:rsidRPr="00A64E41" w:rsidRDefault="00332C23" w:rsidP="00A64E41">
                <w:pPr>
                  <w:keepNext/>
                  <w:rPr>
                    <w:rFonts w:ascii="Arial" w:hAnsi="Arial" w:cs="Arial"/>
                  </w:rPr>
                </w:pPr>
                <w:r w:rsidRPr="00A64E41">
                  <w:rPr>
                    <w:rFonts w:ascii="Arial" w:hAnsi="Arial" w:cs="Arial"/>
                  </w:rPr>
                  <w:t>The variance is:</w:t>
                </w:r>
              </w:p>
              <w:p w14:paraId="53F4A1BB" w14:textId="77777777" w:rsidR="00332C23" w:rsidRPr="00A64E41" w:rsidRDefault="00332C23" w:rsidP="00A64E41">
                <w:pPr>
                  <w:keepNext/>
                  <w:rPr>
                    <w:rFonts w:ascii="Arial" w:hAnsi="Arial" w:cs="Arial"/>
                  </w:rPr>
                </w:pPr>
                <m:oMathPara>
                  <m:oMathParaPr>
                    <m:jc m:val="left"/>
                  </m:oMathParaPr>
                  <m:oMath>
                    <m:r>
                      <w:rPr>
                        <w:rFonts w:ascii="Cambria Math" w:hAnsi="Cambria Math" w:cs="Arial"/>
                      </w:rPr>
                      <m:t>V</m:t>
                    </m:r>
                    <m:d>
                      <m:dPr>
                        <m:ctrlPr>
                          <w:rPr>
                            <w:rFonts w:ascii="Cambria Math" w:hAnsi="Cambria Math" w:cs="Arial"/>
                            <w:i/>
                          </w:rPr>
                        </m:ctrlPr>
                      </m:dPr>
                      <m:e>
                        <m:r>
                          <w:rPr>
                            <w:rFonts w:ascii="Cambria Math" w:hAnsi="Cambria Math" w:cs="Arial"/>
                          </w:rPr>
                          <m:t>p</m:t>
                        </m:r>
                      </m:e>
                    </m:d>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h=1</m:t>
                        </m:r>
                      </m:sub>
                      <m:sup>
                        <m:r>
                          <w:rPr>
                            <w:rFonts w:ascii="Cambria Math" w:hAnsi="Cambria Math" w:cs="Arial"/>
                          </w:rPr>
                          <m:t>H</m:t>
                        </m:r>
                      </m:sup>
                      <m:e>
                        <m:sSubSup>
                          <m:sSubSupPr>
                            <m:ctrlPr>
                              <w:rPr>
                                <w:rFonts w:ascii="Cambria Math" w:hAnsi="Cambria Math" w:cs="Arial"/>
                                <w:i/>
                              </w:rPr>
                            </m:ctrlPr>
                          </m:sSubSupPr>
                          <m:e>
                            <m:r>
                              <w:rPr>
                                <w:rFonts w:ascii="Cambria Math" w:hAnsi="Cambria Math" w:cs="Arial"/>
                              </w:rPr>
                              <m:t>W</m:t>
                            </m:r>
                          </m:e>
                          <m:sub>
                            <m:r>
                              <w:rPr>
                                <w:rFonts w:ascii="Cambria Math" w:hAnsi="Cambria Math" w:cs="Arial"/>
                              </w:rPr>
                              <m:t>h</m:t>
                            </m:r>
                          </m:sub>
                          <m:sup>
                            <m:r>
                              <w:rPr>
                                <w:rFonts w:ascii="Cambria Math" w:hAnsi="Cambria Math" w:cs="Arial"/>
                              </w:rPr>
                              <m:t>2</m:t>
                            </m:r>
                          </m:sup>
                        </m:sSubSup>
                      </m:e>
                    </m:nary>
                    <m:d>
                      <m:dPr>
                        <m:ctrlPr>
                          <w:rPr>
                            <w:rFonts w:ascii="Cambria Math" w:hAnsi="Cambria Math" w:cs="Arial"/>
                            <w:i/>
                          </w:rPr>
                        </m:ctrlPr>
                      </m:dPr>
                      <m:e>
                        <m:f>
                          <m:fPr>
                            <m:ctrlPr>
                              <w:rPr>
                                <w:rFonts w:ascii="Cambria Math" w:hAnsi="Cambria Math" w:cs="Arial"/>
                                <w:i/>
                              </w:rPr>
                            </m:ctrlPr>
                          </m:fPr>
                          <m:num>
                            <m:d>
                              <m:dPr>
                                <m:ctrlPr>
                                  <w:rPr>
                                    <w:rFonts w:ascii="Cambria Math" w:hAnsi="Cambria Math" w:cs="Arial"/>
                                    <w:i/>
                                  </w:rPr>
                                </m:ctrlPr>
                              </m:dPr>
                              <m:e>
                                <m:r>
                                  <w:rPr>
                                    <w:rFonts w:ascii="Cambria Math" w:hAnsi="Cambria Math" w:cs="Arial"/>
                                  </w:rPr>
                                  <m:t>1-</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num>
                                      <m:den>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den>
                                    </m:f>
                                  </m:e>
                                </m:d>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den>
                        </m:f>
                      </m:e>
                    </m:d>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num>
                          <m:den>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r>
                              <w:rPr>
                                <w:rFonts w:ascii="Cambria Math" w:hAnsi="Cambria Math" w:cs="Arial"/>
                              </w:rPr>
                              <m:t>-1</m:t>
                            </m:r>
                          </m:den>
                        </m:f>
                      </m:e>
                    </m:d>
                    <m:sSub>
                      <m:sSubPr>
                        <m:ctrlPr>
                          <w:rPr>
                            <w:rFonts w:ascii="Cambria Math" w:hAnsi="Cambria Math" w:cs="Arial"/>
                            <w:i/>
                          </w:rPr>
                        </m:ctrlPr>
                      </m:sSubPr>
                      <m:e>
                        <m:r>
                          <w:rPr>
                            <w:rFonts w:ascii="Cambria Math" w:hAnsi="Cambria Math" w:cs="Arial"/>
                          </w:rPr>
                          <m:t>p</m:t>
                        </m:r>
                      </m:e>
                      <m:sub>
                        <m:r>
                          <w:rPr>
                            <w:rFonts w:ascii="Cambria Math" w:hAnsi="Cambria Math" w:cs="Arial"/>
                          </w:rPr>
                          <m:t>h</m:t>
                        </m:r>
                      </m:sub>
                    </m:sSub>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h</m:t>
                            </m:r>
                          </m:sub>
                        </m:sSub>
                      </m:e>
                    </m:d>
                  </m:oMath>
                </m:oMathPara>
              </w:p>
              <w:p w14:paraId="6AED738C" w14:textId="77777777" w:rsidR="00332C23" w:rsidRPr="00A64E41" w:rsidRDefault="00332C23" w:rsidP="00A64E41">
                <w:pPr>
                  <w:spacing w:before="60" w:after="60"/>
                  <w:rPr>
                    <w:rFonts w:ascii="Arial" w:hAnsi="Arial" w:cs="Arial"/>
                  </w:rPr>
                </w:pPr>
              </w:p>
              <w:p w14:paraId="3276C24A" w14:textId="74CFEEE5" w:rsidR="00332C23" w:rsidRDefault="00332C23" w:rsidP="00A64E41">
                <w:pPr>
                  <w:spacing w:before="60" w:after="60"/>
                  <w:rPr>
                    <w:rFonts w:ascii="Arial" w:hAnsi="Arial" w:cs="Arial"/>
                  </w:rPr>
                </w:pPr>
                <w:r w:rsidRPr="00A64E41">
                  <w:rPr>
                    <w:rFonts w:ascii="Arial" w:hAnsi="Arial" w:cs="Arial"/>
                  </w:rPr>
                  <w:t xml:space="preserve">This provides the information needed to calculate the 95 per cent confidence interval, calculated by: </w:t>
                </w:r>
              </w:p>
              <w:p w14:paraId="680CC884" w14:textId="4D755D93" w:rsidR="00C100DE" w:rsidRPr="00A64E41" w:rsidRDefault="00C100DE" w:rsidP="00A64E41">
                <w:pPr>
                  <w:spacing w:before="60" w:after="60"/>
                  <w:rPr>
                    <w:rFonts w:ascii="Arial" w:hAnsi="Arial" w:cs="Arial"/>
                  </w:rPr>
                </w:pPr>
                <w:r w:rsidRPr="00A64E41">
                  <w:rPr>
                    <w:rFonts w:ascii="Cambria Math" w:hAnsi="Cambria Math" w:cs="Cambria Math"/>
                  </w:rPr>
                  <w:t>𝑒𝑠𝑡𝑖𝑚𝑎𝑡𝑒</w:t>
                </w:r>
                <w:r w:rsidRPr="00A64E41">
                  <w:t xml:space="preserve"> ±1.96√</w:t>
                </w:r>
                <w:r w:rsidRPr="00A64E41">
                  <w:rPr>
                    <w:rFonts w:ascii="Cambria Math" w:hAnsi="Cambria Math" w:cs="Cambria Math"/>
                  </w:rPr>
                  <w:t>𝑉</w:t>
                </w:r>
                <w:r w:rsidRPr="00A64E41">
                  <w:t>(</w:t>
                </w:r>
                <w:r w:rsidRPr="00A64E41">
                  <w:rPr>
                    <w:rFonts w:ascii="Cambria Math" w:hAnsi="Cambria Math" w:cs="Cambria Math"/>
                  </w:rPr>
                  <w:t>𝑝</w:t>
                </w:r>
                <w:r w:rsidRPr="00A64E41">
                  <w:t>)</w:t>
                </w:r>
              </w:p>
              <w:p w14:paraId="33BD4A4E" w14:textId="77777777" w:rsidR="00332C23" w:rsidRPr="00A64E41" w:rsidRDefault="00332C23" w:rsidP="00A64E41">
                <w:pPr>
                  <w:spacing w:before="60" w:after="60"/>
                  <w:rPr>
                    <w:rFonts w:ascii="Arial" w:hAnsi="Arial" w:cs="Arial"/>
                  </w:rPr>
                </w:pPr>
                <w:r w:rsidRPr="00A64E41">
                  <w:rPr>
                    <w:rFonts w:ascii="Arial" w:hAnsi="Arial" w:cs="Arial"/>
                  </w:rPr>
                  <w:t>where:</w:t>
                </w:r>
              </w:p>
              <w:p w14:paraId="7FD85445" w14:textId="77777777" w:rsidR="00332C23" w:rsidRPr="00A64E41" w:rsidRDefault="00332C23" w:rsidP="00A64E41">
                <w:pPr>
                  <w:spacing w:before="60" w:after="60"/>
                  <w:rPr>
                    <w:rFonts w:ascii="Arial" w:hAnsi="Arial" w:cs="Arial"/>
                  </w:rPr>
                </w:pPr>
                <w:r w:rsidRPr="00A64E41">
                  <w:rPr>
                    <w:rFonts w:ascii="Arial" w:hAnsi="Arial" w:cs="Arial"/>
                    <w:i/>
                  </w:rPr>
                  <w:t>p</w:t>
                </w:r>
                <w:r w:rsidRPr="00A64E41">
                  <w:rPr>
                    <w:rFonts w:ascii="Arial" w:hAnsi="Arial" w:cs="Arial"/>
                  </w:rPr>
                  <w:t xml:space="preserve"> is the sample proportion (statistic of interest) for the aggregated result</w:t>
                </w:r>
              </w:p>
              <w:p w14:paraId="2925D547" w14:textId="77777777" w:rsidR="00332C23" w:rsidRPr="00A64E41" w:rsidRDefault="00332C23" w:rsidP="00A64E41">
                <w:pPr>
                  <w:spacing w:before="60" w:after="60"/>
                  <w:rPr>
                    <w:rFonts w:ascii="Arial" w:hAnsi="Arial" w:cs="Arial"/>
                  </w:rPr>
                </w:pPr>
                <w:r w:rsidRPr="00A64E41">
                  <w:rPr>
                    <w:rFonts w:ascii="Arial" w:hAnsi="Arial" w:cs="Arial"/>
                    <w:i/>
                  </w:rPr>
                  <w:t>ph</w:t>
                </w:r>
                <w:r w:rsidRPr="00A64E41">
                  <w:rPr>
                    <w:rFonts w:ascii="Arial" w:hAnsi="Arial" w:cs="Arial"/>
                  </w:rPr>
                  <w:t xml:space="preserve"> is the sample proportion in stratum h</w:t>
                </w:r>
              </w:p>
              <w:p w14:paraId="2B73C229" w14:textId="77777777" w:rsidR="00332C23" w:rsidRPr="00A64E41" w:rsidRDefault="00332C23" w:rsidP="00A64E41">
                <w:pPr>
                  <w:spacing w:before="60" w:after="60"/>
                  <w:rPr>
                    <w:rFonts w:ascii="Arial" w:hAnsi="Arial" w:cs="Arial"/>
                  </w:rPr>
                </w:pPr>
                <w:r w:rsidRPr="00A64E41">
                  <w:rPr>
                    <w:rFonts w:ascii="Arial" w:hAnsi="Arial" w:cs="Arial"/>
                    <w:i/>
                  </w:rPr>
                  <w:t>nh</w:t>
                </w:r>
                <w:r w:rsidRPr="00A64E41">
                  <w:rPr>
                    <w:rFonts w:ascii="Arial" w:hAnsi="Arial" w:cs="Arial"/>
                  </w:rPr>
                  <w:t xml:space="preserve"> is the achieved sample size (number of useable responses) in council h</w:t>
                </w:r>
              </w:p>
              <w:p w14:paraId="12EC6FAC" w14:textId="77777777" w:rsidR="00332C23" w:rsidRPr="00A64E41" w:rsidRDefault="00332C23" w:rsidP="00A64E41">
                <w:pPr>
                  <w:spacing w:before="60" w:after="60"/>
                  <w:rPr>
                    <w:rFonts w:ascii="Arial" w:hAnsi="Arial" w:cs="Arial"/>
                  </w:rPr>
                </w:pPr>
                <w:r w:rsidRPr="00A64E41">
                  <w:rPr>
                    <w:rFonts w:ascii="Arial" w:hAnsi="Arial" w:cs="Arial"/>
                    <w:i/>
                  </w:rPr>
                  <w:t>Nh</w:t>
                </w:r>
                <w:r w:rsidRPr="00A64E41">
                  <w:rPr>
                    <w:rFonts w:ascii="Arial" w:hAnsi="Arial" w:cs="Arial"/>
                  </w:rPr>
                  <w:t xml:space="preserve"> is the size of the eligible population in stratum h</w:t>
                </w:r>
              </w:p>
              <w:p w14:paraId="1384C59F" w14:textId="77777777" w:rsidR="00332C23" w:rsidRPr="00A64E41" w:rsidRDefault="00332C23" w:rsidP="00A64E41">
                <w:pPr>
                  <w:spacing w:before="60" w:after="60"/>
                  <w:rPr>
                    <w:rFonts w:ascii="Arial" w:hAnsi="Arial" w:cs="Arial"/>
                  </w:rPr>
                </w:pPr>
                <w:r w:rsidRPr="00A64E41">
                  <w:rPr>
                    <w:rFonts w:ascii="Arial" w:hAnsi="Arial" w:cs="Arial"/>
                    <w:i/>
                  </w:rPr>
                  <w:t>H</w:t>
                </w:r>
                <w:r w:rsidRPr="00A64E41">
                  <w:rPr>
                    <w:rFonts w:ascii="Arial" w:hAnsi="Arial" w:cs="Arial"/>
                  </w:rPr>
                  <w:t xml:space="preserve"> is the number of strata.</w:t>
                </w:r>
              </w:p>
              <w:p w14:paraId="679E17B6" w14:textId="77777777" w:rsidR="00332C23" w:rsidRPr="00A64E41" w:rsidRDefault="00332C23" w:rsidP="00A64E41">
                <w:pPr>
                  <w:spacing w:before="60" w:after="60"/>
                  <w:rPr>
                    <w:rFonts w:ascii="Arial" w:hAnsi="Arial" w:cs="Arial"/>
                  </w:rPr>
                </w:pPr>
                <w:r w:rsidRPr="00A64E41">
                  <w:rPr>
                    <w:rFonts w:ascii="Arial" w:hAnsi="Arial" w:cs="Arial"/>
                  </w:rPr>
                  <w:t>In the normal distribution, 95 per cent of the area under a normal curve lies within roughly 1.96 standard deviations of the mean. NHS Digital uses PROC SURVEYMEANS, within the SAS software package, to calculate margins of error. Rather than using 1.96, this uses a calculation</w:t>
                </w:r>
                <w:r w:rsidRPr="00A64E41">
                  <w:rPr>
                    <w:rStyle w:val="FootnoteReference"/>
                    <w:rFonts w:ascii="Arial" w:hAnsi="Arial" w:cs="Arial"/>
                  </w:rPr>
                  <w:footnoteReference w:id="2"/>
                </w:r>
                <w:r w:rsidRPr="00A64E41">
                  <w:rPr>
                    <w:rFonts w:ascii="Arial" w:hAnsi="Arial" w:cs="Arial"/>
                  </w:rPr>
                  <w:t xml:space="preserve"> which gives slightly greater accuracy and makes fewer assumptions about the sample size.</w:t>
                </w:r>
              </w:p>
              <w:p w14:paraId="37008EBD" w14:textId="77777777" w:rsidR="00332C23" w:rsidRPr="00A64E41" w:rsidRDefault="00332C23" w:rsidP="00A64E41">
                <w:pPr>
                  <w:spacing w:before="60" w:after="60"/>
                  <w:rPr>
                    <w:rFonts w:ascii="Arial" w:hAnsi="Arial" w:cs="Arial"/>
                  </w:rPr>
                </w:pPr>
              </w:p>
            </w:tc>
          </w:tr>
          <w:tr w:rsidR="00A64E41" w:rsidRPr="00A64E41" w14:paraId="51A9773B" w14:textId="77777777" w:rsidTr="00A64E41">
            <w:tc>
              <w:tcPr>
                <w:tcW w:w="3332" w:type="dxa"/>
              </w:tcPr>
              <w:p w14:paraId="1E642B60" w14:textId="77777777" w:rsidR="00332C23" w:rsidRPr="00A64E41" w:rsidRDefault="00332C23" w:rsidP="00A64E41">
                <w:pPr>
                  <w:spacing w:before="60" w:after="60"/>
                  <w:rPr>
                    <w:rFonts w:ascii="Arial" w:hAnsi="Arial" w:cs="Arial"/>
                    <w:b/>
                  </w:rPr>
                </w:pPr>
                <w:r w:rsidRPr="00A64E41">
                  <w:rPr>
                    <w:rFonts w:ascii="Arial" w:hAnsi="Arial" w:cs="Arial"/>
                    <w:b/>
                  </w:rPr>
                  <w:lastRenderedPageBreak/>
                  <w:t>5.8 Could the indicator be manipulated to influence the outcome?</w:t>
                </w:r>
              </w:p>
            </w:tc>
            <w:tc>
              <w:tcPr>
                <w:tcW w:w="10842" w:type="dxa"/>
              </w:tcPr>
              <w:p w14:paraId="2797C9B0" w14:textId="77777777" w:rsidR="00147C16" w:rsidRPr="00147C16" w:rsidRDefault="00147C16" w:rsidP="00147C16">
                <w:pPr>
                  <w:autoSpaceDE w:val="0"/>
                  <w:autoSpaceDN w:val="0"/>
                  <w:adjustRightInd w:val="0"/>
                  <w:rPr>
                    <w:rFonts w:ascii="Arial" w:hAnsi="Arial" w:cs="Arial"/>
                  </w:rPr>
                </w:pPr>
                <w:r w:rsidRPr="00147C16">
                  <w:rPr>
                    <w:rFonts w:ascii="Arial" w:hAnsi="Arial" w:cs="Arial"/>
                  </w:rPr>
                  <w:t xml:space="preserve">One of the key risks of undesired behaviours with any survey is inconsistencies introduced by the survey process. For example, where service users are helped to complete the questionnaire by a representative of the service provider or where the method of carrying out the survey excludes certain service users for example by being web- or telephone-based. </w:t>
                </w:r>
              </w:p>
              <w:p w14:paraId="052131AB" w14:textId="77777777" w:rsidR="00147C16" w:rsidRPr="00147C16" w:rsidRDefault="00147C16" w:rsidP="00147C16">
                <w:pPr>
                  <w:autoSpaceDE w:val="0"/>
                  <w:autoSpaceDN w:val="0"/>
                  <w:adjustRightInd w:val="0"/>
                  <w:rPr>
                    <w:rFonts w:ascii="Arial" w:hAnsi="Arial" w:cs="Arial"/>
                  </w:rPr>
                </w:pPr>
              </w:p>
              <w:p w14:paraId="657B2098" w14:textId="77777777" w:rsidR="00147C16" w:rsidRPr="00147C16" w:rsidRDefault="00147C16" w:rsidP="00147C16">
                <w:pPr>
                  <w:autoSpaceDE w:val="0"/>
                  <w:autoSpaceDN w:val="0"/>
                  <w:adjustRightInd w:val="0"/>
                  <w:rPr>
                    <w:rFonts w:ascii="Arial" w:hAnsi="Arial" w:cs="Arial"/>
                  </w:rPr>
                </w:pPr>
                <w:r w:rsidRPr="00147C16">
                  <w:rPr>
                    <w:rFonts w:ascii="Arial" w:hAnsi="Arial" w:cs="Arial"/>
                  </w:rPr>
                  <w:lastRenderedPageBreak/>
                  <w:t xml:space="preserve">Guidance documentation is provided to local authorities to support them in carrying out the survey in a robust way. This seeks to mitigate the risks of these undesired behaviours occurring by for example providing a summary of the strengths and weaknesses of postal questionnaires compared to face-to-face and telephone interviews. This is designed to help councils in reaching informed decisions about how they administer the survey locally. </w:t>
                </w:r>
              </w:p>
              <w:p w14:paraId="3F9E5F41" w14:textId="77777777" w:rsidR="00147C16" w:rsidRPr="00147C16" w:rsidRDefault="00147C16" w:rsidP="00147C16">
                <w:pPr>
                  <w:autoSpaceDE w:val="0"/>
                  <w:autoSpaceDN w:val="0"/>
                  <w:adjustRightInd w:val="0"/>
                  <w:rPr>
                    <w:rFonts w:ascii="Arial" w:hAnsi="Arial" w:cs="Arial"/>
                  </w:rPr>
                </w:pPr>
              </w:p>
              <w:p w14:paraId="39B91A01" w14:textId="77777777" w:rsidR="00147C16" w:rsidRPr="00147C16" w:rsidRDefault="00147C16" w:rsidP="00147C16">
                <w:pPr>
                  <w:autoSpaceDE w:val="0"/>
                  <w:autoSpaceDN w:val="0"/>
                  <w:adjustRightInd w:val="0"/>
                  <w:rPr>
                    <w:rFonts w:ascii="Arial" w:hAnsi="Arial" w:cs="Arial"/>
                  </w:rPr>
                </w:pPr>
                <w:r w:rsidRPr="00147C16">
                  <w:rPr>
                    <w:rFonts w:ascii="Arial" w:hAnsi="Arial" w:cs="Arial"/>
                  </w:rPr>
                  <w:t xml:space="preserve">There are instances where it is reasonable for service users to call upon their service providers to help them in completing the questionnaire. Anecdotal evidence suggests that it is very difficult to instruct a service user not to ask their care worker for help when they are used to turning to them for help with everyday tasks such as dealing with the post. The questionnaire does ask if a user has had assistance completing the questionnaire, the responses to this are factored into both the analyses and data quality assessment. </w:t>
                </w:r>
              </w:p>
              <w:p w14:paraId="0D276698" w14:textId="77777777" w:rsidR="00147C16" w:rsidRPr="00147C16" w:rsidRDefault="00147C16" w:rsidP="00147C16">
                <w:pPr>
                  <w:pStyle w:val="Default"/>
                  <w:rPr>
                    <w:rFonts w:ascii="Arial" w:hAnsi="Arial" w:cs="Arial"/>
                    <w:color w:val="auto"/>
                    <w:sz w:val="22"/>
                    <w:szCs w:val="22"/>
                  </w:rPr>
                </w:pPr>
              </w:p>
              <w:p w14:paraId="3B977A9C" w14:textId="77777777" w:rsidR="00147C16" w:rsidRPr="00147C16" w:rsidRDefault="00147C16" w:rsidP="00147C16">
                <w:pPr>
                  <w:pStyle w:val="Default"/>
                  <w:rPr>
                    <w:rFonts w:ascii="Arial" w:hAnsi="Arial" w:cs="Arial"/>
                    <w:color w:val="auto"/>
                    <w:sz w:val="22"/>
                    <w:szCs w:val="22"/>
                  </w:rPr>
                </w:pPr>
                <w:r w:rsidRPr="00147C16">
                  <w:rPr>
                    <w:rFonts w:ascii="Arial" w:hAnsi="Arial" w:cs="Arial"/>
                    <w:color w:val="auto"/>
                    <w:sz w:val="22"/>
                    <w:szCs w:val="22"/>
                  </w:rPr>
                  <w:t xml:space="preserve">To mitigate these risks however, the guidance also provides a range of ways though which councils can ensure service users are able to complete the questionnaire as independently as possible through for example family members, informal carers or advocates. The guidance also explicitly states that “Anyone directly involved in the provision of services to the participant should not help them to complete the questionnaire. This is because respondents may not feel able to give their true opinion and this would bias the results.” </w:t>
                </w:r>
              </w:p>
              <w:p w14:paraId="3D477EA6" w14:textId="77777777" w:rsidR="00147C16" w:rsidRPr="00147C16" w:rsidRDefault="00147C16" w:rsidP="00147C16">
                <w:pPr>
                  <w:pStyle w:val="Default"/>
                  <w:rPr>
                    <w:rFonts w:ascii="Arial" w:hAnsi="Arial" w:cs="Arial"/>
                    <w:color w:val="auto"/>
                    <w:sz w:val="22"/>
                    <w:szCs w:val="22"/>
                  </w:rPr>
                </w:pPr>
              </w:p>
              <w:p w14:paraId="7AD2872F" w14:textId="77777777" w:rsidR="00147C16" w:rsidRPr="00147C16" w:rsidRDefault="00147C16" w:rsidP="00147C16">
                <w:pPr>
                  <w:pStyle w:val="Default"/>
                  <w:rPr>
                    <w:rFonts w:ascii="Arial" w:hAnsi="Arial" w:cs="Arial"/>
                    <w:color w:val="auto"/>
                    <w:sz w:val="22"/>
                    <w:szCs w:val="22"/>
                  </w:rPr>
                </w:pPr>
                <w:r w:rsidRPr="00147C16">
                  <w:rPr>
                    <w:rFonts w:ascii="Arial" w:hAnsi="Arial" w:cs="Arial"/>
                    <w:color w:val="auto"/>
                    <w:sz w:val="22"/>
                    <w:szCs w:val="22"/>
                  </w:rPr>
                  <w:t xml:space="preserve">Where it is not possible to find appropriate support to enable service users to complete a postal questionnaire, the survey may be administered as an interview, either by telephone or face-to-face. Interviews should be used by exception: the number of interviews completed should be small in relation to the size of the sample (generally this would be expected to be less than five per cent). </w:t>
                </w:r>
              </w:p>
              <w:p w14:paraId="799910F4" w14:textId="77777777" w:rsidR="00147C16" w:rsidRPr="00147C16" w:rsidRDefault="00147C16" w:rsidP="00147C16">
                <w:pPr>
                  <w:autoSpaceDE w:val="0"/>
                  <w:autoSpaceDN w:val="0"/>
                  <w:adjustRightInd w:val="0"/>
                  <w:rPr>
                    <w:rFonts w:ascii="Arial" w:hAnsi="Arial" w:cs="Arial"/>
                  </w:rPr>
                </w:pPr>
              </w:p>
              <w:p w14:paraId="23175166" w14:textId="002C5CA7" w:rsidR="00332C23" w:rsidRPr="00147C16" w:rsidRDefault="00147C16" w:rsidP="00147C16">
                <w:pPr>
                  <w:spacing w:before="60" w:after="60"/>
                  <w:rPr>
                    <w:rFonts w:ascii="Arial" w:hAnsi="Arial" w:cs="Arial"/>
                  </w:rPr>
                </w:pPr>
                <w:r w:rsidRPr="00147C16">
                  <w:rPr>
                    <w:rFonts w:ascii="Arial" w:hAnsi="Arial" w:cs="Arial"/>
                  </w:rPr>
                  <w:t>Ultimately, councils are able to use ASCS guidance documentation to ensure data are collected robustly and consistently, and to support transparent and fair comparisons between service providers.</w:t>
                </w:r>
              </w:p>
              <w:p w14:paraId="509A7C90" w14:textId="77777777" w:rsidR="00332C23" w:rsidRPr="00147C16" w:rsidRDefault="00332C23" w:rsidP="00A64E41">
                <w:pPr>
                  <w:spacing w:before="60" w:after="60"/>
                  <w:rPr>
                    <w:rFonts w:ascii="Arial" w:hAnsi="Arial" w:cs="Arial"/>
                    <w:i/>
                  </w:rPr>
                </w:pPr>
              </w:p>
            </w:tc>
          </w:tr>
        </w:tbl>
        <w:p w14:paraId="08F3D1F5" w14:textId="7B3C7CE4" w:rsidR="00332C23" w:rsidRPr="00A64E41" w:rsidRDefault="00332C23" w:rsidP="00A64E41">
          <w:pPr>
            <w:jc w:val="center"/>
          </w:pPr>
        </w:p>
        <w:p w14:paraId="0CCA529D" w14:textId="4DB8F5A2" w:rsidR="00332C23" w:rsidRPr="00A64E41" w:rsidRDefault="00332C23"/>
        <w:p w14:paraId="48D003C3" w14:textId="35045877" w:rsidR="00332C23" w:rsidRPr="00A64E41" w:rsidRDefault="00332C23"/>
        <w:p w14:paraId="6F2D288D" w14:textId="5AE01458" w:rsidR="00332C23" w:rsidRPr="00A64E41" w:rsidRDefault="00332C23">
          <w:pPr>
            <w:rPr>
              <w:rFonts w:eastAsia="+mn-ea"/>
              <w:b/>
              <w:position w:val="1"/>
              <w:lang w:eastAsia="en-GB"/>
            </w:rPr>
          </w:pPr>
          <w:r w:rsidRPr="00A64E41">
            <w:rPr>
              <w:rFonts w:eastAsia="+mn-ea"/>
              <w:b/>
              <w:position w:val="1"/>
            </w:rPr>
            <w:br w:type="page"/>
          </w:r>
        </w:p>
      </w:sdtContent>
    </w:sdt>
    <w:p w14:paraId="3279ABD3" w14:textId="77777777" w:rsidR="00332C23" w:rsidRPr="00A64E41" w:rsidRDefault="00332C23" w:rsidP="00A64E41">
      <w:pPr>
        <w:pStyle w:val="NormalWeb"/>
        <w:spacing w:before="0" w:beforeAutospacing="0" w:after="0" w:afterAutospacing="0"/>
        <w:rPr>
          <w:rFonts w:ascii="Arial" w:eastAsia="+mn-ea" w:hAnsi="Arial" w:cs="Arial"/>
          <w:position w:val="1"/>
          <w:sz w:val="22"/>
          <w:szCs w:val="22"/>
        </w:rPr>
      </w:pPr>
    </w:p>
    <w:p w14:paraId="00C18836" w14:textId="77777777" w:rsidR="00332C23" w:rsidRPr="00A64E41" w:rsidRDefault="00332C23" w:rsidP="00A64E41">
      <w:pPr>
        <w:pStyle w:val="NormalWeb"/>
        <w:spacing w:before="0" w:beforeAutospacing="0" w:after="0" w:afterAutospacing="0"/>
        <w:rPr>
          <w:rFonts w:ascii="Arial" w:eastAsia="+mn-ea" w:hAnsi="Arial" w:cs="Arial"/>
          <w:b/>
          <w:position w:val="1"/>
          <w:sz w:val="22"/>
          <w:szCs w:val="22"/>
        </w:rPr>
      </w:pPr>
      <w:r w:rsidRPr="00A64E41">
        <w:rPr>
          <w:rFonts w:ascii="Arial" w:eastAsia="+mn-ea" w:hAnsi="Arial" w:cs="Arial"/>
          <w:b/>
          <w:position w:val="1"/>
          <w:sz w:val="22"/>
          <w:szCs w:val="22"/>
        </w:rPr>
        <w:t xml:space="preserve">Final Assurance Rating from the Indicator Governance Board - </w:t>
      </w:r>
      <w:sdt>
        <w:sdtPr>
          <w:rPr>
            <w:rFonts w:ascii="Arial" w:eastAsia="+mn-ea" w:hAnsi="Arial" w:cs="Arial"/>
            <w:b/>
            <w:position w:val="1"/>
            <w:sz w:val="22"/>
            <w:szCs w:val="22"/>
          </w:rPr>
          <w:id w:val="-436680183"/>
          <w:date w:fullDate="2019-07-11T00:00:00Z">
            <w:dateFormat w:val="dd/MM/yyyy"/>
            <w:lid w:val="en-GB"/>
            <w:storeMappedDataAs w:val="dateTime"/>
            <w:calendar w:val="gregorian"/>
          </w:date>
        </w:sdtPr>
        <w:sdtEndPr/>
        <w:sdtContent>
          <w:r w:rsidRPr="00A64E41">
            <w:rPr>
              <w:rFonts w:ascii="Arial" w:eastAsia="+mn-ea" w:hAnsi="Arial" w:cs="Arial"/>
              <w:b/>
              <w:position w:val="1"/>
              <w:sz w:val="22"/>
              <w:szCs w:val="22"/>
            </w:rPr>
            <w:t>11/07/2019</w:t>
          </w:r>
        </w:sdtContent>
      </w:sdt>
    </w:p>
    <w:p w14:paraId="1B9328D5" w14:textId="77777777" w:rsidR="00332C23" w:rsidRPr="00A64E41" w:rsidRDefault="00332C23" w:rsidP="00A64E41">
      <w:pPr>
        <w:pStyle w:val="NormalWeb"/>
        <w:spacing w:before="0" w:beforeAutospacing="0" w:after="0" w:afterAutospacing="0"/>
        <w:rPr>
          <w:rFonts w:ascii="Arial" w:eastAsia="+mn-ea" w:hAnsi="Arial" w:cs="Arial"/>
          <w:b/>
          <w:position w:val="1"/>
          <w:sz w:val="22"/>
          <w:szCs w:val="22"/>
        </w:rPr>
      </w:pPr>
    </w:p>
    <w:tbl>
      <w:tblPr>
        <w:tblStyle w:val="TableGrid"/>
        <w:tblW w:w="10314" w:type="dxa"/>
        <w:tblLook w:val="04A0" w:firstRow="1" w:lastRow="0" w:firstColumn="1" w:lastColumn="0" w:noHBand="0" w:noVBand="1"/>
      </w:tblPr>
      <w:tblGrid>
        <w:gridCol w:w="3369"/>
        <w:gridCol w:w="6945"/>
      </w:tblGrid>
      <w:tr w:rsidR="00A64E41" w:rsidRPr="00A64E41" w14:paraId="5AA24B79" w14:textId="77777777" w:rsidTr="00A64E41">
        <w:trPr>
          <w:trHeight w:val="359"/>
        </w:trPr>
        <w:tc>
          <w:tcPr>
            <w:tcW w:w="3369" w:type="dxa"/>
            <w:tcBorders>
              <w:top w:val="nil"/>
              <w:left w:val="nil"/>
              <w:bottom w:val="nil"/>
              <w:right w:val="nil"/>
            </w:tcBorders>
            <w:shd w:val="clear" w:color="auto" w:fill="DBE5F1" w:themeFill="accent1" w:themeFillTint="33"/>
          </w:tcPr>
          <w:p w14:paraId="7792231B"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3C59C333"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position w:val="1"/>
                    <w:sz w:val="22"/>
                    <w:szCs w:val="22"/>
                  </w:rPr>
                  <w:t>Initial assurance</w:t>
                </w:r>
              </w:p>
            </w:tc>
          </w:sdtContent>
        </w:sdt>
      </w:tr>
      <w:tr w:rsidR="00A64E41" w:rsidRPr="00A64E41" w14:paraId="7F2AFBAB" w14:textId="77777777" w:rsidTr="00A64E41">
        <w:trPr>
          <w:trHeight w:val="557"/>
        </w:trPr>
        <w:tc>
          <w:tcPr>
            <w:tcW w:w="3369" w:type="dxa"/>
            <w:tcBorders>
              <w:top w:val="nil"/>
              <w:left w:val="nil"/>
              <w:bottom w:val="nil"/>
              <w:right w:val="nil"/>
            </w:tcBorders>
            <w:shd w:val="clear" w:color="auto" w:fill="DBE5F1" w:themeFill="accent1" w:themeFillTint="33"/>
          </w:tcPr>
          <w:p w14:paraId="1F3659E5"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b/>
                <w:position w:val="1"/>
                <w:sz w:val="22"/>
                <w:szCs w:val="22"/>
              </w:rPr>
              <w:t>Iteration</w:t>
            </w:r>
          </w:p>
        </w:tc>
        <w:sdt>
          <w:sdtPr>
            <w:rPr>
              <w:rFonts w:ascii="Arial" w:eastAsia="+mn-ea" w:hAnsi="Arial" w:cs="Arial"/>
              <w:position w:val="1"/>
              <w:sz w:val="22"/>
              <w:szCs w:val="22"/>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EndPr/>
          <w:sdtContent>
            <w:tc>
              <w:tcPr>
                <w:tcW w:w="6945" w:type="dxa"/>
                <w:tcBorders>
                  <w:top w:val="nil"/>
                  <w:left w:val="nil"/>
                  <w:bottom w:val="nil"/>
                  <w:right w:val="nil"/>
                </w:tcBorders>
              </w:tcPr>
              <w:p w14:paraId="0323601D"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position w:val="1"/>
                    <w:sz w:val="22"/>
                    <w:szCs w:val="22"/>
                  </w:rPr>
                  <w:t>1st IGB meeting</w:t>
                </w:r>
              </w:p>
            </w:tc>
          </w:sdtContent>
        </w:sdt>
      </w:tr>
    </w:tbl>
    <w:p w14:paraId="2F05C5BC" w14:textId="77777777" w:rsidR="00332C23" w:rsidRPr="00A64E41" w:rsidRDefault="00332C23" w:rsidP="00A64E41"/>
    <w:p w14:paraId="0B7F9C62" w14:textId="77777777" w:rsidR="00332C23" w:rsidRPr="00A64E41" w:rsidRDefault="008A7875" w:rsidP="00A64E41">
      <w:pPr>
        <w:jc w:val="center"/>
        <w:rPr>
          <w:rFonts w:eastAsia="+mn-ea"/>
          <w:b/>
          <w:position w:val="1"/>
          <w:lang w:eastAsia="en-GB"/>
        </w:rPr>
      </w:pPr>
      <w:r>
        <w:rPr>
          <w:rFonts w:eastAsia="+mn-ea"/>
          <w:b/>
          <w:position w:val="1"/>
          <w:lang w:eastAsia="en-GB"/>
        </w:rPr>
        <w:pict w14:anchorId="489C1734">
          <v:rect id="_x0000_i1027" style="width:503.2pt;height:1.5pt" o:hralign="center" o:hrstd="t" o:hr="t" fillcolor="#a0a0a0" stroked="f"/>
        </w:pict>
      </w:r>
    </w:p>
    <w:tbl>
      <w:tblPr>
        <w:tblStyle w:val="TableGrid1"/>
        <w:tblW w:w="0" w:type="auto"/>
        <w:tblInd w:w="-5" w:type="dxa"/>
        <w:tblLook w:val="04A0" w:firstRow="1" w:lastRow="0" w:firstColumn="1" w:lastColumn="0" w:noHBand="0" w:noVBand="1"/>
      </w:tblPr>
      <w:tblGrid>
        <w:gridCol w:w="3863"/>
        <w:gridCol w:w="3225"/>
      </w:tblGrid>
      <w:tr w:rsidR="005F373B" w:rsidRPr="00A64E41" w14:paraId="68CBA28B" w14:textId="77777777" w:rsidTr="00C100DE">
        <w:tc>
          <w:tcPr>
            <w:tcW w:w="3863" w:type="dxa"/>
          </w:tcPr>
          <w:p w14:paraId="245868A2" w14:textId="77777777" w:rsidR="005F373B" w:rsidRPr="00A64E41" w:rsidRDefault="005F373B" w:rsidP="006965C4">
            <w:pPr>
              <w:spacing w:before="120"/>
              <w:rPr>
                <w:rFonts w:ascii="Arial" w:eastAsia="+mn-ea" w:hAnsi="Arial" w:cs="Arial"/>
                <w:b/>
                <w:position w:val="1"/>
              </w:rPr>
            </w:pPr>
            <w:r w:rsidRPr="00A64E41">
              <w:rPr>
                <w:rFonts w:ascii="Arial" w:eastAsia="+mn-ea" w:hAnsi="Arial" w:cs="Arial"/>
                <w:b/>
                <w:position w:val="1"/>
              </w:rPr>
              <w:t>Ratings Against Assessment Criteria</w:t>
            </w:r>
          </w:p>
          <w:p w14:paraId="6FA18D75" w14:textId="77777777" w:rsidR="005F373B" w:rsidRPr="00A64E41" w:rsidRDefault="005F373B" w:rsidP="00A64E41">
            <w:pPr>
              <w:spacing w:line="360" w:lineRule="auto"/>
              <w:rPr>
                <w:rFonts w:eastAsia="+mn-ea"/>
                <w:position w:val="1"/>
              </w:rPr>
            </w:pPr>
          </w:p>
        </w:tc>
        <w:tc>
          <w:tcPr>
            <w:tcW w:w="3225" w:type="dxa"/>
          </w:tcPr>
          <w:p w14:paraId="23BCBDD0" w14:textId="77777777" w:rsidR="005F373B" w:rsidRDefault="005F373B" w:rsidP="00A64E41">
            <w:pPr>
              <w:spacing w:line="360" w:lineRule="auto"/>
              <w:jc w:val="center"/>
              <w:rPr>
                <w:b/>
                <w:noProof/>
                <w:lang w:eastAsia="en-GB"/>
              </w:rPr>
            </w:pPr>
          </w:p>
        </w:tc>
      </w:tr>
      <w:tr w:rsidR="005F373B" w:rsidRPr="00A64E41" w14:paraId="3B1549B8" w14:textId="77777777" w:rsidTr="00C100DE">
        <w:tc>
          <w:tcPr>
            <w:tcW w:w="3863" w:type="dxa"/>
          </w:tcPr>
          <w:p w14:paraId="1DD48A53" w14:textId="20BBF24E" w:rsidR="005F373B" w:rsidRPr="00A64E41" w:rsidRDefault="005F373B" w:rsidP="006965C4">
            <w:pPr>
              <w:spacing w:before="120"/>
              <w:rPr>
                <w:rFonts w:eastAsia="+mn-ea"/>
                <w:b/>
                <w:position w:val="1"/>
              </w:rPr>
            </w:pPr>
            <w:r w:rsidRPr="00A64E41">
              <w:rPr>
                <w:rFonts w:ascii="Arial" w:eastAsia="+mn-ea" w:hAnsi="Arial" w:cs="Arial"/>
                <w:position w:val="1"/>
              </w:rPr>
              <w:t>Clarity</w:t>
            </w:r>
          </w:p>
        </w:tc>
        <w:tc>
          <w:tcPr>
            <w:tcW w:w="3225" w:type="dxa"/>
          </w:tcPr>
          <w:p w14:paraId="7DCB46C0" w14:textId="36EBC5DD" w:rsidR="005F373B" w:rsidRDefault="005F373B" w:rsidP="00A64E41">
            <w:pPr>
              <w:spacing w:line="360" w:lineRule="auto"/>
              <w:jc w:val="center"/>
              <w:rPr>
                <w:b/>
                <w:noProof/>
                <w:lang w:eastAsia="en-GB"/>
              </w:rPr>
            </w:pPr>
            <w:r>
              <w:rPr>
                <w:rFonts w:ascii="Arial" w:hAnsi="Arial" w:cs="Arial"/>
                <w:b/>
                <w:noProof/>
                <w:lang w:eastAsia="en-GB"/>
              </w:rPr>
              <w:t>Fit for use with caveats</w:t>
            </w:r>
          </w:p>
        </w:tc>
      </w:tr>
      <w:tr w:rsidR="005F373B" w:rsidRPr="00A64E41" w14:paraId="72A80A69" w14:textId="77777777" w:rsidTr="00C100DE">
        <w:tc>
          <w:tcPr>
            <w:tcW w:w="3863" w:type="dxa"/>
          </w:tcPr>
          <w:p w14:paraId="64E78D04" w14:textId="66D82BDB" w:rsidR="005F373B" w:rsidRPr="00A64E41" w:rsidRDefault="005F373B" w:rsidP="006965C4">
            <w:pPr>
              <w:spacing w:before="120"/>
              <w:rPr>
                <w:rFonts w:eastAsia="+mn-ea"/>
                <w:position w:val="1"/>
              </w:rPr>
            </w:pPr>
            <w:r w:rsidRPr="00A64E41">
              <w:rPr>
                <w:rFonts w:ascii="Arial" w:eastAsia="+mn-ea" w:hAnsi="Arial" w:cs="Arial"/>
                <w:position w:val="1"/>
              </w:rPr>
              <w:t>Rationale</w:t>
            </w:r>
          </w:p>
        </w:tc>
        <w:tc>
          <w:tcPr>
            <w:tcW w:w="3225" w:type="dxa"/>
          </w:tcPr>
          <w:p w14:paraId="2219BFEE" w14:textId="6B277A09" w:rsidR="005F373B" w:rsidRDefault="005F373B" w:rsidP="00A64E41">
            <w:pPr>
              <w:spacing w:line="360" w:lineRule="auto"/>
              <w:jc w:val="center"/>
              <w:rPr>
                <w:b/>
                <w:noProof/>
                <w:lang w:eastAsia="en-GB"/>
              </w:rPr>
            </w:pPr>
            <w:r>
              <w:rPr>
                <w:rFonts w:ascii="Arial" w:hAnsi="Arial" w:cs="Arial"/>
                <w:b/>
                <w:noProof/>
                <w:lang w:eastAsia="en-GB"/>
              </w:rPr>
              <w:t>Fit for use with caveats</w:t>
            </w:r>
          </w:p>
        </w:tc>
      </w:tr>
      <w:tr w:rsidR="005F373B" w:rsidRPr="00A64E41" w14:paraId="6AFBC98C" w14:textId="77777777" w:rsidTr="00C100DE">
        <w:tc>
          <w:tcPr>
            <w:tcW w:w="3863" w:type="dxa"/>
          </w:tcPr>
          <w:p w14:paraId="734D184E" w14:textId="07D5A5F8" w:rsidR="005F373B" w:rsidRPr="00A64E41" w:rsidRDefault="005F373B" w:rsidP="006965C4">
            <w:pPr>
              <w:spacing w:before="120"/>
              <w:rPr>
                <w:rFonts w:eastAsia="+mn-ea"/>
                <w:position w:val="1"/>
              </w:rPr>
            </w:pPr>
            <w:r w:rsidRPr="00A64E41">
              <w:rPr>
                <w:rFonts w:ascii="Arial" w:eastAsia="+mn-ea" w:hAnsi="Arial" w:cs="Arial"/>
                <w:position w:val="1"/>
              </w:rPr>
              <w:t>Data</w:t>
            </w:r>
          </w:p>
        </w:tc>
        <w:tc>
          <w:tcPr>
            <w:tcW w:w="3225" w:type="dxa"/>
          </w:tcPr>
          <w:p w14:paraId="6FAA6F21" w14:textId="460991B0" w:rsidR="005F373B" w:rsidRDefault="005F373B" w:rsidP="00A64E41">
            <w:pPr>
              <w:spacing w:line="360" w:lineRule="auto"/>
              <w:jc w:val="center"/>
              <w:rPr>
                <w:b/>
                <w:noProof/>
                <w:lang w:eastAsia="en-GB"/>
              </w:rPr>
            </w:pPr>
            <w:r>
              <w:rPr>
                <w:rFonts w:ascii="Arial" w:hAnsi="Arial" w:cs="Arial"/>
                <w:b/>
                <w:noProof/>
                <w:lang w:eastAsia="en-GB"/>
              </w:rPr>
              <w:t>Fit for use</w:t>
            </w:r>
          </w:p>
        </w:tc>
      </w:tr>
      <w:tr w:rsidR="005F373B" w:rsidRPr="00A64E41" w14:paraId="00E714E0" w14:textId="77777777" w:rsidTr="00C100DE">
        <w:tc>
          <w:tcPr>
            <w:tcW w:w="3863" w:type="dxa"/>
          </w:tcPr>
          <w:p w14:paraId="279FE515" w14:textId="625025B9" w:rsidR="005F373B" w:rsidRPr="00A64E41" w:rsidRDefault="005F373B" w:rsidP="006965C4">
            <w:pPr>
              <w:spacing w:before="120"/>
              <w:rPr>
                <w:rFonts w:eastAsia="+mn-ea"/>
                <w:position w:val="1"/>
              </w:rPr>
            </w:pPr>
            <w:r w:rsidRPr="00A64E41">
              <w:rPr>
                <w:rFonts w:ascii="Arial" w:eastAsia="+mn-ea" w:hAnsi="Arial" w:cs="Arial"/>
                <w:position w:val="1"/>
              </w:rPr>
              <w:t>Construction</w:t>
            </w:r>
          </w:p>
        </w:tc>
        <w:tc>
          <w:tcPr>
            <w:tcW w:w="3225" w:type="dxa"/>
          </w:tcPr>
          <w:p w14:paraId="3C242707" w14:textId="017B825D" w:rsidR="005F373B" w:rsidRDefault="005F373B" w:rsidP="00A64E41">
            <w:pPr>
              <w:spacing w:line="360" w:lineRule="auto"/>
              <w:jc w:val="center"/>
              <w:rPr>
                <w:b/>
                <w:noProof/>
                <w:lang w:eastAsia="en-GB"/>
              </w:rPr>
            </w:pPr>
            <w:r>
              <w:rPr>
                <w:rFonts w:ascii="Arial" w:hAnsi="Arial" w:cs="Arial"/>
                <w:b/>
                <w:noProof/>
                <w:lang w:eastAsia="en-GB"/>
              </w:rPr>
              <w:t>Fit for use with caveats</w:t>
            </w:r>
          </w:p>
        </w:tc>
      </w:tr>
      <w:tr w:rsidR="005F373B" w:rsidRPr="00A64E41" w14:paraId="68283CEF" w14:textId="77777777" w:rsidTr="00C100DE">
        <w:tc>
          <w:tcPr>
            <w:tcW w:w="3863" w:type="dxa"/>
          </w:tcPr>
          <w:p w14:paraId="6D7230BD" w14:textId="145C8CB4" w:rsidR="005F373B" w:rsidRPr="00A64E41" w:rsidRDefault="005F373B" w:rsidP="006965C4">
            <w:pPr>
              <w:spacing w:before="120"/>
              <w:rPr>
                <w:rFonts w:eastAsia="+mn-ea"/>
                <w:position w:val="1"/>
              </w:rPr>
            </w:pPr>
            <w:r w:rsidRPr="00A64E41">
              <w:rPr>
                <w:rFonts w:ascii="Arial" w:eastAsia="+mn-ea" w:hAnsi="Arial" w:cs="Arial"/>
                <w:position w:val="1"/>
              </w:rPr>
              <w:t>Presentation and Interpretation</w:t>
            </w:r>
          </w:p>
        </w:tc>
        <w:tc>
          <w:tcPr>
            <w:tcW w:w="3225" w:type="dxa"/>
          </w:tcPr>
          <w:p w14:paraId="50C4A231" w14:textId="648774D3" w:rsidR="005F373B" w:rsidRDefault="005F373B" w:rsidP="00A64E41">
            <w:pPr>
              <w:spacing w:line="360" w:lineRule="auto"/>
              <w:jc w:val="center"/>
              <w:rPr>
                <w:b/>
                <w:noProof/>
                <w:lang w:eastAsia="en-GB"/>
              </w:rPr>
            </w:pPr>
            <w:r>
              <w:rPr>
                <w:rFonts w:ascii="Arial" w:hAnsi="Arial" w:cs="Arial"/>
                <w:b/>
                <w:noProof/>
                <w:lang w:eastAsia="en-GB"/>
              </w:rPr>
              <w:t>Fit for use with caveats</w:t>
            </w:r>
          </w:p>
        </w:tc>
      </w:tr>
      <w:tr w:rsidR="005F373B" w:rsidRPr="00A64E41" w14:paraId="207FA3A7" w14:textId="77777777" w:rsidTr="005F373B">
        <w:tc>
          <w:tcPr>
            <w:tcW w:w="3863" w:type="dxa"/>
          </w:tcPr>
          <w:p w14:paraId="7F409333" w14:textId="2629C150" w:rsidR="005F373B" w:rsidRPr="00A64E41" w:rsidRDefault="005F373B" w:rsidP="00A64E41">
            <w:pPr>
              <w:spacing w:line="360" w:lineRule="auto"/>
              <w:rPr>
                <w:rFonts w:eastAsia="+mn-ea"/>
                <w:position w:val="1"/>
              </w:rPr>
            </w:pPr>
            <w:r w:rsidRPr="00A64E41">
              <w:rPr>
                <w:rFonts w:ascii="Arial" w:eastAsia="+mn-ea" w:hAnsi="Arial" w:cs="Arial"/>
                <w:position w:val="1"/>
              </w:rPr>
              <w:t>Risks and Usefulness</w:t>
            </w:r>
          </w:p>
        </w:tc>
        <w:tc>
          <w:tcPr>
            <w:tcW w:w="3225" w:type="dxa"/>
          </w:tcPr>
          <w:p w14:paraId="6B5C1551" w14:textId="5BADA132" w:rsidR="005F373B" w:rsidRPr="00A64E41" w:rsidRDefault="005F373B" w:rsidP="00A64E41">
            <w:pPr>
              <w:spacing w:line="360" w:lineRule="auto"/>
              <w:jc w:val="center"/>
              <w:rPr>
                <w:rFonts w:eastAsia="+mn-ea"/>
                <w:b/>
                <w:position w:val="1"/>
              </w:rPr>
            </w:pPr>
            <w:r>
              <w:rPr>
                <w:rFonts w:ascii="Arial" w:hAnsi="Arial" w:cs="Arial"/>
                <w:b/>
                <w:noProof/>
                <w:lang w:eastAsia="en-GB"/>
              </w:rPr>
              <w:t>Fit for use</w:t>
            </w:r>
          </w:p>
        </w:tc>
      </w:tr>
      <w:tr w:rsidR="005F373B" w:rsidRPr="00A64E41" w14:paraId="149CD0B2" w14:textId="77777777" w:rsidTr="005F373B">
        <w:tc>
          <w:tcPr>
            <w:tcW w:w="3863" w:type="dxa"/>
          </w:tcPr>
          <w:p w14:paraId="69583ECE" w14:textId="77777777" w:rsidR="005F373B" w:rsidRPr="00A64E41" w:rsidRDefault="005F373B" w:rsidP="005F373B">
            <w:pPr>
              <w:spacing w:before="120"/>
              <w:jc w:val="center"/>
              <w:rPr>
                <w:rFonts w:ascii="Arial" w:eastAsia="+mn-ea" w:hAnsi="Arial" w:cs="Arial"/>
                <w:b/>
                <w:position w:val="1"/>
              </w:rPr>
            </w:pPr>
            <w:r w:rsidRPr="00A64E41">
              <w:rPr>
                <w:rFonts w:ascii="Arial" w:eastAsia="+mn-ea" w:hAnsi="Arial" w:cs="Arial"/>
                <w:b/>
                <w:position w:val="1"/>
              </w:rPr>
              <w:t>Overall Rating</w:t>
            </w:r>
          </w:p>
          <w:p w14:paraId="42602F49" w14:textId="3B27FB04" w:rsidR="005F373B" w:rsidRPr="00A64E41" w:rsidRDefault="005F373B" w:rsidP="00A64E41">
            <w:pPr>
              <w:spacing w:line="360" w:lineRule="auto"/>
              <w:rPr>
                <w:rFonts w:ascii="Arial" w:eastAsia="+mn-ea" w:hAnsi="Arial" w:cs="Arial"/>
                <w:position w:val="1"/>
              </w:rPr>
            </w:pPr>
          </w:p>
        </w:tc>
        <w:tc>
          <w:tcPr>
            <w:tcW w:w="3225" w:type="dxa"/>
          </w:tcPr>
          <w:sdt>
            <w:sdtPr>
              <w:rPr>
                <w:rFonts w:eastAsia="+mn-ea"/>
                <w:b/>
                <w:position w:val="1"/>
              </w:rPr>
              <w:alias w:val="IGB rating"/>
              <w:tag w:val="IGB rating"/>
              <w:id w:val="-1666158861"/>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01F11CDF" w14:textId="77777777" w:rsidR="005F373B" w:rsidRDefault="005F373B" w:rsidP="005F373B">
                <w:pPr>
                  <w:spacing w:line="360" w:lineRule="auto"/>
                  <w:jc w:val="center"/>
                  <w:rPr>
                    <w:rFonts w:ascii="Arial" w:eastAsia="+mn-ea" w:hAnsi="Arial" w:cs="Arial"/>
                    <w:b/>
                    <w:position w:val="1"/>
                  </w:rPr>
                </w:pPr>
                <w:r w:rsidRPr="00A64E41">
                  <w:rPr>
                    <w:rFonts w:ascii="Arial" w:eastAsia="+mn-ea" w:hAnsi="Arial" w:cs="Arial"/>
                    <w:b/>
                    <w:position w:val="1"/>
                  </w:rPr>
                  <w:t>Fit for use with caveats</w:t>
                </w:r>
              </w:p>
            </w:sdtContent>
          </w:sdt>
          <w:p w14:paraId="7F02D20A" w14:textId="33A442A0" w:rsidR="005F373B" w:rsidRPr="00A64E41" w:rsidRDefault="005F373B" w:rsidP="00A64E41">
            <w:pPr>
              <w:spacing w:line="360" w:lineRule="auto"/>
              <w:jc w:val="center"/>
              <w:rPr>
                <w:rFonts w:ascii="Arial" w:eastAsia="+mn-ea" w:hAnsi="Arial" w:cs="Arial"/>
                <w:b/>
                <w:position w:val="1"/>
              </w:rPr>
            </w:pPr>
          </w:p>
        </w:tc>
      </w:tr>
      <w:tr w:rsidR="005F373B" w:rsidRPr="00A64E41" w14:paraId="2524E647" w14:textId="77777777" w:rsidTr="00C100DE">
        <w:tc>
          <w:tcPr>
            <w:tcW w:w="3863" w:type="dxa"/>
            <w:hideMark/>
          </w:tcPr>
          <w:p w14:paraId="5EFEFFA6" w14:textId="33E15720" w:rsidR="005F373B" w:rsidRPr="00A64E41" w:rsidRDefault="005F373B" w:rsidP="00A64E41">
            <w:pPr>
              <w:spacing w:line="360" w:lineRule="auto"/>
              <w:rPr>
                <w:rFonts w:ascii="Arial" w:eastAsia="+mn-ea" w:hAnsi="Arial" w:cs="Arial"/>
                <w:position w:val="1"/>
              </w:rPr>
            </w:pPr>
          </w:p>
        </w:tc>
        <w:tc>
          <w:tcPr>
            <w:tcW w:w="3225" w:type="dxa"/>
            <w:hideMark/>
          </w:tcPr>
          <w:p w14:paraId="77A26BFA" w14:textId="289EB236" w:rsidR="005F373B" w:rsidRPr="00A64E41" w:rsidRDefault="005F373B" w:rsidP="00A64E41">
            <w:pPr>
              <w:spacing w:line="360" w:lineRule="auto"/>
              <w:jc w:val="center"/>
              <w:rPr>
                <w:rFonts w:ascii="Arial" w:eastAsia="+mn-ea" w:hAnsi="Arial" w:cs="Arial"/>
                <w:b/>
                <w:position w:val="1"/>
              </w:rPr>
            </w:pPr>
          </w:p>
        </w:tc>
      </w:tr>
      <w:tr w:rsidR="005F373B" w:rsidRPr="00A64E41" w14:paraId="58A1CF71" w14:textId="77777777" w:rsidTr="00C100DE">
        <w:tc>
          <w:tcPr>
            <w:tcW w:w="3863" w:type="dxa"/>
            <w:hideMark/>
          </w:tcPr>
          <w:p w14:paraId="13A2FD79" w14:textId="5E5D95C3" w:rsidR="005F373B" w:rsidRPr="00A64E41" w:rsidRDefault="005F373B" w:rsidP="00A64E41">
            <w:pPr>
              <w:spacing w:line="360" w:lineRule="auto"/>
              <w:rPr>
                <w:rFonts w:ascii="Arial" w:eastAsia="+mn-ea" w:hAnsi="Arial" w:cs="Arial"/>
                <w:position w:val="1"/>
              </w:rPr>
            </w:pPr>
          </w:p>
        </w:tc>
        <w:tc>
          <w:tcPr>
            <w:tcW w:w="3225" w:type="dxa"/>
            <w:hideMark/>
          </w:tcPr>
          <w:p w14:paraId="6EE2CFF7" w14:textId="22D0F9BD" w:rsidR="005F373B" w:rsidRPr="00A64E41" w:rsidRDefault="005F373B" w:rsidP="00A64E41">
            <w:pPr>
              <w:spacing w:line="360" w:lineRule="auto"/>
              <w:jc w:val="center"/>
              <w:rPr>
                <w:rFonts w:ascii="Arial" w:eastAsia="+mn-ea" w:hAnsi="Arial" w:cs="Arial"/>
                <w:b/>
                <w:position w:val="1"/>
              </w:rPr>
            </w:pPr>
          </w:p>
        </w:tc>
      </w:tr>
      <w:tr w:rsidR="005F373B" w:rsidRPr="00A64E41" w14:paraId="1F54753B" w14:textId="77777777" w:rsidTr="00C100DE">
        <w:tc>
          <w:tcPr>
            <w:tcW w:w="3863" w:type="dxa"/>
            <w:hideMark/>
          </w:tcPr>
          <w:p w14:paraId="529FFB37" w14:textId="25CDC6CB" w:rsidR="005F373B" w:rsidRPr="00A64E41" w:rsidRDefault="005F373B" w:rsidP="00A64E41">
            <w:pPr>
              <w:spacing w:line="360" w:lineRule="auto"/>
              <w:rPr>
                <w:rFonts w:ascii="Arial" w:eastAsia="+mn-ea" w:hAnsi="Arial" w:cs="Arial"/>
                <w:position w:val="1"/>
              </w:rPr>
            </w:pPr>
          </w:p>
        </w:tc>
        <w:tc>
          <w:tcPr>
            <w:tcW w:w="3225" w:type="dxa"/>
            <w:hideMark/>
          </w:tcPr>
          <w:p w14:paraId="5E754CAA" w14:textId="76F07312" w:rsidR="005F373B" w:rsidRPr="00A64E41" w:rsidRDefault="005F373B" w:rsidP="00A64E41">
            <w:pPr>
              <w:spacing w:line="360" w:lineRule="auto"/>
              <w:jc w:val="center"/>
              <w:rPr>
                <w:rFonts w:ascii="Arial" w:eastAsia="+mn-ea" w:hAnsi="Arial" w:cs="Arial"/>
                <w:b/>
                <w:position w:val="1"/>
              </w:rPr>
            </w:pPr>
          </w:p>
        </w:tc>
      </w:tr>
      <w:tr w:rsidR="005F373B" w:rsidRPr="00A64E41" w14:paraId="523E1ECD" w14:textId="77777777" w:rsidTr="00C100DE">
        <w:tc>
          <w:tcPr>
            <w:tcW w:w="3863" w:type="dxa"/>
            <w:hideMark/>
          </w:tcPr>
          <w:p w14:paraId="06221D85" w14:textId="399B42C0" w:rsidR="005F373B" w:rsidRPr="00A64E41" w:rsidRDefault="005F373B" w:rsidP="00A64E41">
            <w:pPr>
              <w:spacing w:line="360" w:lineRule="auto"/>
              <w:rPr>
                <w:rFonts w:ascii="Arial" w:eastAsia="+mn-ea" w:hAnsi="Arial" w:cs="Arial"/>
                <w:position w:val="1"/>
              </w:rPr>
            </w:pPr>
          </w:p>
        </w:tc>
        <w:tc>
          <w:tcPr>
            <w:tcW w:w="3225" w:type="dxa"/>
            <w:hideMark/>
          </w:tcPr>
          <w:p w14:paraId="65D33CEC" w14:textId="16CA28AF" w:rsidR="005F373B" w:rsidRPr="00A64E41" w:rsidRDefault="005F373B" w:rsidP="00A64E41">
            <w:pPr>
              <w:spacing w:line="360" w:lineRule="auto"/>
              <w:jc w:val="center"/>
              <w:rPr>
                <w:rFonts w:ascii="Arial" w:eastAsia="+mn-ea" w:hAnsi="Arial" w:cs="Arial"/>
                <w:b/>
                <w:position w:val="1"/>
              </w:rPr>
            </w:pPr>
          </w:p>
        </w:tc>
      </w:tr>
      <w:tr w:rsidR="005F373B" w:rsidRPr="00A64E41" w14:paraId="0C981BA8" w14:textId="77777777" w:rsidTr="00C100DE">
        <w:tc>
          <w:tcPr>
            <w:tcW w:w="3863" w:type="dxa"/>
            <w:hideMark/>
          </w:tcPr>
          <w:p w14:paraId="34307AB6" w14:textId="01C89D62" w:rsidR="005F373B" w:rsidRPr="00A64E41" w:rsidRDefault="005F373B" w:rsidP="00A64E41">
            <w:pPr>
              <w:spacing w:line="360" w:lineRule="auto"/>
              <w:rPr>
                <w:rFonts w:ascii="Arial" w:eastAsia="+mn-ea" w:hAnsi="Arial" w:cs="Arial"/>
                <w:position w:val="1"/>
              </w:rPr>
            </w:pPr>
          </w:p>
        </w:tc>
        <w:tc>
          <w:tcPr>
            <w:tcW w:w="3225" w:type="dxa"/>
            <w:hideMark/>
          </w:tcPr>
          <w:p w14:paraId="42E06299" w14:textId="475403FF" w:rsidR="005F373B" w:rsidRPr="00A64E41" w:rsidRDefault="005F373B" w:rsidP="00A64E41">
            <w:pPr>
              <w:spacing w:line="360" w:lineRule="auto"/>
              <w:jc w:val="center"/>
              <w:rPr>
                <w:rFonts w:ascii="Arial" w:eastAsia="+mn-ea" w:hAnsi="Arial" w:cs="Arial"/>
                <w:b/>
                <w:position w:val="1"/>
              </w:rPr>
            </w:pPr>
          </w:p>
        </w:tc>
      </w:tr>
    </w:tbl>
    <w:p w14:paraId="4269A3D1" w14:textId="77777777" w:rsidR="00332C23" w:rsidRPr="00A64E41" w:rsidRDefault="00332C23" w:rsidP="00A64E41">
      <w:pPr>
        <w:pStyle w:val="NormalWeb"/>
        <w:spacing w:before="0" w:beforeAutospacing="0" w:after="0" w:afterAutospacing="0"/>
        <w:rPr>
          <w:rFonts w:ascii="Arial" w:eastAsia="+mn-ea" w:hAnsi="Arial" w:cs="Arial"/>
          <w:b/>
          <w:position w:val="1"/>
          <w:sz w:val="22"/>
          <w:szCs w:val="22"/>
        </w:rPr>
      </w:pPr>
    </w:p>
    <w:p w14:paraId="69BE7412" w14:textId="77777777" w:rsidR="00332C23" w:rsidRPr="00A64E41" w:rsidRDefault="00332C23" w:rsidP="00A64E41">
      <w:pPr>
        <w:pStyle w:val="NormalWeb"/>
        <w:spacing w:before="0" w:beforeAutospacing="0" w:after="0" w:afterAutospacing="0"/>
        <w:rPr>
          <w:rFonts w:ascii="Arial" w:eastAsia="+mn-ea" w:hAnsi="Arial" w:cs="Arial"/>
          <w:b/>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11"/>
      </w:tblGrid>
      <w:tr w:rsidR="00A64E41" w:rsidRPr="00A64E41" w14:paraId="3576A845" w14:textId="77777777" w:rsidTr="00A64E41">
        <w:tc>
          <w:tcPr>
            <w:tcW w:w="3369" w:type="dxa"/>
            <w:shd w:val="clear" w:color="auto" w:fill="DBE5F1" w:themeFill="accent1" w:themeFillTint="33"/>
            <w:vAlign w:val="center"/>
          </w:tcPr>
          <w:p w14:paraId="4A77CD00" w14:textId="77777777" w:rsidR="00332C23" w:rsidRPr="00A64E41" w:rsidRDefault="00332C23" w:rsidP="00A64E41">
            <w:pPr>
              <w:pStyle w:val="NormalWeb"/>
              <w:spacing w:before="0" w:beforeAutospacing="0" w:after="0" w:afterAutospacing="0"/>
              <w:rPr>
                <w:rFonts w:ascii="Arial" w:eastAsia="+mn-ea" w:hAnsi="Arial" w:cs="Arial"/>
                <w:b/>
                <w:position w:val="1"/>
                <w:sz w:val="22"/>
                <w:szCs w:val="22"/>
              </w:rPr>
            </w:pPr>
            <w:r w:rsidRPr="00A64E41">
              <w:rPr>
                <w:rFonts w:ascii="Arial" w:eastAsia="+mn-ea" w:hAnsi="Arial" w:cs="Arial"/>
                <w:b/>
                <w:position w:val="1"/>
                <w:sz w:val="22"/>
                <w:szCs w:val="22"/>
              </w:rPr>
              <w:t>Outcome</w:t>
            </w:r>
          </w:p>
        </w:tc>
        <w:sdt>
          <w:sdtPr>
            <w:rPr>
              <w:rFonts w:ascii="Arial" w:eastAsia="+mn-ea" w:hAnsi="Arial" w:cs="Arial"/>
              <w:b/>
              <w:position w:val="1"/>
              <w:sz w:val="22"/>
              <w:szCs w:val="22"/>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ity Assured Indicators" w:value="This indicator has not been approved for inclusion in the National Library of Quality Assured Indicators"/>
              <w:listItem w:displayText="This indicator is pending sign-off from the IGB Chair" w:value="This indicator is pending sign-off from the IGB Chair"/>
              <w:listItem w:displayText="This indicator has been referred back to MRG following IGB assessment" w:value="This indicator has been referred back to MRG following IGB assessment"/>
            </w:dropDownList>
          </w:sdtPr>
          <w:sdtEndPr/>
          <w:sdtContent>
            <w:tc>
              <w:tcPr>
                <w:tcW w:w="6911" w:type="dxa"/>
              </w:tcPr>
              <w:p w14:paraId="71005981" w14:textId="77777777" w:rsidR="00332C23" w:rsidRPr="00A64E41" w:rsidRDefault="00332C23" w:rsidP="00A64E41">
                <w:pPr>
                  <w:pStyle w:val="NormalWeb"/>
                  <w:spacing w:before="0" w:beforeAutospacing="0" w:after="0" w:afterAutospacing="0"/>
                  <w:rPr>
                    <w:rFonts w:ascii="Arial" w:eastAsia="+mn-ea" w:hAnsi="Arial" w:cs="Arial"/>
                    <w:b/>
                    <w:position w:val="1"/>
                    <w:sz w:val="22"/>
                    <w:szCs w:val="22"/>
                  </w:rPr>
                </w:pPr>
                <w:r w:rsidRPr="00A64E41">
                  <w:rPr>
                    <w:rFonts w:ascii="Arial" w:eastAsia="+mn-ea" w:hAnsi="Arial" w:cs="Arial"/>
                    <w:b/>
                    <w:position w:val="1"/>
                    <w:sz w:val="22"/>
                    <w:szCs w:val="22"/>
                  </w:rPr>
                  <w:t>This indicator has been approved for inclusion in the National Library of Quality Assured Indicators</w:t>
                </w:r>
              </w:p>
            </w:tc>
          </w:sdtContent>
        </w:sdt>
      </w:tr>
    </w:tbl>
    <w:p w14:paraId="24222307" w14:textId="77777777" w:rsidR="00332C23" w:rsidRPr="00A64E41" w:rsidRDefault="00332C23" w:rsidP="00A64E41">
      <w:pPr>
        <w:pStyle w:val="NormalWeb"/>
        <w:spacing w:before="0" w:beforeAutospacing="0" w:after="0" w:afterAutospacing="0"/>
        <w:rPr>
          <w:rFonts w:ascii="Arial" w:eastAsia="+mn-ea" w:hAnsi="Arial" w:cs="Arial"/>
          <w:b/>
          <w:position w:val="1"/>
          <w:sz w:val="22"/>
          <w:szCs w:val="22"/>
        </w:rPr>
      </w:pPr>
    </w:p>
    <w:p w14:paraId="4CA693B7" w14:textId="77777777" w:rsidR="00332C23" w:rsidRPr="00A64E41" w:rsidRDefault="00332C23" w:rsidP="00A64E41">
      <w:pPr>
        <w:pStyle w:val="NormalWeb"/>
        <w:spacing w:before="0" w:beforeAutospacing="0" w:after="0" w:afterAutospacing="0"/>
        <w:rPr>
          <w:rFonts w:ascii="Arial" w:eastAsia="+mn-ea" w:hAnsi="Arial" w:cs="Arial"/>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A64E41" w:rsidRPr="00A64E41" w14:paraId="4B7A1CEC" w14:textId="77777777" w:rsidTr="00A64E41">
        <w:tc>
          <w:tcPr>
            <w:tcW w:w="10280" w:type="dxa"/>
            <w:shd w:val="clear" w:color="auto" w:fill="DBE5F1" w:themeFill="accent1" w:themeFillTint="33"/>
          </w:tcPr>
          <w:p w14:paraId="2D7DBAF5" w14:textId="77777777" w:rsidR="00332C23" w:rsidRPr="00A64E41" w:rsidRDefault="00332C23" w:rsidP="00A64E41">
            <w:pPr>
              <w:pStyle w:val="NormalWeb"/>
              <w:spacing w:before="0" w:beforeAutospacing="0" w:after="0" w:afterAutospacing="0"/>
              <w:rPr>
                <w:rFonts w:ascii="Arial" w:eastAsia="+mn-ea" w:hAnsi="Arial" w:cs="Arial"/>
                <w:b/>
                <w:position w:val="1"/>
                <w:sz w:val="22"/>
                <w:szCs w:val="22"/>
              </w:rPr>
            </w:pPr>
            <w:r w:rsidRPr="00A64E41">
              <w:rPr>
                <w:rFonts w:ascii="Arial" w:eastAsia="+mn-ea" w:hAnsi="Arial" w:cs="Arial"/>
                <w:b/>
                <w:position w:val="1"/>
                <w:sz w:val="22"/>
                <w:szCs w:val="22"/>
              </w:rPr>
              <w:t>Key findings from Assurance</w:t>
            </w:r>
          </w:p>
        </w:tc>
      </w:tr>
      <w:tr w:rsidR="00332C23" w:rsidRPr="00A64E41" w14:paraId="1E49113D" w14:textId="77777777" w:rsidTr="00A64E41">
        <w:tc>
          <w:tcPr>
            <w:tcW w:w="10280" w:type="dxa"/>
          </w:tcPr>
          <w:p w14:paraId="26B4745C" w14:textId="77777777" w:rsidR="00332C23" w:rsidRPr="00A64E41" w:rsidRDefault="00332C23" w:rsidP="00A64E41">
            <w:pPr>
              <w:pStyle w:val="NormalWeb"/>
              <w:spacing w:before="240" w:beforeAutospacing="0" w:after="0" w:afterAutospacing="0"/>
              <w:ind w:left="360"/>
              <w:rPr>
                <w:rFonts w:ascii="Arial" w:eastAsia="+mn-ea" w:hAnsi="Arial" w:cs="Arial"/>
                <w:b/>
                <w:bCs/>
                <w:position w:val="1"/>
                <w:sz w:val="22"/>
                <w:szCs w:val="22"/>
              </w:rPr>
            </w:pPr>
            <w:r w:rsidRPr="00A64E41">
              <w:rPr>
                <w:rFonts w:ascii="Arial" w:eastAsia="+mn-ea" w:hAnsi="Arial" w:cs="Arial"/>
                <w:b/>
                <w:bCs/>
                <w:position w:val="1"/>
                <w:sz w:val="22"/>
                <w:szCs w:val="22"/>
              </w:rPr>
              <w:t>Caveats</w:t>
            </w:r>
          </w:p>
          <w:p w14:paraId="73E0B31A" w14:textId="77777777" w:rsidR="00332C23" w:rsidRPr="00A64E41" w:rsidRDefault="00332C23" w:rsidP="00A64E41">
            <w:pPr>
              <w:pStyle w:val="ListParagraph"/>
              <w:numPr>
                <w:ilvl w:val="0"/>
                <w:numId w:val="4"/>
              </w:numPr>
              <w:spacing w:after="0"/>
              <w:rPr>
                <w:rFonts w:ascii="Arial" w:hAnsi="Arial" w:cs="Arial"/>
                <w:lang w:eastAsia="en-GB"/>
              </w:rPr>
            </w:pPr>
            <w:r w:rsidRPr="00A64E41">
              <w:rPr>
                <w:rFonts w:ascii="Arial" w:hAnsi="Arial" w:cs="Arial"/>
                <w:lang w:eastAsia="en-GB"/>
              </w:rPr>
              <w:lastRenderedPageBreak/>
              <w:t xml:space="preserve">The Adult Social Care Outcomes Framework was developed as a whole suite of indicators, however further rationale is needed to justify each individual indicator in the Framework </w:t>
            </w:r>
          </w:p>
          <w:p w14:paraId="0E43E9CE" w14:textId="0B4DE57A" w:rsidR="00332C23" w:rsidRPr="00A64E41" w:rsidRDefault="00332C23" w:rsidP="00A64E41">
            <w:pPr>
              <w:pStyle w:val="ListParagraph"/>
              <w:numPr>
                <w:ilvl w:val="0"/>
                <w:numId w:val="4"/>
              </w:numPr>
              <w:spacing w:after="0"/>
              <w:rPr>
                <w:rFonts w:ascii="Arial" w:hAnsi="Arial" w:cs="Arial"/>
                <w:lang w:eastAsia="en-GB"/>
              </w:rPr>
            </w:pPr>
            <w:r w:rsidRPr="00A64E41">
              <w:rPr>
                <w:rFonts w:ascii="Arial" w:hAnsi="Arial" w:cs="Arial"/>
                <w:lang w:eastAsia="en-GB"/>
              </w:rPr>
              <w:t>A ‘good’ result is detailed as being a high percentage result, however, there needs to be an ideal range or a specific result specified on which to fully assess the data.</w:t>
            </w:r>
          </w:p>
          <w:p w14:paraId="5E6D32F7" w14:textId="77777777" w:rsidR="00332C23" w:rsidRPr="00A64E41" w:rsidRDefault="00332C23" w:rsidP="00A64E41">
            <w:pPr>
              <w:pStyle w:val="ListParagraph"/>
              <w:numPr>
                <w:ilvl w:val="0"/>
                <w:numId w:val="4"/>
              </w:numPr>
              <w:spacing w:after="0"/>
              <w:rPr>
                <w:rFonts w:ascii="Arial" w:hAnsi="Arial" w:cs="Arial"/>
                <w:lang w:eastAsia="en-GB"/>
              </w:rPr>
            </w:pPr>
            <w:r w:rsidRPr="00A64E41">
              <w:rPr>
                <w:rFonts w:ascii="Arial" w:hAnsi="Arial" w:cs="Arial"/>
                <w:lang w:eastAsia="en-GB"/>
              </w:rPr>
              <w:t>The weighting methodology is explained, however an actual example of the methodology in practice is required to allow accurate recreation of the published figures.</w:t>
            </w:r>
          </w:p>
        </w:tc>
      </w:tr>
    </w:tbl>
    <w:p w14:paraId="74270D06" w14:textId="77777777" w:rsidR="00332C23" w:rsidRPr="00A64E41" w:rsidRDefault="00332C23" w:rsidP="00A64E41">
      <w:pPr>
        <w:pStyle w:val="NormalWeb"/>
        <w:spacing w:before="0" w:beforeAutospacing="0" w:after="0" w:afterAutospacing="0"/>
        <w:rPr>
          <w:rFonts w:ascii="Arial" w:eastAsia="+mn-ea" w:hAnsi="Arial" w:cs="Arial"/>
          <w:position w:val="1"/>
          <w:sz w:val="22"/>
          <w:szCs w:val="22"/>
        </w:rPr>
      </w:pPr>
    </w:p>
    <w:p w14:paraId="192BA468" w14:textId="77777777" w:rsidR="00332C23" w:rsidRPr="00A64E41" w:rsidRDefault="00332C23" w:rsidP="00A64E41">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A64E41" w:rsidRPr="00A64E41" w14:paraId="17D7B9E2" w14:textId="77777777" w:rsidTr="00A64E41">
        <w:tc>
          <w:tcPr>
            <w:tcW w:w="3369" w:type="dxa"/>
            <w:shd w:val="clear" w:color="auto" w:fill="DBE5F1" w:themeFill="accent1" w:themeFillTint="33"/>
          </w:tcPr>
          <w:p w14:paraId="3A4EDBC2" w14:textId="77777777" w:rsidR="00332C23" w:rsidRPr="00A64E41" w:rsidRDefault="00332C23" w:rsidP="00A64E41">
            <w:pPr>
              <w:pStyle w:val="NormalWeb"/>
              <w:spacing w:before="60" w:beforeAutospacing="0" w:after="60" w:afterAutospacing="0"/>
              <w:rPr>
                <w:rFonts w:ascii="Arial" w:eastAsia="+mn-ea" w:hAnsi="Arial" w:cs="Arial"/>
                <w:b/>
                <w:position w:val="1"/>
                <w:sz w:val="22"/>
                <w:szCs w:val="22"/>
              </w:rPr>
            </w:pPr>
            <w:r w:rsidRPr="00A64E41">
              <w:rPr>
                <w:rFonts w:ascii="Arial" w:eastAsia="+mn-ea" w:hAnsi="Arial" w:cs="Arial"/>
                <w:b/>
                <w:position w:val="1"/>
                <w:sz w:val="22"/>
                <w:szCs w:val="22"/>
              </w:rPr>
              <w:t>Approval date</w:t>
            </w:r>
          </w:p>
        </w:tc>
        <w:sdt>
          <w:sdtPr>
            <w:rPr>
              <w:rFonts w:ascii="Arial" w:eastAsia="+mn-ea" w:hAnsi="Arial" w:cs="Arial"/>
              <w:position w:val="1"/>
              <w:sz w:val="22"/>
              <w:szCs w:val="22"/>
            </w:rPr>
            <w:id w:val="1802733087"/>
            <w:date w:fullDate="2019-07-11T00:00:00Z">
              <w:dateFormat w:val="dd/MM/yyyy"/>
              <w:lid w:val="en-GB"/>
              <w:storeMappedDataAs w:val="dateTime"/>
              <w:calendar w:val="gregorian"/>
            </w:date>
          </w:sdtPr>
          <w:sdtEndPr/>
          <w:sdtContent>
            <w:tc>
              <w:tcPr>
                <w:tcW w:w="6945" w:type="dxa"/>
              </w:tcPr>
              <w:p w14:paraId="7E51813B" w14:textId="77777777" w:rsidR="00332C23" w:rsidRPr="00A64E41" w:rsidRDefault="00332C23" w:rsidP="00A64E41">
                <w:pPr>
                  <w:pStyle w:val="NormalWeb"/>
                  <w:spacing w:before="60" w:beforeAutospacing="0" w:after="60" w:afterAutospacing="0"/>
                  <w:rPr>
                    <w:rFonts w:ascii="Arial" w:eastAsia="+mn-ea" w:hAnsi="Arial" w:cs="Arial"/>
                    <w:position w:val="1"/>
                    <w:sz w:val="22"/>
                    <w:szCs w:val="22"/>
                  </w:rPr>
                </w:pPr>
                <w:r w:rsidRPr="00A64E41">
                  <w:rPr>
                    <w:rFonts w:ascii="Arial" w:eastAsia="+mn-ea" w:hAnsi="Arial" w:cs="Arial"/>
                    <w:position w:val="1"/>
                    <w:sz w:val="22"/>
                    <w:szCs w:val="22"/>
                  </w:rPr>
                  <w:t>11/07/2019</w:t>
                </w:r>
              </w:p>
            </w:tc>
          </w:sdtContent>
        </w:sdt>
      </w:tr>
      <w:tr w:rsidR="00A64E41" w:rsidRPr="00A64E41" w14:paraId="2E0072DF" w14:textId="77777777" w:rsidTr="00A64E41">
        <w:tc>
          <w:tcPr>
            <w:tcW w:w="3369" w:type="dxa"/>
            <w:shd w:val="clear" w:color="auto" w:fill="DBE5F1" w:themeFill="accent1" w:themeFillTint="33"/>
          </w:tcPr>
          <w:p w14:paraId="4A02D9E9" w14:textId="77777777" w:rsidR="00332C23" w:rsidRPr="00A64E41" w:rsidRDefault="00332C23" w:rsidP="00A64E41">
            <w:pPr>
              <w:pStyle w:val="NormalWeb"/>
              <w:spacing w:before="60" w:beforeAutospacing="0" w:after="60" w:afterAutospacing="0"/>
              <w:rPr>
                <w:rFonts w:ascii="Arial" w:eastAsia="+mn-ea" w:hAnsi="Arial" w:cs="Arial"/>
                <w:b/>
                <w:position w:val="1"/>
                <w:sz w:val="22"/>
                <w:szCs w:val="22"/>
              </w:rPr>
            </w:pPr>
            <w:r w:rsidRPr="00A64E41">
              <w:rPr>
                <w:rFonts w:ascii="Arial" w:eastAsia="+mn-ea" w:hAnsi="Arial" w:cs="Arial"/>
                <w:b/>
                <w:position w:val="1"/>
                <w:sz w:val="22"/>
                <w:szCs w:val="22"/>
              </w:rPr>
              <w:t>Review date</w:t>
            </w:r>
          </w:p>
        </w:tc>
        <w:sdt>
          <w:sdtPr>
            <w:rPr>
              <w:rFonts w:ascii="Arial" w:eastAsia="+mn-ea" w:hAnsi="Arial" w:cs="Arial"/>
              <w:position w:val="1"/>
              <w:sz w:val="22"/>
              <w:szCs w:val="22"/>
            </w:rPr>
            <w:id w:val="969868933"/>
            <w:date w:fullDate="2024-07-11T00:00:00Z">
              <w:dateFormat w:val="dd/MM/yyyy"/>
              <w:lid w:val="en-GB"/>
              <w:storeMappedDataAs w:val="dateTime"/>
              <w:calendar w:val="gregorian"/>
            </w:date>
          </w:sdtPr>
          <w:sdtEndPr/>
          <w:sdtContent>
            <w:tc>
              <w:tcPr>
                <w:tcW w:w="6945" w:type="dxa"/>
              </w:tcPr>
              <w:p w14:paraId="6A6E8C12" w14:textId="77777777" w:rsidR="00332C23" w:rsidRPr="00A64E41" w:rsidRDefault="00332C23" w:rsidP="00A64E41">
                <w:pPr>
                  <w:pStyle w:val="NormalWeb"/>
                  <w:spacing w:before="60" w:beforeAutospacing="0" w:after="60" w:afterAutospacing="0"/>
                  <w:rPr>
                    <w:rFonts w:ascii="Arial" w:eastAsia="+mn-ea" w:hAnsi="Arial" w:cs="Arial"/>
                    <w:position w:val="1"/>
                    <w:sz w:val="22"/>
                    <w:szCs w:val="22"/>
                  </w:rPr>
                </w:pPr>
                <w:r w:rsidRPr="00A64E41">
                  <w:rPr>
                    <w:rFonts w:ascii="Arial" w:eastAsia="+mn-ea" w:hAnsi="Arial" w:cs="Arial"/>
                    <w:position w:val="1"/>
                    <w:sz w:val="22"/>
                    <w:szCs w:val="22"/>
                  </w:rPr>
                  <w:t>11/07/2024</w:t>
                </w:r>
              </w:p>
            </w:tc>
          </w:sdtContent>
        </w:sdt>
      </w:tr>
    </w:tbl>
    <w:p w14:paraId="624390CD" w14:textId="77777777" w:rsidR="00332C23" w:rsidRPr="00A64E41" w:rsidRDefault="00332C23" w:rsidP="00A64E41">
      <w:pPr>
        <w:pStyle w:val="NormalWeb"/>
        <w:spacing w:before="0" w:beforeAutospacing="0" w:after="0" w:afterAutospacing="0"/>
        <w:ind w:left="142" w:hanging="142"/>
        <w:rPr>
          <w:rFonts w:ascii="Arial" w:eastAsia="+mn-ea" w:hAnsi="Arial" w:cs="Arial"/>
          <w:position w:val="1"/>
          <w:sz w:val="22"/>
          <w:szCs w:val="22"/>
        </w:rPr>
      </w:pPr>
    </w:p>
    <w:p w14:paraId="551706BA" w14:textId="77777777" w:rsidR="00332C23" w:rsidRPr="00A64E41" w:rsidRDefault="00332C23">
      <w:r w:rsidRPr="00A64E41">
        <w:br w:type="page"/>
      </w:r>
    </w:p>
    <w:p w14:paraId="6F69E9E1" w14:textId="77777777" w:rsidR="00332C23" w:rsidRPr="00A64E41" w:rsidRDefault="00332C23" w:rsidP="00A64E41">
      <w:pPr>
        <w:rPr>
          <w:rFonts w:eastAsia="+mn-ea"/>
          <w:b/>
          <w:position w:val="1"/>
        </w:rPr>
      </w:pPr>
      <w:r w:rsidRPr="00A64E41">
        <w:rPr>
          <w:rFonts w:eastAsia="+mn-ea"/>
          <w:b/>
          <w:position w:val="1"/>
        </w:rPr>
        <w:lastRenderedPageBreak/>
        <w:t xml:space="preserve">Details of Methodology Appraisal – </w:t>
      </w:r>
      <w:sdt>
        <w:sdtPr>
          <w:rPr>
            <w:rFonts w:eastAsia="+mn-ea"/>
            <w:b/>
            <w:position w:val="1"/>
          </w:rPr>
          <w:id w:val="-1809004978"/>
          <w:date w:fullDate="2019-05-02T00:00:00Z">
            <w:dateFormat w:val="dd/MM/yyyy"/>
            <w:lid w:val="en-GB"/>
            <w:storeMappedDataAs w:val="dateTime"/>
            <w:calendar w:val="gregorian"/>
          </w:date>
        </w:sdtPr>
        <w:sdtEndPr/>
        <w:sdtContent>
          <w:r w:rsidRPr="00A64E41">
            <w:rPr>
              <w:rFonts w:eastAsia="+mn-ea"/>
              <w:b/>
              <w:position w:val="1"/>
            </w:rPr>
            <w:t>02/05/2019</w:t>
          </w:r>
        </w:sdtContent>
      </w:sdt>
      <w:r w:rsidRPr="00A64E41">
        <w:rPr>
          <w:rFonts w:eastAsia="+mn-ea"/>
          <w:b/>
          <w:position w:val="1"/>
        </w:rPr>
        <w:tab/>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A64E41" w:rsidRPr="00A64E41" w14:paraId="546CFF36" w14:textId="77777777" w:rsidTr="00A64E41">
        <w:tc>
          <w:tcPr>
            <w:tcW w:w="3369" w:type="dxa"/>
            <w:shd w:val="clear" w:color="auto" w:fill="DBE5F1" w:themeFill="accent1" w:themeFillTint="33"/>
          </w:tcPr>
          <w:p w14:paraId="4D3E548C" w14:textId="77777777" w:rsidR="00332C23" w:rsidRPr="00A64E41" w:rsidRDefault="00332C23" w:rsidP="00A64E41">
            <w:pPr>
              <w:pStyle w:val="NormalWeb"/>
              <w:spacing w:beforeLines="60" w:before="144" w:beforeAutospacing="0" w:afterLines="60" w:after="144" w:afterAutospacing="0"/>
              <w:rPr>
                <w:rFonts w:ascii="Arial" w:eastAsia="+mn-ea" w:hAnsi="Arial" w:cs="Arial"/>
                <w:b/>
                <w:position w:val="1"/>
                <w:sz w:val="22"/>
                <w:szCs w:val="22"/>
              </w:rPr>
            </w:pPr>
            <w:r w:rsidRPr="00A64E41">
              <w:rPr>
                <w:rFonts w:ascii="Arial" w:eastAsia="+mn-ea" w:hAnsi="Arial" w:cs="Arial"/>
                <w:b/>
                <w:position w:val="1"/>
                <w:sz w:val="22"/>
                <w:szCs w:val="22"/>
              </w:rPr>
              <w:t>Methodology appraisal body</w:t>
            </w:r>
          </w:p>
        </w:tc>
        <w:tc>
          <w:tcPr>
            <w:tcW w:w="6945" w:type="dxa"/>
          </w:tcPr>
          <w:p w14:paraId="6B3E69C8" w14:textId="77777777" w:rsidR="00332C23" w:rsidRPr="00A64E41" w:rsidRDefault="008A7875" w:rsidP="00A64E41">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410672908"/>
                <w:dropDownList>
                  <w:listItem w:value="Choose an item."/>
                  <w:listItem w:displayText="IMAS Methodology Review Group (MRG)" w:value="IMAS Methodology Review Group (MRG)"/>
                  <w:listItem w:displayText="NICE Methodology Review Group (MRG)" w:value="NICE Methodology Review Group (MRG)"/>
                  <w:listItem w:displayText="NHS Digital Indicator Methodology and Assurance Service" w:value="NHS Digital Indicator Methodology and Assurance Service"/>
                </w:dropDownList>
              </w:sdtPr>
              <w:sdtEndPr/>
              <w:sdtContent>
                <w:r w:rsidR="00332C23" w:rsidRPr="00A64E41">
                  <w:rPr>
                    <w:rFonts w:ascii="Arial" w:eastAsia="+mn-ea" w:hAnsi="Arial" w:cs="Arial"/>
                    <w:position w:val="1"/>
                    <w:sz w:val="22"/>
                    <w:szCs w:val="22"/>
                  </w:rPr>
                  <w:t>IMAS Methodology Review Group (MRG)</w:t>
                </w:r>
              </w:sdtContent>
            </w:sdt>
          </w:p>
        </w:tc>
      </w:tr>
      <w:tr w:rsidR="00A64E41" w:rsidRPr="00A64E41" w14:paraId="3F9761E6" w14:textId="77777777" w:rsidTr="00A64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7487A7A3"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1244026403"/>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1336FD12"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position w:val="1"/>
                    <w:sz w:val="22"/>
                    <w:szCs w:val="22"/>
                  </w:rPr>
                  <w:t>Initial assurance</w:t>
                </w:r>
              </w:p>
            </w:tc>
          </w:sdtContent>
        </w:sdt>
      </w:tr>
      <w:tr w:rsidR="00A64E41" w:rsidRPr="00A64E41" w14:paraId="5947D9C6" w14:textId="77777777" w:rsidTr="00A64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2D937D89"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b/>
                <w:position w:val="1"/>
                <w:sz w:val="22"/>
                <w:szCs w:val="22"/>
              </w:rPr>
              <w:t>Iteration</w:t>
            </w:r>
          </w:p>
        </w:tc>
        <w:sdt>
          <w:sdtPr>
            <w:rPr>
              <w:rFonts w:ascii="Arial" w:eastAsia="+mn-ea" w:hAnsi="Arial" w:cs="Arial"/>
              <w:position w:val="1"/>
              <w:sz w:val="22"/>
              <w:szCs w:val="22"/>
            </w:rPr>
            <w:id w:val="-537744256"/>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0E43C777"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position w:val="1"/>
                    <w:sz w:val="22"/>
                    <w:szCs w:val="22"/>
                  </w:rPr>
                  <w:t>Update from MRG Chair</w:t>
                </w:r>
              </w:p>
            </w:tc>
          </w:sdtContent>
        </w:sdt>
      </w:tr>
    </w:tbl>
    <w:p w14:paraId="347A6DF4" w14:textId="77777777" w:rsidR="00332C23" w:rsidRPr="00A64E41" w:rsidRDefault="00332C23" w:rsidP="00A64E41">
      <w:pPr>
        <w:rPr>
          <w:rFonts w:eastAsia="+mn-ea"/>
          <w:b/>
          <w:i/>
          <w:position w:val="1"/>
          <w:lang w:eastAsia="en-GB"/>
        </w:rPr>
      </w:pPr>
      <w:r w:rsidRPr="00A64E41">
        <w:rPr>
          <w:rFonts w:eastAsia="+mn-ea"/>
          <w:b/>
          <w:i/>
          <w:position w:val="1"/>
          <w:lang w:eastAsia="en-GB"/>
        </w:rPr>
        <w:t>Suggested Assurance Rating by Methodology Appraisal Body</w:t>
      </w:r>
    </w:p>
    <w:p w14:paraId="57D8E821" w14:textId="77777777" w:rsidR="00332C23" w:rsidRPr="00A64E41" w:rsidRDefault="008A7875" w:rsidP="00A64E41">
      <w:pPr>
        <w:jc w:val="center"/>
        <w:rPr>
          <w:rFonts w:eastAsia="+mn-ea"/>
          <w:b/>
          <w:position w:val="1"/>
          <w:lang w:eastAsia="en-GB"/>
        </w:rPr>
      </w:pPr>
      <w:r>
        <w:rPr>
          <w:rFonts w:eastAsia="+mn-ea"/>
          <w:b/>
          <w:position w:val="1"/>
          <w:lang w:eastAsia="en-GB"/>
        </w:rPr>
        <w:pict w14:anchorId="38DA0F8D">
          <v:rect id="_x0000_i1028" style="width:503.2pt;height:1.5pt" o:hralign="center" o:hrstd="t" o:hr="t" fillcolor="#a0a0a0" stroked="f"/>
        </w:pict>
      </w:r>
    </w:p>
    <w:tbl>
      <w:tblPr>
        <w:tblStyle w:val="TableGrid1"/>
        <w:tblW w:w="0" w:type="auto"/>
        <w:tblInd w:w="-5" w:type="dxa"/>
        <w:tblLook w:val="04A0" w:firstRow="1" w:lastRow="0" w:firstColumn="1" w:lastColumn="0" w:noHBand="0" w:noVBand="1"/>
      </w:tblPr>
      <w:tblGrid>
        <w:gridCol w:w="3544"/>
        <w:gridCol w:w="2667"/>
      </w:tblGrid>
      <w:tr w:rsidR="005F373B" w:rsidRPr="00A64E41" w14:paraId="22FDAC09" w14:textId="77777777" w:rsidTr="005F373B">
        <w:tc>
          <w:tcPr>
            <w:tcW w:w="3544" w:type="dxa"/>
          </w:tcPr>
          <w:p w14:paraId="7EBB3764" w14:textId="77777777" w:rsidR="005F373B" w:rsidRPr="00A64E41" w:rsidRDefault="005F373B" w:rsidP="00026588">
            <w:pPr>
              <w:spacing w:before="120"/>
              <w:rPr>
                <w:rFonts w:ascii="Arial" w:eastAsia="+mn-ea" w:hAnsi="Arial" w:cs="Arial"/>
                <w:b/>
                <w:position w:val="1"/>
              </w:rPr>
            </w:pPr>
            <w:r w:rsidRPr="00A64E41">
              <w:rPr>
                <w:rFonts w:ascii="Arial" w:eastAsia="+mn-ea" w:hAnsi="Arial" w:cs="Arial"/>
                <w:b/>
                <w:position w:val="1"/>
              </w:rPr>
              <w:t>Ratings Against Assessment Criteria</w:t>
            </w:r>
          </w:p>
          <w:p w14:paraId="00CC2A92" w14:textId="77777777" w:rsidR="005F373B" w:rsidRPr="00A64E41" w:rsidRDefault="005F373B" w:rsidP="00A64E41">
            <w:pPr>
              <w:spacing w:line="360" w:lineRule="auto"/>
              <w:rPr>
                <w:rFonts w:eastAsia="+mn-ea"/>
                <w:position w:val="1"/>
              </w:rPr>
            </w:pPr>
          </w:p>
        </w:tc>
        <w:tc>
          <w:tcPr>
            <w:tcW w:w="2667" w:type="dxa"/>
          </w:tcPr>
          <w:p w14:paraId="3389DBFC" w14:textId="77777777" w:rsidR="005F373B" w:rsidRPr="00A64E41" w:rsidRDefault="005F373B" w:rsidP="00A64E41">
            <w:pPr>
              <w:spacing w:line="360" w:lineRule="auto"/>
              <w:jc w:val="center"/>
              <w:rPr>
                <w:noProof/>
              </w:rPr>
            </w:pPr>
          </w:p>
        </w:tc>
      </w:tr>
      <w:tr w:rsidR="005F373B" w:rsidRPr="00A64E41" w14:paraId="7CCB51C8" w14:textId="77777777" w:rsidTr="005F373B">
        <w:tc>
          <w:tcPr>
            <w:tcW w:w="3544" w:type="dxa"/>
            <w:hideMark/>
          </w:tcPr>
          <w:p w14:paraId="71F6DE8F"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Introduction and Overview</w:t>
            </w:r>
            <w:r w:rsidRPr="00A64E41">
              <w:rPr>
                <w:rFonts w:ascii="Arial" w:hAnsi="Arial" w:cs="Arial"/>
                <w:b/>
                <w:noProof/>
                <w:lang w:eastAsia="en-GB"/>
              </w:rPr>
              <w:t xml:space="preserve">    </w:t>
            </w:r>
            <w:r w:rsidRPr="00A64E41">
              <w:rPr>
                <w:rFonts w:ascii="Arial" w:eastAsia="+mn-ea" w:hAnsi="Arial" w:cs="Arial"/>
                <w:position w:val="1"/>
              </w:rPr>
              <w:t xml:space="preserve"> </w:t>
            </w:r>
          </w:p>
        </w:tc>
        <w:tc>
          <w:tcPr>
            <w:tcW w:w="2667" w:type="dxa"/>
            <w:hideMark/>
          </w:tcPr>
          <w:p w14:paraId="26C51893" w14:textId="0066D6AE" w:rsidR="005F373B" w:rsidRPr="00A64E41" w:rsidRDefault="005F373B" w:rsidP="00A64E41">
            <w:pPr>
              <w:spacing w:line="360" w:lineRule="auto"/>
              <w:jc w:val="center"/>
              <w:rPr>
                <w:rFonts w:ascii="Arial" w:eastAsia="+mn-ea" w:hAnsi="Arial" w:cs="Arial"/>
                <w:b/>
                <w:position w:val="1"/>
              </w:rPr>
            </w:pPr>
            <w:r>
              <w:rPr>
                <w:rFonts w:ascii="Arial" w:hAnsi="Arial" w:cs="Arial"/>
                <w:noProof/>
              </w:rPr>
              <w:t>Fit for use</w:t>
            </w:r>
          </w:p>
        </w:tc>
      </w:tr>
      <w:tr w:rsidR="005F373B" w:rsidRPr="00A64E41" w14:paraId="05288948" w14:textId="77777777" w:rsidTr="005F373B">
        <w:tc>
          <w:tcPr>
            <w:tcW w:w="3544" w:type="dxa"/>
            <w:hideMark/>
          </w:tcPr>
          <w:p w14:paraId="1F0D6842"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 xml:space="preserve">Rationale and Policy Basis   </w:t>
            </w:r>
          </w:p>
        </w:tc>
        <w:tc>
          <w:tcPr>
            <w:tcW w:w="2667" w:type="dxa"/>
            <w:hideMark/>
          </w:tcPr>
          <w:p w14:paraId="60657687" w14:textId="07EF3F94" w:rsidR="005F373B" w:rsidRPr="00A64E41" w:rsidRDefault="005F373B" w:rsidP="00A64E41">
            <w:pPr>
              <w:spacing w:line="360" w:lineRule="auto"/>
              <w:jc w:val="center"/>
              <w:rPr>
                <w:rFonts w:ascii="Arial" w:eastAsia="+mn-ea" w:hAnsi="Arial" w:cs="Arial"/>
                <w:b/>
                <w:position w:val="1"/>
              </w:rPr>
            </w:pPr>
            <w:r>
              <w:rPr>
                <w:rFonts w:ascii="Arial" w:hAnsi="Arial" w:cs="Arial"/>
                <w:noProof/>
              </w:rPr>
              <w:t>Fit for use with caveats</w:t>
            </w:r>
          </w:p>
        </w:tc>
      </w:tr>
      <w:tr w:rsidR="005F373B" w:rsidRPr="00A64E41" w14:paraId="0F85AA05" w14:textId="77777777" w:rsidTr="005F373B">
        <w:tc>
          <w:tcPr>
            <w:tcW w:w="3544" w:type="dxa"/>
            <w:hideMark/>
          </w:tcPr>
          <w:p w14:paraId="7F273750"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 xml:space="preserve">Presentation and Interpretation </w:t>
            </w:r>
          </w:p>
        </w:tc>
        <w:tc>
          <w:tcPr>
            <w:tcW w:w="2667" w:type="dxa"/>
            <w:hideMark/>
          </w:tcPr>
          <w:p w14:paraId="1E82060E" w14:textId="0A37B651" w:rsidR="005F373B" w:rsidRPr="00A64E41" w:rsidRDefault="005F373B" w:rsidP="00A64E41">
            <w:pPr>
              <w:spacing w:line="360" w:lineRule="auto"/>
              <w:jc w:val="center"/>
              <w:rPr>
                <w:rFonts w:ascii="Arial" w:eastAsia="+mn-ea" w:hAnsi="Arial" w:cs="Arial"/>
                <w:b/>
                <w:position w:val="1"/>
              </w:rPr>
            </w:pPr>
            <w:r>
              <w:rPr>
                <w:rFonts w:ascii="Arial" w:hAnsi="Arial" w:cs="Arial"/>
                <w:noProof/>
              </w:rPr>
              <w:t>Fit for use with caveats</w:t>
            </w:r>
          </w:p>
        </w:tc>
      </w:tr>
      <w:tr w:rsidR="005F373B" w:rsidRPr="00A64E41" w14:paraId="3178869F" w14:textId="77777777" w:rsidTr="005F373B">
        <w:trPr>
          <w:trHeight w:val="418"/>
        </w:trPr>
        <w:tc>
          <w:tcPr>
            <w:tcW w:w="3544" w:type="dxa"/>
            <w:hideMark/>
          </w:tcPr>
          <w:p w14:paraId="15D84448"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Data</w:t>
            </w:r>
          </w:p>
        </w:tc>
        <w:tc>
          <w:tcPr>
            <w:tcW w:w="2667" w:type="dxa"/>
            <w:hideMark/>
          </w:tcPr>
          <w:p w14:paraId="24C0360E" w14:textId="1659E64B" w:rsidR="005F373B" w:rsidRPr="00A64E41" w:rsidRDefault="005F373B" w:rsidP="00A64E41">
            <w:pPr>
              <w:spacing w:line="360" w:lineRule="auto"/>
              <w:jc w:val="center"/>
              <w:rPr>
                <w:rFonts w:ascii="Arial" w:eastAsia="+mn-ea" w:hAnsi="Arial" w:cs="Arial"/>
                <w:b/>
                <w:position w:val="1"/>
              </w:rPr>
            </w:pPr>
            <w:r>
              <w:rPr>
                <w:rFonts w:ascii="Arial" w:hAnsi="Arial" w:cs="Arial"/>
                <w:noProof/>
              </w:rPr>
              <w:t>Fit for use</w:t>
            </w:r>
          </w:p>
        </w:tc>
      </w:tr>
      <w:tr w:rsidR="005F373B" w:rsidRPr="00A64E41" w14:paraId="192EEBF1" w14:textId="77777777" w:rsidTr="005F373B">
        <w:tc>
          <w:tcPr>
            <w:tcW w:w="3544" w:type="dxa"/>
            <w:hideMark/>
          </w:tcPr>
          <w:p w14:paraId="77D13FB9"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Construction and Testing</w:t>
            </w:r>
          </w:p>
        </w:tc>
        <w:tc>
          <w:tcPr>
            <w:tcW w:w="2667" w:type="dxa"/>
            <w:hideMark/>
          </w:tcPr>
          <w:p w14:paraId="3186A4BA" w14:textId="6DD81FC4" w:rsidR="005F373B" w:rsidRPr="00A64E41" w:rsidRDefault="005F373B" w:rsidP="00A64E41">
            <w:pPr>
              <w:spacing w:line="360" w:lineRule="auto"/>
              <w:jc w:val="center"/>
              <w:rPr>
                <w:rFonts w:ascii="Arial" w:eastAsia="+mn-ea" w:hAnsi="Arial" w:cs="Arial"/>
                <w:b/>
                <w:position w:val="1"/>
              </w:rPr>
            </w:pPr>
            <w:r>
              <w:rPr>
                <w:rFonts w:ascii="Arial" w:hAnsi="Arial" w:cs="Arial"/>
                <w:noProof/>
              </w:rPr>
              <w:t>Fit for use with caveats</w:t>
            </w:r>
          </w:p>
        </w:tc>
      </w:tr>
      <w:tr w:rsidR="005F373B" w:rsidRPr="00A64E41" w14:paraId="7BB4E3F0" w14:textId="77777777" w:rsidTr="005F373B">
        <w:tc>
          <w:tcPr>
            <w:tcW w:w="3544" w:type="dxa"/>
            <w:hideMark/>
          </w:tcPr>
          <w:p w14:paraId="381E41C9"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IMAS provided Information</w:t>
            </w:r>
          </w:p>
        </w:tc>
        <w:tc>
          <w:tcPr>
            <w:tcW w:w="2667" w:type="dxa"/>
            <w:hideMark/>
          </w:tcPr>
          <w:p w14:paraId="7BCE8F90" w14:textId="2B55147D" w:rsidR="005F373B" w:rsidRPr="00A64E41" w:rsidRDefault="005F373B" w:rsidP="00A64E41">
            <w:pPr>
              <w:spacing w:line="360" w:lineRule="auto"/>
              <w:jc w:val="center"/>
              <w:rPr>
                <w:rFonts w:ascii="Arial" w:eastAsia="+mn-ea" w:hAnsi="Arial" w:cs="Arial"/>
                <w:b/>
                <w:position w:val="1"/>
              </w:rPr>
            </w:pPr>
            <w:r>
              <w:rPr>
                <w:rFonts w:ascii="Arial" w:hAnsi="Arial" w:cs="Arial"/>
                <w:noProof/>
              </w:rPr>
              <w:t>Fit for use</w:t>
            </w:r>
          </w:p>
        </w:tc>
      </w:tr>
      <w:tr w:rsidR="005F373B" w:rsidRPr="00A64E41" w14:paraId="152B612E" w14:textId="77777777" w:rsidTr="005F373B">
        <w:tc>
          <w:tcPr>
            <w:tcW w:w="3544" w:type="dxa"/>
          </w:tcPr>
          <w:p w14:paraId="5AFDB50A" w14:textId="77777777" w:rsidR="005F373B" w:rsidRPr="00A64E41" w:rsidRDefault="005F373B" w:rsidP="005F373B">
            <w:pPr>
              <w:spacing w:before="120"/>
              <w:jc w:val="center"/>
              <w:rPr>
                <w:rFonts w:ascii="Arial" w:eastAsia="+mn-ea" w:hAnsi="Arial" w:cs="Arial"/>
                <w:b/>
                <w:position w:val="1"/>
              </w:rPr>
            </w:pPr>
            <w:r w:rsidRPr="00A64E41">
              <w:rPr>
                <w:rFonts w:ascii="Arial" w:eastAsia="+mn-ea" w:hAnsi="Arial" w:cs="Arial"/>
                <w:b/>
                <w:position w:val="1"/>
              </w:rPr>
              <w:t>Overall Appraisal Rating</w:t>
            </w:r>
          </w:p>
          <w:p w14:paraId="02CAE767" w14:textId="77777777" w:rsidR="005F373B" w:rsidRPr="00A64E41" w:rsidRDefault="005F373B" w:rsidP="00A64E41">
            <w:pPr>
              <w:spacing w:line="360" w:lineRule="auto"/>
              <w:rPr>
                <w:rFonts w:eastAsia="+mn-ea"/>
                <w:position w:val="1"/>
              </w:rPr>
            </w:pPr>
          </w:p>
        </w:tc>
        <w:tc>
          <w:tcPr>
            <w:tcW w:w="2667" w:type="dxa"/>
          </w:tcPr>
          <w:sdt>
            <w:sdtPr>
              <w:rPr>
                <w:rFonts w:eastAsia="+mn-ea"/>
                <w:b/>
                <w:position w:val="1"/>
              </w:rPr>
              <w:alias w:val="MRG rating"/>
              <w:tag w:val="MRG rating"/>
              <w:id w:val="142246539"/>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5E53E235" w14:textId="77777777" w:rsidR="005F373B" w:rsidRPr="00A64E41" w:rsidRDefault="005F373B" w:rsidP="005F373B">
                <w:pPr>
                  <w:spacing w:line="360" w:lineRule="auto"/>
                  <w:jc w:val="center"/>
                  <w:rPr>
                    <w:rFonts w:ascii="Arial" w:eastAsia="+mn-ea" w:hAnsi="Arial" w:cs="Arial"/>
                    <w:b/>
                    <w:position w:val="1"/>
                  </w:rPr>
                </w:pPr>
                <w:r w:rsidRPr="00A64E41">
                  <w:rPr>
                    <w:rFonts w:ascii="Arial" w:eastAsia="+mn-ea" w:hAnsi="Arial" w:cs="Arial"/>
                    <w:b/>
                    <w:position w:val="1"/>
                  </w:rPr>
                  <w:t>Fit for use with caveats</w:t>
                </w:r>
              </w:p>
            </w:sdtContent>
          </w:sdt>
          <w:p w14:paraId="3D1C0B7F" w14:textId="77777777" w:rsidR="005F373B" w:rsidRDefault="005F373B" w:rsidP="00A64E41">
            <w:pPr>
              <w:spacing w:line="360" w:lineRule="auto"/>
              <w:jc w:val="center"/>
              <w:rPr>
                <w:noProof/>
              </w:rPr>
            </w:pPr>
          </w:p>
        </w:tc>
      </w:tr>
    </w:tbl>
    <w:p w14:paraId="6599779B" w14:textId="77777777" w:rsidR="00332C23" w:rsidRPr="00A64E41" w:rsidRDefault="00332C23" w:rsidP="00A64E41">
      <w:pPr>
        <w:pStyle w:val="NormalWeb"/>
        <w:spacing w:before="0" w:beforeAutospacing="0" w:after="0" w:afterAutospacing="0" w:line="360" w:lineRule="auto"/>
        <w:rPr>
          <w:rFonts w:ascii="Arial" w:eastAsia="+mn-ea" w:hAnsi="Arial" w:cs="Arial"/>
          <w:b/>
          <w:position w:val="1"/>
          <w:sz w:val="22"/>
          <w:szCs w:val="22"/>
        </w:rPr>
      </w:pPr>
    </w:p>
    <w:p w14:paraId="4B8E543E" w14:textId="77777777" w:rsidR="00332C23" w:rsidRPr="00A64E41" w:rsidRDefault="00332C23" w:rsidP="00A64E41">
      <w:pPr>
        <w:spacing w:before="240"/>
        <w:rPr>
          <w:rFonts w:eastAsia="+mn-ea"/>
          <w:b/>
          <w:position w:val="1"/>
        </w:rPr>
      </w:pPr>
      <w:r w:rsidRPr="00A64E41">
        <w:rPr>
          <w:rFonts w:eastAsia="+mn-ea"/>
          <w:b/>
          <w:position w:val="1"/>
        </w:rPr>
        <w:t>Summary Recommendation to Applicant:</w:t>
      </w:r>
    </w:p>
    <w:sdt>
      <w:sdtPr>
        <w:rPr>
          <w:rFonts w:eastAsia="+mn-ea"/>
          <w:position w:val="1"/>
        </w:rPr>
        <w:id w:val="2116398039"/>
        <w:text w:multiLine="1"/>
      </w:sdtPr>
      <w:sdtEndPr/>
      <w:sdtContent>
        <w:p w14:paraId="2E42ADAF" w14:textId="77777777" w:rsidR="00332C23" w:rsidRPr="00A64E41" w:rsidRDefault="00332C23" w:rsidP="00A64E41">
          <w:pPr>
            <w:spacing w:before="240"/>
            <w:rPr>
              <w:rFonts w:eastAsia="+mn-ea"/>
              <w:position w:val="1"/>
            </w:rPr>
          </w:pPr>
          <w:r w:rsidRPr="00A64E41">
            <w:rPr>
              <w:rFonts w:eastAsia="+mn-ea"/>
              <w:position w:val="1"/>
            </w:rPr>
            <w:t xml:space="preserve">MRG thanked the applicant for their work on the application. After review of the responses to the queries raised by MRG, it has been determined that the application can progress to IGB, recommending that it is approved with caveats. It is expected that you will work with the sponsor and relevant bodies to resolve the caveats when the application returns for review. </w:t>
          </w:r>
        </w:p>
      </w:sdtContent>
    </w:sdt>
    <w:p w14:paraId="4F0DE046" w14:textId="77777777" w:rsidR="00332C23" w:rsidRPr="00A64E41" w:rsidRDefault="00332C23" w:rsidP="00A64E41">
      <w:pPr>
        <w:spacing w:before="240"/>
        <w:rPr>
          <w:rFonts w:eastAsia="+mn-ea"/>
          <w:b/>
          <w:position w:val="1"/>
        </w:rPr>
      </w:pPr>
      <w:r w:rsidRPr="00A64E41">
        <w:rPr>
          <w:rFonts w:eastAsia="+mn-ea"/>
          <w:b/>
          <w:position w:val="1"/>
        </w:rPr>
        <w:t>Summary Recommendation to IGB:</w:t>
      </w:r>
    </w:p>
    <w:sdt>
      <w:sdtPr>
        <w:rPr>
          <w:rFonts w:asciiTheme="minorHAnsi" w:hAnsiTheme="minorHAnsi" w:cstheme="minorBidi"/>
          <w:lang w:eastAsia="en-GB"/>
        </w:rPr>
        <w:alias w:val="Summary Recommendation to IGB"/>
        <w:tag w:val="Summary Recommendation to IGB"/>
        <w:id w:val="-1134562173"/>
        <w:placeholder>
          <w:docPart w:val="9965A9C89FE6430484935A7CEABE8F39"/>
        </w:placeholder>
      </w:sdtPr>
      <w:sdtEndPr/>
      <w:sdtContent>
        <w:p w14:paraId="6261C521" w14:textId="77777777" w:rsidR="00332C23" w:rsidRPr="00A64E41" w:rsidRDefault="00332C23" w:rsidP="00A64E41">
          <w:pPr>
            <w:rPr>
              <w:lang w:eastAsia="en-GB"/>
            </w:rPr>
          </w:pPr>
          <w:r w:rsidRPr="00A64E41">
            <w:rPr>
              <w:lang w:eastAsia="en-GB"/>
            </w:rPr>
            <w:t>MRG recommends that IGB approve this indicator with the following caveats:</w:t>
          </w:r>
        </w:p>
        <w:p w14:paraId="5BD46BD0" w14:textId="77777777" w:rsidR="00332C23" w:rsidRPr="00A64E41" w:rsidRDefault="00332C23" w:rsidP="00A64E41">
          <w:pPr>
            <w:pStyle w:val="ListParagraph"/>
            <w:numPr>
              <w:ilvl w:val="0"/>
              <w:numId w:val="13"/>
            </w:numPr>
            <w:spacing w:after="0" w:line="276" w:lineRule="auto"/>
            <w:rPr>
              <w:rFonts w:ascii="Arial" w:hAnsi="Arial" w:cs="Arial"/>
              <w:lang w:eastAsia="en-GB"/>
            </w:rPr>
          </w:pPr>
          <w:r w:rsidRPr="00A64E41">
            <w:rPr>
              <w:rFonts w:ascii="Arial" w:hAnsi="Arial" w:cs="Arial"/>
              <w:lang w:eastAsia="en-GB"/>
            </w:rPr>
            <w:t xml:space="preserve">The Adult Social Care Outcomes Framework was developed as a whole suite of indicators, however further rationale is needed to justify each individual indicator in the Framework </w:t>
          </w:r>
        </w:p>
        <w:p w14:paraId="7F38E8D2" w14:textId="02EBEB1B" w:rsidR="00332C23" w:rsidRPr="00A64E41" w:rsidRDefault="00332C23" w:rsidP="00A64E41">
          <w:pPr>
            <w:pStyle w:val="ListParagraph"/>
            <w:numPr>
              <w:ilvl w:val="0"/>
              <w:numId w:val="13"/>
            </w:numPr>
            <w:spacing w:after="0" w:line="276" w:lineRule="auto"/>
            <w:rPr>
              <w:rFonts w:ascii="Arial" w:hAnsi="Arial" w:cs="Arial"/>
              <w:lang w:eastAsia="en-GB"/>
            </w:rPr>
          </w:pPr>
          <w:r w:rsidRPr="00A64E41">
            <w:rPr>
              <w:rFonts w:ascii="Arial" w:hAnsi="Arial" w:cs="Arial"/>
              <w:lang w:eastAsia="en-GB"/>
            </w:rPr>
            <w:t>A ‘good’ result is detailed as being a high percentage result, however, there needs to be an ideal range or a specific result specified on which to fully assess the data.</w:t>
          </w:r>
        </w:p>
        <w:p w14:paraId="4548AD76" w14:textId="77777777" w:rsidR="00332C23" w:rsidRPr="00A64E41" w:rsidRDefault="00332C23" w:rsidP="00A64E41">
          <w:pPr>
            <w:pStyle w:val="ListParagraph"/>
            <w:numPr>
              <w:ilvl w:val="0"/>
              <w:numId w:val="13"/>
            </w:numPr>
            <w:spacing w:after="0" w:line="276" w:lineRule="auto"/>
            <w:rPr>
              <w:rFonts w:ascii="Arial" w:hAnsi="Arial" w:cs="Arial"/>
              <w:lang w:eastAsia="en-GB"/>
            </w:rPr>
          </w:pPr>
          <w:r w:rsidRPr="00A64E41">
            <w:rPr>
              <w:rFonts w:ascii="Arial" w:hAnsi="Arial" w:cs="Arial"/>
              <w:lang w:eastAsia="en-GB"/>
            </w:rPr>
            <w:t>The weighting methodology is explained, however an actual example of the methodology in practice is required to allow accurate recreation of the published figures.</w:t>
          </w:r>
        </w:p>
      </w:sdtContent>
    </w:sdt>
    <w:p w14:paraId="1033545F" w14:textId="77777777" w:rsidR="00332C23" w:rsidRPr="00A64E41" w:rsidRDefault="00332C23" w:rsidP="00A64E41">
      <w:pPr>
        <w:spacing w:before="240"/>
        <w:rPr>
          <w:b/>
        </w:rPr>
      </w:pPr>
      <w:r w:rsidRPr="00A64E41">
        <w:rPr>
          <w:b/>
        </w:rPr>
        <w:t>Please see the appraisal log below for detailed description of recommendations, issues and actions that explain the above rating(s).</w:t>
      </w:r>
    </w:p>
    <w:p w14:paraId="1C388573" w14:textId="77777777" w:rsidR="00332C23" w:rsidRPr="00A64E41" w:rsidRDefault="00332C23">
      <w:pPr>
        <w:rPr>
          <w:rFonts w:eastAsia="+mn-ea"/>
          <w:b/>
          <w:position w:val="1"/>
        </w:rPr>
      </w:pPr>
      <w:r w:rsidRPr="00A64E41">
        <w:rPr>
          <w:rFonts w:eastAsia="+mn-ea"/>
          <w:b/>
          <w:position w:val="1"/>
        </w:rPr>
        <w:br w:type="page"/>
      </w:r>
    </w:p>
    <w:p w14:paraId="3F644473" w14:textId="77777777" w:rsidR="00332C23" w:rsidRPr="00A64E41" w:rsidRDefault="00332C23" w:rsidP="00A64E41">
      <w:pPr>
        <w:rPr>
          <w:rFonts w:eastAsia="+mn-ea"/>
          <w:b/>
          <w:position w:val="1"/>
        </w:rPr>
      </w:pPr>
      <w:r w:rsidRPr="00A64E41">
        <w:rPr>
          <w:rFonts w:eastAsia="+mn-ea"/>
          <w:b/>
          <w:position w:val="1"/>
        </w:rPr>
        <w:lastRenderedPageBreak/>
        <w:t xml:space="preserve">Details of Methodology Appraisal – </w:t>
      </w:r>
      <w:sdt>
        <w:sdtPr>
          <w:rPr>
            <w:rFonts w:eastAsia="+mn-ea"/>
            <w:b/>
            <w:position w:val="1"/>
          </w:rPr>
          <w:id w:val="1730420586"/>
          <w:date w:fullDate="2019-02-21T00:00:00Z">
            <w:dateFormat w:val="dd/MM/yyyy"/>
            <w:lid w:val="en-GB"/>
            <w:storeMappedDataAs w:val="dateTime"/>
            <w:calendar w:val="gregorian"/>
          </w:date>
        </w:sdtPr>
        <w:sdtEndPr/>
        <w:sdtContent>
          <w:r w:rsidRPr="00A64E41">
            <w:rPr>
              <w:rFonts w:eastAsia="+mn-ea"/>
              <w:b/>
              <w:position w:val="1"/>
            </w:rPr>
            <w:t>21/02/2019</w:t>
          </w:r>
        </w:sdtContent>
      </w:sdt>
      <w:r w:rsidRPr="00A64E41">
        <w:rPr>
          <w:rFonts w:eastAsia="+mn-ea"/>
          <w:b/>
          <w:position w:val="1"/>
        </w:rPr>
        <w:tab/>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A64E41" w:rsidRPr="00A64E41" w14:paraId="1F99D03A" w14:textId="77777777" w:rsidTr="00A64E41">
        <w:tc>
          <w:tcPr>
            <w:tcW w:w="3369" w:type="dxa"/>
            <w:shd w:val="clear" w:color="auto" w:fill="DBE5F1" w:themeFill="accent1" w:themeFillTint="33"/>
          </w:tcPr>
          <w:p w14:paraId="04A2C80C" w14:textId="77777777" w:rsidR="00332C23" w:rsidRPr="00A64E41" w:rsidRDefault="00332C23" w:rsidP="00A64E41">
            <w:pPr>
              <w:pStyle w:val="NormalWeb"/>
              <w:spacing w:beforeLines="60" w:before="144" w:beforeAutospacing="0" w:afterLines="60" w:after="144" w:afterAutospacing="0"/>
              <w:rPr>
                <w:rFonts w:ascii="Arial" w:eastAsia="+mn-ea" w:hAnsi="Arial" w:cs="Arial"/>
                <w:b/>
                <w:position w:val="1"/>
                <w:sz w:val="22"/>
                <w:szCs w:val="22"/>
              </w:rPr>
            </w:pPr>
            <w:r w:rsidRPr="00A64E41">
              <w:rPr>
                <w:rFonts w:ascii="Arial" w:eastAsia="+mn-ea" w:hAnsi="Arial" w:cs="Arial"/>
                <w:b/>
                <w:position w:val="1"/>
                <w:sz w:val="22"/>
                <w:szCs w:val="22"/>
              </w:rPr>
              <w:t>Methodology appraisal body</w:t>
            </w:r>
          </w:p>
        </w:tc>
        <w:tc>
          <w:tcPr>
            <w:tcW w:w="6945" w:type="dxa"/>
          </w:tcPr>
          <w:p w14:paraId="73E126C9" w14:textId="77777777" w:rsidR="00332C23" w:rsidRPr="00A64E41" w:rsidRDefault="008A7875" w:rsidP="00A64E41">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3458190"/>
                <w:dropDownList>
                  <w:listItem w:value="Choose an item."/>
                  <w:listItem w:displayText="IMAS Methodology Review Group (MRG)" w:value="IMAS Methodology Review Group (MRG)"/>
                  <w:listItem w:displayText="NICE Methodology Review Group (MRG)" w:value="NICE Methodology Review Group (MRG)"/>
                  <w:listItem w:displayText="NHS Digital Indicator Methodology and Assurance Service" w:value="NHS Digital Indicator Methodology and Assurance Service"/>
                </w:dropDownList>
              </w:sdtPr>
              <w:sdtEndPr/>
              <w:sdtContent>
                <w:r w:rsidR="00332C23" w:rsidRPr="00A64E41">
                  <w:rPr>
                    <w:rFonts w:ascii="Arial" w:eastAsia="+mn-ea" w:hAnsi="Arial" w:cs="Arial"/>
                    <w:position w:val="1"/>
                    <w:sz w:val="22"/>
                    <w:szCs w:val="22"/>
                  </w:rPr>
                  <w:t>IMAS Methodology Review Group (MRG)</w:t>
                </w:r>
              </w:sdtContent>
            </w:sdt>
          </w:p>
        </w:tc>
      </w:tr>
      <w:tr w:rsidR="00A64E41" w:rsidRPr="00A64E41" w14:paraId="6B212764" w14:textId="77777777" w:rsidTr="00A64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6AD6076D"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2FE7CFF1"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position w:val="1"/>
                    <w:sz w:val="22"/>
                    <w:szCs w:val="22"/>
                  </w:rPr>
                  <w:t>Initial assurance</w:t>
                </w:r>
              </w:p>
            </w:tc>
          </w:sdtContent>
        </w:sdt>
      </w:tr>
      <w:tr w:rsidR="00A64E41" w:rsidRPr="00A64E41" w14:paraId="73766742" w14:textId="77777777" w:rsidTr="00A64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71F1152C"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b/>
                <w:position w:val="1"/>
                <w:sz w:val="22"/>
                <w:szCs w:val="22"/>
              </w:rPr>
              <w:t>Iteration</w:t>
            </w:r>
          </w:p>
        </w:tc>
        <w:sdt>
          <w:sdtPr>
            <w:rPr>
              <w:rFonts w:ascii="Arial" w:eastAsia="+mn-ea" w:hAnsi="Arial" w:cs="Arial"/>
              <w:position w:val="1"/>
              <w:sz w:val="22"/>
              <w:szCs w:val="22"/>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48C61DEA" w14:textId="77777777" w:rsidR="00332C23" w:rsidRPr="00A64E41" w:rsidRDefault="00332C23" w:rsidP="00A64E41">
                <w:pPr>
                  <w:pStyle w:val="NormalWeb"/>
                  <w:spacing w:beforeLines="60" w:before="144" w:beforeAutospacing="0" w:afterLines="60" w:after="144" w:afterAutospacing="0"/>
                  <w:rPr>
                    <w:rFonts w:ascii="Arial" w:eastAsia="+mn-ea" w:hAnsi="Arial" w:cs="Arial"/>
                    <w:position w:val="1"/>
                    <w:sz w:val="22"/>
                    <w:szCs w:val="22"/>
                  </w:rPr>
                </w:pPr>
                <w:r w:rsidRPr="00A64E41">
                  <w:rPr>
                    <w:rFonts w:ascii="Arial" w:eastAsia="+mn-ea" w:hAnsi="Arial" w:cs="Arial"/>
                    <w:position w:val="1"/>
                    <w:sz w:val="22"/>
                    <w:szCs w:val="22"/>
                  </w:rPr>
                  <w:t>1st MRG meeting</w:t>
                </w:r>
              </w:p>
            </w:tc>
          </w:sdtContent>
        </w:sdt>
      </w:tr>
    </w:tbl>
    <w:p w14:paraId="2064333C" w14:textId="77777777" w:rsidR="00332C23" w:rsidRPr="00A64E41" w:rsidRDefault="00332C23" w:rsidP="00A64E41">
      <w:pPr>
        <w:rPr>
          <w:rFonts w:eastAsia="+mn-ea"/>
          <w:b/>
          <w:i/>
          <w:position w:val="1"/>
          <w:lang w:eastAsia="en-GB"/>
        </w:rPr>
      </w:pPr>
      <w:r w:rsidRPr="00A64E41">
        <w:rPr>
          <w:rFonts w:eastAsia="+mn-ea"/>
          <w:b/>
          <w:i/>
          <w:position w:val="1"/>
          <w:lang w:eastAsia="en-GB"/>
        </w:rPr>
        <w:t>Suggested Assurance Rating by Methodology Appraisal Body</w:t>
      </w:r>
    </w:p>
    <w:p w14:paraId="3F0E39C6" w14:textId="77777777" w:rsidR="00332C23" w:rsidRPr="00A64E41" w:rsidRDefault="008A7875" w:rsidP="00A64E41">
      <w:pPr>
        <w:jc w:val="center"/>
        <w:rPr>
          <w:rFonts w:eastAsia="+mn-ea"/>
          <w:b/>
          <w:position w:val="1"/>
          <w:lang w:eastAsia="en-GB"/>
        </w:rPr>
      </w:pPr>
      <w:r>
        <w:rPr>
          <w:rFonts w:eastAsia="+mn-ea"/>
          <w:b/>
          <w:position w:val="1"/>
          <w:lang w:eastAsia="en-GB"/>
        </w:rPr>
        <w:pict w14:anchorId="480FD57C">
          <v:rect id="_x0000_i1029" style="width:503.2pt;height:1.5pt" o:hralign="center" o:hrstd="t" o:hr="t" fillcolor="#a0a0a0" stroked="f"/>
        </w:pict>
      </w:r>
    </w:p>
    <w:tbl>
      <w:tblPr>
        <w:tblStyle w:val="TableGrid1"/>
        <w:tblW w:w="0" w:type="auto"/>
        <w:tblInd w:w="-5" w:type="dxa"/>
        <w:tblLook w:val="04A0" w:firstRow="1" w:lastRow="0" w:firstColumn="1" w:lastColumn="0" w:noHBand="0" w:noVBand="1"/>
      </w:tblPr>
      <w:tblGrid>
        <w:gridCol w:w="3544"/>
        <w:gridCol w:w="3544"/>
      </w:tblGrid>
      <w:tr w:rsidR="005F373B" w:rsidRPr="00A64E41" w14:paraId="4C1D8F40" w14:textId="77777777" w:rsidTr="005F373B">
        <w:tc>
          <w:tcPr>
            <w:tcW w:w="3544" w:type="dxa"/>
          </w:tcPr>
          <w:p w14:paraId="327F0725" w14:textId="77777777" w:rsidR="005F373B" w:rsidRPr="00A64E41" w:rsidRDefault="005F373B" w:rsidP="00026588">
            <w:pPr>
              <w:spacing w:before="120"/>
              <w:rPr>
                <w:rFonts w:ascii="Arial" w:eastAsia="+mn-ea" w:hAnsi="Arial" w:cs="Arial"/>
                <w:b/>
                <w:position w:val="1"/>
              </w:rPr>
            </w:pPr>
            <w:r w:rsidRPr="00A64E41">
              <w:rPr>
                <w:rFonts w:ascii="Arial" w:eastAsia="+mn-ea" w:hAnsi="Arial" w:cs="Arial"/>
                <w:b/>
                <w:position w:val="1"/>
              </w:rPr>
              <w:t>Ratings Against Assessment Criteria</w:t>
            </w:r>
          </w:p>
          <w:p w14:paraId="6B0E81FA" w14:textId="77777777" w:rsidR="005F373B" w:rsidRPr="00A64E41" w:rsidRDefault="005F373B" w:rsidP="00A64E41">
            <w:pPr>
              <w:spacing w:line="360" w:lineRule="auto"/>
              <w:rPr>
                <w:rFonts w:eastAsia="+mn-ea"/>
                <w:position w:val="1"/>
              </w:rPr>
            </w:pPr>
          </w:p>
        </w:tc>
        <w:tc>
          <w:tcPr>
            <w:tcW w:w="3544" w:type="dxa"/>
          </w:tcPr>
          <w:p w14:paraId="269D5573" w14:textId="77777777" w:rsidR="005F373B" w:rsidRPr="00A64E41" w:rsidRDefault="005F373B" w:rsidP="00A64E41">
            <w:pPr>
              <w:spacing w:line="360" w:lineRule="auto"/>
              <w:jc w:val="center"/>
              <w:rPr>
                <w:noProof/>
              </w:rPr>
            </w:pPr>
          </w:p>
        </w:tc>
      </w:tr>
      <w:tr w:rsidR="005F373B" w:rsidRPr="00A64E41" w14:paraId="3C75C5AC" w14:textId="77777777" w:rsidTr="005F373B">
        <w:tc>
          <w:tcPr>
            <w:tcW w:w="3544" w:type="dxa"/>
            <w:hideMark/>
          </w:tcPr>
          <w:p w14:paraId="1FB1E79D"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Introduction and Overview</w:t>
            </w:r>
            <w:r w:rsidRPr="00A64E41">
              <w:rPr>
                <w:rFonts w:ascii="Arial" w:hAnsi="Arial" w:cs="Arial"/>
                <w:b/>
                <w:noProof/>
                <w:lang w:eastAsia="en-GB"/>
              </w:rPr>
              <w:t xml:space="preserve">    </w:t>
            </w:r>
            <w:r w:rsidRPr="00A64E41">
              <w:rPr>
                <w:rFonts w:ascii="Arial" w:eastAsia="+mn-ea" w:hAnsi="Arial" w:cs="Arial"/>
                <w:position w:val="1"/>
              </w:rPr>
              <w:t xml:space="preserve"> </w:t>
            </w:r>
          </w:p>
        </w:tc>
        <w:tc>
          <w:tcPr>
            <w:tcW w:w="3544" w:type="dxa"/>
            <w:hideMark/>
          </w:tcPr>
          <w:p w14:paraId="070F2C68" w14:textId="4BFC02BA" w:rsidR="005F373B" w:rsidRPr="00A64E41" w:rsidRDefault="005F373B" w:rsidP="00A64E41">
            <w:pPr>
              <w:spacing w:line="360" w:lineRule="auto"/>
              <w:jc w:val="center"/>
              <w:rPr>
                <w:rFonts w:ascii="Arial" w:eastAsia="+mn-ea" w:hAnsi="Arial" w:cs="Arial"/>
                <w:b/>
                <w:position w:val="1"/>
              </w:rPr>
            </w:pPr>
            <w:r>
              <w:rPr>
                <w:rFonts w:ascii="Arial" w:hAnsi="Arial" w:cs="Arial"/>
                <w:noProof/>
              </w:rPr>
              <w:t>Not enough information provided</w:t>
            </w:r>
          </w:p>
        </w:tc>
      </w:tr>
      <w:tr w:rsidR="005F373B" w:rsidRPr="00A64E41" w14:paraId="4A988073" w14:textId="77777777" w:rsidTr="005F373B">
        <w:tc>
          <w:tcPr>
            <w:tcW w:w="3544" w:type="dxa"/>
            <w:hideMark/>
          </w:tcPr>
          <w:p w14:paraId="0D2D21E4"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 xml:space="preserve">Rationale and Policy Basis   </w:t>
            </w:r>
          </w:p>
        </w:tc>
        <w:tc>
          <w:tcPr>
            <w:tcW w:w="3544" w:type="dxa"/>
            <w:hideMark/>
          </w:tcPr>
          <w:p w14:paraId="1779E978" w14:textId="4FC3BF0C" w:rsidR="005F373B" w:rsidRPr="00A64E41" w:rsidRDefault="005F373B" w:rsidP="00A64E41">
            <w:pPr>
              <w:spacing w:line="360" w:lineRule="auto"/>
              <w:jc w:val="center"/>
              <w:rPr>
                <w:rFonts w:ascii="Arial" w:eastAsia="+mn-ea" w:hAnsi="Arial" w:cs="Arial"/>
                <w:b/>
                <w:position w:val="1"/>
              </w:rPr>
            </w:pPr>
            <w:r>
              <w:rPr>
                <w:rFonts w:ascii="Arial" w:hAnsi="Arial" w:cs="Arial"/>
                <w:noProof/>
              </w:rPr>
              <w:t>Not enough information provided</w:t>
            </w:r>
          </w:p>
        </w:tc>
      </w:tr>
      <w:tr w:rsidR="005F373B" w:rsidRPr="00A64E41" w14:paraId="6EC0B00D" w14:textId="77777777" w:rsidTr="005F373B">
        <w:tc>
          <w:tcPr>
            <w:tcW w:w="3544" w:type="dxa"/>
            <w:hideMark/>
          </w:tcPr>
          <w:p w14:paraId="5784AA72"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 xml:space="preserve">Presentation and Interpretation </w:t>
            </w:r>
          </w:p>
        </w:tc>
        <w:tc>
          <w:tcPr>
            <w:tcW w:w="3544" w:type="dxa"/>
            <w:hideMark/>
          </w:tcPr>
          <w:p w14:paraId="178BBC1F" w14:textId="6DE30FDC" w:rsidR="005F373B" w:rsidRPr="00A64E41" w:rsidRDefault="005F373B" w:rsidP="00A64E41">
            <w:pPr>
              <w:spacing w:line="360" w:lineRule="auto"/>
              <w:jc w:val="center"/>
              <w:rPr>
                <w:rFonts w:ascii="Arial" w:eastAsia="+mn-ea" w:hAnsi="Arial" w:cs="Arial"/>
                <w:b/>
                <w:position w:val="1"/>
              </w:rPr>
            </w:pPr>
            <w:r>
              <w:rPr>
                <w:rFonts w:ascii="Arial" w:hAnsi="Arial" w:cs="Arial"/>
                <w:noProof/>
              </w:rPr>
              <w:t>Not enough information provided</w:t>
            </w:r>
          </w:p>
        </w:tc>
      </w:tr>
      <w:tr w:rsidR="005F373B" w:rsidRPr="00A64E41" w14:paraId="004B47C1" w14:textId="77777777" w:rsidTr="005F373B">
        <w:trPr>
          <w:trHeight w:val="418"/>
        </w:trPr>
        <w:tc>
          <w:tcPr>
            <w:tcW w:w="3544" w:type="dxa"/>
            <w:hideMark/>
          </w:tcPr>
          <w:p w14:paraId="712EE745"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Data</w:t>
            </w:r>
          </w:p>
        </w:tc>
        <w:tc>
          <w:tcPr>
            <w:tcW w:w="3544" w:type="dxa"/>
            <w:hideMark/>
          </w:tcPr>
          <w:p w14:paraId="2F6B2858" w14:textId="4EE86E71" w:rsidR="005F373B" w:rsidRPr="00A64E41" w:rsidRDefault="005F373B" w:rsidP="00A64E41">
            <w:pPr>
              <w:spacing w:line="360" w:lineRule="auto"/>
              <w:jc w:val="center"/>
              <w:rPr>
                <w:rFonts w:ascii="Arial" w:eastAsia="+mn-ea" w:hAnsi="Arial" w:cs="Arial"/>
                <w:b/>
                <w:position w:val="1"/>
              </w:rPr>
            </w:pPr>
            <w:r>
              <w:rPr>
                <w:rFonts w:ascii="Arial" w:hAnsi="Arial" w:cs="Arial"/>
                <w:noProof/>
              </w:rPr>
              <w:t>Not enough information provided</w:t>
            </w:r>
          </w:p>
        </w:tc>
      </w:tr>
      <w:tr w:rsidR="005F373B" w:rsidRPr="00A64E41" w14:paraId="43673BB4" w14:textId="77777777" w:rsidTr="005F373B">
        <w:tc>
          <w:tcPr>
            <w:tcW w:w="3544" w:type="dxa"/>
            <w:hideMark/>
          </w:tcPr>
          <w:p w14:paraId="630C72AE"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Construction and Testing</w:t>
            </w:r>
          </w:p>
        </w:tc>
        <w:tc>
          <w:tcPr>
            <w:tcW w:w="3544" w:type="dxa"/>
            <w:hideMark/>
          </w:tcPr>
          <w:p w14:paraId="6F98668F" w14:textId="3F6C717C" w:rsidR="005F373B" w:rsidRPr="00A64E41" w:rsidRDefault="005F373B" w:rsidP="00A64E41">
            <w:pPr>
              <w:spacing w:line="360" w:lineRule="auto"/>
              <w:jc w:val="center"/>
              <w:rPr>
                <w:rFonts w:ascii="Arial" w:eastAsia="+mn-ea" w:hAnsi="Arial" w:cs="Arial"/>
                <w:b/>
                <w:position w:val="1"/>
              </w:rPr>
            </w:pPr>
            <w:r>
              <w:rPr>
                <w:rFonts w:ascii="Arial" w:hAnsi="Arial" w:cs="Arial"/>
                <w:noProof/>
              </w:rPr>
              <w:t>Not enough information provided</w:t>
            </w:r>
          </w:p>
        </w:tc>
      </w:tr>
      <w:tr w:rsidR="005F373B" w:rsidRPr="00A64E41" w14:paraId="696F881D" w14:textId="77777777" w:rsidTr="005F373B">
        <w:tc>
          <w:tcPr>
            <w:tcW w:w="3544" w:type="dxa"/>
            <w:hideMark/>
          </w:tcPr>
          <w:p w14:paraId="6A6A5183" w14:textId="77777777" w:rsidR="005F373B" w:rsidRPr="00A64E41" w:rsidRDefault="005F373B" w:rsidP="00A64E41">
            <w:pPr>
              <w:spacing w:line="360" w:lineRule="auto"/>
              <w:rPr>
                <w:rFonts w:ascii="Arial" w:eastAsia="+mn-ea" w:hAnsi="Arial" w:cs="Arial"/>
                <w:position w:val="1"/>
              </w:rPr>
            </w:pPr>
            <w:r w:rsidRPr="00A64E41">
              <w:rPr>
                <w:rFonts w:ascii="Arial" w:eastAsia="+mn-ea" w:hAnsi="Arial" w:cs="Arial"/>
                <w:position w:val="1"/>
              </w:rPr>
              <w:t>IMAS provided Information</w:t>
            </w:r>
          </w:p>
        </w:tc>
        <w:tc>
          <w:tcPr>
            <w:tcW w:w="3544" w:type="dxa"/>
            <w:hideMark/>
          </w:tcPr>
          <w:p w14:paraId="0BC608BA" w14:textId="557FAF16" w:rsidR="005F373B" w:rsidRPr="00A64E41" w:rsidRDefault="005F373B" w:rsidP="00A64E41">
            <w:pPr>
              <w:spacing w:line="360" w:lineRule="auto"/>
              <w:jc w:val="center"/>
              <w:rPr>
                <w:rFonts w:ascii="Arial" w:eastAsia="+mn-ea" w:hAnsi="Arial" w:cs="Arial"/>
                <w:b/>
                <w:position w:val="1"/>
              </w:rPr>
            </w:pPr>
            <w:r>
              <w:rPr>
                <w:rFonts w:ascii="Arial" w:hAnsi="Arial" w:cs="Arial"/>
                <w:noProof/>
              </w:rPr>
              <w:t>Not enough information provided</w:t>
            </w:r>
          </w:p>
        </w:tc>
      </w:tr>
      <w:tr w:rsidR="005F373B" w:rsidRPr="00A64E41" w14:paraId="2CDA4724" w14:textId="77777777" w:rsidTr="005F373B">
        <w:tc>
          <w:tcPr>
            <w:tcW w:w="3544" w:type="dxa"/>
          </w:tcPr>
          <w:p w14:paraId="593C72DF" w14:textId="77777777" w:rsidR="005F373B" w:rsidRPr="00A64E41" w:rsidRDefault="005F373B" w:rsidP="005F373B">
            <w:pPr>
              <w:spacing w:before="120"/>
              <w:jc w:val="center"/>
              <w:rPr>
                <w:rFonts w:ascii="Arial" w:eastAsia="+mn-ea" w:hAnsi="Arial" w:cs="Arial"/>
                <w:b/>
                <w:position w:val="1"/>
              </w:rPr>
            </w:pPr>
            <w:r w:rsidRPr="00A64E41">
              <w:rPr>
                <w:rFonts w:ascii="Arial" w:eastAsia="+mn-ea" w:hAnsi="Arial" w:cs="Arial"/>
                <w:b/>
                <w:position w:val="1"/>
              </w:rPr>
              <w:t>Overall Appraisal Rating</w:t>
            </w:r>
          </w:p>
          <w:p w14:paraId="13385CA2" w14:textId="77777777" w:rsidR="005F373B" w:rsidRPr="00A64E41" w:rsidRDefault="005F373B" w:rsidP="00A64E41">
            <w:pPr>
              <w:spacing w:line="360" w:lineRule="auto"/>
              <w:rPr>
                <w:rFonts w:eastAsia="+mn-ea"/>
                <w:position w:val="1"/>
              </w:rPr>
            </w:pPr>
          </w:p>
        </w:tc>
        <w:tc>
          <w:tcPr>
            <w:tcW w:w="3544" w:type="dxa"/>
          </w:tcPr>
          <w:sdt>
            <w:sdtPr>
              <w:rPr>
                <w:rFonts w:eastAsia="+mn-ea"/>
                <w:b/>
                <w:position w:val="1"/>
              </w:rPr>
              <w:alias w:val="MRG rating"/>
              <w:tag w:val="MRG rating"/>
              <w:id w:val="-768004364"/>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4A25D3F4" w14:textId="77777777" w:rsidR="005F373B" w:rsidRPr="00A64E41" w:rsidRDefault="005F373B" w:rsidP="005F373B">
                <w:pPr>
                  <w:spacing w:line="360" w:lineRule="auto"/>
                  <w:jc w:val="center"/>
                  <w:rPr>
                    <w:rFonts w:ascii="Arial" w:eastAsia="+mn-ea" w:hAnsi="Arial" w:cs="Arial"/>
                    <w:b/>
                    <w:position w:val="1"/>
                  </w:rPr>
                </w:pPr>
                <w:r w:rsidRPr="00A64E41">
                  <w:rPr>
                    <w:rFonts w:ascii="Arial" w:eastAsia="+mn-ea" w:hAnsi="Arial" w:cs="Arial"/>
                    <w:b/>
                    <w:position w:val="1"/>
                  </w:rPr>
                  <w:t>Not enough information provided</w:t>
                </w:r>
              </w:p>
            </w:sdtContent>
          </w:sdt>
          <w:p w14:paraId="74466BA5" w14:textId="77777777" w:rsidR="005F373B" w:rsidRDefault="005F373B" w:rsidP="00A64E41">
            <w:pPr>
              <w:spacing w:line="360" w:lineRule="auto"/>
              <w:jc w:val="center"/>
              <w:rPr>
                <w:noProof/>
              </w:rPr>
            </w:pPr>
          </w:p>
        </w:tc>
      </w:tr>
    </w:tbl>
    <w:p w14:paraId="76C5BD23" w14:textId="77777777" w:rsidR="00332C23" w:rsidRPr="00A64E41" w:rsidRDefault="00332C23" w:rsidP="00A64E41">
      <w:pPr>
        <w:pStyle w:val="NormalWeb"/>
        <w:spacing w:before="0" w:beforeAutospacing="0" w:after="0" w:afterAutospacing="0" w:line="360" w:lineRule="auto"/>
        <w:rPr>
          <w:rFonts w:ascii="Arial" w:eastAsia="+mn-ea" w:hAnsi="Arial" w:cs="Arial"/>
          <w:b/>
          <w:position w:val="1"/>
          <w:sz w:val="22"/>
          <w:szCs w:val="22"/>
        </w:rPr>
      </w:pPr>
    </w:p>
    <w:p w14:paraId="1AF5EA8B" w14:textId="77777777" w:rsidR="00332C23" w:rsidRPr="00A64E41" w:rsidRDefault="00332C23" w:rsidP="00A64E41">
      <w:pPr>
        <w:spacing w:before="240"/>
        <w:rPr>
          <w:rFonts w:eastAsia="+mn-ea"/>
          <w:b/>
          <w:position w:val="1"/>
        </w:rPr>
      </w:pPr>
      <w:r w:rsidRPr="00A64E41">
        <w:rPr>
          <w:rFonts w:eastAsia="+mn-ea"/>
          <w:b/>
          <w:position w:val="1"/>
        </w:rPr>
        <w:t>Summary Recommendation to Applicant:</w:t>
      </w:r>
    </w:p>
    <w:sdt>
      <w:sdtPr>
        <w:rPr>
          <w:rFonts w:eastAsia="+mn-ea"/>
          <w:position w:val="1"/>
        </w:rPr>
        <w:id w:val="692660743"/>
        <w:text w:multiLine="1"/>
      </w:sdtPr>
      <w:sdtEndPr/>
      <w:sdtContent>
        <w:p w14:paraId="67338FAA" w14:textId="77777777" w:rsidR="00332C23" w:rsidRPr="00A64E41" w:rsidRDefault="00332C23" w:rsidP="00A64E41">
          <w:pPr>
            <w:spacing w:before="240"/>
            <w:rPr>
              <w:rFonts w:eastAsia="+mn-ea"/>
              <w:position w:val="1"/>
            </w:rPr>
          </w:pPr>
          <w:r w:rsidRPr="00A64E41">
            <w:rPr>
              <w:rFonts w:eastAsia="+mn-ea"/>
              <w:position w:val="1"/>
            </w:rPr>
            <w:t xml:space="preserve">MRG thanked the applicant for their work on the application so far. It was felt that there was not enough information on why this particular indicator was part of the Framework and there needs to be information about this throughout the application. Once the amendments have been made to the policy and rationale, the indicator could be split in to two applications, but care is needed to ensure all details are correct. </w:t>
          </w:r>
        </w:p>
      </w:sdtContent>
    </w:sdt>
    <w:p w14:paraId="401B5D4D" w14:textId="77777777" w:rsidR="00332C23" w:rsidRPr="00A64E41" w:rsidRDefault="00332C23" w:rsidP="00A64E41">
      <w:pPr>
        <w:spacing w:before="240"/>
        <w:rPr>
          <w:rFonts w:eastAsia="+mn-ea"/>
          <w:b/>
          <w:position w:val="1"/>
        </w:rPr>
      </w:pPr>
      <w:r w:rsidRPr="00A64E41">
        <w:rPr>
          <w:rFonts w:eastAsia="+mn-ea"/>
          <w:b/>
          <w:position w:val="1"/>
        </w:rPr>
        <w:lastRenderedPageBreak/>
        <w:t>Summary Recommendation to IGB:</w:t>
      </w:r>
    </w:p>
    <w:sdt>
      <w:sdtPr>
        <w:rPr>
          <w:lang w:eastAsia="en-GB"/>
        </w:rPr>
        <w:alias w:val="Summary Recommendation to IGB"/>
        <w:tag w:val="Summary Recommendation to IGB"/>
        <w:id w:val="2031983090"/>
        <w:placeholder>
          <w:docPart w:val="42C7A024BFEC4A57BF0F2BE66B1C336B"/>
        </w:placeholder>
      </w:sdtPr>
      <w:sdtEndPr/>
      <w:sdtContent>
        <w:p w14:paraId="74D72611" w14:textId="77777777" w:rsidR="00332C23" w:rsidRPr="00A64E41" w:rsidRDefault="00332C23" w:rsidP="00A64E41">
          <w:pPr>
            <w:spacing w:before="240"/>
            <w:rPr>
              <w:lang w:eastAsia="en-GB"/>
            </w:rPr>
          </w:pPr>
          <w:r w:rsidRPr="00A64E41">
            <w:rPr>
              <w:lang w:eastAsia="en-GB"/>
            </w:rPr>
            <w:t>N/A</w:t>
          </w:r>
        </w:p>
      </w:sdtContent>
    </w:sdt>
    <w:p w14:paraId="7CDC44DF" w14:textId="77777777" w:rsidR="00332C23" w:rsidRPr="00A64E41" w:rsidRDefault="00332C23" w:rsidP="00A64E41">
      <w:pPr>
        <w:rPr>
          <w:b/>
        </w:rPr>
      </w:pPr>
      <w:r w:rsidRPr="00A64E41">
        <w:rPr>
          <w:b/>
        </w:rPr>
        <w:t>Please see the appraisal log below for detailed description of recommendations, issues and actions that explain the above rating(s).</w:t>
      </w:r>
    </w:p>
    <w:p w14:paraId="294B1207" w14:textId="77777777" w:rsidR="00332C23" w:rsidRPr="00A64E41" w:rsidRDefault="00332C23">
      <w:pPr>
        <w:rPr>
          <w:rFonts w:eastAsia="+mn-ea"/>
          <w:b/>
          <w:position w:val="1"/>
          <w:lang w:eastAsia="en-GB"/>
        </w:rPr>
      </w:pPr>
      <w:r w:rsidRPr="00A64E41">
        <w:rPr>
          <w:rFonts w:eastAsia="+mn-ea"/>
          <w:b/>
          <w:position w:val="1"/>
        </w:rPr>
        <w:br w:type="page"/>
      </w:r>
    </w:p>
    <w:p w14:paraId="3FFF697D" w14:textId="77777777" w:rsidR="00332C23" w:rsidRPr="00A64E41" w:rsidRDefault="00332C23" w:rsidP="00A64E41">
      <w:pPr>
        <w:pStyle w:val="NormalWeb"/>
        <w:spacing w:before="0" w:beforeAutospacing="0" w:after="0" w:afterAutospacing="0"/>
        <w:rPr>
          <w:rFonts w:ascii="Arial" w:eastAsia="+mn-ea" w:hAnsi="Arial" w:cs="Arial"/>
          <w:b/>
          <w:position w:val="1"/>
          <w:sz w:val="22"/>
          <w:szCs w:val="22"/>
        </w:rPr>
      </w:pPr>
      <w:r w:rsidRPr="00A64E41">
        <w:rPr>
          <w:rFonts w:ascii="Arial" w:eastAsia="+mn-ea" w:hAnsi="Arial" w:cs="Arial"/>
          <w:b/>
          <w:position w:val="1"/>
          <w:sz w:val="22"/>
          <w:szCs w:val="22"/>
        </w:rPr>
        <w:lastRenderedPageBreak/>
        <w:t>What do the Assurance Ratings mean?</w:t>
      </w:r>
    </w:p>
    <w:p w14:paraId="447EBD2C" w14:textId="77777777" w:rsidR="00332C23" w:rsidRPr="00A64E41" w:rsidRDefault="00332C23" w:rsidP="00A64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6095"/>
      </w:tblGrid>
      <w:tr w:rsidR="006965C4" w:rsidRPr="00A64E41" w14:paraId="5BC068EA" w14:textId="77777777" w:rsidTr="00A64E41">
        <w:tc>
          <w:tcPr>
            <w:tcW w:w="2693" w:type="dxa"/>
            <w:vAlign w:val="center"/>
          </w:tcPr>
          <w:p w14:paraId="0BF45926" w14:textId="1E54DDFE" w:rsidR="006965C4" w:rsidRPr="00A64E41" w:rsidRDefault="006965C4" w:rsidP="00A64E41">
            <w:pPr>
              <w:spacing w:before="120" w:after="120"/>
              <w:rPr>
                <w:b/>
              </w:rPr>
            </w:pPr>
            <w:r w:rsidRPr="00A64E41">
              <w:rPr>
                <w:b/>
              </w:rPr>
              <w:t>Rating</w:t>
            </w:r>
          </w:p>
        </w:tc>
        <w:tc>
          <w:tcPr>
            <w:tcW w:w="6095" w:type="dxa"/>
            <w:vAlign w:val="center"/>
          </w:tcPr>
          <w:p w14:paraId="380CBD21" w14:textId="469D0C15" w:rsidR="006965C4" w:rsidRPr="00A64E41" w:rsidRDefault="006965C4" w:rsidP="00A64E41">
            <w:pPr>
              <w:spacing w:before="120" w:after="120"/>
            </w:pPr>
            <w:r w:rsidRPr="00A64E41">
              <w:rPr>
                <w:b/>
              </w:rPr>
              <w:t>Description</w:t>
            </w:r>
          </w:p>
        </w:tc>
      </w:tr>
      <w:tr w:rsidR="006965C4" w:rsidRPr="00A64E41" w14:paraId="63356C87" w14:textId="77777777" w:rsidTr="00A64E41">
        <w:tc>
          <w:tcPr>
            <w:tcW w:w="2693" w:type="dxa"/>
            <w:vAlign w:val="center"/>
          </w:tcPr>
          <w:p w14:paraId="3689939B" w14:textId="77777777" w:rsidR="006965C4" w:rsidRPr="00A64E41" w:rsidRDefault="006965C4" w:rsidP="00A64E41">
            <w:pPr>
              <w:spacing w:before="120" w:after="120"/>
              <w:rPr>
                <w:b/>
              </w:rPr>
            </w:pPr>
            <w:r w:rsidRPr="00A64E41">
              <w:rPr>
                <w:b/>
              </w:rPr>
              <w:t>Fit for use</w:t>
            </w:r>
          </w:p>
        </w:tc>
        <w:tc>
          <w:tcPr>
            <w:tcW w:w="6095" w:type="dxa"/>
            <w:vAlign w:val="center"/>
          </w:tcPr>
          <w:p w14:paraId="56F07E98" w14:textId="77777777" w:rsidR="006965C4" w:rsidRPr="00A64E41" w:rsidRDefault="006965C4" w:rsidP="00A64E41">
            <w:pPr>
              <w:spacing w:before="120" w:after="120"/>
            </w:pPr>
            <w:r w:rsidRPr="00A64E41">
              <w:t>This indicator can be used with confidence that it is constructed in a sound manner that is fit for purpose.</w:t>
            </w:r>
          </w:p>
        </w:tc>
      </w:tr>
      <w:tr w:rsidR="006965C4" w:rsidRPr="00A64E41" w14:paraId="50A1E4E1" w14:textId="77777777" w:rsidTr="00A64E41">
        <w:tc>
          <w:tcPr>
            <w:tcW w:w="2693" w:type="dxa"/>
            <w:vAlign w:val="center"/>
          </w:tcPr>
          <w:p w14:paraId="491DBCAB" w14:textId="77777777" w:rsidR="006965C4" w:rsidRPr="00A64E41" w:rsidRDefault="006965C4" w:rsidP="00A64E41">
            <w:pPr>
              <w:spacing w:before="120" w:after="120"/>
              <w:rPr>
                <w:b/>
              </w:rPr>
            </w:pPr>
            <w:r w:rsidRPr="00A64E41">
              <w:rPr>
                <w:b/>
              </w:rPr>
              <w:t>Fit for use with caveats</w:t>
            </w:r>
          </w:p>
        </w:tc>
        <w:tc>
          <w:tcPr>
            <w:tcW w:w="6095" w:type="dxa"/>
            <w:vAlign w:val="center"/>
          </w:tcPr>
          <w:p w14:paraId="14DBD5B3" w14:textId="77777777" w:rsidR="006965C4" w:rsidRPr="00A64E41" w:rsidRDefault="006965C4" w:rsidP="00A64E41">
            <w:pPr>
              <w:spacing w:before="120" w:after="120"/>
            </w:pPr>
            <w:r w:rsidRPr="00A64E41">
              <w:t>The indicator is fit for use, however users should be aware of caveats and/or recommendations for improvement that have been identified during the assurance process.</w:t>
            </w:r>
          </w:p>
        </w:tc>
      </w:tr>
      <w:tr w:rsidR="006965C4" w:rsidRPr="00A64E41" w14:paraId="794F83D6" w14:textId="77777777" w:rsidTr="00A64E41">
        <w:tc>
          <w:tcPr>
            <w:tcW w:w="2693" w:type="dxa"/>
            <w:vAlign w:val="center"/>
          </w:tcPr>
          <w:p w14:paraId="577C13FC" w14:textId="77777777" w:rsidR="006965C4" w:rsidRPr="00A64E41" w:rsidRDefault="006965C4" w:rsidP="00A64E41">
            <w:pPr>
              <w:spacing w:before="120" w:after="120"/>
              <w:rPr>
                <w:b/>
              </w:rPr>
            </w:pPr>
            <w:r w:rsidRPr="00A64E41">
              <w:rPr>
                <w:b/>
              </w:rPr>
              <w:t>Use with caution – data quality issue</w:t>
            </w:r>
          </w:p>
        </w:tc>
        <w:tc>
          <w:tcPr>
            <w:tcW w:w="6095" w:type="dxa"/>
            <w:vAlign w:val="center"/>
          </w:tcPr>
          <w:p w14:paraId="4E17922C" w14:textId="77777777" w:rsidR="006965C4" w:rsidRPr="00A64E41" w:rsidRDefault="006965C4" w:rsidP="00A64E41">
            <w:pPr>
              <w:spacing w:before="120" w:after="120"/>
            </w:pPr>
            <w:r w:rsidRPr="00A64E41">
              <w:t>The indicator is based on a sound methodology for which the assurance process endorse the use, however issues have been identified with the national data source which have implications for its use as an indicator.</w:t>
            </w:r>
          </w:p>
        </w:tc>
      </w:tr>
      <w:tr w:rsidR="006965C4" w:rsidRPr="00A64E41" w14:paraId="046D9935" w14:textId="77777777" w:rsidTr="00A64E41">
        <w:tc>
          <w:tcPr>
            <w:tcW w:w="2693" w:type="dxa"/>
            <w:vAlign w:val="center"/>
          </w:tcPr>
          <w:p w14:paraId="5C82CEEB" w14:textId="77777777" w:rsidR="006965C4" w:rsidRPr="00A64E41" w:rsidRDefault="006965C4" w:rsidP="00A64E41">
            <w:pPr>
              <w:spacing w:before="120" w:after="120"/>
              <w:rPr>
                <w:b/>
              </w:rPr>
            </w:pPr>
            <w:r w:rsidRPr="00A64E41">
              <w:rPr>
                <w:b/>
              </w:rPr>
              <w:t>Not fit for use</w:t>
            </w:r>
          </w:p>
        </w:tc>
        <w:tc>
          <w:tcPr>
            <w:tcW w:w="6095" w:type="dxa"/>
            <w:vAlign w:val="center"/>
          </w:tcPr>
          <w:p w14:paraId="2148E45D" w14:textId="77777777" w:rsidR="006965C4" w:rsidRPr="00A64E41" w:rsidRDefault="006965C4" w:rsidP="00A64E41">
            <w:pPr>
              <w:spacing w:before="120" w:after="120"/>
            </w:pPr>
            <w:r w:rsidRPr="00A64E41">
              <w:t>Issues have been identified with the indicator which have resulted in the assurance process currently not endorsing its use as a quality indicator.</w:t>
            </w:r>
          </w:p>
        </w:tc>
      </w:tr>
      <w:tr w:rsidR="006965C4" w:rsidRPr="00A64E41" w14:paraId="55317B4B" w14:textId="77777777" w:rsidTr="00A64E41">
        <w:tc>
          <w:tcPr>
            <w:tcW w:w="2693" w:type="dxa"/>
            <w:vAlign w:val="center"/>
          </w:tcPr>
          <w:p w14:paraId="0D6A07F4" w14:textId="77777777" w:rsidR="006965C4" w:rsidRPr="00A64E41" w:rsidRDefault="006965C4" w:rsidP="00A64E41">
            <w:pPr>
              <w:spacing w:before="120" w:after="120"/>
              <w:rPr>
                <w:b/>
              </w:rPr>
            </w:pPr>
            <w:r w:rsidRPr="00A64E41">
              <w:rPr>
                <w:b/>
              </w:rPr>
              <w:t>Not enough information provided</w:t>
            </w:r>
          </w:p>
        </w:tc>
        <w:tc>
          <w:tcPr>
            <w:tcW w:w="6095" w:type="dxa"/>
            <w:vAlign w:val="center"/>
          </w:tcPr>
          <w:p w14:paraId="37BFD3EA" w14:textId="77777777" w:rsidR="006965C4" w:rsidRPr="00A64E41" w:rsidRDefault="006965C4" w:rsidP="00A64E41">
            <w:pPr>
              <w:spacing w:before="120" w:after="120"/>
            </w:pPr>
            <w:r w:rsidRPr="00A64E41">
              <w:t>There has not been enough information supplied to the assurance process to be able to accurately give the indicator a level of assurance.</w:t>
            </w:r>
          </w:p>
        </w:tc>
      </w:tr>
    </w:tbl>
    <w:p w14:paraId="6653CA6E" w14:textId="77777777" w:rsidR="00332C23" w:rsidRPr="00A64E41" w:rsidRDefault="00332C23" w:rsidP="00A64E41">
      <w:pPr>
        <w:pStyle w:val="NormalWeb"/>
        <w:spacing w:before="0" w:beforeAutospacing="0" w:after="0" w:afterAutospacing="0"/>
        <w:rPr>
          <w:rFonts w:ascii="Arial" w:eastAsia="+mn-ea" w:hAnsi="Arial" w:cs="Arial"/>
          <w:sz w:val="22"/>
          <w:szCs w:val="22"/>
        </w:rPr>
      </w:pPr>
      <w:r w:rsidRPr="00A64E41">
        <w:rPr>
          <w:rFonts w:ascii="Arial" w:eastAsia="+mn-ea" w:hAnsi="Arial" w:cs="Arial"/>
          <w:sz w:val="22"/>
          <w:szCs w:val="22"/>
        </w:rPr>
        <w:br w:type="page"/>
      </w:r>
    </w:p>
    <w:p w14:paraId="3789C42A" w14:textId="77777777" w:rsidR="00332C23" w:rsidRPr="00A64E41" w:rsidRDefault="00332C23" w:rsidP="00A64E41">
      <w:pPr>
        <w:spacing w:before="240"/>
        <w:rPr>
          <w:rFonts w:eastAsia="+mn-ea"/>
          <w:b/>
          <w:position w:val="1"/>
          <w:lang w:eastAsia="en-GB"/>
        </w:rPr>
        <w:sectPr w:rsidR="00332C23" w:rsidRPr="00A64E41" w:rsidSect="00A64E41">
          <w:headerReference w:type="default" r:id="rId31"/>
          <w:footerReference w:type="default" r:id="rId32"/>
          <w:headerReference w:type="first" r:id="rId33"/>
          <w:footerReference w:type="first" r:id="rId34"/>
          <w:pgSz w:w="16838" w:h="11906" w:orient="landscape"/>
          <w:pgMar w:top="1440" w:right="1440" w:bottom="1440" w:left="1440" w:header="708" w:footer="708" w:gutter="0"/>
          <w:cols w:space="708"/>
          <w:docGrid w:linePitch="360"/>
        </w:sectPr>
      </w:pPr>
    </w:p>
    <w:p w14:paraId="606771F2" w14:textId="77777777" w:rsidR="006965C4" w:rsidRDefault="00332C23" w:rsidP="00A64E41">
      <w:pPr>
        <w:pStyle w:val="NormalWeb"/>
        <w:spacing w:before="0" w:beforeAutospacing="0" w:after="0" w:afterAutospacing="0"/>
        <w:rPr>
          <w:rFonts w:ascii="Arial" w:eastAsia="+mn-ea" w:hAnsi="Arial" w:cs="Arial"/>
          <w:b/>
          <w:position w:val="1"/>
          <w:sz w:val="22"/>
          <w:szCs w:val="22"/>
        </w:rPr>
      </w:pPr>
      <w:r w:rsidRPr="00A64E41">
        <w:rPr>
          <w:rFonts w:ascii="Arial" w:eastAsia="+mn-ea" w:hAnsi="Arial" w:cs="Arial"/>
          <w:b/>
          <w:position w:val="1"/>
          <w:sz w:val="22"/>
          <w:szCs w:val="22"/>
        </w:rPr>
        <w:lastRenderedPageBreak/>
        <w:t>Appraisal Log</w:t>
      </w:r>
    </w:p>
    <w:p w14:paraId="3B374FCE" w14:textId="7B8B2F52" w:rsidR="00332C23" w:rsidRPr="006965C4" w:rsidRDefault="00332C23" w:rsidP="00A64E41">
      <w:pPr>
        <w:pStyle w:val="NormalWeb"/>
        <w:spacing w:before="0" w:beforeAutospacing="0" w:after="0" w:afterAutospacing="0"/>
        <w:rPr>
          <w:rFonts w:ascii="Arial" w:eastAsia="+mn-ea" w:hAnsi="Arial" w:cs="Arial"/>
          <w:b/>
          <w:position w:val="1"/>
          <w:sz w:val="22"/>
          <w:szCs w:val="22"/>
        </w:rPr>
      </w:pPr>
      <w:r w:rsidRPr="00A64E41">
        <w:rPr>
          <w:rFonts w:ascii="Arial" w:eastAsia="+mn-ea" w:hAnsi="Arial" w:cs="Arial"/>
          <w:b/>
          <w:position w:val="1"/>
          <w:sz w:val="22"/>
          <w:szCs w:val="22"/>
        </w:rPr>
        <w:t xml:space="preserve"> </w:t>
      </w:r>
      <w:r w:rsidR="006965C4" w:rsidRPr="006965C4">
        <w:rPr>
          <w:rFonts w:ascii="Arial" w:hAnsi="Arial" w:cs="Arial"/>
          <w:b/>
        </w:rPr>
        <w:t>1. Introduction and Overview</w:t>
      </w:r>
    </w:p>
    <w:p w14:paraId="53FD75CA" w14:textId="77777777" w:rsidR="00332C23" w:rsidRPr="00A64E41" w:rsidRDefault="00332C23" w:rsidP="00A64E41">
      <w:pPr>
        <w:pStyle w:val="NormalWeb"/>
        <w:spacing w:before="0" w:beforeAutospacing="0" w:after="0" w:afterAutospacing="0"/>
        <w:rPr>
          <w:rFonts w:ascii="Arial" w:eastAsia="+mn-ea" w:hAnsi="Arial" w:cs="Arial"/>
          <w:b/>
          <w:position w:val="1"/>
          <w:sz w:val="22"/>
          <w:szCs w:val="22"/>
        </w:rPr>
      </w:pPr>
    </w:p>
    <w:tbl>
      <w:tblPr>
        <w:tblStyle w:val="TableGrid"/>
        <w:tblW w:w="492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
        <w:gridCol w:w="4712"/>
        <w:gridCol w:w="1589"/>
        <w:gridCol w:w="4046"/>
        <w:gridCol w:w="1133"/>
        <w:gridCol w:w="1078"/>
        <w:gridCol w:w="1151"/>
      </w:tblGrid>
      <w:tr w:rsidR="00A64E41" w:rsidRPr="00A64E41" w14:paraId="63CC5C76" w14:textId="77777777" w:rsidTr="00A64E41">
        <w:tc>
          <w:tcPr>
            <w:tcW w:w="307" w:type="pct"/>
            <w:tcBorders>
              <w:top w:val="single" w:sz="4" w:space="0" w:color="auto"/>
              <w:left w:val="single" w:sz="4" w:space="0" w:color="auto"/>
              <w:bottom w:val="single" w:sz="4" w:space="0" w:color="auto"/>
              <w:right w:val="single" w:sz="4" w:space="0" w:color="auto"/>
            </w:tcBorders>
          </w:tcPr>
          <w:p w14:paraId="0F14C95B" w14:textId="77777777" w:rsidR="00332C23" w:rsidRPr="00A64E41" w:rsidRDefault="00332C23" w:rsidP="00A64E41">
            <w:pPr>
              <w:rPr>
                <w:b/>
                <w:i/>
              </w:rPr>
            </w:pPr>
            <w:r w:rsidRPr="00A64E41">
              <w:rPr>
                <w:b/>
                <w:i/>
              </w:rPr>
              <w:t>Section</w:t>
            </w:r>
          </w:p>
        </w:tc>
        <w:tc>
          <w:tcPr>
            <w:tcW w:w="1613" w:type="pct"/>
            <w:tcBorders>
              <w:top w:val="single" w:sz="4" w:space="0" w:color="auto"/>
              <w:left w:val="single" w:sz="4" w:space="0" w:color="auto"/>
              <w:bottom w:val="single" w:sz="4" w:space="0" w:color="auto"/>
              <w:right w:val="single" w:sz="4" w:space="0" w:color="auto"/>
            </w:tcBorders>
          </w:tcPr>
          <w:p w14:paraId="2B7D64C1" w14:textId="77777777" w:rsidR="00332C23" w:rsidRPr="00A64E41" w:rsidRDefault="00332C23" w:rsidP="00A64E41">
            <w:pPr>
              <w:rPr>
                <w:b/>
                <w:i/>
              </w:rPr>
            </w:pPr>
            <w:r w:rsidRPr="00A64E41">
              <w:rPr>
                <w:b/>
                <w:i/>
              </w:rPr>
              <w:t>Issue or recommendation</w:t>
            </w:r>
          </w:p>
        </w:tc>
        <w:tc>
          <w:tcPr>
            <w:tcW w:w="544" w:type="pct"/>
            <w:tcBorders>
              <w:top w:val="single" w:sz="4" w:space="0" w:color="auto"/>
              <w:left w:val="single" w:sz="4" w:space="0" w:color="auto"/>
              <w:bottom w:val="single" w:sz="4" w:space="0" w:color="auto"/>
              <w:right w:val="single" w:sz="4" w:space="0" w:color="auto"/>
            </w:tcBorders>
          </w:tcPr>
          <w:p w14:paraId="048EF88A" w14:textId="77777777" w:rsidR="00332C23" w:rsidRPr="00A64E41" w:rsidRDefault="00332C23" w:rsidP="00A64E41">
            <w:pPr>
              <w:rPr>
                <w:b/>
                <w:i/>
              </w:rPr>
            </w:pPr>
            <w:r w:rsidRPr="00A64E41">
              <w:rPr>
                <w:b/>
                <w:i/>
              </w:rPr>
              <w:t xml:space="preserve">Raised </w:t>
            </w:r>
          </w:p>
          <w:p w14:paraId="7BE170FD" w14:textId="77777777" w:rsidR="00332C23" w:rsidRPr="00A64E41" w:rsidRDefault="00332C23" w:rsidP="00A64E41">
            <w:pPr>
              <w:rPr>
                <w:b/>
                <w:i/>
              </w:rPr>
            </w:pPr>
            <w:r w:rsidRPr="00A64E41">
              <w:rPr>
                <w:b/>
                <w:i/>
              </w:rPr>
              <w:t>by / Date</w:t>
            </w:r>
          </w:p>
        </w:tc>
        <w:tc>
          <w:tcPr>
            <w:tcW w:w="1385" w:type="pct"/>
            <w:tcBorders>
              <w:top w:val="single" w:sz="4" w:space="0" w:color="auto"/>
              <w:left w:val="single" w:sz="4" w:space="0" w:color="auto"/>
              <w:bottom w:val="single" w:sz="4" w:space="0" w:color="auto"/>
              <w:right w:val="single" w:sz="4" w:space="0" w:color="auto"/>
            </w:tcBorders>
          </w:tcPr>
          <w:p w14:paraId="12B89638" w14:textId="77777777" w:rsidR="00332C23" w:rsidRPr="00A64E41" w:rsidRDefault="00332C23" w:rsidP="00A64E41">
            <w:pPr>
              <w:rPr>
                <w:b/>
                <w:i/>
              </w:rPr>
            </w:pPr>
            <w:r w:rsidRPr="00A64E41">
              <w:rPr>
                <w:b/>
                <w:i/>
              </w:rPr>
              <w:t>Response or Action taken by applicant</w:t>
            </w:r>
          </w:p>
        </w:tc>
        <w:tc>
          <w:tcPr>
            <w:tcW w:w="388" w:type="pct"/>
            <w:tcBorders>
              <w:top w:val="single" w:sz="4" w:space="0" w:color="auto"/>
              <w:left w:val="single" w:sz="4" w:space="0" w:color="auto"/>
              <w:bottom w:val="single" w:sz="4" w:space="0" w:color="auto"/>
              <w:right w:val="single" w:sz="4" w:space="0" w:color="auto"/>
            </w:tcBorders>
          </w:tcPr>
          <w:p w14:paraId="4E67A302" w14:textId="77777777" w:rsidR="00332C23" w:rsidRPr="00A64E41" w:rsidRDefault="00332C23" w:rsidP="00A64E41">
            <w:pPr>
              <w:rPr>
                <w:b/>
                <w:i/>
              </w:rPr>
            </w:pPr>
            <w:r w:rsidRPr="00A64E41">
              <w:rPr>
                <w:b/>
                <w:i/>
              </w:rPr>
              <w:t>Response by / Date</w:t>
            </w:r>
          </w:p>
        </w:tc>
        <w:tc>
          <w:tcPr>
            <w:tcW w:w="369" w:type="pct"/>
            <w:tcBorders>
              <w:top w:val="single" w:sz="4" w:space="0" w:color="auto"/>
              <w:left w:val="single" w:sz="4" w:space="0" w:color="auto"/>
              <w:bottom w:val="single" w:sz="4" w:space="0" w:color="auto"/>
              <w:right w:val="single" w:sz="4" w:space="0" w:color="auto"/>
            </w:tcBorders>
          </w:tcPr>
          <w:p w14:paraId="78E55432" w14:textId="77777777" w:rsidR="00332C23" w:rsidRPr="00A64E41" w:rsidRDefault="00332C23" w:rsidP="00A64E41">
            <w:pPr>
              <w:rPr>
                <w:b/>
                <w:i/>
              </w:rPr>
            </w:pPr>
            <w:r w:rsidRPr="00A64E41">
              <w:rPr>
                <w:b/>
                <w:i/>
              </w:rPr>
              <w:t>Resolved</w:t>
            </w:r>
          </w:p>
        </w:tc>
        <w:tc>
          <w:tcPr>
            <w:tcW w:w="394" w:type="pct"/>
            <w:tcBorders>
              <w:top w:val="single" w:sz="4" w:space="0" w:color="auto"/>
              <w:left w:val="single" w:sz="4" w:space="0" w:color="auto"/>
              <w:bottom w:val="single" w:sz="4" w:space="0" w:color="auto"/>
              <w:right w:val="single" w:sz="4" w:space="0" w:color="auto"/>
            </w:tcBorders>
          </w:tcPr>
          <w:p w14:paraId="10DC0584" w14:textId="77777777" w:rsidR="00332C23" w:rsidRPr="00A64E41" w:rsidRDefault="00332C23" w:rsidP="00A64E41">
            <w:pPr>
              <w:rPr>
                <w:b/>
                <w:i/>
              </w:rPr>
            </w:pPr>
            <w:r w:rsidRPr="00A64E41">
              <w:rPr>
                <w:b/>
                <w:i/>
              </w:rPr>
              <w:t>Sign off by / Date</w:t>
            </w:r>
          </w:p>
        </w:tc>
      </w:tr>
      <w:tr w:rsidR="00A64E41" w:rsidRPr="00A64E41" w14:paraId="00377546" w14:textId="77777777" w:rsidTr="00A64E41">
        <w:tc>
          <w:tcPr>
            <w:tcW w:w="307" w:type="pct"/>
            <w:tcBorders>
              <w:top w:val="single" w:sz="4" w:space="0" w:color="auto"/>
              <w:left w:val="single" w:sz="4" w:space="0" w:color="auto"/>
              <w:bottom w:val="single" w:sz="4" w:space="0" w:color="auto"/>
              <w:right w:val="single" w:sz="4" w:space="0" w:color="auto"/>
            </w:tcBorders>
          </w:tcPr>
          <w:p w14:paraId="32040DF5" w14:textId="77777777" w:rsidR="00332C23" w:rsidRPr="00A64E41" w:rsidRDefault="00332C23" w:rsidP="00A64E41">
            <w:r w:rsidRPr="00A64E41">
              <w:t>1.1</w:t>
            </w:r>
          </w:p>
        </w:tc>
        <w:tc>
          <w:tcPr>
            <w:tcW w:w="1613" w:type="pct"/>
            <w:tcBorders>
              <w:top w:val="single" w:sz="4" w:space="0" w:color="auto"/>
              <w:left w:val="single" w:sz="4" w:space="0" w:color="auto"/>
              <w:bottom w:val="single" w:sz="4" w:space="0" w:color="auto"/>
              <w:right w:val="single" w:sz="4" w:space="0" w:color="auto"/>
            </w:tcBorders>
          </w:tcPr>
          <w:p w14:paraId="609849D7" w14:textId="77777777" w:rsidR="00332C23" w:rsidRPr="00A64E41" w:rsidRDefault="00332C23" w:rsidP="00A64E41">
            <w:r w:rsidRPr="00A64E41">
              <w:t>Not sure what kind of support. ‘advice about social care’ might be better. Perhaps change 'service users' to 'social services users' as from the indicator title it is not clear that this indicator relates to social services</w:t>
            </w:r>
          </w:p>
        </w:tc>
        <w:tc>
          <w:tcPr>
            <w:tcW w:w="544" w:type="pct"/>
            <w:tcBorders>
              <w:top w:val="single" w:sz="4" w:space="0" w:color="auto"/>
              <w:left w:val="single" w:sz="4" w:space="0" w:color="auto"/>
              <w:bottom w:val="single" w:sz="4" w:space="0" w:color="auto"/>
              <w:right w:val="single" w:sz="4" w:space="0" w:color="auto"/>
            </w:tcBorders>
          </w:tcPr>
          <w:p w14:paraId="4D55B524"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6C12FF77" w14:textId="77777777" w:rsidR="00332C23" w:rsidRPr="00A64E41" w:rsidRDefault="00332C23" w:rsidP="00A64E41">
            <w:pPr>
              <w:rPr>
                <w:i/>
              </w:rPr>
            </w:pPr>
            <w:r w:rsidRPr="00A64E41">
              <w:t>We are unable to change the title as these indicators are owned by DHSC. We know they are looking to refresh and we will feed this back to them.</w:t>
            </w:r>
          </w:p>
        </w:tc>
        <w:tc>
          <w:tcPr>
            <w:tcW w:w="388" w:type="pct"/>
            <w:tcBorders>
              <w:top w:val="single" w:sz="4" w:space="0" w:color="auto"/>
              <w:left w:val="single" w:sz="4" w:space="0" w:color="auto"/>
              <w:bottom w:val="single" w:sz="4" w:space="0" w:color="auto"/>
              <w:right w:val="single" w:sz="4" w:space="0" w:color="auto"/>
            </w:tcBorders>
          </w:tcPr>
          <w:p w14:paraId="2FDF6CD2" w14:textId="77777777" w:rsidR="00332C23" w:rsidRPr="00A64E41" w:rsidRDefault="00332C23" w:rsidP="00A64E41">
            <w:r w:rsidRPr="00A64E41">
              <w:t xml:space="preserve">Robyn Wilson </w:t>
            </w:r>
          </w:p>
        </w:tc>
        <w:sdt>
          <w:sdtPr>
            <w:id w:val="404965904"/>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295E800B"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2962F1FA" w14:textId="77777777" w:rsidR="00332C23" w:rsidRPr="00A64E41" w:rsidRDefault="00332C23" w:rsidP="00A64E41">
            <w:r w:rsidRPr="00A64E41">
              <w:t>Gemma Ramsay</w:t>
            </w:r>
          </w:p>
          <w:p w14:paraId="53E9BE57" w14:textId="77777777" w:rsidR="00332C23" w:rsidRPr="00A64E41" w:rsidRDefault="00332C23" w:rsidP="00A64E41">
            <w:r w:rsidRPr="00A64E41">
              <w:t>(MRG Vice Chair)</w:t>
            </w:r>
          </w:p>
          <w:p w14:paraId="4937E420" w14:textId="77777777" w:rsidR="00332C23" w:rsidRPr="00A64E41" w:rsidRDefault="00332C23" w:rsidP="00A64E41">
            <w:r w:rsidRPr="00A64E41">
              <w:t>02/05/19</w:t>
            </w:r>
          </w:p>
        </w:tc>
      </w:tr>
      <w:tr w:rsidR="00A64E41" w:rsidRPr="00A64E41" w14:paraId="00445655" w14:textId="77777777" w:rsidTr="00A64E41">
        <w:tc>
          <w:tcPr>
            <w:tcW w:w="307" w:type="pct"/>
            <w:tcBorders>
              <w:top w:val="single" w:sz="4" w:space="0" w:color="auto"/>
              <w:left w:val="single" w:sz="4" w:space="0" w:color="auto"/>
              <w:bottom w:val="single" w:sz="4" w:space="0" w:color="auto"/>
              <w:right w:val="single" w:sz="4" w:space="0" w:color="auto"/>
            </w:tcBorders>
          </w:tcPr>
          <w:p w14:paraId="6A9AA324" w14:textId="77777777" w:rsidR="00332C23" w:rsidRPr="00A64E41" w:rsidRDefault="00332C23" w:rsidP="00A64E41">
            <w:r w:rsidRPr="00A64E41">
              <w:t>1.1</w:t>
            </w:r>
          </w:p>
        </w:tc>
        <w:tc>
          <w:tcPr>
            <w:tcW w:w="1613" w:type="pct"/>
            <w:tcBorders>
              <w:top w:val="single" w:sz="4" w:space="0" w:color="auto"/>
              <w:left w:val="single" w:sz="4" w:space="0" w:color="auto"/>
              <w:bottom w:val="single" w:sz="4" w:space="0" w:color="auto"/>
              <w:right w:val="single" w:sz="4" w:space="0" w:color="auto"/>
            </w:tcBorders>
          </w:tcPr>
          <w:p w14:paraId="49719C6E" w14:textId="77777777" w:rsidR="00332C23" w:rsidRPr="00A64E41" w:rsidRDefault="00332C23" w:rsidP="00A64E41">
            <w:r w:rsidRPr="00A64E41">
              <w:t>Upon starting to read this title of this indicator, the reader will immediately think it is something to do with the proportion of people who use services.</w:t>
            </w:r>
          </w:p>
          <w:p w14:paraId="268B15F5" w14:textId="77777777" w:rsidR="00332C23" w:rsidRPr="00A64E41" w:rsidRDefault="00332C23" w:rsidP="00A64E41"/>
          <w:p w14:paraId="40D6245B" w14:textId="77777777" w:rsidR="00332C23" w:rsidRPr="00A64E41" w:rsidRDefault="00332C23" w:rsidP="00A64E41">
            <w:r w:rsidRPr="00A64E41">
              <w:t>Perhaps this will become a bit less confusing when the two indicators are separated.</w:t>
            </w:r>
          </w:p>
        </w:tc>
        <w:tc>
          <w:tcPr>
            <w:tcW w:w="544" w:type="pct"/>
            <w:tcBorders>
              <w:top w:val="single" w:sz="4" w:space="0" w:color="auto"/>
              <w:left w:val="single" w:sz="4" w:space="0" w:color="auto"/>
              <w:bottom w:val="single" w:sz="4" w:space="0" w:color="auto"/>
              <w:right w:val="single" w:sz="4" w:space="0" w:color="auto"/>
            </w:tcBorders>
          </w:tcPr>
          <w:p w14:paraId="723D946B" w14:textId="77777777" w:rsidR="00332C23" w:rsidRPr="00A64E41" w:rsidRDefault="00332C23" w:rsidP="00A64E41">
            <w:r w:rsidRPr="00A64E41">
              <w:t>MRG 24/04/2019</w:t>
            </w:r>
          </w:p>
        </w:tc>
        <w:tc>
          <w:tcPr>
            <w:tcW w:w="1385" w:type="pct"/>
            <w:tcBorders>
              <w:top w:val="single" w:sz="4" w:space="0" w:color="auto"/>
              <w:left w:val="single" w:sz="4" w:space="0" w:color="auto"/>
              <w:bottom w:val="single" w:sz="4" w:space="0" w:color="auto"/>
              <w:right w:val="single" w:sz="4" w:space="0" w:color="auto"/>
            </w:tcBorders>
          </w:tcPr>
          <w:p w14:paraId="3F73B326" w14:textId="77777777" w:rsidR="00332C23" w:rsidRPr="00A64E41" w:rsidRDefault="00332C23" w:rsidP="00A64E41">
            <w:r w:rsidRPr="00A64E41">
              <w:t>Split should rectify this issue in part, however we are unable to change the title as these indicators are owned by DHSC. We know they are looking to refresh and we will feed this back to them.</w:t>
            </w:r>
          </w:p>
        </w:tc>
        <w:tc>
          <w:tcPr>
            <w:tcW w:w="388" w:type="pct"/>
            <w:tcBorders>
              <w:top w:val="single" w:sz="4" w:space="0" w:color="auto"/>
              <w:left w:val="single" w:sz="4" w:space="0" w:color="auto"/>
              <w:bottom w:val="single" w:sz="4" w:space="0" w:color="auto"/>
              <w:right w:val="single" w:sz="4" w:space="0" w:color="auto"/>
            </w:tcBorders>
          </w:tcPr>
          <w:p w14:paraId="54AC9065" w14:textId="77777777" w:rsidR="00332C23" w:rsidRPr="00A64E41" w:rsidRDefault="00332C23" w:rsidP="00A64E41">
            <w:r w:rsidRPr="00A64E41">
              <w:t xml:space="preserve">Robyn Wilson </w:t>
            </w:r>
          </w:p>
        </w:tc>
        <w:sdt>
          <w:sdtPr>
            <w:id w:val="-989794876"/>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7B2C597D"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6F7218B4" w14:textId="77777777" w:rsidR="00332C23" w:rsidRPr="00A64E41" w:rsidRDefault="00332C23" w:rsidP="00A64E41">
            <w:r w:rsidRPr="00A64E41">
              <w:t>Gemma Ramsay</w:t>
            </w:r>
          </w:p>
          <w:p w14:paraId="072A9AD2" w14:textId="77777777" w:rsidR="00332C23" w:rsidRPr="00A64E41" w:rsidRDefault="00332C23" w:rsidP="00A64E41">
            <w:r w:rsidRPr="00A64E41">
              <w:t>(MRG Vice Chair)</w:t>
            </w:r>
          </w:p>
          <w:p w14:paraId="08820D49" w14:textId="77777777" w:rsidR="00332C23" w:rsidRPr="00A64E41" w:rsidRDefault="00332C23" w:rsidP="00A64E41">
            <w:r w:rsidRPr="00A64E41">
              <w:t>02/05/19</w:t>
            </w:r>
          </w:p>
        </w:tc>
      </w:tr>
      <w:tr w:rsidR="00A64E41" w:rsidRPr="00A64E41" w14:paraId="34302105" w14:textId="77777777" w:rsidTr="00A64E41">
        <w:tc>
          <w:tcPr>
            <w:tcW w:w="307" w:type="pct"/>
            <w:tcBorders>
              <w:top w:val="single" w:sz="4" w:space="0" w:color="auto"/>
              <w:left w:val="single" w:sz="4" w:space="0" w:color="auto"/>
              <w:bottom w:val="single" w:sz="4" w:space="0" w:color="auto"/>
              <w:right w:val="single" w:sz="4" w:space="0" w:color="auto"/>
            </w:tcBorders>
          </w:tcPr>
          <w:p w14:paraId="58B09FD1" w14:textId="77777777" w:rsidR="00332C23" w:rsidRPr="00A64E41" w:rsidRDefault="00332C23" w:rsidP="00A64E41">
            <w:r w:rsidRPr="00A64E41">
              <w:t xml:space="preserve">1.7 </w:t>
            </w:r>
          </w:p>
        </w:tc>
        <w:tc>
          <w:tcPr>
            <w:tcW w:w="1613" w:type="pct"/>
            <w:tcBorders>
              <w:top w:val="single" w:sz="4" w:space="0" w:color="auto"/>
              <w:left w:val="single" w:sz="4" w:space="0" w:color="auto"/>
              <w:bottom w:val="single" w:sz="4" w:space="0" w:color="auto"/>
              <w:right w:val="single" w:sz="4" w:space="0" w:color="auto"/>
            </w:tcBorders>
          </w:tcPr>
          <w:p w14:paraId="0AF003D3" w14:textId="77777777" w:rsidR="00332C23" w:rsidRPr="00A64E41" w:rsidRDefault="00332C23" w:rsidP="00A64E41">
            <w:r w:rsidRPr="00A64E41">
              <w:t>Is ‘information and advice about social care’ defined?</w:t>
            </w:r>
          </w:p>
        </w:tc>
        <w:tc>
          <w:tcPr>
            <w:tcW w:w="544" w:type="pct"/>
            <w:tcBorders>
              <w:top w:val="single" w:sz="4" w:space="0" w:color="auto"/>
              <w:left w:val="single" w:sz="4" w:space="0" w:color="auto"/>
              <w:bottom w:val="single" w:sz="4" w:space="0" w:color="auto"/>
              <w:right w:val="single" w:sz="4" w:space="0" w:color="auto"/>
            </w:tcBorders>
          </w:tcPr>
          <w:p w14:paraId="34CF70EC"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152BDB37" w14:textId="77777777" w:rsidR="00332C23" w:rsidRPr="00A64E41" w:rsidRDefault="00332C23" w:rsidP="00A64E41">
            <w:r w:rsidRPr="00A64E41">
              <w:t>This is not our definition of information and advice, but is rather from the user perspective, which is why this is not in the application.</w:t>
            </w:r>
          </w:p>
          <w:p w14:paraId="4E85796A" w14:textId="77777777" w:rsidR="00332C23" w:rsidRPr="00A64E41" w:rsidRDefault="00332C23" w:rsidP="00A64E41"/>
          <w:p w14:paraId="718FA654" w14:textId="77777777" w:rsidR="00332C23" w:rsidRPr="00A64E41" w:rsidRDefault="00332C23" w:rsidP="00A64E41">
            <w:pPr>
              <w:rPr>
                <w:i/>
              </w:rPr>
            </w:pPr>
            <w:r w:rsidRPr="00A64E41">
              <w:rPr>
                <w:i/>
              </w:rPr>
              <w:t>What is information and advice – this should be defined in the application? Could use information from the questionnaire.</w:t>
            </w:r>
          </w:p>
          <w:p w14:paraId="2EECE804" w14:textId="77777777" w:rsidR="00332C23" w:rsidRPr="00A64E41" w:rsidRDefault="00332C23" w:rsidP="00A64E41">
            <w:pPr>
              <w:rPr>
                <w:i/>
              </w:rPr>
            </w:pPr>
          </w:p>
          <w:p w14:paraId="518DB2E6" w14:textId="77777777" w:rsidR="00332C23" w:rsidRPr="00A64E41" w:rsidRDefault="00332C23" w:rsidP="00A64E41">
            <w:pPr>
              <w:rPr>
                <w:i/>
              </w:rPr>
            </w:pPr>
            <w:r w:rsidRPr="00A64E41">
              <w:t xml:space="preserve">The questionnaire simply asks the questions stipulated in 4.6. plus a clarification sentence: </w:t>
            </w:r>
            <w:r w:rsidRPr="00A64E41">
              <w:rPr>
                <w:i/>
              </w:rPr>
              <w:t xml:space="preserve">Please include information from different sources, such as voluntary organisations, and private agencies as well as [named Social Services]. There is no further </w:t>
            </w:r>
            <w:r w:rsidRPr="00A64E41">
              <w:rPr>
                <w:i/>
              </w:rPr>
              <w:lastRenderedPageBreak/>
              <w:t>definition other than this in the guidance, questionnaire or handbook of definitions.</w:t>
            </w:r>
          </w:p>
          <w:p w14:paraId="44150C67" w14:textId="77777777" w:rsidR="00332C23" w:rsidRPr="00A64E41" w:rsidRDefault="00332C23" w:rsidP="00A64E41">
            <w:pPr>
              <w:rPr>
                <w:i/>
              </w:rPr>
            </w:pPr>
          </w:p>
          <w:p w14:paraId="7689A601" w14:textId="77777777" w:rsidR="00332C23" w:rsidRPr="00A64E41" w:rsidRDefault="00332C23" w:rsidP="00A64E41">
            <w:pPr>
              <w:rPr>
                <w:i/>
              </w:rPr>
            </w:pPr>
          </w:p>
        </w:tc>
        <w:tc>
          <w:tcPr>
            <w:tcW w:w="388" w:type="pct"/>
            <w:tcBorders>
              <w:top w:val="single" w:sz="4" w:space="0" w:color="auto"/>
              <w:left w:val="single" w:sz="4" w:space="0" w:color="auto"/>
              <w:bottom w:val="single" w:sz="4" w:space="0" w:color="auto"/>
              <w:right w:val="single" w:sz="4" w:space="0" w:color="auto"/>
            </w:tcBorders>
          </w:tcPr>
          <w:p w14:paraId="19B2655C" w14:textId="77777777" w:rsidR="00332C23" w:rsidRPr="00A64E41" w:rsidRDefault="00332C23" w:rsidP="00A64E41">
            <w:r w:rsidRPr="00A64E41">
              <w:lastRenderedPageBreak/>
              <w:t>Robyn Wilson</w:t>
            </w:r>
          </w:p>
        </w:tc>
        <w:sdt>
          <w:sdtPr>
            <w:id w:val="-88536715"/>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6BE72A99"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1E5A27EB" w14:textId="77777777" w:rsidR="00332C23" w:rsidRPr="00A64E41" w:rsidRDefault="00332C23" w:rsidP="00A64E41">
            <w:r w:rsidRPr="00A64E41">
              <w:t>Gemma Ramsay</w:t>
            </w:r>
          </w:p>
          <w:p w14:paraId="03BA316D" w14:textId="77777777" w:rsidR="00332C23" w:rsidRPr="00A64E41" w:rsidRDefault="00332C23" w:rsidP="00A64E41">
            <w:r w:rsidRPr="00A64E41">
              <w:t>(MRG Vice Chair)</w:t>
            </w:r>
          </w:p>
          <w:p w14:paraId="1906C7EA" w14:textId="77777777" w:rsidR="00332C23" w:rsidRPr="00A64E41" w:rsidRDefault="00332C23" w:rsidP="00A64E41">
            <w:r w:rsidRPr="00A64E41">
              <w:t>02/05/19</w:t>
            </w:r>
          </w:p>
        </w:tc>
      </w:tr>
      <w:tr w:rsidR="00A64E41" w:rsidRPr="00A64E41" w14:paraId="6CD55B92" w14:textId="77777777" w:rsidTr="00A64E41">
        <w:tc>
          <w:tcPr>
            <w:tcW w:w="307" w:type="pct"/>
            <w:tcBorders>
              <w:top w:val="single" w:sz="4" w:space="0" w:color="auto"/>
              <w:left w:val="single" w:sz="4" w:space="0" w:color="auto"/>
              <w:bottom w:val="single" w:sz="4" w:space="0" w:color="auto"/>
              <w:right w:val="single" w:sz="4" w:space="0" w:color="auto"/>
            </w:tcBorders>
          </w:tcPr>
          <w:p w14:paraId="356F7B75" w14:textId="77777777" w:rsidR="00332C23" w:rsidRPr="00A64E41" w:rsidRDefault="00332C23" w:rsidP="00A64E41">
            <w:r w:rsidRPr="00A64E41">
              <w:t>1.7</w:t>
            </w:r>
          </w:p>
        </w:tc>
        <w:tc>
          <w:tcPr>
            <w:tcW w:w="1613" w:type="pct"/>
            <w:tcBorders>
              <w:top w:val="single" w:sz="4" w:space="0" w:color="auto"/>
              <w:left w:val="single" w:sz="4" w:space="0" w:color="auto"/>
              <w:bottom w:val="single" w:sz="4" w:space="0" w:color="auto"/>
              <w:right w:val="single" w:sz="4" w:space="0" w:color="auto"/>
            </w:tcBorders>
          </w:tcPr>
          <w:p w14:paraId="10E00BA7" w14:textId="77777777" w:rsidR="00332C23" w:rsidRPr="00A64E41" w:rsidRDefault="00332C23" w:rsidP="00A64E41">
            <w:r w:rsidRPr="00A64E41">
              <w:t>This two part measure may hide poor experience of either users or carers. What does this two-part measure provide which cannot be obtained from having 2 separate indicators?</w:t>
            </w:r>
          </w:p>
        </w:tc>
        <w:tc>
          <w:tcPr>
            <w:tcW w:w="544" w:type="pct"/>
            <w:tcBorders>
              <w:top w:val="single" w:sz="4" w:space="0" w:color="auto"/>
              <w:left w:val="single" w:sz="4" w:space="0" w:color="auto"/>
              <w:bottom w:val="single" w:sz="4" w:space="0" w:color="auto"/>
              <w:right w:val="single" w:sz="4" w:space="0" w:color="auto"/>
            </w:tcBorders>
          </w:tcPr>
          <w:p w14:paraId="7E2BB877"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6E50B346" w14:textId="77777777" w:rsidR="00332C23" w:rsidRPr="00A64E41" w:rsidRDefault="00332C23" w:rsidP="00A64E41">
            <w:pPr>
              <w:pStyle w:val="CommentText"/>
              <w:rPr>
                <w:sz w:val="22"/>
                <w:szCs w:val="22"/>
              </w:rPr>
            </w:pPr>
            <w:r w:rsidRPr="00A64E41">
              <w:rPr>
                <w:sz w:val="22"/>
                <w:szCs w:val="22"/>
              </w:rPr>
              <w:t>It is two separate indicators</w:t>
            </w:r>
          </w:p>
          <w:p w14:paraId="28FA82FC" w14:textId="77777777" w:rsidR="00332C23" w:rsidRPr="00A64E41" w:rsidRDefault="00332C23" w:rsidP="00A64E41">
            <w:pPr>
              <w:rPr>
                <w:i/>
              </w:rPr>
            </w:pPr>
            <w:r w:rsidRPr="00A64E41">
              <w:rPr>
                <w:i/>
              </w:rPr>
              <w:t>IMAS: Given the response from Robyn, this will now need to have a companion indicator with a separate IAP number, however as the policy information and evidence will be applicable to both, and it is just the way that service users and carers are calculated, this could be assessed ‘as is’ and a second indicator produced once the other queries have been resolved. This application will be amended to reflect this.</w:t>
            </w:r>
          </w:p>
        </w:tc>
        <w:tc>
          <w:tcPr>
            <w:tcW w:w="388" w:type="pct"/>
            <w:tcBorders>
              <w:top w:val="single" w:sz="4" w:space="0" w:color="auto"/>
              <w:left w:val="single" w:sz="4" w:space="0" w:color="auto"/>
              <w:bottom w:val="single" w:sz="4" w:space="0" w:color="auto"/>
              <w:right w:val="single" w:sz="4" w:space="0" w:color="auto"/>
            </w:tcBorders>
          </w:tcPr>
          <w:p w14:paraId="2D7FCF72" w14:textId="77777777" w:rsidR="00332C23" w:rsidRPr="00A64E41" w:rsidRDefault="00332C23" w:rsidP="00A64E41">
            <w:r w:rsidRPr="00A64E41">
              <w:t>Robyn Wilson</w:t>
            </w:r>
          </w:p>
        </w:tc>
        <w:sdt>
          <w:sdtPr>
            <w:id w:val="-2091836505"/>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1B461059"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69EDE831" w14:textId="77777777" w:rsidR="00332C23" w:rsidRPr="00A64E41" w:rsidRDefault="00332C23" w:rsidP="00A64E41">
            <w:r w:rsidRPr="00A64E41">
              <w:t>Gemma Ramsay</w:t>
            </w:r>
          </w:p>
          <w:p w14:paraId="66F1930A" w14:textId="77777777" w:rsidR="00332C23" w:rsidRPr="00A64E41" w:rsidRDefault="00332C23" w:rsidP="00A64E41">
            <w:r w:rsidRPr="00A64E41">
              <w:t>(MRG Vice Chair)</w:t>
            </w:r>
          </w:p>
          <w:p w14:paraId="5CA2CE68" w14:textId="77777777" w:rsidR="00332C23" w:rsidRPr="00A64E41" w:rsidRDefault="00332C23" w:rsidP="00A64E41">
            <w:r w:rsidRPr="00A64E41">
              <w:t>02/05/19</w:t>
            </w:r>
          </w:p>
        </w:tc>
      </w:tr>
    </w:tbl>
    <w:p w14:paraId="5026F08A" w14:textId="77777777" w:rsidR="00332C23" w:rsidRPr="00A64E41" w:rsidRDefault="00332C23" w:rsidP="00A64E41">
      <w:pPr>
        <w:rPr>
          <w:b/>
        </w:rPr>
      </w:pPr>
    </w:p>
    <w:tbl>
      <w:tblPr>
        <w:tblStyle w:val="TableGrid"/>
        <w:tblW w:w="492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
        <w:gridCol w:w="4712"/>
        <w:gridCol w:w="1589"/>
        <w:gridCol w:w="4046"/>
        <w:gridCol w:w="1133"/>
        <w:gridCol w:w="1078"/>
        <w:gridCol w:w="1151"/>
      </w:tblGrid>
      <w:tr w:rsidR="00147C16" w:rsidRPr="00A64E41" w14:paraId="44340F72" w14:textId="77777777" w:rsidTr="00A64E41">
        <w:tc>
          <w:tcPr>
            <w:tcW w:w="307" w:type="pct"/>
            <w:tcBorders>
              <w:top w:val="single" w:sz="4" w:space="0" w:color="auto"/>
              <w:left w:val="single" w:sz="4" w:space="0" w:color="auto"/>
              <w:bottom w:val="single" w:sz="4" w:space="0" w:color="auto"/>
              <w:right w:val="single" w:sz="4" w:space="0" w:color="auto"/>
            </w:tcBorders>
          </w:tcPr>
          <w:p w14:paraId="2BD21E15" w14:textId="2C88C09F" w:rsidR="00147C16" w:rsidRPr="00A64E41" w:rsidRDefault="00147C16" w:rsidP="00A64E41">
            <w:pPr>
              <w:rPr>
                <w:b/>
                <w:i/>
              </w:rPr>
            </w:pPr>
            <w:r w:rsidRPr="00A64E41">
              <w:rPr>
                <w:b/>
              </w:rPr>
              <w:t>2. Rationale and Policy Basis</w:t>
            </w:r>
          </w:p>
        </w:tc>
        <w:tc>
          <w:tcPr>
            <w:tcW w:w="1613" w:type="pct"/>
            <w:tcBorders>
              <w:top w:val="single" w:sz="4" w:space="0" w:color="auto"/>
              <w:left w:val="single" w:sz="4" w:space="0" w:color="auto"/>
              <w:bottom w:val="single" w:sz="4" w:space="0" w:color="auto"/>
              <w:right w:val="single" w:sz="4" w:space="0" w:color="auto"/>
            </w:tcBorders>
          </w:tcPr>
          <w:p w14:paraId="36D8D536" w14:textId="77777777" w:rsidR="00147C16" w:rsidRPr="00A64E41" w:rsidRDefault="00147C16" w:rsidP="00A64E41">
            <w:pPr>
              <w:rPr>
                <w:b/>
                <w:i/>
              </w:rPr>
            </w:pPr>
          </w:p>
        </w:tc>
        <w:tc>
          <w:tcPr>
            <w:tcW w:w="544" w:type="pct"/>
            <w:tcBorders>
              <w:top w:val="single" w:sz="4" w:space="0" w:color="auto"/>
              <w:left w:val="single" w:sz="4" w:space="0" w:color="auto"/>
              <w:bottom w:val="single" w:sz="4" w:space="0" w:color="auto"/>
              <w:right w:val="single" w:sz="4" w:space="0" w:color="auto"/>
            </w:tcBorders>
          </w:tcPr>
          <w:p w14:paraId="37783A55" w14:textId="77777777" w:rsidR="00147C16" w:rsidRPr="00A64E41" w:rsidRDefault="00147C16" w:rsidP="00A64E41">
            <w:pPr>
              <w:rPr>
                <w:b/>
                <w:i/>
              </w:rPr>
            </w:pPr>
          </w:p>
        </w:tc>
        <w:tc>
          <w:tcPr>
            <w:tcW w:w="1385" w:type="pct"/>
            <w:tcBorders>
              <w:top w:val="single" w:sz="4" w:space="0" w:color="auto"/>
              <w:left w:val="single" w:sz="4" w:space="0" w:color="auto"/>
              <w:bottom w:val="single" w:sz="4" w:space="0" w:color="auto"/>
              <w:right w:val="single" w:sz="4" w:space="0" w:color="auto"/>
            </w:tcBorders>
          </w:tcPr>
          <w:p w14:paraId="1A628DD2" w14:textId="77777777" w:rsidR="00147C16" w:rsidRPr="00A64E41" w:rsidRDefault="00147C16" w:rsidP="00A64E41">
            <w:pPr>
              <w:rPr>
                <w:b/>
                <w:i/>
              </w:rPr>
            </w:pPr>
          </w:p>
        </w:tc>
        <w:tc>
          <w:tcPr>
            <w:tcW w:w="388" w:type="pct"/>
            <w:tcBorders>
              <w:top w:val="single" w:sz="4" w:space="0" w:color="auto"/>
              <w:left w:val="single" w:sz="4" w:space="0" w:color="auto"/>
              <w:bottom w:val="single" w:sz="4" w:space="0" w:color="auto"/>
              <w:right w:val="single" w:sz="4" w:space="0" w:color="auto"/>
            </w:tcBorders>
          </w:tcPr>
          <w:p w14:paraId="51E77AF1" w14:textId="77777777" w:rsidR="00147C16" w:rsidRPr="00A64E41" w:rsidRDefault="00147C16" w:rsidP="00A64E41">
            <w:pPr>
              <w:rPr>
                <w:b/>
                <w:i/>
              </w:rPr>
            </w:pPr>
          </w:p>
        </w:tc>
        <w:tc>
          <w:tcPr>
            <w:tcW w:w="369" w:type="pct"/>
            <w:tcBorders>
              <w:top w:val="single" w:sz="4" w:space="0" w:color="auto"/>
              <w:left w:val="single" w:sz="4" w:space="0" w:color="auto"/>
              <w:bottom w:val="single" w:sz="4" w:space="0" w:color="auto"/>
              <w:right w:val="single" w:sz="4" w:space="0" w:color="auto"/>
            </w:tcBorders>
          </w:tcPr>
          <w:p w14:paraId="38645E98" w14:textId="77777777" w:rsidR="00147C16" w:rsidRPr="00A64E41" w:rsidRDefault="00147C16" w:rsidP="00A64E41">
            <w:pPr>
              <w:rPr>
                <w:b/>
                <w:i/>
              </w:rPr>
            </w:pPr>
          </w:p>
        </w:tc>
        <w:tc>
          <w:tcPr>
            <w:tcW w:w="394" w:type="pct"/>
            <w:tcBorders>
              <w:top w:val="single" w:sz="4" w:space="0" w:color="auto"/>
              <w:left w:val="single" w:sz="4" w:space="0" w:color="auto"/>
              <w:bottom w:val="single" w:sz="4" w:space="0" w:color="auto"/>
              <w:right w:val="single" w:sz="4" w:space="0" w:color="auto"/>
            </w:tcBorders>
          </w:tcPr>
          <w:p w14:paraId="7D8DCE66" w14:textId="77777777" w:rsidR="00147C16" w:rsidRPr="00A64E41" w:rsidRDefault="00147C16" w:rsidP="00A64E41">
            <w:pPr>
              <w:rPr>
                <w:b/>
                <w:i/>
              </w:rPr>
            </w:pPr>
          </w:p>
        </w:tc>
      </w:tr>
      <w:tr w:rsidR="00A64E41" w:rsidRPr="00A64E41" w14:paraId="680DB434" w14:textId="77777777" w:rsidTr="00A64E41">
        <w:tc>
          <w:tcPr>
            <w:tcW w:w="307" w:type="pct"/>
            <w:tcBorders>
              <w:top w:val="single" w:sz="4" w:space="0" w:color="auto"/>
              <w:left w:val="single" w:sz="4" w:space="0" w:color="auto"/>
              <w:bottom w:val="single" w:sz="4" w:space="0" w:color="auto"/>
              <w:right w:val="single" w:sz="4" w:space="0" w:color="auto"/>
            </w:tcBorders>
          </w:tcPr>
          <w:p w14:paraId="39320784" w14:textId="77777777" w:rsidR="00332C23" w:rsidRPr="00A64E41" w:rsidRDefault="00332C23" w:rsidP="00A64E41">
            <w:pPr>
              <w:rPr>
                <w:b/>
                <w:i/>
              </w:rPr>
            </w:pPr>
            <w:r w:rsidRPr="00A64E41">
              <w:rPr>
                <w:b/>
                <w:i/>
              </w:rPr>
              <w:t>Section</w:t>
            </w:r>
          </w:p>
        </w:tc>
        <w:tc>
          <w:tcPr>
            <w:tcW w:w="1613" w:type="pct"/>
            <w:tcBorders>
              <w:top w:val="single" w:sz="4" w:space="0" w:color="auto"/>
              <w:left w:val="single" w:sz="4" w:space="0" w:color="auto"/>
              <w:bottom w:val="single" w:sz="4" w:space="0" w:color="auto"/>
              <w:right w:val="single" w:sz="4" w:space="0" w:color="auto"/>
            </w:tcBorders>
          </w:tcPr>
          <w:p w14:paraId="4F571C7F" w14:textId="77777777" w:rsidR="00332C23" w:rsidRPr="00A64E41" w:rsidRDefault="00332C23" w:rsidP="00A64E41">
            <w:pPr>
              <w:rPr>
                <w:b/>
                <w:i/>
              </w:rPr>
            </w:pPr>
            <w:r w:rsidRPr="00A64E41">
              <w:rPr>
                <w:b/>
                <w:i/>
              </w:rPr>
              <w:t>Issue or recommendation</w:t>
            </w:r>
          </w:p>
        </w:tc>
        <w:tc>
          <w:tcPr>
            <w:tcW w:w="544" w:type="pct"/>
            <w:tcBorders>
              <w:top w:val="single" w:sz="4" w:space="0" w:color="auto"/>
              <w:left w:val="single" w:sz="4" w:space="0" w:color="auto"/>
              <w:bottom w:val="single" w:sz="4" w:space="0" w:color="auto"/>
              <w:right w:val="single" w:sz="4" w:space="0" w:color="auto"/>
            </w:tcBorders>
          </w:tcPr>
          <w:p w14:paraId="5BED0582" w14:textId="77777777" w:rsidR="00332C23" w:rsidRPr="00A64E41" w:rsidRDefault="00332C23" w:rsidP="00A64E41">
            <w:pPr>
              <w:rPr>
                <w:b/>
                <w:i/>
              </w:rPr>
            </w:pPr>
            <w:r w:rsidRPr="00A64E41">
              <w:rPr>
                <w:b/>
                <w:i/>
              </w:rPr>
              <w:t xml:space="preserve">Raised </w:t>
            </w:r>
          </w:p>
          <w:p w14:paraId="2EF9301B" w14:textId="77777777" w:rsidR="00332C23" w:rsidRPr="00A64E41" w:rsidRDefault="00332C23" w:rsidP="00A64E41">
            <w:pPr>
              <w:rPr>
                <w:b/>
                <w:i/>
              </w:rPr>
            </w:pPr>
            <w:r w:rsidRPr="00A64E41">
              <w:rPr>
                <w:b/>
                <w:i/>
              </w:rPr>
              <w:t>by / Date</w:t>
            </w:r>
          </w:p>
        </w:tc>
        <w:tc>
          <w:tcPr>
            <w:tcW w:w="1385" w:type="pct"/>
            <w:tcBorders>
              <w:top w:val="single" w:sz="4" w:space="0" w:color="auto"/>
              <w:left w:val="single" w:sz="4" w:space="0" w:color="auto"/>
              <w:bottom w:val="single" w:sz="4" w:space="0" w:color="auto"/>
              <w:right w:val="single" w:sz="4" w:space="0" w:color="auto"/>
            </w:tcBorders>
          </w:tcPr>
          <w:p w14:paraId="28B75A85" w14:textId="77777777" w:rsidR="00332C23" w:rsidRPr="00A64E41" w:rsidRDefault="00332C23" w:rsidP="00A64E41">
            <w:pPr>
              <w:rPr>
                <w:b/>
                <w:i/>
              </w:rPr>
            </w:pPr>
            <w:r w:rsidRPr="00A64E41">
              <w:rPr>
                <w:b/>
                <w:i/>
              </w:rPr>
              <w:t>Response or Action taken by applicant</w:t>
            </w:r>
          </w:p>
        </w:tc>
        <w:tc>
          <w:tcPr>
            <w:tcW w:w="388" w:type="pct"/>
            <w:tcBorders>
              <w:top w:val="single" w:sz="4" w:space="0" w:color="auto"/>
              <w:left w:val="single" w:sz="4" w:space="0" w:color="auto"/>
              <w:bottom w:val="single" w:sz="4" w:space="0" w:color="auto"/>
              <w:right w:val="single" w:sz="4" w:space="0" w:color="auto"/>
            </w:tcBorders>
          </w:tcPr>
          <w:p w14:paraId="1D186A93" w14:textId="77777777" w:rsidR="00332C23" w:rsidRPr="00A64E41" w:rsidRDefault="00332C23" w:rsidP="00A64E41">
            <w:pPr>
              <w:rPr>
                <w:b/>
                <w:i/>
              </w:rPr>
            </w:pPr>
            <w:r w:rsidRPr="00A64E41">
              <w:rPr>
                <w:b/>
                <w:i/>
              </w:rPr>
              <w:t>Response by / Date</w:t>
            </w:r>
          </w:p>
        </w:tc>
        <w:tc>
          <w:tcPr>
            <w:tcW w:w="369" w:type="pct"/>
            <w:tcBorders>
              <w:top w:val="single" w:sz="4" w:space="0" w:color="auto"/>
              <w:left w:val="single" w:sz="4" w:space="0" w:color="auto"/>
              <w:bottom w:val="single" w:sz="4" w:space="0" w:color="auto"/>
              <w:right w:val="single" w:sz="4" w:space="0" w:color="auto"/>
            </w:tcBorders>
          </w:tcPr>
          <w:p w14:paraId="4CBD3D1A" w14:textId="77777777" w:rsidR="00332C23" w:rsidRPr="00A64E41" w:rsidRDefault="00332C23" w:rsidP="00A64E41">
            <w:pPr>
              <w:rPr>
                <w:b/>
                <w:i/>
              </w:rPr>
            </w:pPr>
            <w:r w:rsidRPr="00A64E41">
              <w:rPr>
                <w:b/>
                <w:i/>
              </w:rPr>
              <w:t>Resolved</w:t>
            </w:r>
          </w:p>
        </w:tc>
        <w:tc>
          <w:tcPr>
            <w:tcW w:w="394" w:type="pct"/>
            <w:tcBorders>
              <w:top w:val="single" w:sz="4" w:space="0" w:color="auto"/>
              <w:left w:val="single" w:sz="4" w:space="0" w:color="auto"/>
              <w:bottom w:val="single" w:sz="4" w:space="0" w:color="auto"/>
              <w:right w:val="single" w:sz="4" w:space="0" w:color="auto"/>
            </w:tcBorders>
          </w:tcPr>
          <w:p w14:paraId="12DDF506" w14:textId="77777777" w:rsidR="00332C23" w:rsidRPr="00A64E41" w:rsidRDefault="00332C23" w:rsidP="00A64E41">
            <w:pPr>
              <w:rPr>
                <w:b/>
                <w:i/>
              </w:rPr>
            </w:pPr>
            <w:r w:rsidRPr="00A64E41">
              <w:rPr>
                <w:b/>
                <w:i/>
              </w:rPr>
              <w:t>Sign off by / Date</w:t>
            </w:r>
          </w:p>
        </w:tc>
      </w:tr>
      <w:tr w:rsidR="00A64E41" w:rsidRPr="00A64E41" w14:paraId="2D4A1AC2" w14:textId="77777777" w:rsidTr="00A64E41">
        <w:tc>
          <w:tcPr>
            <w:tcW w:w="307" w:type="pct"/>
            <w:tcBorders>
              <w:top w:val="single" w:sz="4" w:space="0" w:color="auto"/>
              <w:left w:val="single" w:sz="4" w:space="0" w:color="auto"/>
              <w:bottom w:val="single" w:sz="4" w:space="0" w:color="auto"/>
              <w:right w:val="single" w:sz="4" w:space="0" w:color="auto"/>
            </w:tcBorders>
          </w:tcPr>
          <w:p w14:paraId="70C7249A" w14:textId="77777777" w:rsidR="00332C23" w:rsidRPr="00A64E41" w:rsidRDefault="00332C23" w:rsidP="00A64E41">
            <w:r w:rsidRPr="00A64E41">
              <w:t>2.1</w:t>
            </w:r>
          </w:p>
        </w:tc>
        <w:tc>
          <w:tcPr>
            <w:tcW w:w="1613" w:type="pct"/>
            <w:tcBorders>
              <w:top w:val="single" w:sz="4" w:space="0" w:color="auto"/>
              <w:left w:val="single" w:sz="4" w:space="0" w:color="auto"/>
              <w:bottom w:val="single" w:sz="4" w:space="0" w:color="auto"/>
              <w:right w:val="single" w:sz="4" w:space="0" w:color="auto"/>
            </w:tcBorders>
          </w:tcPr>
          <w:p w14:paraId="22D40F80" w14:textId="77777777" w:rsidR="00332C23" w:rsidRPr="00A64E41" w:rsidRDefault="00332C23" w:rsidP="00A64E41">
            <w:r w:rsidRPr="00A64E41">
              <w:t>There might be some criticism that there is a difference between being able to find information, and being able to understand it, but I think the understand part is beyond the scope of this. Is it addressed in another one of the survey questions?</w:t>
            </w:r>
          </w:p>
        </w:tc>
        <w:tc>
          <w:tcPr>
            <w:tcW w:w="544" w:type="pct"/>
            <w:tcBorders>
              <w:top w:val="single" w:sz="4" w:space="0" w:color="auto"/>
              <w:left w:val="single" w:sz="4" w:space="0" w:color="auto"/>
              <w:bottom w:val="single" w:sz="4" w:space="0" w:color="auto"/>
              <w:right w:val="single" w:sz="4" w:space="0" w:color="auto"/>
            </w:tcBorders>
          </w:tcPr>
          <w:p w14:paraId="3C63562D"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49EDCA6C" w14:textId="77777777" w:rsidR="00332C23" w:rsidRPr="00A64E41" w:rsidRDefault="00332C23" w:rsidP="00A64E41">
            <w:r w:rsidRPr="00A64E41">
              <w:t>No. Although councils have the opportunity to ask additional questions which they will only use at a local level.</w:t>
            </w:r>
          </w:p>
        </w:tc>
        <w:tc>
          <w:tcPr>
            <w:tcW w:w="388" w:type="pct"/>
            <w:tcBorders>
              <w:top w:val="single" w:sz="4" w:space="0" w:color="auto"/>
              <w:left w:val="single" w:sz="4" w:space="0" w:color="auto"/>
              <w:bottom w:val="single" w:sz="4" w:space="0" w:color="auto"/>
              <w:right w:val="single" w:sz="4" w:space="0" w:color="auto"/>
            </w:tcBorders>
          </w:tcPr>
          <w:p w14:paraId="427B756A" w14:textId="77777777" w:rsidR="00332C23" w:rsidRPr="00A64E41" w:rsidRDefault="00332C23" w:rsidP="00A64E41">
            <w:r w:rsidRPr="00A64E41">
              <w:t>Robyn Wilson</w:t>
            </w:r>
          </w:p>
        </w:tc>
        <w:sdt>
          <w:sdtPr>
            <w:id w:val="-1819408694"/>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155437BB"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5AEABAB4" w14:textId="77777777" w:rsidR="00332C23" w:rsidRPr="00A64E41" w:rsidRDefault="00332C23" w:rsidP="00A64E41">
            <w:r w:rsidRPr="00A64E41">
              <w:t>Gemma Ramsay</w:t>
            </w:r>
          </w:p>
          <w:p w14:paraId="7A0966F3" w14:textId="77777777" w:rsidR="00332C23" w:rsidRPr="00A64E41" w:rsidRDefault="00332C23" w:rsidP="00A64E41">
            <w:r w:rsidRPr="00A64E41">
              <w:t>(MRG Vice Chair)</w:t>
            </w:r>
          </w:p>
          <w:p w14:paraId="55BF7721" w14:textId="77777777" w:rsidR="00332C23" w:rsidRPr="00A64E41" w:rsidRDefault="00332C23" w:rsidP="00A64E41">
            <w:r w:rsidRPr="00A64E41">
              <w:t>02/05/19</w:t>
            </w:r>
          </w:p>
        </w:tc>
      </w:tr>
      <w:tr w:rsidR="00A64E41" w:rsidRPr="00A64E41" w14:paraId="728E1EC2" w14:textId="77777777" w:rsidTr="00A64E41">
        <w:tc>
          <w:tcPr>
            <w:tcW w:w="307" w:type="pct"/>
            <w:tcBorders>
              <w:top w:val="single" w:sz="4" w:space="0" w:color="auto"/>
              <w:left w:val="single" w:sz="4" w:space="0" w:color="auto"/>
              <w:bottom w:val="single" w:sz="4" w:space="0" w:color="auto"/>
              <w:right w:val="single" w:sz="4" w:space="0" w:color="auto"/>
            </w:tcBorders>
          </w:tcPr>
          <w:p w14:paraId="0EF1624A" w14:textId="77777777" w:rsidR="00332C23" w:rsidRPr="00A64E41" w:rsidRDefault="00332C23" w:rsidP="00A64E41">
            <w:r w:rsidRPr="00A64E41">
              <w:t>2.1</w:t>
            </w:r>
          </w:p>
        </w:tc>
        <w:tc>
          <w:tcPr>
            <w:tcW w:w="1613" w:type="pct"/>
            <w:tcBorders>
              <w:top w:val="single" w:sz="4" w:space="0" w:color="auto"/>
              <w:left w:val="single" w:sz="4" w:space="0" w:color="auto"/>
              <w:bottom w:val="single" w:sz="4" w:space="0" w:color="auto"/>
              <w:right w:val="single" w:sz="4" w:space="0" w:color="auto"/>
            </w:tcBorders>
          </w:tcPr>
          <w:p w14:paraId="5D54743E" w14:textId="77777777" w:rsidR="00332C23" w:rsidRPr="00A64E41" w:rsidRDefault="00332C23" w:rsidP="00A64E41">
            <w:pPr>
              <w:rPr>
                <w:i/>
              </w:rPr>
            </w:pPr>
            <w:r w:rsidRPr="00A64E41">
              <w:rPr>
                <w:i/>
              </w:rPr>
              <w:t xml:space="preserve">“The question from the Adult Social Care Survey for part 1 is Question 12; "In the past year, have you generally found it easy or </w:t>
            </w:r>
            <w:r w:rsidRPr="00A64E41">
              <w:rPr>
                <w:i/>
              </w:rPr>
              <w:lastRenderedPageBreak/>
              <w:t xml:space="preserve">difficult to find information and advice about support, services or benefits?" </w:t>
            </w:r>
          </w:p>
          <w:p w14:paraId="0BFC53AE" w14:textId="77777777" w:rsidR="00332C23" w:rsidRPr="00A64E41" w:rsidRDefault="00332C23" w:rsidP="00A64E41">
            <w:pPr>
              <w:rPr>
                <w:i/>
              </w:rPr>
            </w:pPr>
            <w:r w:rsidRPr="00A64E41">
              <w:rPr>
                <w:i/>
              </w:rPr>
              <w:t>The question from the Survey of Adult Carers in England for part 2 is Question 13; "In the past 12 months, have you found it easy or difficult to find information about support, services or benefits?"”</w:t>
            </w:r>
          </w:p>
          <w:p w14:paraId="6A22F5ED" w14:textId="77777777" w:rsidR="00332C23" w:rsidRPr="00A64E41" w:rsidRDefault="00332C23" w:rsidP="00A64E41">
            <w:pPr>
              <w:rPr>
                <w:i/>
              </w:rPr>
            </w:pPr>
          </w:p>
          <w:p w14:paraId="5A417C62" w14:textId="77777777" w:rsidR="00332C23" w:rsidRPr="00A64E41" w:rsidRDefault="00332C23" w:rsidP="00A64E41">
            <w:r w:rsidRPr="00A64E41">
              <w:t>Why are the questions different?</w:t>
            </w:r>
          </w:p>
        </w:tc>
        <w:tc>
          <w:tcPr>
            <w:tcW w:w="544" w:type="pct"/>
            <w:tcBorders>
              <w:top w:val="single" w:sz="4" w:space="0" w:color="auto"/>
              <w:left w:val="single" w:sz="4" w:space="0" w:color="auto"/>
              <w:bottom w:val="single" w:sz="4" w:space="0" w:color="auto"/>
              <w:right w:val="single" w:sz="4" w:space="0" w:color="auto"/>
            </w:tcBorders>
          </w:tcPr>
          <w:p w14:paraId="1D4D9C09" w14:textId="77777777" w:rsidR="00332C23" w:rsidRPr="00A64E41" w:rsidRDefault="00332C23" w:rsidP="00A64E41">
            <w:r w:rsidRPr="00A64E41">
              <w:lastRenderedPageBreak/>
              <w:t>MRG 21/02/2019</w:t>
            </w:r>
          </w:p>
          <w:p w14:paraId="4567D658" w14:textId="77777777" w:rsidR="00332C23" w:rsidRPr="00A64E41" w:rsidRDefault="00332C23" w:rsidP="00A64E41"/>
        </w:tc>
        <w:tc>
          <w:tcPr>
            <w:tcW w:w="1385" w:type="pct"/>
            <w:tcBorders>
              <w:top w:val="single" w:sz="4" w:space="0" w:color="auto"/>
              <w:left w:val="single" w:sz="4" w:space="0" w:color="auto"/>
              <w:bottom w:val="single" w:sz="4" w:space="0" w:color="auto"/>
              <w:right w:val="single" w:sz="4" w:space="0" w:color="auto"/>
            </w:tcBorders>
          </w:tcPr>
          <w:p w14:paraId="3B96B5FA" w14:textId="77777777" w:rsidR="00332C23" w:rsidRPr="00A64E41" w:rsidRDefault="00332C23" w:rsidP="00A64E41">
            <w:r w:rsidRPr="00A64E41">
              <w:t>The surveys were created and developed independently of each other and at different times.</w:t>
            </w:r>
          </w:p>
          <w:p w14:paraId="1FD000A7" w14:textId="77777777" w:rsidR="00332C23" w:rsidRPr="00A64E41" w:rsidRDefault="00332C23" w:rsidP="00A64E41"/>
          <w:p w14:paraId="09B5CF6D" w14:textId="77777777" w:rsidR="00332C23" w:rsidRPr="00A64E41" w:rsidRDefault="00332C23" w:rsidP="00A64E41">
            <w:pPr>
              <w:rPr>
                <w:i/>
              </w:rPr>
            </w:pPr>
            <w:r w:rsidRPr="00A64E41">
              <w:rPr>
                <w:i/>
              </w:rPr>
              <w:t>Comment can be fed back to DHSC.</w:t>
            </w:r>
          </w:p>
          <w:p w14:paraId="1EE34A63" w14:textId="77777777" w:rsidR="00332C23" w:rsidRPr="00A64E41" w:rsidRDefault="00332C23" w:rsidP="00A64E41"/>
          <w:p w14:paraId="10A97DE0" w14:textId="77777777" w:rsidR="00332C23" w:rsidRPr="00A64E41" w:rsidRDefault="00332C23" w:rsidP="00A64E41">
            <w:pPr>
              <w:rPr>
                <w:i/>
              </w:rPr>
            </w:pPr>
            <w:r w:rsidRPr="00A64E41">
              <w:t>Is it possible to share these documents with DHSC?</w:t>
            </w:r>
          </w:p>
          <w:p w14:paraId="514EBFE8" w14:textId="77777777" w:rsidR="00332C23" w:rsidRPr="00A64E41" w:rsidRDefault="00332C23" w:rsidP="00A64E41">
            <w:pPr>
              <w:rPr>
                <w:i/>
              </w:rPr>
            </w:pPr>
          </w:p>
        </w:tc>
        <w:tc>
          <w:tcPr>
            <w:tcW w:w="388" w:type="pct"/>
            <w:tcBorders>
              <w:top w:val="single" w:sz="4" w:space="0" w:color="auto"/>
              <w:left w:val="single" w:sz="4" w:space="0" w:color="auto"/>
              <w:bottom w:val="single" w:sz="4" w:space="0" w:color="auto"/>
              <w:right w:val="single" w:sz="4" w:space="0" w:color="auto"/>
            </w:tcBorders>
          </w:tcPr>
          <w:p w14:paraId="552516B3" w14:textId="77777777" w:rsidR="00332C23" w:rsidRPr="00A64E41" w:rsidRDefault="00332C23" w:rsidP="00A64E41">
            <w:r w:rsidRPr="00A64E41">
              <w:lastRenderedPageBreak/>
              <w:t>Robyn Wilson</w:t>
            </w:r>
          </w:p>
        </w:tc>
        <w:sdt>
          <w:sdtPr>
            <w:id w:val="-887872184"/>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AE4AEB1"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020E71BB" w14:textId="77777777" w:rsidR="00332C23" w:rsidRPr="00A64E41" w:rsidRDefault="00332C23" w:rsidP="00A64E41">
            <w:r w:rsidRPr="00A64E41">
              <w:t>Gemma Ramsay</w:t>
            </w:r>
          </w:p>
          <w:p w14:paraId="7F2DB399" w14:textId="77777777" w:rsidR="00332C23" w:rsidRPr="00A64E41" w:rsidRDefault="00332C23" w:rsidP="00A64E41">
            <w:r w:rsidRPr="00A64E41">
              <w:lastRenderedPageBreak/>
              <w:t>(MRG Vice Chair)</w:t>
            </w:r>
          </w:p>
          <w:p w14:paraId="174FFC48" w14:textId="77777777" w:rsidR="00332C23" w:rsidRPr="00A64E41" w:rsidRDefault="00332C23" w:rsidP="00A64E41">
            <w:r w:rsidRPr="00A64E41">
              <w:t>02/05/19</w:t>
            </w:r>
          </w:p>
        </w:tc>
      </w:tr>
      <w:tr w:rsidR="00A64E41" w:rsidRPr="00A64E41" w14:paraId="6F4A5535" w14:textId="77777777" w:rsidTr="00A64E41">
        <w:tc>
          <w:tcPr>
            <w:tcW w:w="307" w:type="pct"/>
            <w:tcBorders>
              <w:top w:val="single" w:sz="4" w:space="0" w:color="auto"/>
              <w:left w:val="single" w:sz="4" w:space="0" w:color="auto"/>
              <w:bottom w:val="single" w:sz="4" w:space="0" w:color="auto"/>
              <w:right w:val="single" w:sz="4" w:space="0" w:color="auto"/>
            </w:tcBorders>
          </w:tcPr>
          <w:p w14:paraId="513EF90E" w14:textId="77777777" w:rsidR="00332C23" w:rsidRPr="00A64E41" w:rsidRDefault="00332C23" w:rsidP="00A64E41">
            <w:r w:rsidRPr="00A64E41">
              <w:lastRenderedPageBreak/>
              <w:t>2.1</w:t>
            </w:r>
          </w:p>
        </w:tc>
        <w:tc>
          <w:tcPr>
            <w:tcW w:w="1613" w:type="pct"/>
            <w:tcBorders>
              <w:top w:val="single" w:sz="4" w:space="0" w:color="auto"/>
              <w:left w:val="single" w:sz="4" w:space="0" w:color="auto"/>
              <w:bottom w:val="single" w:sz="4" w:space="0" w:color="auto"/>
              <w:right w:val="single" w:sz="4" w:space="0" w:color="auto"/>
            </w:tcBorders>
          </w:tcPr>
          <w:p w14:paraId="77E55C3C" w14:textId="77777777" w:rsidR="00332C23" w:rsidRPr="00A64E41" w:rsidRDefault="00332C23" w:rsidP="00A64E41">
            <w:pPr>
              <w:rPr>
                <w:i/>
              </w:rPr>
            </w:pPr>
            <w:r w:rsidRPr="00A64E41">
              <w:rPr>
                <w:i/>
              </w:rPr>
              <w:t>“Improved and/or more information benefits service users by helping them to have greater choice and control over their lives. Improved and/or more information benefits carers by helping them to have greater choice and control over their lives. This may help to sustain caring relationships through, for example, reduction in stress, improved welfare and physical health improvements.”</w:t>
            </w:r>
          </w:p>
          <w:p w14:paraId="351054F2" w14:textId="77777777" w:rsidR="00332C23" w:rsidRPr="00A64E41" w:rsidRDefault="00332C23" w:rsidP="00A64E41"/>
          <w:p w14:paraId="4E979829" w14:textId="77777777" w:rsidR="00332C23" w:rsidRPr="00A64E41" w:rsidRDefault="00332C23" w:rsidP="00A64E41">
            <w:r w:rsidRPr="00A64E41">
              <w:t>What does "sustain caring relationships" mean?</w:t>
            </w:r>
          </w:p>
        </w:tc>
        <w:tc>
          <w:tcPr>
            <w:tcW w:w="544" w:type="pct"/>
            <w:tcBorders>
              <w:top w:val="single" w:sz="4" w:space="0" w:color="auto"/>
              <w:left w:val="single" w:sz="4" w:space="0" w:color="auto"/>
              <w:bottom w:val="single" w:sz="4" w:space="0" w:color="auto"/>
              <w:right w:val="single" w:sz="4" w:space="0" w:color="auto"/>
            </w:tcBorders>
          </w:tcPr>
          <w:p w14:paraId="28B54B57"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4E181867" w14:textId="77777777" w:rsidR="00332C23" w:rsidRPr="00A64E41" w:rsidRDefault="00332C23" w:rsidP="00A64E41">
            <w:r w:rsidRPr="00A64E41">
              <w:t>This is the exact text from the ASCOF Handbook of Definitions for the indicator, available at https://assets.publishing.service.gov.uk/government/uploads/system/uploads/attachment_data/file/687208/Final_ASCOF_handbook_of_definitions_2018-19_2.pdf  as part of the rationale for the indicator.</w:t>
            </w:r>
          </w:p>
          <w:p w14:paraId="0D6D126B" w14:textId="77777777" w:rsidR="00332C23" w:rsidRPr="00A64E41" w:rsidRDefault="00332C23" w:rsidP="00A64E41"/>
          <w:p w14:paraId="2C685509" w14:textId="77777777" w:rsidR="00332C23" w:rsidRPr="00A64E41" w:rsidRDefault="00332C23" w:rsidP="00A64E41">
            <w:r w:rsidRPr="00A64E41">
              <w:t>This is directed by DHSC and we are not authorised to interpret this.</w:t>
            </w:r>
          </w:p>
        </w:tc>
        <w:tc>
          <w:tcPr>
            <w:tcW w:w="388" w:type="pct"/>
            <w:tcBorders>
              <w:top w:val="single" w:sz="4" w:space="0" w:color="auto"/>
              <w:left w:val="single" w:sz="4" w:space="0" w:color="auto"/>
              <w:bottom w:val="single" w:sz="4" w:space="0" w:color="auto"/>
              <w:right w:val="single" w:sz="4" w:space="0" w:color="auto"/>
            </w:tcBorders>
          </w:tcPr>
          <w:p w14:paraId="3992FCA8" w14:textId="77777777" w:rsidR="00332C23" w:rsidRPr="00A64E41" w:rsidRDefault="00332C23" w:rsidP="00A64E41">
            <w:r w:rsidRPr="00A64E41">
              <w:t>Robyn Wilson</w:t>
            </w:r>
          </w:p>
        </w:tc>
        <w:sdt>
          <w:sdtPr>
            <w:id w:val="2038699813"/>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56F39052"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58F48B14" w14:textId="77777777" w:rsidR="00332C23" w:rsidRPr="00A64E41" w:rsidRDefault="00332C23" w:rsidP="00A64E41">
            <w:r w:rsidRPr="00A64E41">
              <w:t>Gemma Ramsay</w:t>
            </w:r>
          </w:p>
          <w:p w14:paraId="388870AF" w14:textId="77777777" w:rsidR="00332C23" w:rsidRPr="00A64E41" w:rsidRDefault="00332C23" w:rsidP="00A64E41">
            <w:r w:rsidRPr="00A64E41">
              <w:t>(MRG Vice Chair)</w:t>
            </w:r>
          </w:p>
          <w:p w14:paraId="6557AB0F" w14:textId="77777777" w:rsidR="00332C23" w:rsidRPr="00A64E41" w:rsidRDefault="00332C23" w:rsidP="00A64E41">
            <w:r w:rsidRPr="00A64E41">
              <w:t>02/05/19</w:t>
            </w:r>
          </w:p>
        </w:tc>
      </w:tr>
      <w:tr w:rsidR="00A64E41" w:rsidRPr="00A64E41" w14:paraId="1D25AA15" w14:textId="77777777" w:rsidTr="00A64E41">
        <w:tc>
          <w:tcPr>
            <w:tcW w:w="307" w:type="pct"/>
            <w:tcBorders>
              <w:top w:val="single" w:sz="4" w:space="0" w:color="auto"/>
              <w:left w:val="single" w:sz="4" w:space="0" w:color="auto"/>
              <w:bottom w:val="single" w:sz="4" w:space="0" w:color="auto"/>
              <w:right w:val="single" w:sz="4" w:space="0" w:color="auto"/>
            </w:tcBorders>
          </w:tcPr>
          <w:p w14:paraId="11B3CEA3" w14:textId="77777777" w:rsidR="00332C23" w:rsidRPr="00A64E41" w:rsidRDefault="00332C23" w:rsidP="00A64E41">
            <w:r w:rsidRPr="00A64E41">
              <w:t>2.1</w:t>
            </w:r>
          </w:p>
        </w:tc>
        <w:tc>
          <w:tcPr>
            <w:tcW w:w="1613" w:type="pct"/>
            <w:tcBorders>
              <w:top w:val="single" w:sz="4" w:space="0" w:color="auto"/>
              <w:left w:val="single" w:sz="4" w:space="0" w:color="auto"/>
              <w:bottom w:val="single" w:sz="4" w:space="0" w:color="auto"/>
              <w:right w:val="single" w:sz="4" w:space="0" w:color="auto"/>
            </w:tcBorders>
          </w:tcPr>
          <w:p w14:paraId="3A0B0AC6" w14:textId="77777777" w:rsidR="00332C23" w:rsidRPr="00A64E41" w:rsidRDefault="00332C23" w:rsidP="00A64E41">
            <w:pPr>
              <w:rPr>
                <w:i/>
              </w:rPr>
            </w:pPr>
            <w:r w:rsidRPr="00A64E41">
              <w:rPr>
                <w:i/>
              </w:rPr>
              <w:t>“might want to say something about why we need to measure this – for example, is there previous evidence that access to information was a problem?”</w:t>
            </w:r>
          </w:p>
          <w:p w14:paraId="54A91350" w14:textId="77777777" w:rsidR="00332C23" w:rsidRPr="00A64E41" w:rsidRDefault="00332C23" w:rsidP="00A64E41">
            <w:pPr>
              <w:rPr>
                <w:i/>
              </w:rPr>
            </w:pPr>
          </w:p>
          <w:p w14:paraId="7556C58B" w14:textId="77777777" w:rsidR="00332C23" w:rsidRPr="00A64E41" w:rsidRDefault="00332C23" w:rsidP="00A64E41">
            <w:r w:rsidRPr="00A64E41">
              <w:t>Might want to say something about why we need to measure this – for example, is there previous evidence that access to information was a problem?</w:t>
            </w:r>
          </w:p>
        </w:tc>
        <w:tc>
          <w:tcPr>
            <w:tcW w:w="544" w:type="pct"/>
            <w:tcBorders>
              <w:top w:val="single" w:sz="4" w:space="0" w:color="auto"/>
              <w:left w:val="single" w:sz="4" w:space="0" w:color="auto"/>
              <w:bottom w:val="single" w:sz="4" w:space="0" w:color="auto"/>
              <w:right w:val="single" w:sz="4" w:space="0" w:color="auto"/>
            </w:tcBorders>
          </w:tcPr>
          <w:p w14:paraId="1CE54B67"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238A6318" w14:textId="77777777" w:rsidR="00332C23" w:rsidRPr="00A64E41" w:rsidRDefault="00332C23" w:rsidP="00A64E41">
            <w:r w:rsidRPr="00A64E41">
              <w:t>As above, this paragraph is a lift from the ASCOF handbook of definitions</w:t>
            </w:r>
          </w:p>
        </w:tc>
        <w:tc>
          <w:tcPr>
            <w:tcW w:w="388" w:type="pct"/>
            <w:tcBorders>
              <w:top w:val="single" w:sz="4" w:space="0" w:color="auto"/>
              <w:left w:val="single" w:sz="4" w:space="0" w:color="auto"/>
              <w:bottom w:val="single" w:sz="4" w:space="0" w:color="auto"/>
              <w:right w:val="single" w:sz="4" w:space="0" w:color="auto"/>
            </w:tcBorders>
          </w:tcPr>
          <w:p w14:paraId="0F085DCC" w14:textId="77777777" w:rsidR="00332C23" w:rsidRPr="00A64E41" w:rsidRDefault="00332C23" w:rsidP="00A64E41">
            <w:r w:rsidRPr="00A64E41">
              <w:t>Robyn Wilson</w:t>
            </w:r>
          </w:p>
        </w:tc>
        <w:sdt>
          <w:sdtPr>
            <w:id w:val="-1056704325"/>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4F0318ED"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44E01051" w14:textId="77777777" w:rsidR="00332C23" w:rsidRPr="00A64E41" w:rsidRDefault="00332C23" w:rsidP="00A64E41">
            <w:r w:rsidRPr="00A64E41">
              <w:t>Gemma Ramsay</w:t>
            </w:r>
          </w:p>
          <w:p w14:paraId="62DED38F" w14:textId="77777777" w:rsidR="00332C23" w:rsidRPr="00A64E41" w:rsidRDefault="00332C23" w:rsidP="00A64E41">
            <w:r w:rsidRPr="00A64E41">
              <w:t>(MRG Vice Chair)</w:t>
            </w:r>
          </w:p>
          <w:p w14:paraId="1966F084" w14:textId="77777777" w:rsidR="00332C23" w:rsidRPr="00A64E41" w:rsidRDefault="00332C23" w:rsidP="00A64E41">
            <w:r w:rsidRPr="00A64E41">
              <w:t>02/05/19</w:t>
            </w:r>
          </w:p>
        </w:tc>
      </w:tr>
      <w:tr w:rsidR="00A64E41" w:rsidRPr="00A64E41" w14:paraId="3C86A2B7" w14:textId="77777777" w:rsidTr="00A64E41">
        <w:tc>
          <w:tcPr>
            <w:tcW w:w="307" w:type="pct"/>
            <w:tcBorders>
              <w:top w:val="single" w:sz="4" w:space="0" w:color="auto"/>
              <w:left w:val="single" w:sz="4" w:space="0" w:color="auto"/>
              <w:bottom w:val="single" w:sz="4" w:space="0" w:color="auto"/>
              <w:right w:val="single" w:sz="4" w:space="0" w:color="auto"/>
            </w:tcBorders>
          </w:tcPr>
          <w:p w14:paraId="48FAAEF6" w14:textId="77777777" w:rsidR="00332C23" w:rsidRPr="00A64E41" w:rsidRDefault="00332C23" w:rsidP="00A64E41">
            <w:r w:rsidRPr="00A64E41">
              <w:t>2.2</w:t>
            </w:r>
          </w:p>
        </w:tc>
        <w:tc>
          <w:tcPr>
            <w:tcW w:w="1613" w:type="pct"/>
            <w:tcBorders>
              <w:top w:val="single" w:sz="4" w:space="0" w:color="auto"/>
              <w:left w:val="single" w:sz="4" w:space="0" w:color="auto"/>
              <w:bottom w:val="single" w:sz="4" w:space="0" w:color="auto"/>
              <w:right w:val="single" w:sz="4" w:space="0" w:color="auto"/>
            </w:tcBorders>
          </w:tcPr>
          <w:p w14:paraId="5416EA35" w14:textId="77777777" w:rsidR="00332C23" w:rsidRPr="00A64E41" w:rsidRDefault="00332C23" w:rsidP="00A64E41">
            <w:r w:rsidRPr="00A64E41">
              <w:t>ASCOT needs defining</w:t>
            </w:r>
          </w:p>
        </w:tc>
        <w:tc>
          <w:tcPr>
            <w:tcW w:w="544" w:type="pct"/>
            <w:tcBorders>
              <w:top w:val="single" w:sz="4" w:space="0" w:color="auto"/>
              <w:left w:val="single" w:sz="4" w:space="0" w:color="auto"/>
              <w:bottom w:val="single" w:sz="4" w:space="0" w:color="auto"/>
              <w:right w:val="single" w:sz="4" w:space="0" w:color="auto"/>
            </w:tcBorders>
          </w:tcPr>
          <w:p w14:paraId="0E23E11A"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117F60DD" w14:textId="77777777" w:rsidR="00332C23" w:rsidRPr="00A64E41" w:rsidRDefault="00332C23" w:rsidP="00A64E41">
            <w:r w:rsidRPr="00A64E41">
              <w:t>Adult Social Care Outcomes Toolkit – has been amended.</w:t>
            </w:r>
          </w:p>
        </w:tc>
        <w:tc>
          <w:tcPr>
            <w:tcW w:w="388" w:type="pct"/>
            <w:tcBorders>
              <w:top w:val="single" w:sz="4" w:space="0" w:color="auto"/>
              <w:left w:val="single" w:sz="4" w:space="0" w:color="auto"/>
              <w:bottom w:val="single" w:sz="4" w:space="0" w:color="auto"/>
              <w:right w:val="single" w:sz="4" w:space="0" w:color="auto"/>
            </w:tcBorders>
          </w:tcPr>
          <w:p w14:paraId="5EB3BD86" w14:textId="77777777" w:rsidR="00332C23" w:rsidRPr="00A64E41" w:rsidRDefault="00332C23" w:rsidP="00A64E41">
            <w:r w:rsidRPr="00A64E41">
              <w:t>Robyn Wilson</w:t>
            </w:r>
          </w:p>
        </w:tc>
        <w:sdt>
          <w:sdtPr>
            <w:id w:val="-94692613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307AA335"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6BD406D0" w14:textId="77777777" w:rsidR="00332C23" w:rsidRPr="00A64E41" w:rsidRDefault="00332C23" w:rsidP="00A64E41">
            <w:r w:rsidRPr="00A64E41">
              <w:t>Gemma Ramsay</w:t>
            </w:r>
          </w:p>
          <w:p w14:paraId="40163C3E" w14:textId="77777777" w:rsidR="00332C23" w:rsidRPr="00A64E41" w:rsidRDefault="00332C23" w:rsidP="00A64E41">
            <w:r w:rsidRPr="00A64E41">
              <w:t>(MRG Vice Chair)</w:t>
            </w:r>
          </w:p>
          <w:p w14:paraId="3011F8E8" w14:textId="77777777" w:rsidR="00332C23" w:rsidRPr="00A64E41" w:rsidRDefault="00332C23" w:rsidP="00A64E41">
            <w:r w:rsidRPr="00A64E41">
              <w:t>02/05/19</w:t>
            </w:r>
          </w:p>
        </w:tc>
      </w:tr>
      <w:tr w:rsidR="00A64E41" w:rsidRPr="00A64E41" w14:paraId="65781C9D" w14:textId="77777777" w:rsidTr="00A64E41">
        <w:tc>
          <w:tcPr>
            <w:tcW w:w="307" w:type="pct"/>
            <w:tcBorders>
              <w:top w:val="single" w:sz="4" w:space="0" w:color="auto"/>
              <w:left w:val="single" w:sz="4" w:space="0" w:color="auto"/>
              <w:bottom w:val="single" w:sz="4" w:space="0" w:color="auto"/>
              <w:right w:val="single" w:sz="4" w:space="0" w:color="auto"/>
            </w:tcBorders>
          </w:tcPr>
          <w:p w14:paraId="141D166F" w14:textId="77777777" w:rsidR="00332C23" w:rsidRPr="00A64E41" w:rsidRDefault="00332C23" w:rsidP="00A64E41">
            <w:r w:rsidRPr="00A64E41">
              <w:lastRenderedPageBreak/>
              <w:t>2.2</w:t>
            </w:r>
          </w:p>
        </w:tc>
        <w:tc>
          <w:tcPr>
            <w:tcW w:w="1613" w:type="pct"/>
            <w:tcBorders>
              <w:top w:val="single" w:sz="4" w:space="0" w:color="auto"/>
              <w:left w:val="single" w:sz="4" w:space="0" w:color="auto"/>
              <w:bottom w:val="single" w:sz="4" w:space="0" w:color="auto"/>
              <w:right w:val="single" w:sz="4" w:space="0" w:color="auto"/>
            </w:tcBorders>
          </w:tcPr>
          <w:p w14:paraId="3AF24C88" w14:textId="77777777" w:rsidR="00332C23" w:rsidRPr="00A64E41" w:rsidRDefault="00332C23" w:rsidP="00A64E41">
            <w:r w:rsidRPr="00A64E41">
              <w:t>You have answered this section to talk more about the governance arrangements in place for the indicator, rather than any sort of evidence that it is important.</w:t>
            </w:r>
          </w:p>
          <w:p w14:paraId="7C6EDDB0" w14:textId="77777777" w:rsidR="00332C23" w:rsidRPr="00A64E41" w:rsidRDefault="00332C23" w:rsidP="00A64E41">
            <w:pPr>
              <w:rPr>
                <w:i/>
              </w:rPr>
            </w:pPr>
          </w:p>
          <w:p w14:paraId="443B9270" w14:textId="77777777" w:rsidR="00332C23" w:rsidRPr="00A64E41" w:rsidRDefault="00332C23" w:rsidP="00A64E41">
            <w:r w:rsidRPr="00A64E41">
              <w:t>The response here is about the framework rather than this particular indicator. Has there been any clinical / social work expert practitioner input in support of this indicator?</w:t>
            </w:r>
          </w:p>
        </w:tc>
        <w:tc>
          <w:tcPr>
            <w:tcW w:w="544" w:type="pct"/>
            <w:tcBorders>
              <w:top w:val="single" w:sz="4" w:space="0" w:color="auto"/>
              <w:left w:val="single" w:sz="4" w:space="0" w:color="auto"/>
              <w:bottom w:val="single" w:sz="4" w:space="0" w:color="auto"/>
              <w:right w:val="single" w:sz="4" w:space="0" w:color="auto"/>
            </w:tcBorders>
          </w:tcPr>
          <w:p w14:paraId="3C6DA2F0"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55109944" w14:textId="77777777" w:rsidR="00332C23" w:rsidRPr="00A64E41" w:rsidRDefault="00332C23" w:rsidP="00A64E41">
            <w:r w:rsidRPr="00A64E41">
              <w:t xml:space="preserve">The Framework was developed via proposals that were consulted on: </w:t>
            </w:r>
            <w:hyperlink r:id="rId35" w:history="1">
              <w:r w:rsidRPr="00A64E41">
                <w:rPr>
                  <w:rStyle w:val="Hyperlink"/>
                  <w:color w:val="auto"/>
                </w:rPr>
                <w:t>http://www.cpa.org.uk/cpa_documents/Transparency%20_in_Outcomes_for_adult_social_care.pdf</w:t>
              </w:r>
            </w:hyperlink>
            <w:r w:rsidRPr="00A64E41">
              <w:t xml:space="preserve"> and referred to in the original Handbook of definitions </w:t>
            </w:r>
            <w:hyperlink r:id="rId36" w:history="1">
              <w:r w:rsidRPr="00A64E41">
                <w:rPr>
                  <w:rStyle w:val="Hyperlink"/>
                  <w:color w:val="auto"/>
                </w:rPr>
                <w:t>https://assets.publishing.service.gov.uk/government/uploads/system/uploads/attachment_data/file/215310/dh_131732.pdf</w:t>
              </w:r>
            </w:hyperlink>
            <w:r w:rsidRPr="00A64E41">
              <w:t xml:space="preserve"> which said</w:t>
            </w:r>
          </w:p>
          <w:p w14:paraId="78D4BBDD" w14:textId="77777777" w:rsidR="00332C23" w:rsidRPr="00A64E41" w:rsidRDefault="00332C23" w:rsidP="00A64E41"/>
          <w:p w14:paraId="1437F849" w14:textId="77777777" w:rsidR="00332C23" w:rsidRPr="00A64E41" w:rsidRDefault="00332C23" w:rsidP="00A64E41">
            <w:r w:rsidRPr="00A64E41">
              <w:t xml:space="preserve">“On 31 March 2011, Transparency in outcomes: a framework for adult social care announced the first Adult Social Care Outcomes Framework (ASCOF), covering the year 2011/12. </w:t>
            </w:r>
          </w:p>
          <w:p w14:paraId="423CCAAE" w14:textId="77777777" w:rsidR="00332C23" w:rsidRPr="00A64E41" w:rsidRDefault="00332C23" w:rsidP="00A64E41"/>
          <w:p w14:paraId="31385DF6" w14:textId="77777777" w:rsidR="00332C23" w:rsidRPr="00A64E41" w:rsidRDefault="00332C23" w:rsidP="00A64E41">
            <w:r w:rsidRPr="00A64E41">
              <w:t>This followed consultation on both the general approach and a draft Outcomes Framework between November 2010 and February 2011, where respondents commented on the framework as a whole as well as the proposed criteria for including specific measures. Based on responses to the consultation, a final framework was agreed between the Association of Directors of Adult Social Services (ADASS), the Local Government Group (LGG) and the Department of Health (DH).”</w:t>
            </w:r>
          </w:p>
          <w:p w14:paraId="5A797DA8" w14:textId="77777777" w:rsidR="00332C23" w:rsidRPr="00A64E41" w:rsidRDefault="00332C23" w:rsidP="00A64E41"/>
          <w:p w14:paraId="01D68754" w14:textId="77777777" w:rsidR="00332C23" w:rsidRPr="00A64E41" w:rsidRDefault="00332C23" w:rsidP="00A64E41">
            <w:r w:rsidRPr="00A64E41">
              <w:t>This has been added to the application</w:t>
            </w:r>
          </w:p>
          <w:p w14:paraId="1E124735" w14:textId="77777777" w:rsidR="00332C23" w:rsidRPr="00A64E41" w:rsidRDefault="00332C23" w:rsidP="00A64E41"/>
          <w:p w14:paraId="3E427DBE" w14:textId="77777777" w:rsidR="00332C23" w:rsidRPr="00A64E41" w:rsidRDefault="00332C23" w:rsidP="00A64E41">
            <w:pPr>
              <w:rPr>
                <w:i/>
              </w:rPr>
            </w:pPr>
            <w:r w:rsidRPr="00A64E41">
              <w:rPr>
                <w:i/>
              </w:rPr>
              <w:t>Is there anything specific to the indicator?</w:t>
            </w:r>
          </w:p>
          <w:p w14:paraId="17DEC96D" w14:textId="77777777" w:rsidR="00332C23" w:rsidRPr="00A64E41" w:rsidRDefault="00332C23" w:rsidP="00A64E41">
            <w:pPr>
              <w:rPr>
                <w:i/>
              </w:rPr>
            </w:pPr>
          </w:p>
          <w:p w14:paraId="58E2278C" w14:textId="77777777" w:rsidR="00332C23" w:rsidRPr="00A64E41" w:rsidRDefault="00332C23" w:rsidP="00A64E41">
            <w:r w:rsidRPr="00A64E41">
              <w:t>Not that we can find – ASCOF development is treated as a package and all of that documentation is provided within the application.</w:t>
            </w:r>
          </w:p>
          <w:p w14:paraId="7714149A" w14:textId="77777777" w:rsidR="00332C23" w:rsidRPr="00A64E41" w:rsidRDefault="00332C23" w:rsidP="00A64E41"/>
          <w:p w14:paraId="5867439E" w14:textId="77777777" w:rsidR="00332C23" w:rsidRPr="00A64E41" w:rsidRDefault="00332C23" w:rsidP="00A64E41">
            <w:r w:rsidRPr="00A64E41">
              <w:rPr>
                <w:i/>
              </w:rPr>
              <w:t>This will be a caveat about the framework being considered as a whole rather than individual indicators</w:t>
            </w:r>
          </w:p>
        </w:tc>
        <w:tc>
          <w:tcPr>
            <w:tcW w:w="388" w:type="pct"/>
            <w:tcBorders>
              <w:top w:val="single" w:sz="4" w:space="0" w:color="auto"/>
              <w:left w:val="single" w:sz="4" w:space="0" w:color="auto"/>
              <w:bottom w:val="single" w:sz="4" w:space="0" w:color="auto"/>
              <w:right w:val="single" w:sz="4" w:space="0" w:color="auto"/>
            </w:tcBorders>
          </w:tcPr>
          <w:p w14:paraId="0C99DEFD" w14:textId="77777777" w:rsidR="00332C23" w:rsidRPr="00A64E41" w:rsidRDefault="00332C23" w:rsidP="00A64E41">
            <w:r w:rsidRPr="00A64E41">
              <w:lastRenderedPageBreak/>
              <w:t>Robyn Wilson</w:t>
            </w:r>
          </w:p>
        </w:tc>
        <w:sdt>
          <w:sdtPr>
            <w:id w:val="-136273310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60C5A8B"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22FA36AD" w14:textId="77777777" w:rsidR="00332C23" w:rsidRPr="00A64E41" w:rsidRDefault="00332C23" w:rsidP="00A64E41">
            <w:r w:rsidRPr="00A64E41">
              <w:t>Gemma Ramsay</w:t>
            </w:r>
          </w:p>
          <w:p w14:paraId="74105CD1" w14:textId="77777777" w:rsidR="00332C23" w:rsidRPr="00A64E41" w:rsidRDefault="00332C23" w:rsidP="00A64E41">
            <w:r w:rsidRPr="00A64E41">
              <w:t>(MRG Vice Chair)</w:t>
            </w:r>
          </w:p>
          <w:p w14:paraId="32C5B331" w14:textId="77777777" w:rsidR="00332C23" w:rsidRPr="00A64E41" w:rsidRDefault="00332C23" w:rsidP="00A64E41">
            <w:r w:rsidRPr="00A64E41">
              <w:t>02/05/19</w:t>
            </w:r>
          </w:p>
        </w:tc>
      </w:tr>
      <w:tr w:rsidR="00A64E41" w:rsidRPr="00A64E41" w14:paraId="345E7A02" w14:textId="77777777" w:rsidTr="00A64E41">
        <w:tc>
          <w:tcPr>
            <w:tcW w:w="307" w:type="pct"/>
            <w:tcBorders>
              <w:top w:val="single" w:sz="4" w:space="0" w:color="auto"/>
              <w:left w:val="single" w:sz="4" w:space="0" w:color="auto"/>
              <w:bottom w:val="single" w:sz="4" w:space="0" w:color="auto"/>
              <w:right w:val="single" w:sz="4" w:space="0" w:color="auto"/>
            </w:tcBorders>
          </w:tcPr>
          <w:p w14:paraId="4BEEAD9E" w14:textId="77777777" w:rsidR="00332C23" w:rsidRPr="00A64E41" w:rsidRDefault="00332C23" w:rsidP="00A64E41">
            <w:r w:rsidRPr="00A64E41">
              <w:t>2.2</w:t>
            </w:r>
          </w:p>
        </w:tc>
        <w:tc>
          <w:tcPr>
            <w:tcW w:w="1613" w:type="pct"/>
            <w:tcBorders>
              <w:top w:val="single" w:sz="4" w:space="0" w:color="auto"/>
              <w:left w:val="single" w:sz="4" w:space="0" w:color="auto"/>
              <w:bottom w:val="single" w:sz="4" w:space="0" w:color="auto"/>
              <w:right w:val="single" w:sz="4" w:space="0" w:color="auto"/>
            </w:tcBorders>
          </w:tcPr>
          <w:p w14:paraId="1E876689" w14:textId="77777777" w:rsidR="00332C23" w:rsidRPr="00A64E41" w:rsidRDefault="00332C23" w:rsidP="00A64E41">
            <w:r w:rsidRPr="00A64E41">
              <w:t>Sounds a bit strange to say ‘it has been decided’ about something that happened 4½ years ago. Maybe change to ‘it was decided’ ?</w:t>
            </w:r>
          </w:p>
        </w:tc>
        <w:tc>
          <w:tcPr>
            <w:tcW w:w="544" w:type="pct"/>
            <w:tcBorders>
              <w:top w:val="single" w:sz="4" w:space="0" w:color="auto"/>
              <w:left w:val="single" w:sz="4" w:space="0" w:color="auto"/>
              <w:bottom w:val="single" w:sz="4" w:space="0" w:color="auto"/>
              <w:right w:val="single" w:sz="4" w:space="0" w:color="auto"/>
            </w:tcBorders>
          </w:tcPr>
          <w:p w14:paraId="4B754AF8" w14:textId="77777777" w:rsidR="00332C23" w:rsidRPr="00A64E41" w:rsidRDefault="00332C23" w:rsidP="00A64E41">
            <w:r w:rsidRPr="00A64E41">
              <w:t>MRG 24/04/2019</w:t>
            </w:r>
          </w:p>
        </w:tc>
        <w:tc>
          <w:tcPr>
            <w:tcW w:w="1385" w:type="pct"/>
            <w:tcBorders>
              <w:top w:val="single" w:sz="4" w:space="0" w:color="auto"/>
              <w:left w:val="single" w:sz="4" w:space="0" w:color="auto"/>
              <w:bottom w:val="single" w:sz="4" w:space="0" w:color="auto"/>
              <w:right w:val="single" w:sz="4" w:space="0" w:color="auto"/>
            </w:tcBorders>
          </w:tcPr>
          <w:p w14:paraId="6DC9E495" w14:textId="77777777" w:rsidR="00332C23" w:rsidRPr="00A64E41" w:rsidRDefault="00332C23" w:rsidP="00A64E41">
            <w:r w:rsidRPr="00A64E41">
              <w:t>Done</w:t>
            </w:r>
          </w:p>
        </w:tc>
        <w:tc>
          <w:tcPr>
            <w:tcW w:w="388" w:type="pct"/>
            <w:tcBorders>
              <w:top w:val="single" w:sz="4" w:space="0" w:color="auto"/>
              <w:left w:val="single" w:sz="4" w:space="0" w:color="auto"/>
              <w:bottom w:val="single" w:sz="4" w:space="0" w:color="auto"/>
              <w:right w:val="single" w:sz="4" w:space="0" w:color="auto"/>
            </w:tcBorders>
          </w:tcPr>
          <w:p w14:paraId="755315D2" w14:textId="77777777" w:rsidR="00332C23" w:rsidRPr="00A64E41" w:rsidRDefault="00332C23" w:rsidP="00A64E41">
            <w:r w:rsidRPr="00A64E41">
              <w:t>IMAS</w:t>
            </w:r>
          </w:p>
        </w:tc>
        <w:sdt>
          <w:sdtPr>
            <w:id w:val="-1544204618"/>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F79167F"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3360CDB2" w14:textId="77777777" w:rsidR="00332C23" w:rsidRPr="00A64E41" w:rsidRDefault="00332C23" w:rsidP="00A64E41">
            <w:r w:rsidRPr="00A64E41">
              <w:t>Gemma Ramsay</w:t>
            </w:r>
          </w:p>
          <w:p w14:paraId="23BFEB0D" w14:textId="77777777" w:rsidR="00332C23" w:rsidRPr="00A64E41" w:rsidRDefault="00332C23" w:rsidP="00A64E41">
            <w:r w:rsidRPr="00A64E41">
              <w:t>(MRG Vice Chair)</w:t>
            </w:r>
          </w:p>
          <w:p w14:paraId="14A90CD8" w14:textId="77777777" w:rsidR="00332C23" w:rsidRPr="00A64E41" w:rsidRDefault="00332C23" w:rsidP="00A64E41">
            <w:r w:rsidRPr="00A64E41">
              <w:t>02/05/19</w:t>
            </w:r>
          </w:p>
        </w:tc>
      </w:tr>
      <w:tr w:rsidR="00A64E41" w:rsidRPr="00A64E41" w14:paraId="74BAD970" w14:textId="77777777" w:rsidTr="00A64E41">
        <w:tc>
          <w:tcPr>
            <w:tcW w:w="307" w:type="pct"/>
            <w:tcBorders>
              <w:top w:val="single" w:sz="4" w:space="0" w:color="auto"/>
              <w:left w:val="single" w:sz="4" w:space="0" w:color="auto"/>
              <w:bottom w:val="single" w:sz="4" w:space="0" w:color="auto"/>
              <w:right w:val="single" w:sz="4" w:space="0" w:color="auto"/>
            </w:tcBorders>
          </w:tcPr>
          <w:p w14:paraId="277B79C4" w14:textId="77777777" w:rsidR="00332C23" w:rsidRPr="00A64E41" w:rsidRDefault="00332C23" w:rsidP="00A64E41">
            <w:r w:rsidRPr="00A64E41">
              <w:t>2.3</w:t>
            </w:r>
          </w:p>
        </w:tc>
        <w:tc>
          <w:tcPr>
            <w:tcW w:w="1613" w:type="pct"/>
            <w:tcBorders>
              <w:top w:val="single" w:sz="4" w:space="0" w:color="auto"/>
              <w:left w:val="single" w:sz="4" w:space="0" w:color="auto"/>
              <w:bottom w:val="single" w:sz="4" w:space="0" w:color="auto"/>
              <w:right w:val="single" w:sz="4" w:space="0" w:color="auto"/>
            </w:tcBorders>
          </w:tcPr>
          <w:p w14:paraId="46FB2247" w14:textId="77777777" w:rsidR="00332C23" w:rsidRPr="00A64E41" w:rsidRDefault="00332C23" w:rsidP="00A64E41">
            <w:r w:rsidRPr="00A64E41">
              <w:t>The response here is about the framework rather than this particular indicator. Has there been any clinical / social work expert practitioner input in support of this indicator?</w:t>
            </w:r>
          </w:p>
        </w:tc>
        <w:tc>
          <w:tcPr>
            <w:tcW w:w="544" w:type="pct"/>
            <w:tcBorders>
              <w:top w:val="single" w:sz="4" w:space="0" w:color="auto"/>
              <w:left w:val="single" w:sz="4" w:space="0" w:color="auto"/>
              <w:bottom w:val="single" w:sz="4" w:space="0" w:color="auto"/>
              <w:right w:val="single" w:sz="4" w:space="0" w:color="auto"/>
            </w:tcBorders>
          </w:tcPr>
          <w:p w14:paraId="2B5EE1F9"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720FE1AC" w14:textId="77777777" w:rsidR="00332C23" w:rsidRPr="00A64E41" w:rsidRDefault="00332C23" w:rsidP="00A64E41">
            <w:r w:rsidRPr="00A64E41">
              <w:t xml:space="preserve">MRG accepted the following for IAP00425 (ASCOF Measure The proportion of people who use services who say that those services have made them feel safe and secure) last year: </w:t>
            </w:r>
          </w:p>
          <w:p w14:paraId="665189FB" w14:textId="77777777" w:rsidR="00332C23" w:rsidRPr="00A64E41" w:rsidRDefault="00332C23" w:rsidP="00A64E41"/>
          <w:p w14:paraId="61273DD2" w14:textId="77777777" w:rsidR="00332C23" w:rsidRPr="00A64E41" w:rsidRDefault="00332C23" w:rsidP="00A64E41">
            <w:pPr>
              <w:rPr>
                <w:i/>
              </w:rPr>
            </w:pPr>
            <w:r w:rsidRPr="00A64E41">
              <w:rPr>
                <w:i/>
              </w:rPr>
              <w:t>The [ASCOF] development project was carried out by Personal Social Services Research Unit (PSSRU), which fed into the survey design. There are various studies using ASCOF data by the PSSRU such as https://www.pssru.ac.uk/pub/dp2542.pdf, https://www.pssru.ac.uk/pub/4633.pdf which demonstrate the importance of ASCOF.</w:t>
            </w:r>
          </w:p>
          <w:p w14:paraId="397B80C0" w14:textId="77777777" w:rsidR="00332C23" w:rsidRPr="00A64E41" w:rsidRDefault="00332C23" w:rsidP="00A64E41"/>
          <w:p w14:paraId="520708F6" w14:textId="77777777" w:rsidR="00332C23" w:rsidRPr="00A64E41" w:rsidRDefault="00332C23" w:rsidP="00A64E41">
            <w:r w:rsidRPr="00A64E41">
              <w:lastRenderedPageBreak/>
              <w:t xml:space="preserve">This text has been repeated here as the framework has been developed and is reviewed as a whole. </w:t>
            </w:r>
          </w:p>
        </w:tc>
        <w:tc>
          <w:tcPr>
            <w:tcW w:w="388" w:type="pct"/>
            <w:tcBorders>
              <w:top w:val="single" w:sz="4" w:space="0" w:color="auto"/>
              <w:left w:val="single" w:sz="4" w:space="0" w:color="auto"/>
              <w:bottom w:val="single" w:sz="4" w:space="0" w:color="auto"/>
              <w:right w:val="single" w:sz="4" w:space="0" w:color="auto"/>
            </w:tcBorders>
          </w:tcPr>
          <w:p w14:paraId="72EF9C95" w14:textId="77777777" w:rsidR="00332C23" w:rsidRPr="00A64E41" w:rsidRDefault="00332C23" w:rsidP="00A64E41">
            <w:r w:rsidRPr="00A64E41">
              <w:lastRenderedPageBreak/>
              <w:t>Robyn Wilson</w:t>
            </w:r>
          </w:p>
        </w:tc>
        <w:sdt>
          <w:sdtPr>
            <w:id w:val="124715223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6D56EA73"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3A6D3464" w14:textId="77777777" w:rsidR="00332C23" w:rsidRPr="00A64E41" w:rsidRDefault="00332C23" w:rsidP="00A64E41">
            <w:r w:rsidRPr="00A64E41">
              <w:t>Gemma Ramsay</w:t>
            </w:r>
          </w:p>
          <w:p w14:paraId="0A7FA87D" w14:textId="77777777" w:rsidR="00332C23" w:rsidRPr="00A64E41" w:rsidRDefault="00332C23" w:rsidP="00A64E41">
            <w:r w:rsidRPr="00A64E41">
              <w:t>(MRG Vice Chair)</w:t>
            </w:r>
          </w:p>
          <w:p w14:paraId="5E6F73D0" w14:textId="77777777" w:rsidR="00332C23" w:rsidRPr="00A64E41" w:rsidRDefault="00332C23" w:rsidP="00A64E41">
            <w:r w:rsidRPr="00A64E41">
              <w:t>02/05/19</w:t>
            </w:r>
          </w:p>
        </w:tc>
      </w:tr>
      <w:tr w:rsidR="00A64E41" w:rsidRPr="00A64E41" w14:paraId="30556527" w14:textId="77777777" w:rsidTr="00A64E41">
        <w:tc>
          <w:tcPr>
            <w:tcW w:w="307" w:type="pct"/>
            <w:tcBorders>
              <w:top w:val="single" w:sz="4" w:space="0" w:color="auto"/>
              <w:left w:val="single" w:sz="4" w:space="0" w:color="auto"/>
              <w:bottom w:val="single" w:sz="4" w:space="0" w:color="auto"/>
              <w:right w:val="single" w:sz="4" w:space="0" w:color="auto"/>
            </w:tcBorders>
          </w:tcPr>
          <w:p w14:paraId="3F348696" w14:textId="77777777" w:rsidR="00332C23" w:rsidRPr="00A64E41" w:rsidRDefault="00332C23" w:rsidP="00A64E41">
            <w:r w:rsidRPr="00A64E41">
              <w:t>2.3</w:t>
            </w:r>
          </w:p>
        </w:tc>
        <w:tc>
          <w:tcPr>
            <w:tcW w:w="1613" w:type="pct"/>
            <w:tcBorders>
              <w:top w:val="single" w:sz="4" w:space="0" w:color="auto"/>
              <w:left w:val="single" w:sz="4" w:space="0" w:color="auto"/>
              <w:bottom w:val="single" w:sz="4" w:space="0" w:color="auto"/>
              <w:right w:val="single" w:sz="4" w:space="0" w:color="auto"/>
            </w:tcBorders>
          </w:tcPr>
          <w:p w14:paraId="5D1C0DB8" w14:textId="77777777" w:rsidR="00332C23" w:rsidRPr="00A64E41" w:rsidRDefault="00332C23" w:rsidP="00A64E41">
            <w:pPr>
              <w:pStyle w:val="CommentText"/>
              <w:rPr>
                <w:sz w:val="22"/>
                <w:szCs w:val="22"/>
              </w:rPr>
            </w:pPr>
            <w:r w:rsidRPr="00A64E41">
              <w:rPr>
                <w:sz w:val="22"/>
                <w:szCs w:val="22"/>
              </w:rPr>
              <w:t>Do the boards (DHSC, ADASS, DOB) have any professional/practitioner expertise?</w:t>
            </w:r>
          </w:p>
        </w:tc>
        <w:tc>
          <w:tcPr>
            <w:tcW w:w="544" w:type="pct"/>
            <w:tcBorders>
              <w:top w:val="single" w:sz="4" w:space="0" w:color="auto"/>
              <w:left w:val="single" w:sz="4" w:space="0" w:color="auto"/>
              <w:bottom w:val="single" w:sz="4" w:space="0" w:color="auto"/>
              <w:right w:val="single" w:sz="4" w:space="0" w:color="auto"/>
            </w:tcBorders>
          </w:tcPr>
          <w:p w14:paraId="184734E5"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7EC501FD" w14:textId="77777777" w:rsidR="00332C23" w:rsidRPr="00A64E41" w:rsidRDefault="00332C23" w:rsidP="00A64E41">
            <w:r w:rsidRPr="00A64E41">
              <w:t>Yes, some members have practitioner experience.</w:t>
            </w:r>
          </w:p>
        </w:tc>
        <w:tc>
          <w:tcPr>
            <w:tcW w:w="388" w:type="pct"/>
            <w:tcBorders>
              <w:top w:val="single" w:sz="4" w:space="0" w:color="auto"/>
              <w:left w:val="single" w:sz="4" w:space="0" w:color="auto"/>
              <w:bottom w:val="single" w:sz="4" w:space="0" w:color="auto"/>
              <w:right w:val="single" w:sz="4" w:space="0" w:color="auto"/>
            </w:tcBorders>
          </w:tcPr>
          <w:p w14:paraId="66EA4E14" w14:textId="77777777" w:rsidR="00332C23" w:rsidRPr="00A64E41" w:rsidRDefault="00332C23" w:rsidP="00A64E41">
            <w:r w:rsidRPr="00A64E41">
              <w:t>Robyn Wilson</w:t>
            </w:r>
          </w:p>
        </w:tc>
        <w:sdt>
          <w:sdtPr>
            <w:id w:val="-234557161"/>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45C2492E"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497E437A" w14:textId="77777777" w:rsidR="00332C23" w:rsidRPr="00A64E41" w:rsidRDefault="00332C23" w:rsidP="00A64E41">
            <w:r w:rsidRPr="00A64E41">
              <w:t>Gemma Ramsay</w:t>
            </w:r>
          </w:p>
          <w:p w14:paraId="0BEF6A07" w14:textId="77777777" w:rsidR="00332C23" w:rsidRPr="00A64E41" w:rsidRDefault="00332C23" w:rsidP="00A64E41">
            <w:r w:rsidRPr="00A64E41">
              <w:t>(MRG Vice Chair)</w:t>
            </w:r>
          </w:p>
          <w:p w14:paraId="7AC345B0" w14:textId="77777777" w:rsidR="00332C23" w:rsidRPr="00A64E41" w:rsidRDefault="00332C23" w:rsidP="00A64E41">
            <w:r w:rsidRPr="00A64E41">
              <w:t>02/05/19</w:t>
            </w:r>
          </w:p>
        </w:tc>
      </w:tr>
      <w:tr w:rsidR="00A64E41" w:rsidRPr="00A64E41" w14:paraId="5DD8E176" w14:textId="77777777" w:rsidTr="00A64E41">
        <w:tc>
          <w:tcPr>
            <w:tcW w:w="307" w:type="pct"/>
            <w:tcBorders>
              <w:top w:val="single" w:sz="4" w:space="0" w:color="auto"/>
              <w:left w:val="single" w:sz="4" w:space="0" w:color="auto"/>
              <w:bottom w:val="single" w:sz="4" w:space="0" w:color="auto"/>
              <w:right w:val="single" w:sz="4" w:space="0" w:color="auto"/>
            </w:tcBorders>
          </w:tcPr>
          <w:p w14:paraId="57165884" w14:textId="77777777" w:rsidR="00332C23" w:rsidRPr="00A64E41" w:rsidRDefault="00332C23" w:rsidP="00A64E41">
            <w:r w:rsidRPr="00A64E41">
              <w:t>2.3</w:t>
            </w:r>
          </w:p>
        </w:tc>
        <w:tc>
          <w:tcPr>
            <w:tcW w:w="1613" w:type="pct"/>
            <w:tcBorders>
              <w:top w:val="single" w:sz="4" w:space="0" w:color="auto"/>
              <w:left w:val="single" w:sz="4" w:space="0" w:color="auto"/>
              <w:bottom w:val="single" w:sz="4" w:space="0" w:color="auto"/>
              <w:right w:val="single" w:sz="4" w:space="0" w:color="auto"/>
            </w:tcBorders>
          </w:tcPr>
          <w:p w14:paraId="0F4EA782" w14:textId="77777777" w:rsidR="00332C23" w:rsidRPr="00A64E41" w:rsidRDefault="00332C23" w:rsidP="00A64E41">
            <w:r w:rsidRPr="00A64E41">
              <w:t>Again ‘it was decided’ would sound more natural for something that happened so long ago.</w:t>
            </w:r>
          </w:p>
        </w:tc>
        <w:tc>
          <w:tcPr>
            <w:tcW w:w="544" w:type="pct"/>
            <w:tcBorders>
              <w:top w:val="single" w:sz="4" w:space="0" w:color="auto"/>
              <w:left w:val="single" w:sz="4" w:space="0" w:color="auto"/>
              <w:bottom w:val="single" w:sz="4" w:space="0" w:color="auto"/>
              <w:right w:val="single" w:sz="4" w:space="0" w:color="auto"/>
            </w:tcBorders>
          </w:tcPr>
          <w:p w14:paraId="577CDAC0" w14:textId="77777777" w:rsidR="00332C23" w:rsidRPr="00A64E41" w:rsidRDefault="00332C23" w:rsidP="00A64E41">
            <w:r w:rsidRPr="00A64E41">
              <w:t>MRG 24/04/2019</w:t>
            </w:r>
          </w:p>
        </w:tc>
        <w:tc>
          <w:tcPr>
            <w:tcW w:w="1385" w:type="pct"/>
            <w:tcBorders>
              <w:top w:val="single" w:sz="4" w:space="0" w:color="auto"/>
              <w:left w:val="single" w:sz="4" w:space="0" w:color="auto"/>
              <w:bottom w:val="single" w:sz="4" w:space="0" w:color="auto"/>
              <w:right w:val="single" w:sz="4" w:space="0" w:color="auto"/>
            </w:tcBorders>
          </w:tcPr>
          <w:p w14:paraId="6BE0DE40" w14:textId="77777777" w:rsidR="00332C23" w:rsidRPr="00A64E41" w:rsidRDefault="00332C23" w:rsidP="00A64E41">
            <w:r w:rsidRPr="00A64E41">
              <w:t>Done</w:t>
            </w:r>
          </w:p>
        </w:tc>
        <w:tc>
          <w:tcPr>
            <w:tcW w:w="388" w:type="pct"/>
            <w:tcBorders>
              <w:top w:val="single" w:sz="4" w:space="0" w:color="auto"/>
              <w:left w:val="single" w:sz="4" w:space="0" w:color="auto"/>
              <w:bottom w:val="single" w:sz="4" w:space="0" w:color="auto"/>
              <w:right w:val="single" w:sz="4" w:space="0" w:color="auto"/>
            </w:tcBorders>
          </w:tcPr>
          <w:p w14:paraId="2CBB29AC" w14:textId="77777777" w:rsidR="00332C23" w:rsidRPr="00A64E41" w:rsidRDefault="00332C23" w:rsidP="00A64E41">
            <w:r w:rsidRPr="00A64E41">
              <w:t>IMAS</w:t>
            </w:r>
          </w:p>
        </w:tc>
        <w:sdt>
          <w:sdtPr>
            <w:id w:val="1136925828"/>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233A7F08"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16281DB1" w14:textId="77777777" w:rsidR="00332C23" w:rsidRPr="00A64E41" w:rsidRDefault="00332C23" w:rsidP="00A64E41">
            <w:r w:rsidRPr="00A64E41">
              <w:t>Gemma Ramsay</w:t>
            </w:r>
          </w:p>
          <w:p w14:paraId="1C07C33B" w14:textId="77777777" w:rsidR="00332C23" w:rsidRPr="00A64E41" w:rsidRDefault="00332C23" w:rsidP="00A64E41">
            <w:r w:rsidRPr="00A64E41">
              <w:t>(MRG Vice Chair)</w:t>
            </w:r>
          </w:p>
          <w:p w14:paraId="70D95D30" w14:textId="77777777" w:rsidR="00332C23" w:rsidRPr="00A64E41" w:rsidRDefault="00332C23" w:rsidP="00A64E41">
            <w:r w:rsidRPr="00A64E41">
              <w:t>02/05/19</w:t>
            </w:r>
          </w:p>
        </w:tc>
      </w:tr>
      <w:tr w:rsidR="00A64E41" w:rsidRPr="00A64E41" w14:paraId="254C6656" w14:textId="77777777" w:rsidTr="00A64E41">
        <w:tc>
          <w:tcPr>
            <w:tcW w:w="307" w:type="pct"/>
            <w:tcBorders>
              <w:top w:val="single" w:sz="4" w:space="0" w:color="auto"/>
              <w:left w:val="single" w:sz="4" w:space="0" w:color="auto"/>
              <w:bottom w:val="single" w:sz="4" w:space="0" w:color="auto"/>
              <w:right w:val="single" w:sz="4" w:space="0" w:color="auto"/>
            </w:tcBorders>
          </w:tcPr>
          <w:p w14:paraId="644E62C7" w14:textId="77777777" w:rsidR="00332C23" w:rsidRPr="00A64E41" w:rsidRDefault="00332C23" w:rsidP="00A64E41">
            <w:r w:rsidRPr="00A64E41">
              <w:t>2.4</w:t>
            </w:r>
          </w:p>
        </w:tc>
        <w:tc>
          <w:tcPr>
            <w:tcW w:w="1613" w:type="pct"/>
            <w:tcBorders>
              <w:top w:val="single" w:sz="4" w:space="0" w:color="auto"/>
              <w:left w:val="single" w:sz="4" w:space="0" w:color="auto"/>
              <w:bottom w:val="single" w:sz="4" w:space="0" w:color="auto"/>
              <w:right w:val="single" w:sz="4" w:space="0" w:color="auto"/>
            </w:tcBorders>
          </w:tcPr>
          <w:p w14:paraId="2E305040" w14:textId="77777777" w:rsidR="00332C23" w:rsidRPr="00A64E41" w:rsidRDefault="00332C23" w:rsidP="00A64E41">
            <w:pPr>
              <w:pStyle w:val="CommentText"/>
              <w:rPr>
                <w:i/>
                <w:sz w:val="22"/>
                <w:szCs w:val="22"/>
              </w:rPr>
            </w:pPr>
            <w:r w:rsidRPr="00A64E41">
              <w:rPr>
                <w:sz w:val="22"/>
                <w:szCs w:val="22"/>
              </w:rPr>
              <w:t>The question asks for indicator specific use, this is very much about ASCOF</w:t>
            </w:r>
          </w:p>
        </w:tc>
        <w:tc>
          <w:tcPr>
            <w:tcW w:w="544" w:type="pct"/>
            <w:tcBorders>
              <w:top w:val="single" w:sz="4" w:space="0" w:color="auto"/>
              <w:left w:val="single" w:sz="4" w:space="0" w:color="auto"/>
              <w:bottom w:val="single" w:sz="4" w:space="0" w:color="auto"/>
              <w:right w:val="single" w:sz="4" w:space="0" w:color="auto"/>
            </w:tcBorders>
          </w:tcPr>
          <w:p w14:paraId="0E836691"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62028ECF" w14:textId="77777777" w:rsidR="00332C23" w:rsidRPr="00A64E41" w:rsidRDefault="00332C23" w:rsidP="00A64E41">
            <w:r w:rsidRPr="00A64E41">
              <w:t>There is no difference, ASCOF is used as a package and therefore this specific indicator is used in the way described</w:t>
            </w:r>
          </w:p>
          <w:p w14:paraId="172D75A4" w14:textId="77777777" w:rsidR="00332C23" w:rsidRPr="00A64E41" w:rsidRDefault="00332C23" w:rsidP="00A64E41"/>
          <w:p w14:paraId="4606D145" w14:textId="77777777" w:rsidR="00332C23" w:rsidRPr="00A64E41" w:rsidRDefault="00332C23" w:rsidP="00A64E41">
            <w:pPr>
              <w:rPr>
                <w:i/>
              </w:rPr>
            </w:pPr>
            <w:r w:rsidRPr="00A64E41">
              <w:rPr>
                <w:i/>
              </w:rPr>
              <w:t>Further information is available in the handbook of definitions</w:t>
            </w:r>
          </w:p>
          <w:p w14:paraId="0E9722DB" w14:textId="77777777" w:rsidR="00332C23" w:rsidRPr="00A64E41" w:rsidRDefault="00332C23" w:rsidP="00A64E41"/>
          <w:p w14:paraId="5720D66B" w14:textId="77777777" w:rsidR="00332C23" w:rsidRPr="00A64E41" w:rsidRDefault="00332C23" w:rsidP="00A64E41">
            <w:r w:rsidRPr="00A64E41">
              <w:t>The Handbook does not talk about policy in relation to this specific question. As previously stated, ASCOF is viewed as a whole not as single indicators.</w:t>
            </w:r>
          </w:p>
          <w:p w14:paraId="21CE9CD1" w14:textId="77777777" w:rsidR="00332C23" w:rsidRPr="00A64E41" w:rsidRDefault="00332C23" w:rsidP="00A64E41">
            <w:pPr>
              <w:rPr>
                <w:i/>
              </w:rPr>
            </w:pPr>
          </w:p>
          <w:p w14:paraId="0E62BE84" w14:textId="77777777" w:rsidR="00332C23" w:rsidRPr="00A64E41" w:rsidRDefault="00332C23" w:rsidP="00A64E41">
            <w:r w:rsidRPr="00A64E41">
              <w:rPr>
                <w:i/>
              </w:rPr>
              <w:t>This will be a caveat about the framework being considered as a whole rather than individual indicators</w:t>
            </w:r>
          </w:p>
        </w:tc>
        <w:tc>
          <w:tcPr>
            <w:tcW w:w="388" w:type="pct"/>
            <w:tcBorders>
              <w:top w:val="single" w:sz="4" w:space="0" w:color="auto"/>
              <w:left w:val="single" w:sz="4" w:space="0" w:color="auto"/>
              <w:bottom w:val="single" w:sz="4" w:space="0" w:color="auto"/>
              <w:right w:val="single" w:sz="4" w:space="0" w:color="auto"/>
            </w:tcBorders>
          </w:tcPr>
          <w:p w14:paraId="7D339774" w14:textId="77777777" w:rsidR="00332C23" w:rsidRPr="00A64E41" w:rsidRDefault="00332C23" w:rsidP="00A64E41"/>
        </w:tc>
        <w:sdt>
          <w:sdtPr>
            <w:id w:val="1132900786"/>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3F46449D"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05C2FE1A" w14:textId="77777777" w:rsidR="00332C23" w:rsidRPr="00A64E41" w:rsidRDefault="00332C23" w:rsidP="00A64E41">
            <w:r w:rsidRPr="00A64E41">
              <w:t>Gemma Ramsay</w:t>
            </w:r>
          </w:p>
          <w:p w14:paraId="249ACE5D" w14:textId="77777777" w:rsidR="00332C23" w:rsidRPr="00A64E41" w:rsidRDefault="00332C23" w:rsidP="00A64E41">
            <w:r w:rsidRPr="00A64E41">
              <w:t>(MRG Vice Chair)</w:t>
            </w:r>
          </w:p>
          <w:p w14:paraId="61EB91FC" w14:textId="77777777" w:rsidR="00332C23" w:rsidRPr="00A64E41" w:rsidRDefault="00332C23" w:rsidP="00A64E41">
            <w:r w:rsidRPr="00A64E41">
              <w:t>02/05/19</w:t>
            </w:r>
          </w:p>
        </w:tc>
      </w:tr>
      <w:tr w:rsidR="00A64E41" w:rsidRPr="00A64E41" w14:paraId="1236288A" w14:textId="77777777" w:rsidTr="00A64E41">
        <w:tc>
          <w:tcPr>
            <w:tcW w:w="307" w:type="pct"/>
            <w:tcBorders>
              <w:top w:val="single" w:sz="4" w:space="0" w:color="auto"/>
              <w:left w:val="single" w:sz="4" w:space="0" w:color="auto"/>
              <w:bottom w:val="single" w:sz="4" w:space="0" w:color="auto"/>
              <w:right w:val="single" w:sz="4" w:space="0" w:color="auto"/>
            </w:tcBorders>
          </w:tcPr>
          <w:p w14:paraId="7EFEB965" w14:textId="77777777" w:rsidR="00332C23" w:rsidRPr="00A64E41" w:rsidRDefault="00332C23" w:rsidP="00A64E41">
            <w:r w:rsidRPr="00A64E41">
              <w:t>2.5</w:t>
            </w:r>
          </w:p>
        </w:tc>
        <w:tc>
          <w:tcPr>
            <w:tcW w:w="1613" w:type="pct"/>
            <w:tcBorders>
              <w:top w:val="single" w:sz="4" w:space="0" w:color="auto"/>
              <w:left w:val="single" w:sz="4" w:space="0" w:color="auto"/>
              <w:bottom w:val="single" w:sz="4" w:space="0" w:color="auto"/>
              <w:right w:val="single" w:sz="4" w:space="0" w:color="auto"/>
            </w:tcBorders>
          </w:tcPr>
          <w:p w14:paraId="0D1B54D3" w14:textId="77777777" w:rsidR="00332C23" w:rsidRPr="00A64E41" w:rsidRDefault="00332C23" w:rsidP="00A64E41">
            <w:pPr>
              <w:pStyle w:val="CommentText"/>
              <w:rPr>
                <w:i/>
                <w:sz w:val="22"/>
                <w:szCs w:val="22"/>
              </w:rPr>
            </w:pPr>
            <w:r w:rsidRPr="00A64E41">
              <w:rPr>
                <w:sz w:val="22"/>
                <w:szCs w:val="22"/>
              </w:rPr>
              <w:t>The question asks for indicator specific use, this is very much about ASCOF</w:t>
            </w:r>
          </w:p>
        </w:tc>
        <w:tc>
          <w:tcPr>
            <w:tcW w:w="544" w:type="pct"/>
            <w:tcBorders>
              <w:top w:val="single" w:sz="4" w:space="0" w:color="auto"/>
              <w:left w:val="single" w:sz="4" w:space="0" w:color="auto"/>
              <w:bottom w:val="single" w:sz="4" w:space="0" w:color="auto"/>
              <w:right w:val="single" w:sz="4" w:space="0" w:color="auto"/>
            </w:tcBorders>
          </w:tcPr>
          <w:p w14:paraId="6C91E350"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33CA6AE6" w14:textId="77777777" w:rsidR="00332C23" w:rsidRPr="00A64E41" w:rsidRDefault="00332C23" w:rsidP="00A64E41">
            <w:r w:rsidRPr="00A64E41">
              <w:t>There is no difference, ASCOF is used as a package and therefore this specific indicator is used in the way described</w:t>
            </w:r>
          </w:p>
          <w:p w14:paraId="7773D6B0" w14:textId="77777777" w:rsidR="00332C23" w:rsidRPr="00A64E41" w:rsidRDefault="00332C23" w:rsidP="00A64E41"/>
          <w:p w14:paraId="320015AD" w14:textId="77777777" w:rsidR="00332C23" w:rsidRPr="00A64E41" w:rsidRDefault="00332C23" w:rsidP="00A64E41"/>
          <w:p w14:paraId="484C4B83" w14:textId="77777777" w:rsidR="00332C23" w:rsidRPr="00A64E41" w:rsidRDefault="00332C23" w:rsidP="00A64E41"/>
          <w:p w14:paraId="31F9CD3D" w14:textId="77777777" w:rsidR="00332C23" w:rsidRPr="00A64E41" w:rsidRDefault="00332C23" w:rsidP="00A64E41">
            <w:pPr>
              <w:rPr>
                <w:i/>
              </w:rPr>
            </w:pPr>
            <w:r w:rsidRPr="00A64E41">
              <w:rPr>
                <w:i/>
              </w:rPr>
              <w:t>Further information is available in the handbook of definitions</w:t>
            </w:r>
          </w:p>
          <w:p w14:paraId="57435F2C" w14:textId="77777777" w:rsidR="00332C23" w:rsidRPr="00A64E41" w:rsidRDefault="00332C23" w:rsidP="00A64E41"/>
          <w:p w14:paraId="4EA6F5CC" w14:textId="77777777" w:rsidR="00332C23" w:rsidRPr="00A64E41" w:rsidRDefault="00332C23" w:rsidP="00A64E41">
            <w:pPr>
              <w:rPr>
                <w:i/>
              </w:rPr>
            </w:pPr>
            <w:r w:rsidRPr="00A64E41">
              <w:rPr>
                <w:i/>
              </w:rPr>
              <w:t>Improved and/or more information benefits carers and the people they</w:t>
            </w:r>
          </w:p>
          <w:p w14:paraId="763072A4" w14:textId="77777777" w:rsidR="00332C23" w:rsidRPr="00A64E41" w:rsidRDefault="00332C23" w:rsidP="00A64E41">
            <w:pPr>
              <w:rPr>
                <w:i/>
              </w:rPr>
            </w:pPr>
            <w:r w:rsidRPr="00A64E41">
              <w:rPr>
                <w:i/>
              </w:rPr>
              <w:t>support by helping them to have greater choice and control over their lives.</w:t>
            </w:r>
          </w:p>
          <w:p w14:paraId="3BAAEE1F" w14:textId="77777777" w:rsidR="00332C23" w:rsidRPr="00A64E41" w:rsidRDefault="00332C23" w:rsidP="00A64E41"/>
          <w:p w14:paraId="277DEE82" w14:textId="77777777" w:rsidR="00332C23" w:rsidRPr="00A64E41" w:rsidRDefault="00332C23" w:rsidP="00A64E41">
            <w:r w:rsidRPr="00A64E41">
              <w:t>This suggests who could use it, in addition the specific examples already provided.</w:t>
            </w:r>
          </w:p>
          <w:p w14:paraId="2533C380" w14:textId="77777777" w:rsidR="00332C23" w:rsidRPr="00A64E41" w:rsidRDefault="00332C23" w:rsidP="00A64E41">
            <w:r w:rsidRPr="00A64E41">
              <w:t xml:space="preserve">Current link to the Handbook of Definitions: </w:t>
            </w:r>
            <w:hyperlink r:id="rId37" w:history="1">
              <w:r w:rsidRPr="00A64E41">
                <w:rPr>
                  <w:rStyle w:val="Hyperlink"/>
                  <w:color w:val="auto"/>
                </w:rPr>
                <w:t>https://www.gov.uk/government/publications/adult-social-care-outcomes-framework-handbook-of-definitions</w:t>
              </w:r>
            </w:hyperlink>
            <w:r w:rsidRPr="00A64E41">
              <w:t xml:space="preserve"> </w:t>
            </w:r>
          </w:p>
          <w:p w14:paraId="4DDFC9E9" w14:textId="77777777" w:rsidR="00332C23" w:rsidRPr="00A64E41" w:rsidRDefault="00332C23" w:rsidP="00A64E41"/>
          <w:p w14:paraId="1D51C344" w14:textId="77777777" w:rsidR="00332C23" w:rsidRPr="00A64E41" w:rsidRDefault="00332C23" w:rsidP="00A64E41">
            <w:pPr>
              <w:rPr>
                <w:i/>
              </w:rPr>
            </w:pPr>
            <w:r w:rsidRPr="00A64E41">
              <w:rPr>
                <w:i/>
              </w:rPr>
              <w:t>This will be a caveat about the framework being considered as a whole rather than individual indicators</w:t>
            </w:r>
          </w:p>
        </w:tc>
        <w:tc>
          <w:tcPr>
            <w:tcW w:w="388" w:type="pct"/>
            <w:tcBorders>
              <w:top w:val="single" w:sz="4" w:space="0" w:color="auto"/>
              <w:left w:val="single" w:sz="4" w:space="0" w:color="auto"/>
              <w:bottom w:val="single" w:sz="4" w:space="0" w:color="auto"/>
              <w:right w:val="single" w:sz="4" w:space="0" w:color="auto"/>
            </w:tcBorders>
          </w:tcPr>
          <w:p w14:paraId="64BCD673" w14:textId="77777777" w:rsidR="00332C23" w:rsidRPr="00A64E41" w:rsidRDefault="00332C23" w:rsidP="00A64E41">
            <w:r w:rsidRPr="00A64E41">
              <w:lastRenderedPageBreak/>
              <w:t>Robyn Wilson</w:t>
            </w:r>
          </w:p>
        </w:tc>
        <w:sdt>
          <w:sdtPr>
            <w:id w:val="1890537119"/>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3B7BF64F"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1DA50A32" w14:textId="77777777" w:rsidR="00332C23" w:rsidRPr="00A64E41" w:rsidRDefault="00332C23" w:rsidP="00A64E41">
            <w:r w:rsidRPr="00A64E41">
              <w:t>Gemma Ramsay</w:t>
            </w:r>
          </w:p>
          <w:p w14:paraId="5F84DD4E" w14:textId="77777777" w:rsidR="00332C23" w:rsidRPr="00A64E41" w:rsidRDefault="00332C23" w:rsidP="00A64E41">
            <w:r w:rsidRPr="00A64E41">
              <w:lastRenderedPageBreak/>
              <w:t>(MRG Vice Chair)</w:t>
            </w:r>
          </w:p>
          <w:p w14:paraId="072ADB92" w14:textId="77777777" w:rsidR="00332C23" w:rsidRPr="00A64E41" w:rsidRDefault="00332C23" w:rsidP="00A64E41">
            <w:r w:rsidRPr="00A64E41">
              <w:t>02/05/19</w:t>
            </w:r>
          </w:p>
        </w:tc>
      </w:tr>
      <w:tr w:rsidR="00A64E41" w:rsidRPr="00A64E41" w14:paraId="7A17EDFD" w14:textId="77777777" w:rsidTr="00A64E41">
        <w:tc>
          <w:tcPr>
            <w:tcW w:w="307" w:type="pct"/>
            <w:tcBorders>
              <w:top w:val="single" w:sz="4" w:space="0" w:color="auto"/>
              <w:left w:val="single" w:sz="4" w:space="0" w:color="auto"/>
              <w:bottom w:val="single" w:sz="4" w:space="0" w:color="auto"/>
              <w:right w:val="single" w:sz="4" w:space="0" w:color="auto"/>
            </w:tcBorders>
          </w:tcPr>
          <w:p w14:paraId="42BDE7F6" w14:textId="77777777" w:rsidR="00332C23" w:rsidRPr="00A64E41" w:rsidRDefault="00332C23" w:rsidP="00A64E41">
            <w:r w:rsidRPr="00A64E41">
              <w:lastRenderedPageBreak/>
              <w:t>2.5</w:t>
            </w:r>
          </w:p>
        </w:tc>
        <w:tc>
          <w:tcPr>
            <w:tcW w:w="1613" w:type="pct"/>
            <w:tcBorders>
              <w:top w:val="single" w:sz="4" w:space="0" w:color="auto"/>
              <w:left w:val="single" w:sz="4" w:space="0" w:color="auto"/>
              <w:bottom w:val="single" w:sz="4" w:space="0" w:color="auto"/>
              <w:right w:val="single" w:sz="4" w:space="0" w:color="auto"/>
            </w:tcBorders>
          </w:tcPr>
          <w:p w14:paraId="0A789A31" w14:textId="77777777" w:rsidR="00332C23" w:rsidRPr="00A64E41" w:rsidRDefault="00332C23" w:rsidP="00A64E41">
            <w:pPr>
              <w:pStyle w:val="CommentText"/>
              <w:rPr>
                <w:sz w:val="22"/>
                <w:szCs w:val="22"/>
              </w:rPr>
            </w:pPr>
            <w:r w:rsidRPr="00A64E41">
              <w:rPr>
                <w:sz w:val="22"/>
                <w:szCs w:val="22"/>
              </w:rPr>
              <w:t>It would be useful to say something specific at the beginning of this section as to who will use the metric re information. Is there any particular organisation who has responsibility for ensuring this is adequate?</w:t>
            </w:r>
          </w:p>
        </w:tc>
        <w:tc>
          <w:tcPr>
            <w:tcW w:w="544" w:type="pct"/>
            <w:tcBorders>
              <w:top w:val="single" w:sz="4" w:space="0" w:color="auto"/>
              <w:left w:val="single" w:sz="4" w:space="0" w:color="auto"/>
              <w:bottom w:val="single" w:sz="4" w:space="0" w:color="auto"/>
              <w:right w:val="single" w:sz="4" w:space="0" w:color="auto"/>
            </w:tcBorders>
          </w:tcPr>
          <w:p w14:paraId="4FC00AC3"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1569C730" w14:textId="77777777" w:rsidR="00332C23" w:rsidRPr="00A64E41" w:rsidRDefault="00332C23" w:rsidP="00A64E41">
            <w:r w:rsidRPr="00A64E41">
              <w:t xml:space="preserve">Revised to say: </w:t>
            </w:r>
          </w:p>
          <w:p w14:paraId="160B48F1" w14:textId="77777777" w:rsidR="00332C23" w:rsidRPr="00A64E41" w:rsidRDefault="00332C23" w:rsidP="00A64E41"/>
          <w:p w14:paraId="49FA0A7C" w14:textId="77777777" w:rsidR="00332C23" w:rsidRPr="00A64E41" w:rsidRDefault="00332C23" w:rsidP="00A64E41">
            <w:r w:rsidRPr="00A64E41">
              <w:t>“The Adult Social Care Outcomes Framework (ASCOF) is used both locally and nationally to set priorities for care and support, measure progress and strengthen transparency and accountability. DHSC define the construction of the indicator and NHS Digital conform to this methodology. Local authorities also use this data for their own benchmarking purposes.”</w:t>
            </w:r>
          </w:p>
        </w:tc>
        <w:tc>
          <w:tcPr>
            <w:tcW w:w="388" w:type="pct"/>
            <w:tcBorders>
              <w:top w:val="single" w:sz="4" w:space="0" w:color="auto"/>
              <w:left w:val="single" w:sz="4" w:space="0" w:color="auto"/>
              <w:bottom w:val="single" w:sz="4" w:space="0" w:color="auto"/>
              <w:right w:val="single" w:sz="4" w:space="0" w:color="auto"/>
            </w:tcBorders>
          </w:tcPr>
          <w:p w14:paraId="18711516" w14:textId="77777777" w:rsidR="00332C23" w:rsidRPr="00A64E41" w:rsidRDefault="00332C23" w:rsidP="00A64E41">
            <w:r w:rsidRPr="00A64E41">
              <w:t>Robyn Wilson</w:t>
            </w:r>
          </w:p>
        </w:tc>
        <w:sdt>
          <w:sdtPr>
            <w:id w:val="-1255281585"/>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45429EE5"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27D68FFC" w14:textId="77777777" w:rsidR="00332C23" w:rsidRPr="00A64E41" w:rsidRDefault="00332C23" w:rsidP="00A64E41">
            <w:r w:rsidRPr="00A64E41">
              <w:t>Gemma Ramsay</w:t>
            </w:r>
          </w:p>
          <w:p w14:paraId="6D5E7363" w14:textId="77777777" w:rsidR="00332C23" w:rsidRPr="00A64E41" w:rsidRDefault="00332C23" w:rsidP="00A64E41">
            <w:r w:rsidRPr="00A64E41">
              <w:t>(MRG Vice Chair)</w:t>
            </w:r>
          </w:p>
          <w:p w14:paraId="5B7D89AF" w14:textId="77777777" w:rsidR="00332C23" w:rsidRPr="00A64E41" w:rsidRDefault="00332C23" w:rsidP="00A64E41">
            <w:r w:rsidRPr="00A64E41">
              <w:t>02/05/19</w:t>
            </w:r>
          </w:p>
        </w:tc>
      </w:tr>
      <w:tr w:rsidR="00A64E41" w:rsidRPr="00A64E41" w14:paraId="3C280919" w14:textId="77777777" w:rsidTr="00A64E41">
        <w:tc>
          <w:tcPr>
            <w:tcW w:w="307" w:type="pct"/>
            <w:tcBorders>
              <w:top w:val="single" w:sz="4" w:space="0" w:color="auto"/>
              <w:left w:val="single" w:sz="4" w:space="0" w:color="auto"/>
              <w:bottom w:val="single" w:sz="4" w:space="0" w:color="auto"/>
              <w:right w:val="single" w:sz="4" w:space="0" w:color="auto"/>
            </w:tcBorders>
          </w:tcPr>
          <w:p w14:paraId="031206F0" w14:textId="77777777" w:rsidR="00332C23" w:rsidRPr="00A64E41" w:rsidRDefault="00332C23" w:rsidP="00A64E41">
            <w:r w:rsidRPr="00A64E41">
              <w:lastRenderedPageBreak/>
              <w:t>2.5</w:t>
            </w:r>
          </w:p>
        </w:tc>
        <w:tc>
          <w:tcPr>
            <w:tcW w:w="1613" w:type="pct"/>
            <w:tcBorders>
              <w:top w:val="single" w:sz="4" w:space="0" w:color="auto"/>
              <w:left w:val="single" w:sz="4" w:space="0" w:color="auto"/>
              <w:bottom w:val="single" w:sz="4" w:space="0" w:color="auto"/>
              <w:right w:val="single" w:sz="4" w:space="0" w:color="auto"/>
            </w:tcBorders>
          </w:tcPr>
          <w:p w14:paraId="65A0DAC2" w14:textId="77777777" w:rsidR="00332C23" w:rsidRPr="00A64E41" w:rsidRDefault="00332C23" w:rsidP="00A64E41">
            <w:pPr>
              <w:pStyle w:val="CommentText"/>
              <w:rPr>
                <w:sz w:val="22"/>
                <w:szCs w:val="22"/>
              </w:rPr>
            </w:pPr>
            <w:r w:rsidRPr="00A64E41">
              <w:rPr>
                <w:sz w:val="22"/>
                <w:szCs w:val="22"/>
              </w:rPr>
              <w:t>Appraisal log says that the following text has been added to 2.5, but I cannot see it there: ‘DHSC define the construction of the indicator and NHS Digital conform to this methodology. Local authorities also use their data for their own benchmarking purposes’.</w:t>
            </w:r>
          </w:p>
        </w:tc>
        <w:tc>
          <w:tcPr>
            <w:tcW w:w="544" w:type="pct"/>
            <w:tcBorders>
              <w:top w:val="single" w:sz="4" w:space="0" w:color="auto"/>
              <w:left w:val="single" w:sz="4" w:space="0" w:color="auto"/>
              <w:bottom w:val="single" w:sz="4" w:space="0" w:color="auto"/>
              <w:right w:val="single" w:sz="4" w:space="0" w:color="auto"/>
            </w:tcBorders>
          </w:tcPr>
          <w:p w14:paraId="66F53FCF" w14:textId="77777777" w:rsidR="00332C23" w:rsidRPr="00A64E41" w:rsidRDefault="00332C23" w:rsidP="00A64E41">
            <w:r w:rsidRPr="00A64E41">
              <w:t>MRG 24/04/2019</w:t>
            </w:r>
          </w:p>
        </w:tc>
        <w:tc>
          <w:tcPr>
            <w:tcW w:w="1385" w:type="pct"/>
            <w:tcBorders>
              <w:top w:val="single" w:sz="4" w:space="0" w:color="auto"/>
              <w:left w:val="single" w:sz="4" w:space="0" w:color="auto"/>
              <w:bottom w:val="single" w:sz="4" w:space="0" w:color="auto"/>
              <w:right w:val="single" w:sz="4" w:space="0" w:color="auto"/>
            </w:tcBorders>
          </w:tcPr>
          <w:p w14:paraId="699DD84A" w14:textId="77777777" w:rsidR="00332C23" w:rsidRPr="00A64E41" w:rsidRDefault="00332C23" w:rsidP="00A64E41">
            <w:r w:rsidRPr="00A64E41">
              <w:t>Done</w:t>
            </w:r>
          </w:p>
        </w:tc>
        <w:tc>
          <w:tcPr>
            <w:tcW w:w="388" w:type="pct"/>
            <w:tcBorders>
              <w:top w:val="single" w:sz="4" w:space="0" w:color="auto"/>
              <w:left w:val="single" w:sz="4" w:space="0" w:color="auto"/>
              <w:bottom w:val="single" w:sz="4" w:space="0" w:color="auto"/>
              <w:right w:val="single" w:sz="4" w:space="0" w:color="auto"/>
            </w:tcBorders>
          </w:tcPr>
          <w:p w14:paraId="677F84E5" w14:textId="77777777" w:rsidR="00332C23" w:rsidRPr="00A64E41" w:rsidRDefault="00332C23" w:rsidP="00A64E41">
            <w:r w:rsidRPr="00A64E41">
              <w:t>IMAS</w:t>
            </w:r>
          </w:p>
        </w:tc>
        <w:sdt>
          <w:sdtPr>
            <w:id w:val="69316831"/>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221A2241"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5FA0E204" w14:textId="77777777" w:rsidR="00332C23" w:rsidRPr="00A64E41" w:rsidRDefault="00332C23" w:rsidP="00A64E41">
            <w:r w:rsidRPr="00A64E41">
              <w:t>Gemma Ramsay</w:t>
            </w:r>
          </w:p>
          <w:p w14:paraId="3A0B9B74" w14:textId="77777777" w:rsidR="00332C23" w:rsidRPr="00A64E41" w:rsidRDefault="00332C23" w:rsidP="00A64E41">
            <w:r w:rsidRPr="00A64E41">
              <w:t>(MRG Vice Chair)</w:t>
            </w:r>
          </w:p>
          <w:p w14:paraId="6A578F79" w14:textId="77777777" w:rsidR="00332C23" w:rsidRPr="00A64E41" w:rsidRDefault="00332C23" w:rsidP="00A64E41">
            <w:r w:rsidRPr="00A64E41">
              <w:t>02/05/19</w:t>
            </w:r>
          </w:p>
        </w:tc>
      </w:tr>
      <w:tr w:rsidR="00A64E41" w:rsidRPr="00A64E41" w14:paraId="4D36E9AA" w14:textId="77777777" w:rsidTr="00A64E41">
        <w:tc>
          <w:tcPr>
            <w:tcW w:w="307" w:type="pct"/>
            <w:tcBorders>
              <w:top w:val="single" w:sz="4" w:space="0" w:color="auto"/>
              <w:left w:val="single" w:sz="4" w:space="0" w:color="auto"/>
              <w:bottom w:val="single" w:sz="4" w:space="0" w:color="auto"/>
              <w:right w:val="single" w:sz="4" w:space="0" w:color="auto"/>
            </w:tcBorders>
          </w:tcPr>
          <w:p w14:paraId="66F1CC63" w14:textId="77777777" w:rsidR="00332C23" w:rsidRPr="00A64E41" w:rsidRDefault="00332C23" w:rsidP="00A64E41">
            <w:r w:rsidRPr="00A64E41">
              <w:t>2.6, 2.7</w:t>
            </w:r>
          </w:p>
        </w:tc>
        <w:tc>
          <w:tcPr>
            <w:tcW w:w="1613" w:type="pct"/>
            <w:tcBorders>
              <w:top w:val="single" w:sz="4" w:space="0" w:color="auto"/>
              <w:left w:val="single" w:sz="4" w:space="0" w:color="auto"/>
              <w:bottom w:val="single" w:sz="4" w:space="0" w:color="auto"/>
              <w:right w:val="single" w:sz="4" w:space="0" w:color="auto"/>
            </w:tcBorders>
          </w:tcPr>
          <w:p w14:paraId="653AD6AB" w14:textId="77777777" w:rsidR="00332C23" w:rsidRPr="00A64E41" w:rsidRDefault="00332C23" w:rsidP="00A64E41">
            <w:pPr>
              <w:pStyle w:val="CommentText"/>
              <w:rPr>
                <w:sz w:val="22"/>
                <w:szCs w:val="22"/>
              </w:rPr>
            </w:pPr>
            <w:r w:rsidRPr="00A64E41">
              <w:rPr>
                <w:sz w:val="22"/>
                <w:szCs w:val="22"/>
              </w:rPr>
              <w:t>Are there any other indicators like this outside ASCOF framework?</w:t>
            </w:r>
          </w:p>
        </w:tc>
        <w:tc>
          <w:tcPr>
            <w:tcW w:w="544" w:type="pct"/>
            <w:tcBorders>
              <w:top w:val="single" w:sz="4" w:space="0" w:color="auto"/>
              <w:left w:val="single" w:sz="4" w:space="0" w:color="auto"/>
              <w:bottom w:val="single" w:sz="4" w:space="0" w:color="auto"/>
              <w:right w:val="single" w:sz="4" w:space="0" w:color="auto"/>
            </w:tcBorders>
          </w:tcPr>
          <w:p w14:paraId="1D4A3CC2"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4409A1C3" w14:textId="77777777" w:rsidR="00332C23" w:rsidRPr="00A64E41" w:rsidRDefault="00332C23" w:rsidP="00A64E41">
            <w:r w:rsidRPr="00A64E41">
              <w:t>No. This has been reviewed, however there may potentially be new indicators proposed.</w:t>
            </w:r>
          </w:p>
        </w:tc>
        <w:tc>
          <w:tcPr>
            <w:tcW w:w="388" w:type="pct"/>
            <w:tcBorders>
              <w:top w:val="single" w:sz="4" w:space="0" w:color="auto"/>
              <w:left w:val="single" w:sz="4" w:space="0" w:color="auto"/>
              <w:bottom w:val="single" w:sz="4" w:space="0" w:color="auto"/>
              <w:right w:val="single" w:sz="4" w:space="0" w:color="auto"/>
            </w:tcBorders>
          </w:tcPr>
          <w:p w14:paraId="408F9406" w14:textId="77777777" w:rsidR="00332C23" w:rsidRPr="00A64E41" w:rsidRDefault="00332C23" w:rsidP="00A64E41">
            <w:r w:rsidRPr="00A64E41">
              <w:t>Robyn Wilson</w:t>
            </w:r>
          </w:p>
        </w:tc>
        <w:sdt>
          <w:sdtPr>
            <w:id w:val="-121457639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5F2E9061"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1865D027" w14:textId="77777777" w:rsidR="00332C23" w:rsidRPr="00A64E41" w:rsidRDefault="00332C23" w:rsidP="00A64E41">
            <w:r w:rsidRPr="00A64E41">
              <w:t>Gemma Ramsay</w:t>
            </w:r>
          </w:p>
          <w:p w14:paraId="14EF25C3" w14:textId="77777777" w:rsidR="00332C23" w:rsidRPr="00A64E41" w:rsidRDefault="00332C23" w:rsidP="00A64E41">
            <w:r w:rsidRPr="00A64E41">
              <w:t>(MRG Vice Chair)</w:t>
            </w:r>
          </w:p>
          <w:p w14:paraId="35886928" w14:textId="77777777" w:rsidR="00332C23" w:rsidRPr="00A64E41" w:rsidRDefault="00332C23" w:rsidP="00A64E41">
            <w:r w:rsidRPr="00A64E41">
              <w:t>02/05/19</w:t>
            </w:r>
          </w:p>
        </w:tc>
      </w:tr>
    </w:tbl>
    <w:p w14:paraId="4EAEF932" w14:textId="77777777" w:rsidR="00332C23" w:rsidRPr="00A64E41" w:rsidRDefault="00332C23" w:rsidP="00A64E41">
      <w:pPr>
        <w:rPr>
          <w:b/>
        </w:rPr>
      </w:pPr>
    </w:p>
    <w:tbl>
      <w:tblPr>
        <w:tblStyle w:val="TableGrid"/>
        <w:tblW w:w="492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
        <w:gridCol w:w="4712"/>
        <w:gridCol w:w="1589"/>
        <w:gridCol w:w="4046"/>
        <w:gridCol w:w="1133"/>
        <w:gridCol w:w="1078"/>
        <w:gridCol w:w="1151"/>
      </w:tblGrid>
      <w:tr w:rsidR="00147C16" w:rsidRPr="00A64E41" w14:paraId="043584FE" w14:textId="77777777" w:rsidTr="00A64E41">
        <w:tc>
          <w:tcPr>
            <w:tcW w:w="307" w:type="pct"/>
            <w:tcBorders>
              <w:top w:val="single" w:sz="4" w:space="0" w:color="auto"/>
              <w:left w:val="single" w:sz="4" w:space="0" w:color="auto"/>
              <w:bottom w:val="single" w:sz="4" w:space="0" w:color="auto"/>
              <w:right w:val="single" w:sz="4" w:space="0" w:color="auto"/>
            </w:tcBorders>
          </w:tcPr>
          <w:p w14:paraId="5842DA30" w14:textId="68E7A2FA" w:rsidR="00147C16" w:rsidRPr="00A64E41" w:rsidRDefault="00147C16" w:rsidP="00A64E41">
            <w:pPr>
              <w:rPr>
                <w:b/>
                <w:i/>
              </w:rPr>
            </w:pPr>
            <w:r w:rsidRPr="00A64E41">
              <w:rPr>
                <w:b/>
              </w:rPr>
              <w:t>3. Presentation and Interpretation</w:t>
            </w:r>
          </w:p>
        </w:tc>
        <w:tc>
          <w:tcPr>
            <w:tcW w:w="1613" w:type="pct"/>
            <w:tcBorders>
              <w:top w:val="single" w:sz="4" w:space="0" w:color="auto"/>
              <w:left w:val="single" w:sz="4" w:space="0" w:color="auto"/>
              <w:bottom w:val="single" w:sz="4" w:space="0" w:color="auto"/>
              <w:right w:val="single" w:sz="4" w:space="0" w:color="auto"/>
            </w:tcBorders>
          </w:tcPr>
          <w:p w14:paraId="17B95016" w14:textId="77777777" w:rsidR="00147C16" w:rsidRPr="00A64E41" w:rsidRDefault="00147C16" w:rsidP="00A64E41">
            <w:pPr>
              <w:rPr>
                <w:b/>
                <w:i/>
              </w:rPr>
            </w:pPr>
          </w:p>
        </w:tc>
        <w:tc>
          <w:tcPr>
            <w:tcW w:w="544" w:type="pct"/>
            <w:tcBorders>
              <w:top w:val="single" w:sz="4" w:space="0" w:color="auto"/>
              <w:left w:val="single" w:sz="4" w:space="0" w:color="auto"/>
              <w:bottom w:val="single" w:sz="4" w:space="0" w:color="auto"/>
              <w:right w:val="single" w:sz="4" w:space="0" w:color="auto"/>
            </w:tcBorders>
          </w:tcPr>
          <w:p w14:paraId="3B421E01" w14:textId="77777777" w:rsidR="00147C16" w:rsidRPr="00A64E41" w:rsidRDefault="00147C16" w:rsidP="00A64E41">
            <w:pPr>
              <w:rPr>
                <w:b/>
                <w:i/>
              </w:rPr>
            </w:pPr>
          </w:p>
        </w:tc>
        <w:tc>
          <w:tcPr>
            <w:tcW w:w="1385" w:type="pct"/>
            <w:tcBorders>
              <w:top w:val="single" w:sz="4" w:space="0" w:color="auto"/>
              <w:left w:val="single" w:sz="4" w:space="0" w:color="auto"/>
              <w:bottom w:val="single" w:sz="4" w:space="0" w:color="auto"/>
              <w:right w:val="single" w:sz="4" w:space="0" w:color="auto"/>
            </w:tcBorders>
          </w:tcPr>
          <w:p w14:paraId="7285E72C" w14:textId="77777777" w:rsidR="00147C16" w:rsidRPr="00A64E41" w:rsidRDefault="00147C16" w:rsidP="00A64E41">
            <w:pPr>
              <w:rPr>
                <w:b/>
                <w:i/>
              </w:rPr>
            </w:pPr>
          </w:p>
        </w:tc>
        <w:tc>
          <w:tcPr>
            <w:tcW w:w="388" w:type="pct"/>
            <w:tcBorders>
              <w:top w:val="single" w:sz="4" w:space="0" w:color="auto"/>
              <w:left w:val="single" w:sz="4" w:space="0" w:color="auto"/>
              <w:bottom w:val="single" w:sz="4" w:space="0" w:color="auto"/>
              <w:right w:val="single" w:sz="4" w:space="0" w:color="auto"/>
            </w:tcBorders>
          </w:tcPr>
          <w:p w14:paraId="160288E2" w14:textId="77777777" w:rsidR="00147C16" w:rsidRPr="00A64E41" w:rsidRDefault="00147C16" w:rsidP="00A64E41">
            <w:pPr>
              <w:rPr>
                <w:b/>
                <w:i/>
              </w:rPr>
            </w:pPr>
          </w:p>
        </w:tc>
        <w:tc>
          <w:tcPr>
            <w:tcW w:w="369" w:type="pct"/>
            <w:tcBorders>
              <w:top w:val="single" w:sz="4" w:space="0" w:color="auto"/>
              <w:left w:val="single" w:sz="4" w:space="0" w:color="auto"/>
              <w:bottom w:val="single" w:sz="4" w:space="0" w:color="auto"/>
              <w:right w:val="single" w:sz="4" w:space="0" w:color="auto"/>
            </w:tcBorders>
          </w:tcPr>
          <w:p w14:paraId="7A4A105A" w14:textId="77777777" w:rsidR="00147C16" w:rsidRPr="00A64E41" w:rsidRDefault="00147C16" w:rsidP="00A64E41">
            <w:pPr>
              <w:rPr>
                <w:b/>
                <w:i/>
              </w:rPr>
            </w:pPr>
          </w:p>
        </w:tc>
        <w:tc>
          <w:tcPr>
            <w:tcW w:w="394" w:type="pct"/>
            <w:tcBorders>
              <w:top w:val="single" w:sz="4" w:space="0" w:color="auto"/>
              <w:left w:val="single" w:sz="4" w:space="0" w:color="auto"/>
              <w:bottom w:val="single" w:sz="4" w:space="0" w:color="auto"/>
              <w:right w:val="single" w:sz="4" w:space="0" w:color="auto"/>
            </w:tcBorders>
          </w:tcPr>
          <w:p w14:paraId="06624D20" w14:textId="77777777" w:rsidR="00147C16" w:rsidRPr="00A64E41" w:rsidRDefault="00147C16" w:rsidP="00A64E41">
            <w:pPr>
              <w:rPr>
                <w:b/>
                <w:i/>
              </w:rPr>
            </w:pPr>
          </w:p>
        </w:tc>
      </w:tr>
      <w:tr w:rsidR="00A64E41" w:rsidRPr="00A64E41" w14:paraId="114380E5" w14:textId="77777777" w:rsidTr="00A64E41">
        <w:tc>
          <w:tcPr>
            <w:tcW w:w="307" w:type="pct"/>
            <w:tcBorders>
              <w:top w:val="single" w:sz="4" w:space="0" w:color="auto"/>
              <w:left w:val="single" w:sz="4" w:space="0" w:color="auto"/>
              <w:bottom w:val="single" w:sz="4" w:space="0" w:color="auto"/>
              <w:right w:val="single" w:sz="4" w:space="0" w:color="auto"/>
            </w:tcBorders>
          </w:tcPr>
          <w:p w14:paraId="3E4D2036" w14:textId="77777777" w:rsidR="00332C23" w:rsidRPr="00A64E41" w:rsidRDefault="00332C23" w:rsidP="00A64E41">
            <w:pPr>
              <w:rPr>
                <w:b/>
                <w:i/>
              </w:rPr>
            </w:pPr>
            <w:r w:rsidRPr="00A64E41">
              <w:rPr>
                <w:b/>
                <w:i/>
              </w:rPr>
              <w:t>Section</w:t>
            </w:r>
          </w:p>
        </w:tc>
        <w:tc>
          <w:tcPr>
            <w:tcW w:w="1613" w:type="pct"/>
            <w:tcBorders>
              <w:top w:val="single" w:sz="4" w:space="0" w:color="auto"/>
              <w:left w:val="single" w:sz="4" w:space="0" w:color="auto"/>
              <w:bottom w:val="single" w:sz="4" w:space="0" w:color="auto"/>
              <w:right w:val="single" w:sz="4" w:space="0" w:color="auto"/>
            </w:tcBorders>
          </w:tcPr>
          <w:p w14:paraId="2FD98D90" w14:textId="77777777" w:rsidR="00332C23" w:rsidRPr="00A64E41" w:rsidRDefault="00332C23" w:rsidP="00A64E41">
            <w:pPr>
              <w:rPr>
                <w:b/>
                <w:i/>
              </w:rPr>
            </w:pPr>
            <w:r w:rsidRPr="00A64E41">
              <w:rPr>
                <w:b/>
                <w:i/>
              </w:rPr>
              <w:t>Issue or recommendation</w:t>
            </w:r>
          </w:p>
        </w:tc>
        <w:tc>
          <w:tcPr>
            <w:tcW w:w="544" w:type="pct"/>
            <w:tcBorders>
              <w:top w:val="single" w:sz="4" w:space="0" w:color="auto"/>
              <w:left w:val="single" w:sz="4" w:space="0" w:color="auto"/>
              <w:bottom w:val="single" w:sz="4" w:space="0" w:color="auto"/>
              <w:right w:val="single" w:sz="4" w:space="0" w:color="auto"/>
            </w:tcBorders>
          </w:tcPr>
          <w:p w14:paraId="48188DE7" w14:textId="77777777" w:rsidR="00332C23" w:rsidRPr="00A64E41" w:rsidRDefault="00332C23" w:rsidP="00A64E41">
            <w:pPr>
              <w:rPr>
                <w:b/>
                <w:i/>
              </w:rPr>
            </w:pPr>
            <w:r w:rsidRPr="00A64E41">
              <w:rPr>
                <w:b/>
                <w:i/>
              </w:rPr>
              <w:t xml:space="preserve">Raised </w:t>
            </w:r>
          </w:p>
          <w:p w14:paraId="7108A06C" w14:textId="77777777" w:rsidR="00332C23" w:rsidRPr="00A64E41" w:rsidRDefault="00332C23" w:rsidP="00A64E41">
            <w:pPr>
              <w:rPr>
                <w:b/>
                <w:i/>
              </w:rPr>
            </w:pPr>
            <w:r w:rsidRPr="00A64E41">
              <w:rPr>
                <w:b/>
                <w:i/>
              </w:rPr>
              <w:t>by / Date</w:t>
            </w:r>
          </w:p>
        </w:tc>
        <w:tc>
          <w:tcPr>
            <w:tcW w:w="1385" w:type="pct"/>
            <w:tcBorders>
              <w:top w:val="single" w:sz="4" w:space="0" w:color="auto"/>
              <w:left w:val="single" w:sz="4" w:space="0" w:color="auto"/>
              <w:bottom w:val="single" w:sz="4" w:space="0" w:color="auto"/>
              <w:right w:val="single" w:sz="4" w:space="0" w:color="auto"/>
            </w:tcBorders>
          </w:tcPr>
          <w:p w14:paraId="72FF3057" w14:textId="77777777" w:rsidR="00332C23" w:rsidRPr="00A64E41" w:rsidRDefault="00332C23" w:rsidP="00A64E41">
            <w:pPr>
              <w:rPr>
                <w:b/>
                <w:i/>
              </w:rPr>
            </w:pPr>
            <w:r w:rsidRPr="00A64E41">
              <w:rPr>
                <w:b/>
                <w:i/>
              </w:rPr>
              <w:t>Response or Action taken by applicant</w:t>
            </w:r>
          </w:p>
        </w:tc>
        <w:tc>
          <w:tcPr>
            <w:tcW w:w="388" w:type="pct"/>
            <w:tcBorders>
              <w:top w:val="single" w:sz="4" w:space="0" w:color="auto"/>
              <w:left w:val="single" w:sz="4" w:space="0" w:color="auto"/>
              <w:bottom w:val="single" w:sz="4" w:space="0" w:color="auto"/>
              <w:right w:val="single" w:sz="4" w:space="0" w:color="auto"/>
            </w:tcBorders>
          </w:tcPr>
          <w:p w14:paraId="42EE6308" w14:textId="77777777" w:rsidR="00332C23" w:rsidRPr="00A64E41" w:rsidRDefault="00332C23" w:rsidP="00A64E41">
            <w:pPr>
              <w:rPr>
                <w:b/>
                <w:i/>
              </w:rPr>
            </w:pPr>
            <w:r w:rsidRPr="00A64E41">
              <w:rPr>
                <w:b/>
                <w:i/>
              </w:rPr>
              <w:t>Response by / Date</w:t>
            </w:r>
          </w:p>
        </w:tc>
        <w:tc>
          <w:tcPr>
            <w:tcW w:w="369" w:type="pct"/>
            <w:tcBorders>
              <w:top w:val="single" w:sz="4" w:space="0" w:color="auto"/>
              <w:left w:val="single" w:sz="4" w:space="0" w:color="auto"/>
              <w:bottom w:val="single" w:sz="4" w:space="0" w:color="auto"/>
              <w:right w:val="single" w:sz="4" w:space="0" w:color="auto"/>
            </w:tcBorders>
          </w:tcPr>
          <w:p w14:paraId="4E59F343" w14:textId="77777777" w:rsidR="00332C23" w:rsidRPr="00A64E41" w:rsidRDefault="00332C23" w:rsidP="00A64E41">
            <w:pPr>
              <w:rPr>
                <w:b/>
                <w:i/>
              </w:rPr>
            </w:pPr>
            <w:r w:rsidRPr="00A64E41">
              <w:rPr>
                <w:b/>
                <w:i/>
              </w:rPr>
              <w:t>Resolved</w:t>
            </w:r>
          </w:p>
        </w:tc>
        <w:tc>
          <w:tcPr>
            <w:tcW w:w="394" w:type="pct"/>
            <w:tcBorders>
              <w:top w:val="single" w:sz="4" w:space="0" w:color="auto"/>
              <w:left w:val="single" w:sz="4" w:space="0" w:color="auto"/>
              <w:bottom w:val="single" w:sz="4" w:space="0" w:color="auto"/>
              <w:right w:val="single" w:sz="4" w:space="0" w:color="auto"/>
            </w:tcBorders>
          </w:tcPr>
          <w:p w14:paraId="6BD62482" w14:textId="77777777" w:rsidR="00332C23" w:rsidRPr="00A64E41" w:rsidRDefault="00332C23" w:rsidP="00A64E41">
            <w:pPr>
              <w:rPr>
                <w:b/>
                <w:i/>
              </w:rPr>
            </w:pPr>
            <w:r w:rsidRPr="00A64E41">
              <w:rPr>
                <w:b/>
                <w:i/>
              </w:rPr>
              <w:t>Sign off by / Date</w:t>
            </w:r>
          </w:p>
        </w:tc>
      </w:tr>
      <w:tr w:rsidR="00A64E41" w:rsidRPr="00A64E41" w14:paraId="507C22B9" w14:textId="77777777" w:rsidTr="00A64E41">
        <w:tc>
          <w:tcPr>
            <w:tcW w:w="307" w:type="pct"/>
            <w:tcBorders>
              <w:top w:val="single" w:sz="4" w:space="0" w:color="auto"/>
              <w:left w:val="single" w:sz="4" w:space="0" w:color="auto"/>
              <w:bottom w:val="single" w:sz="4" w:space="0" w:color="auto"/>
              <w:right w:val="single" w:sz="4" w:space="0" w:color="auto"/>
            </w:tcBorders>
          </w:tcPr>
          <w:p w14:paraId="65B499CC" w14:textId="77777777" w:rsidR="00332C23" w:rsidRPr="00A64E41" w:rsidRDefault="00332C23" w:rsidP="00A64E41">
            <w:r w:rsidRPr="00A64E41">
              <w:t>3.2</w:t>
            </w:r>
          </w:p>
        </w:tc>
        <w:tc>
          <w:tcPr>
            <w:tcW w:w="1613" w:type="pct"/>
            <w:tcBorders>
              <w:top w:val="single" w:sz="4" w:space="0" w:color="auto"/>
              <w:left w:val="single" w:sz="4" w:space="0" w:color="auto"/>
              <w:bottom w:val="single" w:sz="4" w:space="0" w:color="auto"/>
              <w:right w:val="single" w:sz="4" w:space="0" w:color="auto"/>
            </w:tcBorders>
          </w:tcPr>
          <w:p w14:paraId="5C7D0152" w14:textId="77777777" w:rsidR="00332C23" w:rsidRPr="00A64E41" w:rsidRDefault="00332C23" w:rsidP="00A64E41">
            <w:r w:rsidRPr="00A64E41">
              <w:t>Usually the answers to this are more concrete in the sense of – it will say, this information is presented alongside XYZ indicators.</w:t>
            </w:r>
          </w:p>
        </w:tc>
        <w:tc>
          <w:tcPr>
            <w:tcW w:w="544" w:type="pct"/>
            <w:tcBorders>
              <w:top w:val="single" w:sz="4" w:space="0" w:color="auto"/>
              <w:left w:val="single" w:sz="4" w:space="0" w:color="auto"/>
              <w:bottom w:val="single" w:sz="4" w:space="0" w:color="auto"/>
              <w:right w:val="single" w:sz="4" w:space="0" w:color="auto"/>
            </w:tcBorders>
          </w:tcPr>
          <w:p w14:paraId="42A89B4D"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595AC41E" w14:textId="77777777" w:rsidR="00332C23" w:rsidRPr="00A64E41" w:rsidRDefault="00332C23" w:rsidP="00A64E41">
            <w:r w:rsidRPr="00A64E41">
              <w:rPr>
                <w:i/>
              </w:rPr>
              <w:t xml:space="preserve">Revised to say </w:t>
            </w:r>
            <w:r w:rsidRPr="00A64E41">
              <w:t>Outputs published include a narrative-based report which provides analysis of the key themes and trends in the data as well as a series of annex files which provide:</w:t>
            </w:r>
          </w:p>
          <w:p w14:paraId="0A22A95D" w14:textId="77777777" w:rsidR="00332C23" w:rsidRPr="00A64E41" w:rsidRDefault="00332C23" w:rsidP="00A64E41">
            <w:pPr>
              <w:spacing w:before="60" w:after="60"/>
            </w:pPr>
            <w:r w:rsidRPr="00A64E41">
              <w:t>a) details of the methodology and</w:t>
            </w:r>
          </w:p>
          <w:p w14:paraId="6EC80EED" w14:textId="77777777" w:rsidR="00332C23" w:rsidRPr="00A64E41" w:rsidRDefault="00332C23" w:rsidP="00A64E41">
            <w:pPr>
              <w:spacing w:before="60" w:after="60"/>
            </w:pPr>
            <w:r w:rsidRPr="00A64E41">
              <w:t>b) datasets in various formats (by question, local authority and key demographics)</w:t>
            </w:r>
          </w:p>
          <w:p w14:paraId="0BF19881" w14:textId="77777777" w:rsidR="00332C23" w:rsidRPr="00A64E41" w:rsidRDefault="00332C23" w:rsidP="00A64E41">
            <w:pPr>
              <w:spacing w:before="60" w:after="60"/>
            </w:pPr>
            <w:r w:rsidRPr="00A64E41">
              <w:t>to support further analysis by end-users.</w:t>
            </w:r>
          </w:p>
          <w:p w14:paraId="4E7450D3" w14:textId="77777777" w:rsidR="00332C23" w:rsidRPr="00A64E41" w:rsidRDefault="00332C23" w:rsidP="00A64E41">
            <w:pPr>
              <w:spacing w:before="60" w:after="60"/>
              <w:rPr>
                <w:i/>
              </w:rPr>
            </w:pPr>
          </w:p>
        </w:tc>
        <w:tc>
          <w:tcPr>
            <w:tcW w:w="388" w:type="pct"/>
            <w:tcBorders>
              <w:top w:val="single" w:sz="4" w:space="0" w:color="auto"/>
              <w:left w:val="single" w:sz="4" w:space="0" w:color="auto"/>
              <w:bottom w:val="single" w:sz="4" w:space="0" w:color="auto"/>
              <w:right w:val="single" w:sz="4" w:space="0" w:color="auto"/>
            </w:tcBorders>
          </w:tcPr>
          <w:p w14:paraId="5F4D7ED3" w14:textId="77777777" w:rsidR="00332C23" w:rsidRPr="00A64E41" w:rsidRDefault="00332C23" w:rsidP="00A64E41">
            <w:r w:rsidRPr="00A64E41">
              <w:t>Robyn Wilson</w:t>
            </w:r>
          </w:p>
        </w:tc>
        <w:sdt>
          <w:sdtPr>
            <w:id w:val="105513327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3B074C21"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220061E9" w14:textId="77777777" w:rsidR="00332C23" w:rsidRPr="00A64E41" w:rsidRDefault="00332C23" w:rsidP="00A64E41">
            <w:r w:rsidRPr="00A64E41">
              <w:t>Gemma Ramsay</w:t>
            </w:r>
          </w:p>
          <w:p w14:paraId="03B8EBE9" w14:textId="77777777" w:rsidR="00332C23" w:rsidRPr="00A64E41" w:rsidRDefault="00332C23" w:rsidP="00A64E41">
            <w:r w:rsidRPr="00A64E41">
              <w:t>(MRG Vice Chair)</w:t>
            </w:r>
          </w:p>
          <w:p w14:paraId="683EE8F6" w14:textId="77777777" w:rsidR="00332C23" w:rsidRPr="00A64E41" w:rsidRDefault="00332C23" w:rsidP="00A64E41">
            <w:r w:rsidRPr="00A64E41">
              <w:t>02/05/19</w:t>
            </w:r>
          </w:p>
        </w:tc>
      </w:tr>
      <w:tr w:rsidR="00A64E41" w:rsidRPr="00A64E41" w14:paraId="5D32B3FF" w14:textId="77777777" w:rsidTr="00A64E41">
        <w:tc>
          <w:tcPr>
            <w:tcW w:w="307" w:type="pct"/>
            <w:tcBorders>
              <w:top w:val="single" w:sz="4" w:space="0" w:color="auto"/>
              <w:left w:val="single" w:sz="4" w:space="0" w:color="auto"/>
              <w:bottom w:val="single" w:sz="4" w:space="0" w:color="auto"/>
              <w:right w:val="single" w:sz="4" w:space="0" w:color="auto"/>
            </w:tcBorders>
          </w:tcPr>
          <w:p w14:paraId="454CE8A0" w14:textId="77777777" w:rsidR="00332C23" w:rsidRPr="00A64E41" w:rsidRDefault="00332C23" w:rsidP="00A64E41">
            <w:r w:rsidRPr="00A64E41">
              <w:lastRenderedPageBreak/>
              <w:t>3.3</w:t>
            </w:r>
          </w:p>
        </w:tc>
        <w:tc>
          <w:tcPr>
            <w:tcW w:w="1613" w:type="pct"/>
            <w:tcBorders>
              <w:top w:val="single" w:sz="4" w:space="0" w:color="auto"/>
              <w:left w:val="single" w:sz="4" w:space="0" w:color="auto"/>
              <w:bottom w:val="single" w:sz="4" w:space="0" w:color="auto"/>
              <w:right w:val="single" w:sz="4" w:space="0" w:color="auto"/>
            </w:tcBorders>
          </w:tcPr>
          <w:p w14:paraId="32851EAA" w14:textId="77777777" w:rsidR="00332C23" w:rsidRPr="00A64E41" w:rsidRDefault="00332C23" w:rsidP="00A64E41">
            <w:r w:rsidRPr="00A64E41">
              <w:t>A fuller definition of what good looks like will determine if this is a quality indicator or management information.</w:t>
            </w:r>
          </w:p>
        </w:tc>
        <w:tc>
          <w:tcPr>
            <w:tcW w:w="544" w:type="pct"/>
            <w:tcBorders>
              <w:top w:val="single" w:sz="4" w:space="0" w:color="auto"/>
              <w:left w:val="single" w:sz="4" w:space="0" w:color="auto"/>
              <w:bottom w:val="single" w:sz="4" w:space="0" w:color="auto"/>
              <w:right w:val="single" w:sz="4" w:space="0" w:color="auto"/>
            </w:tcBorders>
          </w:tcPr>
          <w:p w14:paraId="37F61FBF"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782CC0DE" w14:textId="77777777" w:rsidR="00332C23" w:rsidRPr="00A64E41" w:rsidRDefault="00332C23" w:rsidP="00A64E41">
            <w:pPr>
              <w:rPr>
                <w:i/>
              </w:rPr>
            </w:pPr>
            <w:r w:rsidRPr="00A64E41">
              <w:rPr>
                <w:i/>
              </w:rPr>
              <w:t>Can’t give any more beyond what’s already provided apart from to refer again to the Handbook written by DHSC</w:t>
            </w:r>
          </w:p>
          <w:p w14:paraId="67F006B9" w14:textId="77777777" w:rsidR="00332C23" w:rsidRPr="00A64E41" w:rsidRDefault="00332C23" w:rsidP="00A64E41">
            <w:pPr>
              <w:rPr>
                <w:i/>
              </w:rPr>
            </w:pPr>
          </w:p>
          <w:p w14:paraId="7E3ECDA1" w14:textId="77777777" w:rsidR="00332C23" w:rsidRPr="00A64E41" w:rsidRDefault="00332C23" w:rsidP="00A64E41">
            <w:pPr>
              <w:rPr>
                <w:i/>
              </w:rPr>
            </w:pPr>
            <w:r w:rsidRPr="00A64E41">
              <w:t xml:space="preserve">Can’t give any more beyond what’s already provided apart from to refer again to the Handbook written by DHSC: </w:t>
            </w:r>
            <w:hyperlink r:id="rId38" w:history="1">
              <w:r w:rsidRPr="00A64E41">
                <w:rPr>
                  <w:rStyle w:val="Hyperlink"/>
                  <w:color w:val="auto"/>
                </w:rPr>
                <w:t>https://www.gov.uk/government/publications/adult-social-care-outcomes-framework-handbook-of-definitions</w:t>
              </w:r>
            </w:hyperlink>
          </w:p>
          <w:p w14:paraId="4A63A54E" w14:textId="77777777" w:rsidR="00332C23" w:rsidRPr="00A64E41" w:rsidRDefault="00332C23" w:rsidP="00A64E41">
            <w:pPr>
              <w:rPr>
                <w:i/>
              </w:rPr>
            </w:pPr>
            <w:r w:rsidRPr="00A64E41">
              <w:rPr>
                <w:i/>
              </w:rPr>
              <w:t xml:space="preserve">Do you have an ideal range? </w:t>
            </w:r>
          </w:p>
          <w:p w14:paraId="6BC97913" w14:textId="77777777" w:rsidR="00332C23" w:rsidRPr="00A64E41" w:rsidRDefault="00332C23" w:rsidP="00A64E41">
            <w:pPr>
              <w:rPr>
                <w:i/>
              </w:rPr>
            </w:pPr>
          </w:p>
          <w:p w14:paraId="2B36C2A4" w14:textId="77777777" w:rsidR="00332C23" w:rsidRPr="00A64E41" w:rsidRDefault="00332C23" w:rsidP="00A64E41">
            <w:pPr>
              <w:rPr>
                <w:i/>
              </w:rPr>
            </w:pPr>
            <w:r w:rsidRPr="00A64E41">
              <w:rPr>
                <w:i/>
              </w:rPr>
              <w:t>No.</w:t>
            </w:r>
          </w:p>
          <w:p w14:paraId="6ED5E76A" w14:textId="77777777" w:rsidR="00332C23" w:rsidRPr="00A64E41" w:rsidRDefault="00332C23" w:rsidP="00A64E41"/>
          <w:p w14:paraId="1F1BC58C" w14:textId="77777777" w:rsidR="00332C23" w:rsidRPr="00A64E41" w:rsidRDefault="00332C23" w:rsidP="00A64E41">
            <w:r w:rsidRPr="00A64E41">
              <w:rPr>
                <w:i/>
              </w:rPr>
              <w:t xml:space="preserve">This will be a caveat </w:t>
            </w:r>
          </w:p>
        </w:tc>
        <w:tc>
          <w:tcPr>
            <w:tcW w:w="388" w:type="pct"/>
            <w:tcBorders>
              <w:top w:val="single" w:sz="4" w:space="0" w:color="auto"/>
              <w:left w:val="single" w:sz="4" w:space="0" w:color="auto"/>
              <w:bottom w:val="single" w:sz="4" w:space="0" w:color="auto"/>
              <w:right w:val="single" w:sz="4" w:space="0" w:color="auto"/>
            </w:tcBorders>
          </w:tcPr>
          <w:p w14:paraId="07763F0A" w14:textId="77777777" w:rsidR="00332C23" w:rsidRPr="00A64E41" w:rsidRDefault="00332C23" w:rsidP="00A64E41">
            <w:r w:rsidRPr="00A64E41">
              <w:t>Robyn Wilson</w:t>
            </w:r>
          </w:p>
        </w:tc>
        <w:sdt>
          <w:sdtPr>
            <w:id w:val="195482988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5E5D186E"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347F1DD6" w14:textId="77777777" w:rsidR="00332C23" w:rsidRPr="00A64E41" w:rsidRDefault="00332C23" w:rsidP="00A64E41">
            <w:r w:rsidRPr="00A64E41">
              <w:t>Gemma Ramsay</w:t>
            </w:r>
          </w:p>
          <w:p w14:paraId="0BA86779" w14:textId="77777777" w:rsidR="00332C23" w:rsidRPr="00A64E41" w:rsidRDefault="00332C23" w:rsidP="00A64E41">
            <w:r w:rsidRPr="00A64E41">
              <w:t>(MRG Vice Chair)</w:t>
            </w:r>
          </w:p>
          <w:p w14:paraId="5696406F" w14:textId="77777777" w:rsidR="00332C23" w:rsidRPr="00A64E41" w:rsidRDefault="00332C23" w:rsidP="00A64E41">
            <w:r w:rsidRPr="00A64E41">
              <w:t>02/05/19</w:t>
            </w:r>
          </w:p>
        </w:tc>
      </w:tr>
      <w:tr w:rsidR="00A64E41" w:rsidRPr="00A64E41" w14:paraId="5DEDF635" w14:textId="77777777" w:rsidTr="00A64E41">
        <w:tc>
          <w:tcPr>
            <w:tcW w:w="307" w:type="pct"/>
            <w:tcBorders>
              <w:top w:val="single" w:sz="4" w:space="0" w:color="auto"/>
              <w:left w:val="single" w:sz="4" w:space="0" w:color="auto"/>
              <w:bottom w:val="single" w:sz="4" w:space="0" w:color="auto"/>
              <w:right w:val="single" w:sz="4" w:space="0" w:color="auto"/>
            </w:tcBorders>
          </w:tcPr>
          <w:p w14:paraId="7D301706" w14:textId="77777777" w:rsidR="00332C23" w:rsidRPr="00A64E41" w:rsidRDefault="00332C23" w:rsidP="00A64E41">
            <w:r w:rsidRPr="00A64E41">
              <w:t>3.3</w:t>
            </w:r>
          </w:p>
        </w:tc>
        <w:tc>
          <w:tcPr>
            <w:tcW w:w="1613" w:type="pct"/>
            <w:tcBorders>
              <w:top w:val="single" w:sz="4" w:space="0" w:color="auto"/>
              <w:left w:val="single" w:sz="4" w:space="0" w:color="auto"/>
              <w:bottom w:val="single" w:sz="4" w:space="0" w:color="auto"/>
              <w:right w:val="single" w:sz="4" w:space="0" w:color="auto"/>
            </w:tcBorders>
          </w:tcPr>
          <w:p w14:paraId="38F035C5" w14:textId="77777777" w:rsidR="00332C23" w:rsidRPr="00A64E41" w:rsidRDefault="00332C23" w:rsidP="00A64E41">
            <w:r w:rsidRPr="00A64E41">
              <w:t>Does "generally speaking" mean that sometimes low is better? Or, as explained in the next sentence that high scores may be unreliable?</w:t>
            </w:r>
          </w:p>
        </w:tc>
        <w:tc>
          <w:tcPr>
            <w:tcW w:w="544" w:type="pct"/>
            <w:tcBorders>
              <w:top w:val="single" w:sz="4" w:space="0" w:color="auto"/>
              <w:left w:val="single" w:sz="4" w:space="0" w:color="auto"/>
              <w:bottom w:val="single" w:sz="4" w:space="0" w:color="auto"/>
              <w:right w:val="single" w:sz="4" w:space="0" w:color="auto"/>
            </w:tcBorders>
          </w:tcPr>
          <w:p w14:paraId="724B9251"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58391FC4" w14:textId="77777777" w:rsidR="00332C23" w:rsidRPr="00A64E41" w:rsidRDefault="00332C23" w:rsidP="00A64E41">
            <w:pPr>
              <w:rPr>
                <w:i/>
              </w:rPr>
            </w:pPr>
            <w:r w:rsidRPr="00A64E41">
              <w:rPr>
                <w:i/>
              </w:rPr>
              <w:t>Removed – was written as if talking about all ASCOF indicators rather than this one</w:t>
            </w:r>
          </w:p>
        </w:tc>
        <w:tc>
          <w:tcPr>
            <w:tcW w:w="388" w:type="pct"/>
            <w:tcBorders>
              <w:top w:val="single" w:sz="4" w:space="0" w:color="auto"/>
              <w:left w:val="single" w:sz="4" w:space="0" w:color="auto"/>
              <w:bottom w:val="single" w:sz="4" w:space="0" w:color="auto"/>
              <w:right w:val="single" w:sz="4" w:space="0" w:color="auto"/>
            </w:tcBorders>
          </w:tcPr>
          <w:p w14:paraId="2284833D" w14:textId="77777777" w:rsidR="00332C23" w:rsidRPr="00A64E41" w:rsidRDefault="00332C23" w:rsidP="00A64E41">
            <w:r w:rsidRPr="00A64E41">
              <w:t>Robyn Wilson</w:t>
            </w:r>
          </w:p>
        </w:tc>
        <w:sdt>
          <w:sdtPr>
            <w:id w:val="2135363983"/>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50AB7741"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5D0AC603" w14:textId="77777777" w:rsidR="00332C23" w:rsidRPr="00A64E41" w:rsidRDefault="00332C23" w:rsidP="00A64E41">
            <w:r w:rsidRPr="00A64E41">
              <w:t>Gemma Ramsay</w:t>
            </w:r>
          </w:p>
          <w:p w14:paraId="015B5349" w14:textId="77777777" w:rsidR="00332C23" w:rsidRPr="00A64E41" w:rsidRDefault="00332C23" w:rsidP="00A64E41">
            <w:r w:rsidRPr="00A64E41">
              <w:t>(MRG Vice Chair)</w:t>
            </w:r>
          </w:p>
          <w:p w14:paraId="2796C41B" w14:textId="77777777" w:rsidR="00332C23" w:rsidRPr="00A64E41" w:rsidRDefault="00332C23" w:rsidP="00A64E41">
            <w:r w:rsidRPr="00A64E41">
              <w:t>02/05/19</w:t>
            </w:r>
          </w:p>
        </w:tc>
      </w:tr>
      <w:tr w:rsidR="00A64E41" w:rsidRPr="00A64E41" w14:paraId="3DA94ABA" w14:textId="77777777" w:rsidTr="00A64E41">
        <w:tc>
          <w:tcPr>
            <w:tcW w:w="307" w:type="pct"/>
            <w:tcBorders>
              <w:top w:val="single" w:sz="4" w:space="0" w:color="auto"/>
              <w:left w:val="single" w:sz="4" w:space="0" w:color="auto"/>
              <w:bottom w:val="single" w:sz="4" w:space="0" w:color="auto"/>
              <w:right w:val="single" w:sz="4" w:space="0" w:color="auto"/>
            </w:tcBorders>
          </w:tcPr>
          <w:p w14:paraId="0D0B2FA7" w14:textId="77777777" w:rsidR="00332C23" w:rsidRPr="00A64E41" w:rsidRDefault="00332C23" w:rsidP="00A64E41">
            <w:r w:rsidRPr="00A64E41">
              <w:t>3.3</w:t>
            </w:r>
          </w:p>
        </w:tc>
        <w:tc>
          <w:tcPr>
            <w:tcW w:w="1613" w:type="pct"/>
            <w:tcBorders>
              <w:top w:val="single" w:sz="4" w:space="0" w:color="auto"/>
              <w:left w:val="single" w:sz="4" w:space="0" w:color="auto"/>
              <w:bottom w:val="single" w:sz="4" w:space="0" w:color="auto"/>
              <w:right w:val="single" w:sz="4" w:space="0" w:color="auto"/>
            </w:tcBorders>
          </w:tcPr>
          <w:p w14:paraId="012FD41E" w14:textId="77777777" w:rsidR="00332C23" w:rsidRPr="00A64E41" w:rsidRDefault="00332C23" w:rsidP="00A64E41">
            <w:r w:rsidRPr="00A64E41">
              <w:t>“Proportion of respondents”</w:t>
            </w:r>
          </w:p>
          <w:p w14:paraId="22E92A17" w14:textId="77777777" w:rsidR="00332C23" w:rsidRPr="00A64E41" w:rsidRDefault="00332C23" w:rsidP="00A64E41"/>
          <w:p w14:paraId="660067C1" w14:textId="77C39160" w:rsidR="00332C23" w:rsidRPr="00A64E41" w:rsidRDefault="00332C23" w:rsidP="00A64E41">
            <w:r w:rsidRPr="00A64E41">
              <w:t>Define respondents, i.e. social service users</w:t>
            </w:r>
          </w:p>
        </w:tc>
        <w:tc>
          <w:tcPr>
            <w:tcW w:w="544" w:type="pct"/>
            <w:tcBorders>
              <w:top w:val="single" w:sz="4" w:space="0" w:color="auto"/>
              <w:left w:val="single" w:sz="4" w:space="0" w:color="auto"/>
              <w:bottom w:val="single" w:sz="4" w:space="0" w:color="auto"/>
              <w:right w:val="single" w:sz="4" w:space="0" w:color="auto"/>
            </w:tcBorders>
          </w:tcPr>
          <w:p w14:paraId="389953AF"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6D2C2668" w14:textId="77777777" w:rsidR="00332C23" w:rsidRPr="00A64E41" w:rsidRDefault="00332C23" w:rsidP="00A64E41">
            <w:pPr>
              <w:rPr>
                <w:i/>
              </w:rPr>
            </w:pPr>
            <w:r w:rsidRPr="00A64E41">
              <w:rPr>
                <w:i/>
              </w:rPr>
              <w:t>Done</w:t>
            </w:r>
          </w:p>
        </w:tc>
        <w:tc>
          <w:tcPr>
            <w:tcW w:w="388" w:type="pct"/>
            <w:tcBorders>
              <w:top w:val="single" w:sz="4" w:space="0" w:color="auto"/>
              <w:left w:val="single" w:sz="4" w:space="0" w:color="auto"/>
              <w:bottom w:val="single" w:sz="4" w:space="0" w:color="auto"/>
              <w:right w:val="single" w:sz="4" w:space="0" w:color="auto"/>
            </w:tcBorders>
          </w:tcPr>
          <w:p w14:paraId="51CA48B5" w14:textId="77777777" w:rsidR="00332C23" w:rsidRPr="00A64E41" w:rsidRDefault="00332C23" w:rsidP="00A64E41">
            <w:r w:rsidRPr="00A64E41">
              <w:t>Robyn Wilson</w:t>
            </w:r>
          </w:p>
        </w:tc>
        <w:sdt>
          <w:sdtPr>
            <w:id w:val="-624311931"/>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58543B5E"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32766967" w14:textId="77777777" w:rsidR="00332C23" w:rsidRPr="00A64E41" w:rsidRDefault="00332C23" w:rsidP="00A64E41">
            <w:r w:rsidRPr="00A64E41">
              <w:t>Gemma Ramsay</w:t>
            </w:r>
          </w:p>
          <w:p w14:paraId="03B66F9C" w14:textId="77777777" w:rsidR="00332C23" w:rsidRPr="00A64E41" w:rsidRDefault="00332C23" w:rsidP="00A64E41">
            <w:r w:rsidRPr="00A64E41">
              <w:t>(MRG Vice Chair)</w:t>
            </w:r>
          </w:p>
          <w:p w14:paraId="08E46953" w14:textId="77777777" w:rsidR="00332C23" w:rsidRPr="00A64E41" w:rsidRDefault="00332C23" w:rsidP="00A64E41">
            <w:r w:rsidRPr="00A64E41">
              <w:t>02/05/19</w:t>
            </w:r>
          </w:p>
        </w:tc>
      </w:tr>
      <w:tr w:rsidR="00A64E41" w:rsidRPr="00A64E41" w14:paraId="5A84F452" w14:textId="77777777" w:rsidTr="00A64E41">
        <w:tc>
          <w:tcPr>
            <w:tcW w:w="307" w:type="pct"/>
            <w:tcBorders>
              <w:top w:val="single" w:sz="4" w:space="0" w:color="auto"/>
              <w:left w:val="single" w:sz="4" w:space="0" w:color="auto"/>
              <w:bottom w:val="single" w:sz="4" w:space="0" w:color="auto"/>
              <w:right w:val="single" w:sz="4" w:space="0" w:color="auto"/>
            </w:tcBorders>
          </w:tcPr>
          <w:p w14:paraId="22A4968B" w14:textId="77777777" w:rsidR="00332C23" w:rsidRPr="00A64E41" w:rsidRDefault="00332C23" w:rsidP="00A64E41">
            <w:r w:rsidRPr="00A64E41">
              <w:t>3.3</w:t>
            </w:r>
          </w:p>
        </w:tc>
        <w:tc>
          <w:tcPr>
            <w:tcW w:w="1613" w:type="pct"/>
            <w:tcBorders>
              <w:top w:val="single" w:sz="4" w:space="0" w:color="auto"/>
              <w:left w:val="single" w:sz="4" w:space="0" w:color="auto"/>
              <w:bottom w:val="single" w:sz="4" w:space="0" w:color="auto"/>
              <w:right w:val="single" w:sz="4" w:space="0" w:color="auto"/>
            </w:tcBorders>
          </w:tcPr>
          <w:p w14:paraId="1F30053A" w14:textId="77777777" w:rsidR="00332C23" w:rsidRPr="00A64E41" w:rsidRDefault="00332C23" w:rsidP="00A64E41">
            <w:r w:rsidRPr="00A64E41">
              <w:t>Which year are these figures from?</w:t>
            </w:r>
          </w:p>
        </w:tc>
        <w:tc>
          <w:tcPr>
            <w:tcW w:w="544" w:type="pct"/>
            <w:tcBorders>
              <w:top w:val="single" w:sz="4" w:space="0" w:color="auto"/>
              <w:left w:val="single" w:sz="4" w:space="0" w:color="auto"/>
              <w:bottom w:val="single" w:sz="4" w:space="0" w:color="auto"/>
              <w:right w:val="single" w:sz="4" w:space="0" w:color="auto"/>
            </w:tcBorders>
          </w:tcPr>
          <w:p w14:paraId="1045346D"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49F8EF79" w14:textId="77777777" w:rsidR="00332C23" w:rsidRPr="00A64E41" w:rsidRDefault="00332C23" w:rsidP="00A64E41">
            <w:pPr>
              <w:rPr>
                <w:i/>
              </w:rPr>
            </w:pPr>
            <w:r w:rsidRPr="00A64E41">
              <w:rPr>
                <w:i/>
              </w:rPr>
              <w:t>2017/18</w:t>
            </w:r>
          </w:p>
        </w:tc>
        <w:tc>
          <w:tcPr>
            <w:tcW w:w="388" w:type="pct"/>
            <w:tcBorders>
              <w:top w:val="single" w:sz="4" w:space="0" w:color="auto"/>
              <w:left w:val="single" w:sz="4" w:space="0" w:color="auto"/>
              <w:bottom w:val="single" w:sz="4" w:space="0" w:color="auto"/>
              <w:right w:val="single" w:sz="4" w:space="0" w:color="auto"/>
            </w:tcBorders>
          </w:tcPr>
          <w:p w14:paraId="6E07BF6F" w14:textId="77777777" w:rsidR="00332C23" w:rsidRPr="00A64E41" w:rsidRDefault="00332C23" w:rsidP="00A64E41">
            <w:r w:rsidRPr="00A64E41">
              <w:t>Robyn Wilson</w:t>
            </w:r>
          </w:p>
        </w:tc>
        <w:sdt>
          <w:sdtPr>
            <w:id w:val="1640145641"/>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3A47F44B"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7573BB88" w14:textId="77777777" w:rsidR="00332C23" w:rsidRPr="00A64E41" w:rsidRDefault="00332C23" w:rsidP="00A64E41">
            <w:r w:rsidRPr="00A64E41">
              <w:t>Gemma Ramsay</w:t>
            </w:r>
          </w:p>
          <w:p w14:paraId="73EE4BE3" w14:textId="77777777" w:rsidR="00332C23" w:rsidRPr="00A64E41" w:rsidRDefault="00332C23" w:rsidP="00A64E41">
            <w:r w:rsidRPr="00A64E41">
              <w:t>(MRG Vice Chair)</w:t>
            </w:r>
          </w:p>
          <w:p w14:paraId="17E22A7E" w14:textId="77777777" w:rsidR="00332C23" w:rsidRPr="00A64E41" w:rsidRDefault="00332C23" w:rsidP="00A64E41">
            <w:r w:rsidRPr="00A64E41">
              <w:t>02/05/19</w:t>
            </w:r>
          </w:p>
        </w:tc>
      </w:tr>
      <w:tr w:rsidR="00A64E41" w:rsidRPr="00A64E41" w14:paraId="7DD053F2" w14:textId="77777777" w:rsidTr="00A64E41">
        <w:tc>
          <w:tcPr>
            <w:tcW w:w="307" w:type="pct"/>
            <w:tcBorders>
              <w:top w:val="single" w:sz="4" w:space="0" w:color="auto"/>
              <w:left w:val="single" w:sz="4" w:space="0" w:color="auto"/>
              <w:bottom w:val="single" w:sz="4" w:space="0" w:color="auto"/>
              <w:right w:val="single" w:sz="4" w:space="0" w:color="auto"/>
            </w:tcBorders>
          </w:tcPr>
          <w:p w14:paraId="399DD1BE" w14:textId="77777777" w:rsidR="00332C23" w:rsidRPr="00A64E41" w:rsidRDefault="00332C23" w:rsidP="00A64E41">
            <w:r w:rsidRPr="00A64E41">
              <w:lastRenderedPageBreak/>
              <w:t>3.3</w:t>
            </w:r>
          </w:p>
        </w:tc>
        <w:tc>
          <w:tcPr>
            <w:tcW w:w="1613" w:type="pct"/>
            <w:tcBorders>
              <w:top w:val="single" w:sz="4" w:space="0" w:color="auto"/>
              <w:left w:val="single" w:sz="4" w:space="0" w:color="auto"/>
              <w:bottom w:val="single" w:sz="4" w:space="0" w:color="auto"/>
              <w:right w:val="single" w:sz="4" w:space="0" w:color="auto"/>
            </w:tcBorders>
          </w:tcPr>
          <w:p w14:paraId="76844BB3" w14:textId="52ED2B03" w:rsidR="00332C23" w:rsidRPr="00A64E41" w:rsidRDefault="00332C23" w:rsidP="00A64E41">
            <w:r w:rsidRPr="00A64E41">
              <w:t>We don't ask for evidence of variability on this form (not sure why not) but it is helpfully provided here anyway - however we need to know whether there is significant variation, i.e. how many LA values are significantly higher or lower than the England value - if not very many are, the indicator isn't useful.</w:t>
            </w:r>
          </w:p>
        </w:tc>
        <w:tc>
          <w:tcPr>
            <w:tcW w:w="544" w:type="pct"/>
            <w:tcBorders>
              <w:top w:val="single" w:sz="4" w:space="0" w:color="auto"/>
              <w:left w:val="single" w:sz="4" w:space="0" w:color="auto"/>
              <w:bottom w:val="single" w:sz="4" w:space="0" w:color="auto"/>
              <w:right w:val="single" w:sz="4" w:space="0" w:color="auto"/>
            </w:tcBorders>
          </w:tcPr>
          <w:p w14:paraId="4C58FE86"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0D29351F" w14:textId="77777777" w:rsidR="00332C23" w:rsidRPr="00A64E41" w:rsidRDefault="00332C23" w:rsidP="00A64E41">
            <w:pPr>
              <w:rPr>
                <w:i/>
                <w:iCs/>
              </w:rPr>
            </w:pPr>
            <w:r w:rsidRPr="00A64E41">
              <w:t>We do not currently have this information</w:t>
            </w:r>
            <w:r w:rsidRPr="00A64E41">
              <w:rPr>
                <w:iCs/>
              </w:rPr>
              <w:t xml:space="preserve"> </w:t>
            </w:r>
          </w:p>
          <w:p w14:paraId="00E7A2F5" w14:textId="77777777" w:rsidR="00332C23" w:rsidRPr="00A64E41" w:rsidRDefault="00332C23" w:rsidP="00A64E41">
            <w:pPr>
              <w:rPr>
                <w:i/>
                <w:iCs/>
              </w:rPr>
            </w:pPr>
          </w:p>
          <w:p w14:paraId="5163496D" w14:textId="77777777" w:rsidR="00332C23" w:rsidRPr="00A64E41" w:rsidRDefault="00332C23" w:rsidP="00A64E41">
            <w:r w:rsidRPr="00A64E41">
              <w:rPr>
                <w:i/>
                <w:iCs/>
              </w:rPr>
              <w:t>Member suggestion below, see next 3.3 comment</w:t>
            </w:r>
          </w:p>
        </w:tc>
        <w:tc>
          <w:tcPr>
            <w:tcW w:w="388" w:type="pct"/>
            <w:tcBorders>
              <w:top w:val="single" w:sz="4" w:space="0" w:color="auto"/>
              <w:left w:val="single" w:sz="4" w:space="0" w:color="auto"/>
              <w:bottom w:val="single" w:sz="4" w:space="0" w:color="auto"/>
              <w:right w:val="single" w:sz="4" w:space="0" w:color="auto"/>
            </w:tcBorders>
          </w:tcPr>
          <w:p w14:paraId="6904ABD2" w14:textId="77777777" w:rsidR="00332C23" w:rsidRPr="00A64E41" w:rsidRDefault="00332C23" w:rsidP="00A64E41">
            <w:r w:rsidRPr="00A64E41">
              <w:t>Robyn Wilson</w:t>
            </w:r>
          </w:p>
        </w:tc>
        <w:sdt>
          <w:sdtPr>
            <w:id w:val="-1877768288"/>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734078B1"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0B63239A" w14:textId="77777777" w:rsidR="00332C23" w:rsidRPr="00A64E41" w:rsidRDefault="00332C23" w:rsidP="00A64E41">
            <w:r w:rsidRPr="00A64E41">
              <w:t>Gemma Ramsay</w:t>
            </w:r>
          </w:p>
          <w:p w14:paraId="755983D0" w14:textId="77777777" w:rsidR="00332C23" w:rsidRPr="00A64E41" w:rsidRDefault="00332C23" w:rsidP="00A64E41">
            <w:r w:rsidRPr="00A64E41">
              <w:t>(MRG Vice Chair)</w:t>
            </w:r>
          </w:p>
          <w:p w14:paraId="0622BD99" w14:textId="77777777" w:rsidR="00332C23" w:rsidRPr="00A64E41" w:rsidRDefault="00332C23" w:rsidP="00A64E41">
            <w:r w:rsidRPr="00A64E41">
              <w:t>02/05/19</w:t>
            </w:r>
          </w:p>
        </w:tc>
      </w:tr>
      <w:tr w:rsidR="00A64E41" w:rsidRPr="00A64E41" w14:paraId="0EDFDB4E" w14:textId="77777777" w:rsidTr="00A64E41">
        <w:tc>
          <w:tcPr>
            <w:tcW w:w="307" w:type="pct"/>
            <w:tcBorders>
              <w:top w:val="single" w:sz="4" w:space="0" w:color="auto"/>
              <w:left w:val="single" w:sz="4" w:space="0" w:color="auto"/>
              <w:bottom w:val="single" w:sz="4" w:space="0" w:color="auto"/>
              <w:right w:val="single" w:sz="4" w:space="0" w:color="auto"/>
            </w:tcBorders>
          </w:tcPr>
          <w:p w14:paraId="3C31620D" w14:textId="77777777" w:rsidR="00332C23" w:rsidRPr="00A64E41" w:rsidRDefault="00332C23" w:rsidP="00A64E41">
            <w:r w:rsidRPr="00A64E41">
              <w:t>3.3</w:t>
            </w:r>
          </w:p>
        </w:tc>
        <w:tc>
          <w:tcPr>
            <w:tcW w:w="1613" w:type="pct"/>
            <w:tcBorders>
              <w:top w:val="single" w:sz="4" w:space="0" w:color="auto"/>
              <w:left w:val="single" w:sz="4" w:space="0" w:color="auto"/>
              <w:bottom w:val="single" w:sz="4" w:space="0" w:color="auto"/>
              <w:right w:val="single" w:sz="4" w:space="0" w:color="auto"/>
            </w:tcBorders>
          </w:tcPr>
          <w:p w14:paraId="4D8B5F5E" w14:textId="77777777" w:rsidR="00332C23" w:rsidRPr="00A64E41" w:rsidRDefault="00332C23" w:rsidP="00A64E41">
            <w:r w:rsidRPr="00A64E41">
              <w:rPr>
                <w:i/>
              </w:rPr>
              <w:t xml:space="preserve">(In response to previous comment) </w:t>
            </w:r>
            <w:r w:rsidRPr="00A64E41">
              <w:t>Appraisal form asked about how many LA values were significantly higher or lower than England, and respondent answered that they didn’t have that information. But results get published with a ‘margin of error’ – couldn’t that be used to answer the question about significance?</w:t>
            </w:r>
          </w:p>
        </w:tc>
        <w:tc>
          <w:tcPr>
            <w:tcW w:w="544" w:type="pct"/>
            <w:tcBorders>
              <w:top w:val="single" w:sz="4" w:space="0" w:color="auto"/>
              <w:left w:val="single" w:sz="4" w:space="0" w:color="auto"/>
              <w:bottom w:val="single" w:sz="4" w:space="0" w:color="auto"/>
              <w:right w:val="single" w:sz="4" w:space="0" w:color="auto"/>
            </w:tcBorders>
          </w:tcPr>
          <w:p w14:paraId="76D68066" w14:textId="77777777" w:rsidR="00332C23" w:rsidRPr="00A64E41" w:rsidRDefault="00332C23" w:rsidP="00A64E41">
            <w:r w:rsidRPr="00A64E41">
              <w:t>MRG 24/034/2019</w:t>
            </w:r>
          </w:p>
        </w:tc>
        <w:tc>
          <w:tcPr>
            <w:tcW w:w="1385" w:type="pct"/>
            <w:tcBorders>
              <w:top w:val="single" w:sz="4" w:space="0" w:color="auto"/>
              <w:left w:val="single" w:sz="4" w:space="0" w:color="auto"/>
              <w:bottom w:val="single" w:sz="4" w:space="0" w:color="auto"/>
              <w:right w:val="single" w:sz="4" w:space="0" w:color="auto"/>
            </w:tcBorders>
          </w:tcPr>
          <w:p w14:paraId="1E08AE6F" w14:textId="77777777" w:rsidR="00332C23" w:rsidRPr="00A64E41" w:rsidRDefault="00332C23" w:rsidP="00A64E41">
            <w:pPr>
              <w:rPr>
                <w:i/>
                <w:iCs/>
              </w:rPr>
            </w:pPr>
            <w:r w:rsidRPr="00A64E41">
              <w:rPr>
                <w:iCs/>
              </w:rPr>
              <w:t>We do not currently have this information as it would require additional calculations that are not currently published.</w:t>
            </w:r>
          </w:p>
        </w:tc>
        <w:tc>
          <w:tcPr>
            <w:tcW w:w="388" w:type="pct"/>
            <w:tcBorders>
              <w:top w:val="single" w:sz="4" w:space="0" w:color="auto"/>
              <w:left w:val="single" w:sz="4" w:space="0" w:color="auto"/>
              <w:bottom w:val="single" w:sz="4" w:space="0" w:color="auto"/>
              <w:right w:val="single" w:sz="4" w:space="0" w:color="auto"/>
            </w:tcBorders>
          </w:tcPr>
          <w:p w14:paraId="4E18A905" w14:textId="77777777" w:rsidR="00332C23" w:rsidRPr="00A64E41" w:rsidRDefault="00332C23" w:rsidP="00A64E41">
            <w:r w:rsidRPr="00A64E41">
              <w:t>Robyn Wilson</w:t>
            </w:r>
          </w:p>
        </w:tc>
        <w:sdt>
          <w:sdtPr>
            <w:id w:val="113606434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231916B6"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1488FB31" w14:textId="77777777" w:rsidR="00332C23" w:rsidRPr="00A64E41" w:rsidRDefault="00332C23" w:rsidP="00A64E41">
            <w:r w:rsidRPr="00A64E41">
              <w:t>Gemma Ramsay</w:t>
            </w:r>
          </w:p>
          <w:p w14:paraId="66194DAE" w14:textId="77777777" w:rsidR="00332C23" w:rsidRPr="00A64E41" w:rsidRDefault="00332C23" w:rsidP="00A64E41">
            <w:r w:rsidRPr="00A64E41">
              <w:t>(MRG Vice Chair)</w:t>
            </w:r>
          </w:p>
          <w:p w14:paraId="73C605F7" w14:textId="77777777" w:rsidR="00332C23" w:rsidRPr="00A64E41" w:rsidRDefault="00332C23" w:rsidP="00A64E41">
            <w:r w:rsidRPr="00A64E41">
              <w:t>02/05/19</w:t>
            </w:r>
          </w:p>
        </w:tc>
      </w:tr>
      <w:tr w:rsidR="00A64E41" w:rsidRPr="00A64E41" w14:paraId="2D6415AF" w14:textId="77777777" w:rsidTr="00A64E41">
        <w:tc>
          <w:tcPr>
            <w:tcW w:w="307" w:type="pct"/>
            <w:tcBorders>
              <w:top w:val="single" w:sz="4" w:space="0" w:color="auto"/>
              <w:left w:val="single" w:sz="4" w:space="0" w:color="auto"/>
              <w:bottom w:val="single" w:sz="4" w:space="0" w:color="auto"/>
              <w:right w:val="single" w:sz="4" w:space="0" w:color="auto"/>
            </w:tcBorders>
          </w:tcPr>
          <w:p w14:paraId="3CECFB81" w14:textId="77777777" w:rsidR="00332C23" w:rsidRPr="00A64E41" w:rsidRDefault="00332C23" w:rsidP="00A64E41">
            <w:r w:rsidRPr="00A64E41">
              <w:t>3.4</w:t>
            </w:r>
          </w:p>
        </w:tc>
        <w:tc>
          <w:tcPr>
            <w:tcW w:w="1613" w:type="pct"/>
            <w:tcBorders>
              <w:top w:val="single" w:sz="4" w:space="0" w:color="auto"/>
              <w:left w:val="single" w:sz="4" w:space="0" w:color="auto"/>
              <w:bottom w:val="single" w:sz="4" w:space="0" w:color="auto"/>
              <w:right w:val="single" w:sz="4" w:space="0" w:color="auto"/>
            </w:tcBorders>
          </w:tcPr>
          <w:p w14:paraId="6A79583B" w14:textId="77777777" w:rsidR="00332C23" w:rsidRPr="00A64E41" w:rsidRDefault="00332C23" w:rsidP="00A64E41">
            <w:r w:rsidRPr="00A64E41">
              <w:t>What does evidence (research) or professional (practitioner) opinion suggest here? There needs to be an evidence base for what good looks like.</w:t>
            </w:r>
          </w:p>
        </w:tc>
        <w:tc>
          <w:tcPr>
            <w:tcW w:w="544" w:type="pct"/>
            <w:tcBorders>
              <w:top w:val="single" w:sz="4" w:space="0" w:color="auto"/>
              <w:left w:val="single" w:sz="4" w:space="0" w:color="auto"/>
              <w:bottom w:val="single" w:sz="4" w:space="0" w:color="auto"/>
              <w:right w:val="single" w:sz="4" w:space="0" w:color="auto"/>
            </w:tcBorders>
          </w:tcPr>
          <w:p w14:paraId="4C3ABD81"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0484D130" w14:textId="77777777" w:rsidR="00332C23" w:rsidRPr="00A64E41" w:rsidRDefault="00332C23" w:rsidP="00A64E41">
            <w:r w:rsidRPr="00A64E41">
              <w:t>Can only refer back to the ASCOT and PSSRU developments which used evidence and practitioner involvement</w:t>
            </w:r>
          </w:p>
        </w:tc>
        <w:tc>
          <w:tcPr>
            <w:tcW w:w="388" w:type="pct"/>
            <w:tcBorders>
              <w:top w:val="single" w:sz="4" w:space="0" w:color="auto"/>
              <w:left w:val="single" w:sz="4" w:space="0" w:color="auto"/>
              <w:bottom w:val="single" w:sz="4" w:space="0" w:color="auto"/>
              <w:right w:val="single" w:sz="4" w:space="0" w:color="auto"/>
            </w:tcBorders>
          </w:tcPr>
          <w:p w14:paraId="7659D150" w14:textId="77777777" w:rsidR="00332C23" w:rsidRPr="00A64E41" w:rsidRDefault="00332C23" w:rsidP="00A64E41">
            <w:r w:rsidRPr="00A64E41">
              <w:t>Robyn Wilson</w:t>
            </w:r>
          </w:p>
        </w:tc>
        <w:sdt>
          <w:sdtPr>
            <w:id w:val="-1693065235"/>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6EBFD0B6"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4FB6D0A0" w14:textId="77777777" w:rsidR="00332C23" w:rsidRPr="00A64E41" w:rsidRDefault="00332C23" w:rsidP="00A64E41">
            <w:r w:rsidRPr="00A64E41">
              <w:t>Gemma Ramsay</w:t>
            </w:r>
          </w:p>
          <w:p w14:paraId="336E635E" w14:textId="77777777" w:rsidR="00332C23" w:rsidRPr="00A64E41" w:rsidRDefault="00332C23" w:rsidP="00A64E41">
            <w:r w:rsidRPr="00A64E41">
              <w:t>(MRG Vice Chair)</w:t>
            </w:r>
          </w:p>
          <w:p w14:paraId="2CE6CD70" w14:textId="77777777" w:rsidR="00332C23" w:rsidRPr="00A64E41" w:rsidRDefault="00332C23" w:rsidP="00A64E41">
            <w:r w:rsidRPr="00A64E41">
              <w:t>02/05/19</w:t>
            </w:r>
          </w:p>
        </w:tc>
      </w:tr>
      <w:tr w:rsidR="00A64E41" w:rsidRPr="00A64E41" w14:paraId="76E14BB6" w14:textId="77777777" w:rsidTr="00A64E41">
        <w:tc>
          <w:tcPr>
            <w:tcW w:w="307" w:type="pct"/>
            <w:tcBorders>
              <w:top w:val="single" w:sz="4" w:space="0" w:color="auto"/>
              <w:left w:val="single" w:sz="4" w:space="0" w:color="auto"/>
              <w:bottom w:val="single" w:sz="4" w:space="0" w:color="auto"/>
              <w:right w:val="single" w:sz="4" w:space="0" w:color="auto"/>
            </w:tcBorders>
          </w:tcPr>
          <w:p w14:paraId="73A0A5CD" w14:textId="77777777" w:rsidR="00332C23" w:rsidRPr="00A64E41" w:rsidRDefault="00332C23" w:rsidP="00A64E41">
            <w:r w:rsidRPr="00A64E41">
              <w:t>3.4</w:t>
            </w:r>
          </w:p>
        </w:tc>
        <w:tc>
          <w:tcPr>
            <w:tcW w:w="1613" w:type="pct"/>
            <w:tcBorders>
              <w:top w:val="single" w:sz="4" w:space="0" w:color="auto"/>
              <w:left w:val="single" w:sz="4" w:space="0" w:color="auto"/>
              <w:bottom w:val="single" w:sz="4" w:space="0" w:color="auto"/>
              <w:right w:val="single" w:sz="4" w:space="0" w:color="auto"/>
            </w:tcBorders>
          </w:tcPr>
          <w:p w14:paraId="75059165" w14:textId="77777777" w:rsidR="00332C23" w:rsidRPr="00A64E41" w:rsidRDefault="00332C23" w:rsidP="00A64E41">
            <w:r w:rsidRPr="00A64E41">
              <w:t>2014/15 seems a long time ago – is this still relevant?</w:t>
            </w:r>
          </w:p>
        </w:tc>
        <w:tc>
          <w:tcPr>
            <w:tcW w:w="544" w:type="pct"/>
            <w:tcBorders>
              <w:top w:val="single" w:sz="4" w:space="0" w:color="auto"/>
              <w:left w:val="single" w:sz="4" w:space="0" w:color="auto"/>
              <w:bottom w:val="single" w:sz="4" w:space="0" w:color="auto"/>
              <w:right w:val="single" w:sz="4" w:space="0" w:color="auto"/>
            </w:tcBorders>
          </w:tcPr>
          <w:p w14:paraId="71A7CD7E" w14:textId="77777777" w:rsidR="00332C23" w:rsidRPr="00A64E41" w:rsidRDefault="00332C23" w:rsidP="00A64E41">
            <w:r w:rsidRPr="00A64E41">
              <w:t>MRG 24/04/2019</w:t>
            </w:r>
          </w:p>
        </w:tc>
        <w:tc>
          <w:tcPr>
            <w:tcW w:w="1385" w:type="pct"/>
            <w:tcBorders>
              <w:top w:val="single" w:sz="4" w:space="0" w:color="auto"/>
              <w:left w:val="single" w:sz="4" w:space="0" w:color="auto"/>
              <w:bottom w:val="single" w:sz="4" w:space="0" w:color="auto"/>
              <w:right w:val="single" w:sz="4" w:space="0" w:color="auto"/>
            </w:tcBorders>
          </w:tcPr>
          <w:p w14:paraId="4D835A13" w14:textId="77777777" w:rsidR="00332C23" w:rsidRPr="00A64E41" w:rsidRDefault="00332C23" w:rsidP="00A64E41">
            <w:r w:rsidRPr="00A64E41">
              <w:t>The framework is currently under review and this will be considered as part of that review.</w:t>
            </w:r>
          </w:p>
        </w:tc>
        <w:tc>
          <w:tcPr>
            <w:tcW w:w="388" w:type="pct"/>
            <w:tcBorders>
              <w:top w:val="single" w:sz="4" w:space="0" w:color="auto"/>
              <w:left w:val="single" w:sz="4" w:space="0" w:color="auto"/>
              <w:bottom w:val="single" w:sz="4" w:space="0" w:color="auto"/>
              <w:right w:val="single" w:sz="4" w:space="0" w:color="auto"/>
            </w:tcBorders>
          </w:tcPr>
          <w:p w14:paraId="43237C1E" w14:textId="77777777" w:rsidR="00332C23" w:rsidRPr="00A64E41" w:rsidRDefault="00332C23" w:rsidP="00A64E41">
            <w:r w:rsidRPr="00A64E41">
              <w:t>Robyn Wilson</w:t>
            </w:r>
          </w:p>
        </w:tc>
        <w:sdt>
          <w:sdtPr>
            <w:id w:val="-1719891687"/>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435D7659"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7391F9F0" w14:textId="77777777" w:rsidR="00332C23" w:rsidRPr="00A64E41" w:rsidRDefault="00332C23" w:rsidP="00A64E41">
            <w:r w:rsidRPr="00A64E41">
              <w:t>Gemma Ramsay</w:t>
            </w:r>
          </w:p>
          <w:p w14:paraId="422E6293" w14:textId="77777777" w:rsidR="00332C23" w:rsidRPr="00A64E41" w:rsidRDefault="00332C23" w:rsidP="00A64E41">
            <w:r w:rsidRPr="00A64E41">
              <w:t>(MRG Vice Chair)</w:t>
            </w:r>
          </w:p>
          <w:p w14:paraId="08887AF2" w14:textId="77777777" w:rsidR="00332C23" w:rsidRPr="00A64E41" w:rsidRDefault="00332C23" w:rsidP="00A64E41">
            <w:r w:rsidRPr="00A64E41">
              <w:t>02/05/19</w:t>
            </w:r>
          </w:p>
        </w:tc>
      </w:tr>
      <w:tr w:rsidR="00A64E41" w:rsidRPr="00A64E41" w14:paraId="61F54E0B" w14:textId="77777777" w:rsidTr="00A64E41">
        <w:tc>
          <w:tcPr>
            <w:tcW w:w="307" w:type="pct"/>
            <w:tcBorders>
              <w:top w:val="single" w:sz="4" w:space="0" w:color="auto"/>
              <w:left w:val="single" w:sz="4" w:space="0" w:color="auto"/>
              <w:bottom w:val="single" w:sz="4" w:space="0" w:color="auto"/>
              <w:right w:val="single" w:sz="4" w:space="0" w:color="auto"/>
            </w:tcBorders>
          </w:tcPr>
          <w:p w14:paraId="3C226EFE" w14:textId="77777777" w:rsidR="00332C23" w:rsidRPr="00A64E41" w:rsidRDefault="00332C23" w:rsidP="00A64E41">
            <w:r w:rsidRPr="00A64E41">
              <w:t>3.5</w:t>
            </w:r>
          </w:p>
        </w:tc>
        <w:tc>
          <w:tcPr>
            <w:tcW w:w="1613" w:type="pct"/>
            <w:tcBorders>
              <w:top w:val="single" w:sz="4" w:space="0" w:color="auto"/>
              <w:left w:val="single" w:sz="4" w:space="0" w:color="auto"/>
              <w:bottom w:val="single" w:sz="4" w:space="0" w:color="auto"/>
              <w:right w:val="single" w:sz="4" w:space="0" w:color="auto"/>
            </w:tcBorders>
          </w:tcPr>
          <w:p w14:paraId="1008D314" w14:textId="77777777" w:rsidR="00332C23" w:rsidRPr="00A64E41" w:rsidRDefault="00332C23" w:rsidP="00A64E41">
            <w:r w:rsidRPr="00A64E41">
              <w:t>Are local councils going to act on the information themselves? Are charity organisations going to lobby/support those who are doing less well.</w:t>
            </w:r>
          </w:p>
        </w:tc>
        <w:tc>
          <w:tcPr>
            <w:tcW w:w="544" w:type="pct"/>
            <w:tcBorders>
              <w:top w:val="single" w:sz="4" w:space="0" w:color="auto"/>
              <w:left w:val="single" w:sz="4" w:space="0" w:color="auto"/>
              <w:bottom w:val="single" w:sz="4" w:space="0" w:color="auto"/>
              <w:right w:val="single" w:sz="4" w:space="0" w:color="auto"/>
            </w:tcBorders>
          </w:tcPr>
          <w:p w14:paraId="3D9660B6"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4D08F3AB" w14:textId="77777777" w:rsidR="00332C23" w:rsidRPr="00A64E41" w:rsidRDefault="00332C23" w:rsidP="00A64E41">
            <w:r w:rsidRPr="00A64E41">
              <w:t>Question previously answered in 2.5, which is framework specific rather than indicator specific</w:t>
            </w:r>
          </w:p>
        </w:tc>
        <w:tc>
          <w:tcPr>
            <w:tcW w:w="388" w:type="pct"/>
            <w:tcBorders>
              <w:top w:val="single" w:sz="4" w:space="0" w:color="auto"/>
              <w:left w:val="single" w:sz="4" w:space="0" w:color="auto"/>
              <w:bottom w:val="single" w:sz="4" w:space="0" w:color="auto"/>
              <w:right w:val="single" w:sz="4" w:space="0" w:color="auto"/>
            </w:tcBorders>
          </w:tcPr>
          <w:p w14:paraId="6B78C0E2" w14:textId="77777777" w:rsidR="00332C23" w:rsidRPr="00A64E41" w:rsidRDefault="00332C23" w:rsidP="00A64E41">
            <w:r w:rsidRPr="00A64E41">
              <w:t>Robyn Wilson</w:t>
            </w:r>
          </w:p>
        </w:tc>
        <w:sdt>
          <w:sdtPr>
            <w:id w:val="-1436198359"/>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128C8F2C"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355D4235" w14:textId="77777777" w:rsidR="00332C23" w:rsidRPr="00A64E41" w:rsidRDefault="00332C23" w:rsidP="00A64E41">
            <w:r w:rsidRPr="00A64E41">
              <w:t>Gemma Ramsay</w:t>
            </w:r>
          </w:p>
          <w:p w14:paraId="55C1C012" w14:textId="77777777" w:rsidR="00332C23" w:rsidRPr="00A64E41" w:rsidRDefault="00332C23" w:rsidP="00A64E41">
            <w:r w:rsidRPr="00A64E41">
              <w:t>(MRG Vice Chair)</w:t>
            </w:r>
          </w:p>
          <w:p w14:paraId="04F2640F" w14:textId="77777777" w:rsidR="00332C23" w:rsidRPr="00A64E41" w:rsidRDefault="00332C23" w:rsidP="00A64E41">
            <w:r w:rsidRPr="00A64E41">
              <w:t>02/05/19</w:t>
            </w:r>
          </w:p>
        </w:tc>
      </w:tr>
      <w:tr w:rsidR="00A64E41" w:rsidRPr="00A64E41" w14:paraId="705660A0" w14:textId="77777777" w:rsidTr="00A64E41">
        <w:tc>
          <w:tcPr>
            <w:tcW w:w="307" w:type="pct"/>
            <w:tcBorders>
              <w:top w:val="single" w:sz="4" w:space="0" w:color="auto"/>
              <w:left w:val="single" w:sz="4" w:space="0" w:color="auto"/>
              <w:bottom w:val="single" w:sz="4" w:space="0" w:color="auto"/>
              <w:right w:val="single" w:sz="4" w:space="0" w:color="auto"/>
            </w:tcBorders>
          </w:tcPr>
          <w:p w14:paraId="1ABFD77C" w14:textId="77777777" w:rsidR="00332C23" w:rsidRPr="00A64E41" w:rsidRDefault="00332C23" w:rsidP="00A64E41">
            <w:r w:rsidRPr="00A64E41">
              <w:t>3.6</w:t>
            </w:r>
          </w:p>
        </w:tc>
        <w:tc>
          <w:tcPr>
            <w:tcW w:w="1613" w:type="pct"/>
            <w:tcBorders>
              <w:top w:val="single" w:sz="4" w:space="0" w:color="auto"/>
              <w:left w:val="single" w:sz="4" w:space="0" w:color="auto"/>
              <w:bottom w:val="single" w:sz="4" w:space="0" w:color="auto"/>
              <w:right w:val="single" w:sz="4" w:space="0" w:color="auto"/>
            </w:tcBorders>
          </w:tcPr>
          <w:p w14:paraId="4CBA8192" w14:textId="77777777" w:rsidR="00332C23" w:rsidRPr="00A64E41" w:rsidRDefault="00332C23" w:rsidP="00A64E41">
            <w:r w:rsidRPr="00A64E41">
              <w:t>There is info in 3.4 which could be used to answer this</w:t>
            </w:r>
          </w:p>
        </w:tc>
        <w:tc>
          <w:tcPr>
            <w:tcW w:w="544" w:type="pct"/>
            <w:tcBorders>
              <w:top w:val="single" w:sz="4" w:space="0" w:color="auto"/>
              <w:left w:val="single" w:sz="4" w:space="0" w:color="auto"/>
              <w:bottom w:val="single" w:sz="4" w:space="0" w:color="auto"/>
              <w:right w:val="single" w:sz="4" w:space="0" w:color="auto"/>
            </w:tcBorders>
          </w:tcPr>
          <w:p w14:paraId="2A09897E"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4AEC7D3E" w14:textId="77777777" w:rsidR="00332C23" w:rsidRPr="00A64E41" w:rsidRDefault="00332C23" w:rsidP="00A64E41">
            <w:r w:rsidRPr="00A64E41">
              <w:t>Text has been added as per recommendation.</w:t>
            </w:r>
          </w:p>
        </w:tc>
        <w:tc>
          <w:tcPr>
            <w:tcW w:w="388" w:type="pct"/>
            <w:tcBorders>
              <w:top w:val="single" w:sz="4" w:space="0" w:color="auto"/>
              <w:left w:val="single" w:sz="4" w:space="0" w:color="auto"/>
              <w:bottom w:val="single" w:sz="4" w:space="0" w:color="auto"/>
              <w:right w:val="single" w:sz="4" w:space="0" w:color="auto"/>
            </w:tcBorders>
          </w:tcPr>
          <w:p w14:paraId="6D8D7E86" w14:textId="77777777" w:rsidR="00332C23" w:rsidRPr="00A64E41" w:rsidRDefault="00332C23" w:rsidP="00A64E41">
            <w:r w:rsidRPr="00A64E41">
              <w:t>Robyn Wilson</w:t>
            </w:r>
          </w:p>
        </w:tc>
        <w:sdt>
          <w:sdtPr>
            <w:id w:val="2041781685"/>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683BD410"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5A434D8A" w14:textId="77777777" w:rsidR="00332C23" w:rsidRPr="00A64E41" w:rsidRDefault="00332C23" w:rsidP="00A64E41">
            <w:r w:rsidRPr="00A64E41">
              <w:t>Gemma Ramsay</w:t>
            </w:r>
          </w:p>
          <w:p w14:paraId="63029E44" w14:textId="77777777" w:rsidR="00332C23" w:rsidRPr="00A64E41" w:rsidRDefault="00332C23" w:rsidP="00A64E41">
            <w:r w:rsidRPr="00A64E41">
              <w:lastRenderedPageBreak/>
              <w:t>(MRG Vice Chair)</w:t>
            </w:r>
          </w:p>
          <w:p w14:paraId="767E8F8F" w14:textId="77777777" w:rsidR="00332C23" w:rsidRPr="00A64E41" w:rsidRDefault="00332C23" w:rsidP="00A64E41">
            <w:r w:rsidRPr="00A64E41">
              <w:t>02/05/19</w:t>
            </w:r>
          </w:p>
        </w:tc>
      </w:tr>
    </w:tbl>
    <w:p w14:paraId="3CC5C7BF" w14:textId="77777777" w:rsidR="00332C23" w:rsidRPr="00A64E41" w:rsidRDefault="00332C23" w:rsidP="00A64E41">
      <w:pPr>
        <w:rPr>
          <w:b/>
        </w:rPr>
      </w:pPr>
    </w:p>
    <w:tbl>
      <w:tblPr>
        <w:tblStyle w:val="TableGrid"/>
        <w:tblW w:w="492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
        <w:gridCol w:w="4712"/>
        <w:gridCol w:w="1589"/>
        <w:gridCol w:w="4046"/>
        <w:gridCol w:w="1133"/>
        <w:gridCol w:w="1078"/>
        <w:gridCol w:w="1151"/>
      </w:tblGrid>
      <w:tr w:rsidR="00147C16" w:rsidRPr="00A64E41" w14:paraId="0967E038" w14:textId="77777777" w:rsidTr="00A64E41">
        <w:tc>
          <w:tcPr>
            <w:tcW w:w="307" w:type="pct"/>
            <w:tcBorders>
              <w:top w:val="single" w:sz="4" w:space="0" w:color="auto"/>
              <w:left w:val="single" w:sz="4" w:space="0" w:color="auto"/>
              <w:bottom w:val="single" w:sz="4" w:space="0" w:color="auto"/>
              <w:right w:val="single" w:sz="4" w:space="0" w:color="auto"/>
            </w:tcBorders>
          </w:tcPr>
          <w:p w14:paraId="231E2A76" w14:textId="4BD66458" w:rsidR="00147C16" w:rsidRPr="00A64E41" w:rsidRDefault="00147C16" w:rsidP="00A64E41">
            <w:pPr>
              <w:rPr>
                <w:b/>
                <w:i/>
              </w:rPr>
            </w:pPr>
            <w:r w:rsidRPr="00A64E41">
              <w:rPr>
                <w:b/>
              </w:rPr>
              <w:t>4. Data</w:t>
            </w:r>
          </w:p>
        </w:tc>
        <w:tc>
          <w:tcPr>
            <w:tcW w:w="1613" w:type="pct"/>
            <w:tcBorders>
              <w:top w:val="single" w:sz="4" w:space="0" w:color="auto"/>
              <w:left w:val="single" w:sz="4" w:space="0" w:color="auto"/>
              <w:bottom w:val="single" w:sz="4" w:space="0" w:color="auto"/>
              <w:right w:val="single" w:sz="4" w:space="0" w:color="auto"/>
            </w:tcBorders>
          </w:tcPr>
          <w:p w14:paraId="574FC8E8" w14:textId="77777777" w:rsidR="00147C16" w:rsidRPr="00A64E41" w:rsidRDefault="00147C16" w:rsidP="00A64E41">
            <w:pPr>
              <w:rPr>
                <w:b/>
                <w:i/>
              </w:rPr>
            </w:pPr>
          </w:p>
        </w:tc>
        <w:tc>
          <w:tcPr>
            <w:tcW w:w="544" w:type="pct"/>
            <w:tcBorders>
              <w:top w:val="single" w:sz="4" w:space="0" w:color="auto"/>
              <w:left w:val="single" w:sz="4" w:space="0" w:color="auto"/>
              <w:bottom w:val="single" w:sz="4" w:space="0" w:color="auto"/>
              <w:right w:val="single" w:sz="4" w:space="0" w:color="auto"/>
            </w:tcBorders>
          </w:tcPr>
          <w:p w14:paraId="2ADB5688" w14:textId="77777777" w:rsidR="00147C16" w:rsidRPr="00A64E41" w:rsidRDefault="00147C16" w:rsidP="00A64E41">
            <w:pPr>
              <w:rPr>
                <w:b/>
                <w:i/>
              </w:rPr>
            </w:pPr>
          </w:p>
        </w:tc>
        <w:tc>
          <w:tcPr>
            <w:tcW w:w="1385" w:type="pct"/>
            <w:tcBorders>
              <w:top w:val="single" w:sz="4" w:space="0" w:color="auto"/>
              <w:left w:val="single" w:sz="4" w:space="0" w:color="auto"/>
              <w:bottom w:val="single" w:sz="4" w:space="0" w:color="auto"/>
              <w:right w:val="single" w:sz="4" w:space="0" w:color="auto"/>
            </w:tcBorders>
          </w:tcPr>
          <w:p w14:paraId="3B93689D" w14:textId="77777777" w:rsidR="00147C16" w:rsidRPr="00A64E41" w:rsidRDefault="00147C16" w:rsidP="00A64E41">
            <w:pPr>
              <w:rPr>
                <w:b/>
                <w:i/>
              </w:rPr>
            </w:pPr>
          </w:p>
        </w:tc>
        <w:tc>
          <w:tcPr>
            <w:tcW w:w="388" w:type="pct"/>
            <w:tcBorders>
              <w:top w:val="single" w:sz="4" w:space="0" w:color="auto"/>
              <w:left w:val="single" w:sz="4" w:space="0" w:color="auto"/>
              <w:bottom w:val="single" w:sz="4" w:space="0" w:color="auto"/>
              <w:right w:val="single" w:sz="4" w:space="0" w:color="auto"/>
            </w:tcBorders>
          </w:tcPr>
          <w:p w14:paraId="21211445" w14:textId="77777777" w:rsidR="00147C16" w:rsidRPr="00A64E41" w:rsidRDefault="00147C16" w:rsidP="00A64E41">
            <w:pPr>
              <w:rPr>
                <w:b/>
                <w:i/>
              </w:rPr>
            </w:pPr>
          </w:p>
        </w:tc>
        <w:tc>
          <w:tcPr>
            <w:tcW w:w="369" w:type="pct"/>
            <w:tcBorders>
              <w:top w:val="single" w:sz="4" w:space="0" w:color="auto"/>
              <w:left w:val="single" w:sz="4" w:space="0" w:color="auto"/>
              <w:bottom w:val="single" w:sz="4" w:space="0" w:color="auto"/>
              <w:right w:val="single" w:sz="4" w:space="0" w:color="auto"/>
            </w:tcBorders>
          </w:tcPr>
          <w:p w14:paraId="0D136E9D" w14:textId="77777777" w:rsidR="00147C16" w:rsidRPr="00A64E41" w:rsidRDefault="00147C16" w:rsidP="00A64E41">
            <w:pPr>
              <w:rPr>
                <w:b/>
                <w:i/>
              </w:rPr>
            </w:pPr>
          </w:p>
        </w:tc>
        <w:tc>
          <w:tcPr>
            <w:tcW w:w="394" w:type="pct"/>
            <w:tcBorders>
              <w:top w:val="single" w:sz="4" w:space="0" w:color="auto"/>
              <w:left w:val="single" w:sz="4" w:space="0" w:color="auto"/>
              <w:bottom w:val="single" w:sz="4" w:space="0" w:color="auto"/>
              <w:right w:val="single" w:sz="4" w:space="0" w:color="auto"/>
            </w:tcBorders>
          </w:tcPr>
          <w:p w14:paraId="3D8744D1" w14:textId="77777777" w:rsidR="00147C16" w:rsidRPr="00A64E41" w:rsidRDefault="00147C16" w:rsidP="00A64E41">
            <w:pPr>
              <w:rPr>
                <w:b/>
                <w:i/>
              </w:rPr>
            </w:pPr>
          </w:p>
        </w:tc>
      </w:tr>
      <w:tr w:rsidR="00A64E41" w:rsidRPr="00A64E41" w14:paraId="1098EFD1" w14:textId="77777777" w:rsidTr="00A64E41">
        <w:tc>
          <w:tcPr>
            <w:tcW w:w="307" w:type="pct"/>
            <w:tcBorders>
              <w:top w:val="single" w:sz="4" w:space="0" w:color="auto"/>
              <w:left w:val="single" w:sz="4" w:space="0" w:color="auto"/>
              <w:bottom w:val="single" w:sz="4" w:space="0" w:color="auto"/>
              <w:right w:val="single" w:sz="4" w:space="0" w:color="auto"/>
            </w:tcBorders>
          </w:tcPr>
          <w:p w14:paraId="3830D6D9" w14:textId="77777777" w:rsidR="00332C23" w:rsidRPr="00A64E41" w:rsidRDefault="00332C23" w:rsidP="00A64E41">
            <w:pPr>
              <w:rPr>
                <w:b/>
                <w:i/>
              </w:rPr>
            </w:pPr>
            <w:r w:rsidRPr="00A64E41">
              <w:rPr>
                <w:b/>
                <w:i/>
              </w:rPr>
              <w:t>Section</w:t>
            </w:r>
          </w:p>
        </w:tc>
        <w:tc>
          <w:tcPr>
            <w:tcW w:w="1613" w:type="pct"/>
            <w:tcBorders>
              <w:top w:val="single" w:sz="4" w:space="0" w:color="auto"/>
              <w:left w:val="single" w:sz="4" w:space="0" w:color="auto"/>
              <w:bottom w:val="single" w:sz="4" w:space="0" w:color="auto"/>
              <w:right w:val="single" w:sz="4" w:space="0" w:color="auto"/>
            </w:tcBorders>
          </w:tcPr>
          <w:p w14:paraId="44AF05F8" w14:textId="77777777" w:rsidR="00332C23" w:rsidRPr="00A64E41" w:rsidRDefault="00332C23" w:rsidP="00A64E41">
            <w:pPr>
              <w:rPr>
                <w:b/>
                <w:i/>
              </w:rPr>
            </w:pPr>
            <w:r w:rsidRPr="00A64E41">
              <w:rPr>
                <w:b/>
                <w:i/>
              </w:rPr>
              <w:t>Issue or recommendation</w:t>
            </w:r>
          </w:p>
        </w:tc>
        <w:tc>
          <w:tcPr>
            <w:tcW w:w="544" w:type="pct"/>
            <w:tcBorders>
              <w:top w:val="single" w:sz="4" w:space="0" w:color="auto"/>
              <w:left w:val="single" w:sz="4" w:space="0" w:color="auto"/>
              <w:bottom w:val="single" w:sz="4" w:space="0" w:color="auto"/>
              <w:right w:val="single" w:sz="4" w:space="0" w:color="auto"/>
            </w:tcBorders>
          </w:tcPr>
          <w:p w14:paraId="0984CB58" w14:textId="77777777" w:rsidR="00332C23" w:rsidRPr="00A64E41" w:rsidRDefault="00332C23" w:rsidP="00A64E41">
            <w:pPr>
              <w:rPr>
                <w:b/>
                <w:i/>
              </w:rPr>
            </w:pPr>
            <w:r w:rsidRPr="00A64E41">
              <w:rPr>
                <w:b/>
                <w:i/>
              </w:rPr>
              <w:t xml:space="preserve">Raised </w:t>
            </w:r>
          </w:p>
          <w:p w14:paraId="4679B70D" w14:textId="77777777" w:rsidR="00332C23" w:rsidRPr="00A64E41" w:rsidRDefault="00332C23" w:rsidP="00A64E41">
            <w:pPr>
              <w:rPr>
                <w:b/>
                <w:i/>
              </w:rPr>
            </w:pPr>
            <w:r w:rsidRPr="00A64E41">
              <w:rPr>
                <w:b/>
                <w:i/>
              </w:rPr>
              <w:t>by / Date</w:t>
            </w:r>
          </w:p>
        </w:tc>
        <w:tc>
          <w:tcPr>
            <w:tcW w:w="1385" w:type="pct"/>
            <w:tcBorders>
              <w:top w:val="single" w:sz="4" w:space="0" w:color="auto"/>
              <w:left w:val="single" w:sz="4" w:space="0" w:color="auto"/>
              <w:bottom w:val="single" w:sz="4" w:space="0" w:color="auto"/>
              <w:right w:val="single" w:sz="4" w:space="0" w:color="auto"/>
            </w:tcBorders>
          </w:tcPr>
          <w:p w14:paraId="46703D85" w14:textId="77777777" w:rsidR="00332C23" w:rsidRPr="00A64E41" w:rsidRDefault="00332C23" w:rsidP="00A64E41">
            <w:pPr>
              <w:rPr>
                <w:b/>
                <w:i/>
              </w:rPr>
            </w:pPr>
            <w:r w:rsidRPr="00A64E41">
              <w:rPr>
                <w:b/>
                <w:i/>
              </w:rPr>
              <w:t>Response or Action taken by applicant</w:t>
            </w:r>
          </w:p>
        </w:tc>
        <w:tc>
          <w:tcPr>
            <w:tcW w:w="388" w:type="pct"/>
            <w:tcBorders>
              <w:top w:val="single" w:sz="4" w:space="0" w:color="auto"/>
              <w:left w:val="single" w:sz="4" w:space="0" w:color="auto"/>
              <w:bottom w:val="single" w:sz="4" w:space="0" w:color="auto"/>
              <w:right w:val="single" w:sz="4" w:space="0" w:color="auto"/>
            </w:tcBorders>
          </w:tcPr>
          <w:p w14:paraId="5AF50250" w14:textId="77777777" w:rsidR="00332C23" w:rsidRPr="00A64E41" w:rsidRDefault="00332C23" w:rsidP="00A64E41">
            <w:pPr>
              <w:rPr>
                <w:b/>
                <w:i/>
              </w:rPr>
            </w:pPr>
            <w:r w:rsidRPr="00A64E41">
              <w:rPr>
                <w:b/>
                <w:i/>
              </w:rPr>
              <w:t>Response by / Date</w:t>
            </w:r>
          </w:p>
        </w:tc>
        <w:tc>
          <w:tcPr>
            <w:tcW w:w="369" w:type="pct"/>
            <w:tcBorders>
              <w:top w:val="single" w:sz="4" w:space="0" w:color="auto"/>
              <w:left w:val="single" w:sz="4" w:space="0" w:color="auto"/>
              <w:bottom w:val="single" w:sz="4" w:space="0" w:color="auto"/>
              <w:right w:val="single" w:sz="4" w:space="0" w:color="auto"/>
            </w:tcBorders>
          </w:tcPr>
          <w:p w14:paraId="04669F97" w14:textId="77777777" w:rsidR="00332C23" w:rsidRPr="00A64E41" w:rsidRDefault="00332C23" w:rsidP="00A64E41">
            <w:pPr>
              <w:rPr>
                <w:b/>
                <w:i/>
              </w:rPr>
            </w:pPr>
            <w:r w:rsidRPr="00A64E41">
              <w:rPr>
                <w:b/>
                <w:i/>
              </w:rPr>
              <w:t>Resolved</w:t>
            </w:r>
          </w:p>
        </w:tc>
        <w:tc>
          <w:tcPr>
            <w:tcW w:w="394" w:type="pct"/>
            <w:tcBorders>
              <w:top w:val="single" w:sz="4" w:space="0" w:color="auto"/>
              <w:left w:val="single" w:sz="4" w:space="0" w:color="auto"/>
              <w:bottom w:val="single" w:sz="4" w:space="0" w:color="auto"/>
              <w:right w:val="single" w:sz="4" w:space="0" w:color="auto"/>
            </w:tcBorders>
          </w:tcPr>
          <w:p w14:paraId="7005263D" w14:textId="77777777" w:rsidR="00332C23" w:rsidRPr="00A64E41" w:rsidRDefault="00332C23" w:rsidP="00A64E41">
            <w:pPr>
              <w:rPr>
                <w:b/>
                <w:i/>
              </w:rPr>
            </w:pPr>
            <w:r w:rsidRPr="00A64E41">
              <w:rPr>
                <w:b/>
                <w:i/>
              </w:rPr>
              <w:t>Sign off by / Date</w:t>
            </w:r>
          </w:p>
        </w:tc>
      </w:tr>
      <w:tr w:rsidR="00A64E41" w:rsidRPr="00A64E41" w14:paraId="2AB4B411" w14:textId="77777777" w:rsidTr="00A64E41">
        <w:tc>
          <w:tcPr>
            <w:tcW w:w="307" w:type="pct"/>
            <w:tcBorders>
              <w:top w:val="single" w:sz="4" w:space="0" w:color="auto"/>
              <w:left w:val="single" w:sz="4" w:space="0" w:color="auto"/>
              <w:bottom w:val="single" w:sz="4" w:space="0" w:color="auto"/>
              <w:right w:val="single" w:sz="4" w:space="0" w:color="auto"/>
            </w:tcBorders>
          </w:tcPr>
          <w:p w14:paraId="5634EFEE" w14:textId="77777777" w:rsidR="00332C23" w:rsidRPr="00A64E41" w:rsidRDefault="00332C23" w:rsidP="00A64E41">
            <w:r w:rsidRPr="00A64E41">
              <w:t>4.1</w:t>
            </w:r>
          </w:p>
        </w:tc>
        <w:tc>
          <w:tcPr>
            <w:tcW w:w="1613" w:type="pct"/>
            <w:tcBorders>
              <w:top w:val="single" w:sz="4" w:space="0" w:color="auto"/>
              <w:left w:val="single" w:sz="4" w:space="0" w:color="auto"/>
              <w:bottom w:val="single" w:sz="4" w:space="0" w:color="auto"/>
              <w:right w:val="single" w:sz="4" w:space="0" w:color="auto"/>
            </w:tcBorders>
          </w:tcPr>
          <w:p w14:paraId="47E5507B" w14:textId="77777777" w:rsidR="00332C23" w:rsidRPr="00A64E41" w:rsidRDefault="00332C23" w:rsidP="00A64E41">
            <w:r w:rsidRPr="00A64E41">
              <w:t>This question reinforces my sense that the two indicators should have two applications</w:t>
            </w:r>
          </w:p>
        </w:tc>
        <w:tc>
          <w:tcPr>
            <w:tcW w:w="544" w:type="pct"/>
            <w:tcBorders>
              <w:top w:val="single" w:sz="4" w:space="0" w:color="auto"/>
              <w:left w:val="single" w:sz="4" w:space="0" w:color="auto"/>
              <w:bottom w:val="single" w:sz="4" w:space="0" w:color="auto"/>
              <w:right w:val="single" w:sz="4" w:space="0" w:color="auto"/>
            </w:tcBorders>
          </w:tcPr>
          <w:p w14:paraId="434D626A"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0AC54D49" w14:textId="77777777" w:rsidR="00332C23" w:rsidRPr="00A64E41" w:rsidRDefault="00332C23" w:rsidP="00A64E41">
            <w:r w:rsidRPr="00A64E41">
              <w:t>This will be actioned and updated accordingly.</w:t>
            </w:r>
          </w:p>
        </w:tc>
        <w:tc>
          <w:tcPr>
            <w:tcW w:w="388" w:type="pct"/>
            <w:tcBorders>
              <w:top w:val="single" w:sz="4" w:space="0" w:color="auto"/>
              <w:left w:val="single" w:sz="4" w:space="0" w:color="auto"/>
              <w:bottom w:val="single" w:sz="4" w:space="0" w:color="auto"/>
              <w:right w:val="single" w:sz="4" w:space="0" w:color="auto"/>
            </w:tcBorders>
          </w:tcPr>
          <w:p w14:paraId="4E3295A7" w14:textId="77777777" w:rsidR="00332C23" w:rsidRPr="00A64E41" w:rsidRDefault="00332C23" w:rsidP="00A64E41">
            <w:r w:rsidRPr="00A64E41">
              <w:t>Robyn Wilson</w:t>
            </w:r>
          </w:p>
        </w:tc>
        <w:sdt>
          <w:sdtPr>
            <w:id w:val="-1887863954"/>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5A400FD"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7FC68ACD" w14:textId="77777777" w:rsidR="00332C23" w:rsidRPr="00A64E41" w:rsidRDefault="00332C23" w:rsidP="00A64E41">
            <w:r w:rsidRPr="00A64E41">
              <w:t>Gemma Ramsay</w:t>
            </w:r>
          </w:p>
          <w:p w14:paraId="7EC7D0B5" w14:textId="77777777" w:rsidR="00332C23" w:rsidRPr="00A64E41" w:rsidRDefault="00332C23" w:rsidP="00A64E41">
            <w:r w:rsidRPr="00A64E41">
              <w:t>(MRG Vice Chair)</w:t>
            </w:r>
          </w:p>
          <w:p w14:paraId="529EA1DE" w14:textId="77777777" w:rsidR="00332C23" w:rsidRPr="00A64E41" w:rsidRDefault="00332C23" w:rsidP="00A64E41">
            <w:r w:rsidRPr="00A64E41">
              <w:t>02/05/19</w:t>
            </w:r>
          </w:p>
        </w:tc>
      </w:tr>
      <w:tr w:rsidR="00A64E41" w:rsidRPr="00A64E41" w14:paraId="72816C9C" w14:textId="77777777" w:rsidTr="00A64E41">
        <w:tc>
          <w:tcPr>
            <w:tcW w:w="307" w:type="pct"/>
            <w:tcBorders>
              <w:top w:val="single" w:sz="4" w:space="0" w:color="auto"/>
              <w:left w:val="single" w:sz="4" w:space="0" w:color="auto"/>
              <w:bottom w:val="single" w:sz="4" w:space="0" w:color="auto"/>
              <w:right w:val="single" w:sz="4" w:space="0" w:color="auto"/>
            </w:tcBorders>
          </w:tcPr>
          <w:p w14:paraId="716CB1A9" w14:textId="77777777" w:rsidR="00332C23" w:rsidRPr="00A64E41" w:rsidRDefault="00332C23" w:rsidP="00A64E41">
            <w:r w:rsidRPr="00A64E41">
              <w:t>4.1</w:t>
            </w:r>
          </w:p>
        </w:tc>
        <w:tc>
          <w:tcPr>
            <w:tcW w:w="1613" w:type="pct"/>
            <w:tcBorders>
              <w:top w:val="single" w:sz="4" w:space="0" w:color="auto"/>
              <w:left w:val="single" w:sz="4" w:space="0" w:color="auto"/>
              <w:bottom w:val="single" w:sz="4" w:space="0" w:color="auto"/>
              <w:right w:val="single" w:sz="4" w:space="0" w:color="auto"/>
            </w:tcBorders>
          </w:tcPr>
          <w:p w14:paraId="71E89727" w14:textId="77777777" w:rsidR="00332C23" w:rsidRPr="00A64E41" w:rsidRDefault="00332C23" w:rsidP="00A64E41">
            <w:r w:rsidRPr="00A64E41">
              <w:t>There are minor errors in the text that need to be doubled checked, for instance:</w:t>
            </w:r>
          </w:p>
          <w:p w14:paraId="02FBAFA1" w14:textId="77777777" w:rsidR="00332C23" w:rsidRPr="00A64E41" w:rsidRDefault="00332C23" w:rsidP="00A64E41"/>
          <w:p w14:paraId="0C8D5BBA" w14:textId="77777777" w:rsidR="00332C23" w:rsidRPr="00A64E41" w:rsidRDefault="00332C23" w:rsidP="00A64E41">
            <w:pPr>
              <w:rPr>
                <w:i/>
              </w:rPr>
            </w:pPr>
            <w:r w:rsidRPr="00A64E41">
              <w:rPr>
                <w:i/>
              </w:rPr>
              <w:t>“The Adult Social Care User Survey was created in 2010-11,”</w:t>
            </w:r>
          </w:p>
          <w:p w14:paraId="2604B6CE" w14:textId="77777777" w:rsidR="00332C23" w:rsidRPr="00A64E41" w:rsidRDefault="00332C23" w:rsidP="00A64E41"/>
          <w:p w14:paraId="1DE5CB34" w14:textId="77777777" w:rsidR="00332C23" w:rsidRPr="00A64E41" w:rsidRDefault="00332C23" w:rsidP="00A64E41">
            <w:r w:rsidRPr="00A64E41">
              <w:t>Is followed by</w:t>
            </w:r>
          </w:p>
          <w:p w14:paraId="13B15456" w14:textId="77777777" w:rsidR="00332C23" w:rsidRPr="00A64E41" w:rsidRDefault="00332C23" w:rsidP="00A64E41"/>
          <w:p w14:paraId="14FD192F" w14:textId="77777777" w:rsidR="00332C23" w:rsidRPr="00A64E41" w:rsidRDefault="00332C23" w:rsidP="00A64E41">
            <w:pPr>
              <w:rPr>
                <w:i/>
              </w:rPr>
            </w:pPr>
            <w:r w:rsidRPr="00A64E41">
              <w:rPr>
                <w:i/>
              </w:rPr>
              <w:t>“The Adult Social Care User Survey was created in 2009-10.”</w:t>
            </w:r>
          </w:p>
        </w:tc>
        <w:tc>
          <w:tcPr>
            <w:tcW w:w="544" w:type="pct"/>
            <w:tcBorders>
              <w:top w:val="single" w:sz="4" w:space="0" w:color="auto"/>
              <w:left w:val="single" w:sz="4" w:space="0" w:color="auto"/>
              <w:bottom w:val="single" w:sz="4" w:space="0" w:color="auto"/>
              <w:right w:val="single" w:sz="4" w:space="0" w:color="auto"/>
            </w:tcBorders>
          </w:tcPr>
          <w:p w14:paraId="4CBBE92B"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5FECE495" w14:textId="77777777" w:rsidR="00332C23" w:rsidRPr="00A64E41" w:rsidRDefault="00332C23" w:rsidP="00A64E41">
            <w:r w:rsidRPr="00A64E41">
              <w:t>Amended</w:t>
            </w:r>
          </w:p>
        </w:tc>
        <w:tc>
          <w:tcPr>
            <w:tcW w:w="388" w:type="pct"/>
            <w:tcBorders>
              <w:top w:val="single" w:sz="4" w:space="0" w:color="auto"/>
              <w:left w:val="single" w:sz="4" w:space="0" w:color="auto"/>
              <w:bottom w:val="single" w:sz="4" w:space="0" w:color="auto"/>
              <w:right w:val="single" w:sz="4" w:space="0" w:color="auto"/>
            </w:tcBorders>
          </w:tcPr>
          <w:p w14:paraId="1E0A1514" w14:textId="77777777" w:rsidR="00332C23" w:rsidRPr="00A64E41" w:rsidRDefault="00332C23" w:rsidP="00A64E41">
            <w:r w:rsidRPr="00A64E41">
              <w:t>Robyn Wilson</w:t>
            </w:r>
          </w:p>
        </w:tc>
        <w:sdt>
          <w:sdtPr>
            <w:id w:val="-275410935"/>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3D757CB"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774FAAB5" w14:textId="77777777" w:rsidR="00332C23" w:rsidRPr="00A64E41" w:rsidRDefault="00332C23" w:rsidP="00A64E41">
            <w:r w:rsidRPr="00A64E41">
              <w:t>Gemma Ramsay</w:t>
            </w:r>
          </w:p>
          <w:p w14:paraId="4654E926" w14:textId="77777777" w:rsidR="00332C23" w:rsidRPr="00A64E41" w:rsidRDefault="00332C23" w:rsidP="00A64E41">
            <w:r w:rsidRPr="00A64E41">
              <w:t>(MRG Vice Chair)</w:t>
            </w:r>
          </w:p>
          <w:p w14:paraId="42813956" w14:textId="77777777" w:rsidR="00332C23" w:rsidRPr="00A64E41" w:rsidRDefault="00332C23" w:rsidP="00A64E41">
            <w:r w:rsidRPr="00A64E41">
              <w:t>02/05/19</w:t>
            </w:r>
          </w:p>
        </w:tc>
      </w:tr>
      <w:tr w:rsidR="00A64E41" w:rsidRPr="00A64E41" w14:paraId="4E9DB4BD" w14:textId="77777777" w:rsidTr="00A64E41">
        <w:tc>
          <w:tcPr>
            <w:tcW w:w="307" w:type="pct"/>
            <w:tcBorders>
              <w:top w:val="single" w:sz="4" w:space="0" w:color="auto"/>
              <w:left w:val="single" w:sz="4" w:space="0" w:color="auto"/>
              <w:bottom w:val="single" w:sz="4" w:space="0" w:color="auto"/>
              <w:right w:val="single" w:sz="4" w:space="0" w:color="auto"/>
            </w:tcBorders>
          </w:tcPr>
          <w:p w14:paraId="6A308ABD" w14:textId="77777777" w:rsidR="00332C23" w:rsidRPr="00A64E41" w:rsidRDefault="00332C23" w:rsidP="00A64E41">
            <w:r w:rsidRPr="00A64E41">
              <w:t>4.3</w:t>
            </w:r>
          </w:p>
        </w:tc>
        <w:tc>
          <w:tcPr>
            <w:tcW w:w="1613" w:type="pct"/>
            <w:tcBorders>
              <w:top w:val="single" w:sz="4" w:space="0" w:color="auto"/>
              <w:left w:val="single" w:sz="4" w:space="0" w:color="auto"/>
              <w:bottom w:val="single" w:sz="4" w:space="0" w:color="auto"/>
              <w:right w:val="single" w:sz="4" w:space="0" w:color="auto"/>
            </w:tcBorders>
          </w:tcPr>
          <w:p w14:paraId="63476E6B" w14:textId="77777777" w:rsidR="00332C23" w:rsidRPr="00A64E41" w:rsidRDefault="00332C23" w:rsidP="00A64E41">
            <w:r w:rsidRPr="00A64E41">
              <w:t>Needs to be clear on release schedule, is it six-monthly (biannually) or every two years (biennually)</w:t>
            </w:r>
          </w:p>
        </w:tc>
        <w:tc>
          <w:tcPr>
            <w:tcW w:w="544" w:type="pct"/>
            <w:tcBorders>
              <w:top w:val="single" w:sz="4" w:space="0" w:color="auto"/>
              <w:left w:val="single" w:sz="4" w:space="0" w:color="auto"/>
              <w:bottom w:val="single" w:sz="4" w:space="0" w:color="auto"/>
              <w:right w:val="single" w:sz="4" w:space="0" w:color="auto"/>
            </w:tcBorders>
          </w:tcPr>
          <w:p w14:paraId="4663DF14"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0071E4CD" w14:textId="77777777" w:rsidR="00332C23" w:rsidRPr="00A64E41" w:rsidRDefault="00332C23" w:rsidP="00A64E41">
            <w:r w:rsidRPr="00A64E41">
              <w:t>Amended</w:t>
            </w:r>
          </w:p>
        </w:tc>
        <w:tc>
          <w:tcPr>
            <w:tcW w:w="388" w:type="pct"/>
            <w:tcBorders>
              <w:top w:val="single" w:sz="4" w:space="0" w:color="auto"/>
              <w:left w:val="single" w:sz="4" w:space="0" w:color="auto"/>
              <w:bottom w:val="single" w:sz="4" w:space="0" w:color="auto"/>
              <w:right w:val="single" w:sz="4" w:space="0" w:color="auto"/>
            </w:tcBorders>
          </w:tcPr>
          <w:p w14:paraId="2C633A7B" w14:textId="77777777" w:rsidR="00332C23" w:rsidRPr="00A64E41" w:rsidRDefault="00332C23" w:rsidP="00A64E41">
            <w:r w:rsidRPr="00A64E41">
              <w:t>Robyn Wilson</w:t>
            </w:r>
          </w:p>
        </w:tc>
        <w:sdt>
          <w:sdtPr>
            <w:id w:val="38491790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75C74863"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79310326" w14:textId="77777777" w:rsidR="00332C23" w:rsidRPr="00A64E41" w:rsidRDefault="00332C23" w:rsidP="00A64E41">
            <w:r w:rsidRPr="00A64E41">
              <w:t>Gemma Ramsay</w:t>
            </w:r>
          </w:p>
          <w:p w14:paraId="6852B0BA" w14:textId="77777777" w:rsidR="00332C23" w:rsidRPr="00A64E41" w:rsidRDefault="00332C23" w:rsidP="00A64E41">
            <w:r w:rsidRPr="00A64E41">
              <w:t>(MRG Vice Chair)</w:t>
            </w:r>
          </w:p>
          <w:p w14:paraId="4752CD60" w14:textId="77777777" w:rsidR="00332C23" w:rsidRPr="00A64E41" w:rsidRDefault="00332C23" w:rsidP="00A64E41">
            <w:r w:rsidRPr="00A64E41">
              <w:t>02/05/19</w:t>
            </w:r>
          </w:p>
        </w:tc>
      </w:tr>
      <w:tr w:rsidR="00A64E41" w:rsidRPr="00A64E41" w14:paraId="75226CB4" w14:textId="77777777" w:rsidTr="00A64E41">
        <w:tc>
          <w:tcPr>
            <w:tcW w:w="307" w:type="pct"/>
            <w:tcBorders>
              <w:top w:val="single" w:sz="4" w:space="0" w:color="auto"/>
              <w:left w:val="single" w:sz="4" w:space="0" w:color="auto"/>
              <w:bottom w:val="single" w:sz="4" w:space="0" w:color="auto"/>
              <w:right w:val="single" w:sz="4" w:space="0" w:color="auto"/>
            </w:tcBorders>
          </w:tcPr>
          <w:p w14:paraId="132BA0D6" w14:textId="77777777" w:rsidR="00332C23" w:rsidRPr="00A64E41" w:rsidRDefault="00332C23" w:rsidP="00A64E41">
            <w:r w:rsidRPr="00A64E41">
              <w:t>4.4</w:t>
            </w:r>
          </w:p>
        </w:tc>
        <w:tc>
          <w:tcPr>
            <w:tcW w:w="1613" w:type="pct"/>
            <w:tcBorders>
              <w:top w:val="single" w:sz="4" w:space="0" w:color="auto"/>
              <w:left w:val="single" w:sz="4" w:space="0" w:color="auto"/>
              <w:bottom w:val="single" w:sz="4" w:space="0" w:color="auto"/>
              <w:right w:val="single" w:sz="4" w:space="0" w:color="auto"/>
            </w:tcBorders>
          </w:tcPr>
          <w:p w14:paraId="0BC5F3FB" w14:textId="77777777" w:rsidR="00332C23" w:rsidRPr="00A64E41" w:rsidRDefault="00332C23" w:rsidP="00A64E41">
            <w:r w:rsidRPr="00A64E41">
              <w:t>Please clarify if councils are presented at upper tier, all levels, or another combination</w:t>
            </w:r>
          </w:p>
        </w:tc>
        <w:tc>
          <w:tcPr>
            <w:tcW w:w="544" w:type="pct"/>
            <w:tcBorders>
              <w:top w:val="single" w:sz="4" w:space="0" w:color="auto"/>
              <w:left w:val="single" w:sz="4" w:space="0" w:color="auto"/>
              <w:bottom w:val="single" w:sz="4" w:space="0" w:color="auto"/>
              <w:right w:val="single" w:sz="4" w:space="0" w:color="auto"/>
            </w:tcBorders>
          </w:tcPr>
          <w:p w14:paraId="442DAD8A"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27675A4E" w14:textId="77777777" w:rsidR="00332C23" w:rsidRPr="00A64E41" w:rsidRDefault="00332C23" w:rsidP="00A64E41">
            <w:pPr>
              <w:rPr>
                <w:i/>
              </w:rPr>
            </w:pPr>
            <w:r w:rsidRPr="00A64E41">
              <w:rPr>
                <w:i/>
              </w:rPr>
              <w:t>To be replaced with CASSRs</w:t>
            </w:r>
          </w:p>
        </w:tc>
        <w:tc>
          <w:tcPr>
            <w:tcW w:w="388" w:type="pct"/>
            <w:tcBorders>
              <w:top w:val="single" w:sz="4" w:space="0" w:color="auto"/>
              <w:left w:val="single" w:sz="4" w:space="0" w:color="auto"/>
              <w:bottom w:val="single" w:sz="4" w:space="0" w:color="auto"/>
              <w:right w:val="single" w:sz="4" w:space="0" w:color="auto"/>
            </w:tcBorders>
          </w:tcPr>
          <w:p w14:paraId="43002DA4" w14:textId="77777777" w:rsidR="00332C23" w:rsidRPr="00A64E41" w:rsidRDefault="00332C23" w:rsidP="00A64E41">
            <w:r w:rsidRPr="00A64E41">
              <w:t>Robyn Wilson</w:t>
            </w:r>
          </w:p>
        </w:tc>
        <w:sdt>
          <w:sdtPr>
            <w:id w:val="-1844618749"/>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78E3B51B"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52A7C66B" w14:textId="77777777" w:rsidR="00332C23" w:rsidRPr="00A64E41" w:rsidRDefault="00332C23" w:rsidP="00A64E41">
            <w:r w:rsidRPr="00A64E41">
              <w:t>Gemma Ramsay</w:t>
            </w:r>
          </w:p>
          <w:p w14:paraId="0973C939" w14:textId="77777777" w:rsidR="00332C23" w:rsidRPr="00A64E41" w:rsidRDefault="00332C23" w:rsidP="00A64E41">
            <w:r w:rsidRPr="00A64E41">
              <w:lastRenderedPageBreak/>
              <w:t>(MRG Vice Chair)</w:t>
            </w:r>
          </w:p>
          <w:p w14:paraId="39FB34B9" w14:textId="77777777" w:rsidR="00332C23" w:rsidRPr="00A64E41" w:rsidRDefault="00332C23" w:rsidP="00A64E41">
            <w:r w:rsidRPr="00A64E41">
              <w:t>02/05/19</w:t>
            </w:r>
          </w:p>
        </w:tc>
      </w:tr>
      <w:tr w:rsidR="00A64E41" w:rsidRPr="00A64E41" w14:paraId="7E24D74E" w14:textId="77777777" w:rsidTr="00A64E41">
        <w:tc>
          <w:tcPr>
            <w:tcW w:w="307" w:type="pct"/>
            <w:tcBorders>
              <w:top w:val="single" w:sz="4" w:space="0" w:color="auto"/>
              <w:left w:val="single" w:sz="4" w:space="0" w:color="auto"/>
              <w:bottom w:val="single" w:sz="4" w:space="0" w:color="auto"/>
              <w:right w:val="single" w:sz="4" w:space="0" w:color="auto"/>
            </w:tcBorders>
          </w:tcPr>
          <w:p w14:paraId="44B12AE1" w14:textId="77777777" w:rsidR="00332C23" w:rsidRPr="00A64E41" w:rsidRDefault="00332C23" w:rsidP="00A64E41">
            <w:r w:rsidRPr="00A64E41">
              <w:lastRenderedPageBreak/>
              <w:t>4.6</w:t>
            </w:r>
          </w:p>
        </w:tc>
        <w:tc>
          <w:tcPr>
            <w:tcW w:w="1613" w:type="pct"/>
            <w:tcBorders>
              <w:top w:val="single" w:sz="4" w:space="0" w:color="auto"/>
              <w:left w:val="single" w:sz="4" w:space="0" w:color="auto"/>
              <w:bottom w:val="single" w:sz="4" w:space="0" w:color="auto"/>
              <w:right w:val="single" w:sz="4" w:space="0" w:color="auto"/>
            </w:tcBorders>
          </w:tcPr>
          <w:p w14:paraId="5BC6CC62" w14:textId="77777777" w:rsidR="00332C23" w:rsidRPr="00A64E41" w:rsidRDefault="00332C23" w:rsidP="00A64E41">
            <w:r w:rsidRPr="00A64E41">
              <w:t>My understanding has been that the form is trying to capture the information needed for someone to reproduce the indicator. If that's the case, more is needed here.</w:t>
            </w:r>
          </w:p>
        </w:tc>
        <w:tc>
          <w:tcPr>
            <w:tcW w:w="544" w:type="pct"/>
            <w:tcBorders>
              <w:top w:val="single" w:sz="4" w:space="0" w:color="auto"/>
              <w:left w:val="single" w:sz="4" w:space="0" w:color="auto"/>
              <w:bottom w:val="single" w:sz="4" w:space="0" w:color="auto"/>
              <w:right w:val="single" w:sz="4" w:space="0" w:color="auto"/>
            </w:tcBorders>
          </w:tcPr>
          <w:p w14:paraId="749BB2DA"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14293A94" w14:textId="77777777" w:rsidR="00332C23" w:rsidRPr="00A64E41" w:rsidRDefault="00332C23" w:rsidP="00A64E41">
            <w:pPr>
              <w:spacing w:before="60" w:after="60"/>
            </w:pPr>
            <w:r w:rsidRPr="00A64E41">
              <w:t xml:space="preserve">The numerator and denominator both use the same question, using all valid responses for the denominator and a subset of that for the numerator. </w:t>
            </w:r>
          </w:p>
          <w:p w14:paraId="0CB8EA1B" w14:textId="77777777" w:rsidR="00332C23" w:rsidRPr="00A64E41" w:rsidRDefault="00332C23" w:rsidP="00A64E41">
            <w:pPr>
              <w:spacing w:before="60" w:after="60"/>
            </w:pPr>
            <w:r w:rsidRPr="00A64E41">
              <w:t xml:space="preserve">Section has been expanded to reflect that the data fields required are “Valid answers to Adult Social Care Survey Question 12; "In the past year, have you generally found it easy or difficult to find information and advice about support, services or benefits?" </w:t>
            </w:r>
          </w:p>
          <w:p w14:paraId="2CF9B2F9" w14:textId="77777777" w:rsidR="00332C23" w:rsidRPr="00A64E41" w:rsidRDefault="00332C23" w:rsidP="00A64E41">
            <w:r w:rsidRPr="00A64E41">
              <w:t xml:space="preserve"> </w:t>
            </w:r>
          </w:p>
        </w:tc>
        <w:tc>
          <w:tcPr>
            <w:tcW w:w="388" w:type="pct"/>
            <w:tcBorders>
              <w:top w:val="single" w:sz="4" w:space="0" w:color="auto"/>
              <w:left w:val="single" w:sz="4" w:space="0" w:color="auto"/>
              <w:bottom w:val="single" w:sz="4" w:space="0" w:color="auto"/>
              <w:right w:val="single" w:sz="4" w:space="0" w:color="auto"/>
            </w:tcBorders>
          </w:tcPr>
          <w:p w14:paraId="0253D7E6" w14:textId="77777777" w:rsidR="00332C23" w:rsidRPr="00A64E41" w:rsidRDefault="00332C23" w:rsidP="00A64E41">
            <w:r w:rsidRPr="00A64E41">
              <w:t>Robyn Wilson</w:t>
            </w:r>
          </w:p>
        </w:tc>
        <w:sdt>
          <w:sdtPr>
            <w:id w:val="-2118050273"/>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658E3312"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1B4A334D" w14:textId="77777777" w:rsidR="00332C23" w:rsidRPr="00A64E41" w:rsidRDefault="00332C23" w:rsidP="00A64E41">
            <w:r w:rsidRPr="00A64E41">
              <w:t>Gemma Ramsay</w:t>
            </w:r>
          </w:p>
          <w:p w14:paraId="089EE1D3" w14:textId="77777777" w:rsidR="00332C23" w:rsidRPr="00A64E41" w:rsidRDefault="00332C23" w:rsidP="00A64E41">
            <w:r w:rsidRPr="00A64E41">
              <w:t>(MRG Vice Chair)</w:t>
            </w:r>
          </w:p>
          <w:p w14:paraId="524A0EC1" w14:textId="77777777" w:rsidR="00332C23" w:rsidRPr="00A64E41" w:rsidRDefault="00332C23" w:rsidP="00A64E41">
            <w:r w:rsidRPr="00A64E41">
              <w:t>02/05/19</w:t>
            </w:r>
          </w:p>
        </w:tc>
      </w:tr>
      <w:tr w:rsidR="00A64E41" w:rsidRPr="00A64E41" w14:paraId="1CFD6F7B" w14:textId="77777777" w:rsidTr="00A64E41">
        <w:tc>
          <w:tcPr>
            <w:tcW w:w="307" w:type="pct"/>
            <w:tcBorders>
              <w:top w:val="single" w:sz="4" w:space="0" w:color="auto"/>
              <w:left w:val="single" w:sz="4" w:space="0" w:color="auto"/>
              <w:bottom w:val="single" w:sz="4" w:space="0" w:color="auto"/>
              <w:right w:val="single" w:sz="4" w:space="0" w:color="auto"/>
            </w:tcBorders>
          </w:tcPr>
          <w:p w14:paraId="6664B954" w14:textId="77777777" w:rsidR="00332C23" w:rsidRPr="00A64E41" w:rsidRDefault="00332C23" w:rsidP="00A64E41">
            <w:r w:rsidRPr="00A64E41">
              <w:t>4.6</w:t>
            </w:r>
          </w:p>
        </w:tc>
        <w:tc>
          <w:tcPr>
            <w:tcW w:w="1613" w:type="pct"/>
            <w:tcBorders>
              <w:top w:val="single" w:sz="4" w:space="0" w:color="auto"/>
              <w:left w:val="single" w:sz="4" w:space="0" w:color="auto"/>
              <w:bottom w:val="single" w:sz="4" w:space="0" w:color="auto"/>
              <w:right w:val="single" w:sz="4" w:space="0" w:color="auto"/>
            </w:tcBorders>
          </w:tcPr>
          <w:p w14:paraId="4126BE3B" w14:textId="77777777" w:rsidR="00332C23" w:rsidRPr="00A64E41" w:rsidRDefault="00332C23" w:rsidP="00A64E41">
            <w:r w:rsidRPr="00A64E41">
              <w:t>Please expand this answer to show all the answers to the questions and any other essential fields needed to get the data to recreate the indicator</w:t>
            </w:r>
          </w:p>
        </w:tc>
        <w:tc>
          <w:tcPr>
            <w:tcW w:w="544" w:type="pct"/>
            <w:tcBorders>
              <w:top w:val="single" w:sz="4" w:space="0" w:color="auto"/>
              <w:left w:val="single" w:sz="4" w:space="0" w:color="auto"/>
              <w:bottom w:val="single" w:sz="4" w:space="0" w:color="auto"/>
              <w:right w:val="single" w:sz="4" w:space="0" w:color="auto"/>
            </w:tcBorders>
          </w:tcPr>
          <w:p w14:paraId="065CBACC"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2E76E406" w14:textId="77777777" w:rsidR="00332C23" w:rsidRPr="00A64E41" w:rsidRDefault="00332C23" w:rsidP="00A64E41">
            <w:pPr>
              <w:spacing w:before="60" w:after="60"/>
            </w:pPr>
            <w:r w:rsidRPr="00A64E41">
              <w:t>Done</w:t>
            </w:r>
          </w:p>
        </w:tc>
        <w:tc>
          <w:tcPr>
            <w:tcW w:w="388" w:type="pct"/>
            <w:tcBorders>
              <w:top w:val="single" w:sz="4" w:space="0" w:color="auto"/>
              <w:left w:val="single" w:sz="4" w:space="0" w:color="auto"/>
              <w:bottom w:val="single" w:sz="4" w:space="0" w:color="auto"/>
              <w:right w:val="single" w:sz="4" w:space="0" w:color="auto"/>
            </w:tcBorders>
          </w:tcPr>
          <w:p w14:paraId="221691B3" w14:textId="77777777" w:rsidR="00332C23" w:rsidRPr="00A64E41" w:rsidRDefault="00332C23" w:rsidP="00A64E41">
            <w:r w:rsidRPr="00A64E41">
              <w:t>Robyn Wilson</w:t>
            </w:r>
          </w:p>
        </w:tc>
        <w:sdt>
          <w:sdtPr>
            <w:id w:val="-1152754977"/>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56E0397F"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730AA330" w14:textId="77777777" w:rsidR="00332C23" w:rsidRPr="00A64E41" w:rsidRDefault="00332C23" w:rsidP="00A64E41">
            <w:r w:rsidRPr="00A64E41">
              <w:t>Gemma Ramsay</w:t>
            </w:r>
          </w:p>
          <w:p w14:paraId="7A235169" w14:textId="77777777" w:rsidR="00332C23" w:rsidRPr="00A64E41" w:rsidRDefault="00332C23" w:rsidP="00A64E41">
            <w:r w:rsidRPr="00A64E41">
              <w:t>(MRG Vice Chair)</w:t>
            </w:r>
          </w:p>
          <w:p w14:paraId="37F7156B" w14:textId="77777777" w:rsidR="00332C23" w:rsidRPr="00A64E41" w:rsidRDefault="00332C23" w:rsidP="00A64E41">
            <w:r w:rsidRPr="00A64E41">
              <w:t>02/05/19</w:t>
            </w:r>
          </w:p>
        </w:tc>
      </w:tr>
      <w:tr w:rsidR="00A64E41" w:rsidRPr="00A64E41" w14:paraId="7EC08E9E" w14:textId="77777777" w:rsidTr="00A64E41">
        <w:tc>
          <w:tcPr>
            <w:tcW w:w="307" w:type="pct"/>
            <w:tcBorders>
              <w:top w:val="single" w:sz="4" w:space="0" w:color="auto"/>
              <w:left w:val="single" w:sz="4" w:space="0" w:color="auto"/>
              <w:bottom w:val="single" w:sz="4" w:space="0" w:color="auto"/>
              <w:right w:val="single" w:sz="4" w:space="0" w:color="auto"/>
            </w:tcBorders>
          </w:tcPr>
          <w:p w14:paraId="41AA91B5" w14:textId="77777777" w:rsidR="00332C23" w:rsidRPr="00A64E41" w:rsidRDefault="00332C23" w:rsidP="00A64E41">
            <w:r w:rsidRPr="00A64E41">
              <w:t>4.6</w:t>
            </w:r>
          </w:p>
        </w:tc>
        <w:tc>
          <w:tcPr>
            <w:tcW w:w="1613" w:type="pct"/>
            <w:tcBorders>
              <w:top w:val="single" w:sz="4" w:space="0" w:color="auto"/>
              <w:left w:val="single" w:sz="4" w:space="0" w:color="auto"/>
              <w:bottom w:val="single" w:sz="4" w:space="0" w:color="auto"/>
              <w:right w:val="single" w:sz="4" w:space="0" w:color="auto"/>
            </w:tcBorders>
          </w:tcPr>
          <w:p w14:paraId="47A4A64B" w14:textId="77777777" w:rsidR="00332C23" w:rsidRPr="00A64E41" w:rsidRDefault="00332C23" w:rsidP="00A64E41">
            <w:pPr>
              <w:rPr>
                <w:i/>
              </w:rPr>
            </w:pPr>
            <w:r w:rsidRPr="00A64E41">
              <w:rPr>
                <w:i/>
              </w:rPr>
              <w:t>X I’ve never tried to find information or advice</w:t>
            </w:r>
          </w:p>
          <w:p w14:paraId="128C6769" w14:textId="77777777" w:rsidR="00332C23" w:rsidRPr="00A64E41" w:rsidRDefault="00332C23" w:rsidP="00A64E41"/>
          <w:p w14:paraId="2F67EAA8" w14:textId="77777777" w:rsidR="00332C23" w:rsidRPr="00A64E41" w:rsidRDefault="00332C23" w:rsidP="00A64E41">
            <w:r w:rsidRPr="00A64E41">
              <w:t>I immediately wondered why you would want to include these answers in the calculation. I then looked at the book of definitions (https://assets.publishing.service.gov.uk/government/uploads/system/uploads/attachment_data/file/687208/Final_ASCOF_handbook_of_definitions_2018-19_2.pdf), and at first it sounded as if it was saying they were included. However, at the top of p66, there is a section called ‘Exclusions’ which says that they are not included.</w:t>
            </w:r>
          </w:p>
        </w:tc>
        <w:tc>
          <w:tcPr>
            <w:tcW w:w="544" w:type="pct"/>
            <w:tcBorders>
              <w:top w:val="single" w:sz="4" w:space="0" w:color="auto"/>
              <w:left w:val="single" w:sz="4" w:space="0" w:color="auto"/>
              <w:bottom w:val="single" w:sz="4" w:space="0" w:color="auto"/>
              <w:right w:val="single" w:sz="4" w:space="0" w:color="auto"/>
            </w:tcBorders>
          </w:tcPr>
          <w:p w14:paraId="40A1FBC2" w14:textId="77777777" w:rsidR="00332C23" w:rsidRPr="00A64E41" w:rsidRDefault="00332C23" w:rsidP="00A64E41">
            <w:r w:rsidRPr="00A64E41">
              <w:t>MRG 24/04/2019</w:t>
            </w:r>
          </w:p>
        </w:tc>
        <w:tc>
          <w:tcPr>
            <w:tcW w:w="1385" w:type="pct"/>
            <w:tcBorders>
              <w:top w:val="single" w:sz="4" w:space="0" w:color="auto"/>
              <w:left w:val="single" w:sz="4" w:space="0" w:color="auto"/>
              <w:bottom w:val="single" w:sz="4" w:space="0" w:color="auto"/>
              <w:right w:val="single" w:sz="4" w:space="0" w:color="auto"/>
            </w:tcBorders>
          </w:tcPr>
          <w:p w14:paraId="21441B51" w14:textId="77777777" w:rsidR="00332C23" w:rsidRPr="00A64E41" w:rsidRDefault="00332C23" w:rsidP="00A64E41">
            <w:pPr>
              <w:spacing w:before="60" w:after="60"/>
            </w:pPr>
            <w:r w:rsidRPr="00A64E41">
              <w:t>Removed this from the required fields.</w:t>
            </w:r>
          </w:p>
        </w:tc>
        <w:tc>
          <w:tcPr>
            <w:tcW w:w="388" w:type="pct"/>
            <w:tcBorders>
              <w:top w:val="single" w:sz="4" w:space="0" w:color="auto"/>
              <w:left w:val="single" w:sz="4" w:space="0" w:color="auto"/>
              <w:bottom w:val="single" w:sz="4" w:space="0" w:color="auto"/>
              <w:right w:val="single" w:sz="4" w:space="0" w:color="auto"/>
            </w:tcBorders>
          </w:tcPr>
          <w:p w14:paraId="4CD8C419" w14:textId="77777777" w:rsidR="00332C23" w:rsidRPr="00A64E41" w:rsidRDefault="00332C23" w:rsidP="00A64E41">
            <w:r w:rsidRPr="00A64E41">
              <w:t>Robyn Wilson</w:t>
            </w:r>
          </w:p>
        </w:tc>
        <w:sdt>
          <w:sdtPr>
            <w:id w:val="1369025983"/>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32E7CC79"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019C0C30" w14:textId="77777777" w:rsidR="00332C23" w:rsidRPr="00A64E41" w:rsidRDefault="00332C23" w:rsidP="00A64E41">
            <w:r w:rsidRPr="00A64E41">
              <w:t>Gemma Ramsay</w:t>
            </w:r>
          </w:p>
          <w:p w14:paraId="5A8C32D3" w14:textId="77777777" w:rsidR="00332C23" w:rsidRPr="00A64E41" w:rsidRDefault="00332C23" w:rsidP="00A64E41">
            <w:r w:rsidRPr="00A64E41">
              <w:t>(MRG Vice Chair)</w:t>
            </w:r>
          </w:p>
          <w:p w14:paraId="4F86BAFE" w14:textId="77777777" w:rsidR="00332C23" w:rsidRPr="00A64E41" w:rsidRDefault="00332C23" w:rsidP="00A64E41">
            <w:r w:rsidRPr="00A64E41">
              <w:t>02/05/19</w:t>
            </w:r>
          </w:p>
        </w:tc>
      </w:tr>
      <w:tr w:rsidR="00A64E41" w:rsidRPr="00A64E41" w14:paraId="6685800B" w14:textId="77777777" w:rsidTr="00A64E41">
        <w:tc>
          <w:tcPr>
            <w:tcW w:w="307" w:type="pct"/>
            <w:tcBorders>
              <w:top w:val="single" w:sz="4" w:space="0" w:color="auto"/>
              <w:left w:val="single" w:sz="4" w:space="0" w:color="auto"/>
              <w:bottom w:val="single" w:sz="4" w:space="0" w:color="auto"/>
              <w:right w:val="single" w:sz="4" w:space="0" w:color="auto"/>
            </w:tcBorders>
          </w:tcPr>
          <w:p w14:paraId="3C2C3644" w14:textId="77777777" w:rsidR="00332C23" w:rsidRPr="00A64E41" w:rsidRDefault="00332C23" w:rsidP="00A64E41">
            <w:r w:rsidRPr="00A64E41">
              <w:lastRenderedPageBreak/>
              <w:t>4.9</w:t>
            </w:r>
          </w:p>
        </w:tc>
        <w:tc>
          <w:tcPr>
            <w:tcW w:w="1613" w:type="pct"/>
            <w:tcBorders>
              <w:top w:val="single" w:sz="4" w:space="0" w:color="auto"/>
              <w:left w:val="single" w:sz="4" w:space="0" w:color="auto"/>
              <w:bottom w:val="single" w:sz="4" w:space="0" w:color="auto"/>
              <w:right w:val="single" w:sz="4" w:space="0" w:color="auto"/>
            </w:tcBorders>
          </w:tcPr>
          <w:p w14:paraId="072A93B7" w14:textId="77777777" w:rsidR="00332C23" w:rsidRPr="00A64E41" w:rsidRDefault="00332C23" w:rsidP="00A64E41">
            <w:r w:rsidRPr="00A64E41">
              <w:t>This section is difficult to understand, can it be made to be more easily read?</w:t>
            </w:r>
          </w:p>
        </w:tc>
        <w:tc>
          <w:tcPr>
            <w:tcW w:w="544" w:type="pct"/>
            <w:tcBorders>
              <w:top w:val="single" w:sz="4" w:space="0" w:color="auto"/>
              <w:left w:val="single" w:sz="4" w:space="0" w:color="auto"/>
              <w:bottom w:val="single" w:sz="4" w:space="0" w:color="auto"/>
              <w:right w:val="single" w:sz="4" w:space="0" w:color="auto"/>
            </w:tcBorders>
          </w:tcPr>
          <w:p w14:paraId="07719220"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2AFF8368" w14:textId="77777777" w:rsidR="00332C23" w:rsidRPr="00A64E41" w:rsidRDefault="00332C23" w:rsidP="00A64E41">
            <w:pPr>
              <w:spacing w:before="60" w:after="60"/>
            </w:pPr>
            <w:r w:rsidRPr="00A64E41">
              <w:t>Tweaked</w:t>
            </w:r>
          </w:p>
        </w:tc>
        <w:tc>
          <w:tcPr>
            <w:tcW w:w="388" w:type="pct"/>
            <w:tcBorders>
              <w:top w:val="single" w:sz="4" w:space="0" w:color="auto"/>
              <w:left w:val="single" w:sz="4" w:space="0" w:color="auto"/>
              <w:bottom w:val="single" w:sz="4" w:space="0" w:color="auto"/>
              <w:right w:val="single" w:sz="4" w:space="0" w:color="auto"/>
            </w:tcBorders>
          </w:tcPr>
          <w:p w14:paraId="276105F3" w14:textId="77777777" w:rsidR="00332C23" w:rsidRPr="00A64E41" w:rsidRDefault="00332C23" w:rsidP="00A64E41">
            <w:r w:rsidRPr="00A64E41">
              <w:t>Robyn Wilson</w:t>
            </w:r>
          </w:p>
        </w:tc>
        <w:sdt>
          <w:sdtPr>
            <w:id w:val="125308781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502DF499"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0E0D69B3" w14:textId="77777777" w:rsidR="00332C23" w:rsidRPr="00A64E41" w:rsidRDefault="00332C23" w:rsidP="00A64E41">
            <w:r w:rsidRPr="00A64E41">
              <w:t>Gemma Ramsay</w:t>
            </w:r>
          </w:p>
          <w:p w14:paraId="339CC2E2" w14:textId="77777777" w:rsidR="00332C23" w:rsidRPr="00A64E41" w:rsidRDefault="00332C23" w:rsidP="00A64E41">
            <w:r w:rsidRPr="00A64E41">
              <w:t>(MRG Vice Chair)</w:t>
            </w:r>
          </w:p>
          <w:p w14:paraId="1FED1D30" w14:textId="77777777" w:rsidR="00332C23" w:rsidRPr="00A64E41" w:rsidRDefault="00332C23" w:rsidP="00A64E41">
            <w:r w:rsidRPr="00A64E41">
              <w:t>02/05/19</w:t>
            </w:r>
          </w:p>
        </w:tc>
      </w:tr>
      <w:tr w:rsidR="00A64E41" w:rsidRPr="00A64E41" w14:paraId="282CA14D" w14:textId="77777777" w:rsidTr="00A64E41">
        <w:tc>
          <w:tcPr>
            <w:tcW w:w="307" w:type="pct"/>
            <w:tcBorders>
              <w:top w:val="single" w:sz="4" w:space="0" w:color="auto"/>
              <w:left w:val="single" w:sz="4" w:space="0" w:color="auto"/>
              <w:bottom w:val="single" w:sz="4" w:space="0" w:color="auto"/>
              <w:right w:val="single" w:sz="4" w:space="0" w:color="auto"/>
            </w:tcBorders>
          </w:tcPr>
          <w:p w14:paraId="2A8E1C62" w14:textId="77777777" w:rsidR="00332C23" w:rsidRPr="00A64E41" w:rsidRDefault="00332C23" w:rsidP="00A64E41">
            <w:r w:rsidRPr="00A64E41">
              <w:t>4.9</w:t>
            </w:r>
          </w:p>
        </w:tc>
        <w:tc>
          <w:tcPr>
            <w:tcW w:w="1613" w:type="pct"/>
            <w:tcBorders>
              <w:top w:val="single" w:sz="4" w:space="0" w:color="auto"/>
              <w:left w:val="single" w:sz="4" w:space="0" w:color="auto"/>
              <w:bottom w:val="single" w:sz="4" w:space="0" w:color="auto"/>
              <w:right w:val="single" w:sz="4" w:space="0" w:color="auto"/>
            </w:tcBorders>
          </w:tcPr>
          <w:p w14:paraId="28E3B525" w14:textId="77777777" w:rsidR="00332C23" w:rsidRPr="00A64E41" w:rsidRDefault="00332C23" w:rsidP="00A64E41">
            <w:r w:rsidRPr="00A64E41">
              <w:t>Please explain the tables used to source the eligible population. You have shown the changes, but not explained the RAP or SALT tables.</w:t>
            </w:r>
          </w:p>
        </w:tc>
        <w:tc>
          <w:tcPr>
            <w:tcW w:w="544" w:type="pct"/>
            <w:tcBorders>
              <w:top w:val="single" w:sz="4" w:space="0" w:color="auto"/>
              <w:left w:val="single" w:sz="4" w:space="0" w:color="auto"/>
              <w:bottom w:val="single" w:sz="4" w:space="0" w:color="auto"/>
              <w:right w:val="single" w:sz="4" w:space="0" w:color="auto"/>
            </w:tcBorders>
          </w:tcPr>
          <w:p w14:paraId="42A9023D"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68C7C808" w14:textId="77777777" w:rsidR="00332C23" w:rsidRPr="00A64E41" w:rsidRDefault="00332C23" w:rsidP="00A64E41">
            <w:pPr>
              <w:spacing w:before="60" w:after="60" w:line="276" w:lineRule="auto"/>
            </w:pPr>
            <w:r w:rsidRPr="00A64E41">
              <w:t>This is irrelevant so have removed reference to RAP and SALT</w:t>
            </w:r>
          </w:p>
        </w:tc>
        <w:tc>
          <w:tcPr>
            <w:tcW w:w="388" w:type="pct"/>
            <w:tcBorders>
              <w:top w:val="single" w:sz="4" w:space="0" w:color="auto"/>
              <w:left w:val="single" w:sz="4" w:space="0" w:color="auto"/>
              <w:bottom w:val="single" w:sz="4" w:space="0" w:color="auto"/>
              <w:right w:val="single" w:sz="4" w:space="0" w:color="auto"/>
            </w:tcBorders>
          </w:tcPr>
          <w:p w14:paraId="5351CDFF" w14:textId="77777777" w:rsidR="00332C23" w:rsidRPr="00A64E41" w:rsidRDefault="00332C23" w:rsidP="00A64E41">
            <w:r w:rsidRPr="00A64E41">
              <w:t>Robyn Wilson</w:t>
            </w:r>
          </w:p>
        </w:tc>
        <w:sdt>
          <w:sdtPr>
            <w:id w:val="-1591228375"/>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458897B"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539EDEFE" w14:textId="77777777" w:rsidR="00332C23" w:rsidRPr="00A64E41" w:rsidRDefault="00332C23" w:rsidP="00A64E41">
            <w:r w:rsidRPr="00A64E41">
              <w:t>Gemma Ramsay</w:t>
            </w:r>
          </w:p>
          <w:p w14:paraId="10DD8FAB" w14:textId="77777777" w:rsidR="00332C23" w:rsidRPr="00A64E41" w:rsidRDefault="00332C23" w:rsidP="00A64E41">
            <w:r w:rsidRPr="00A64E41">
              <w:t>(MRG Vice Chair)</w:t>
            </w:r>
          </w:p>
          <w:p w14:paraId="1EDD3AFC" w14:textId="77777777" w:rsidR="00332C23" w:rsidRPr="00A64E41" w:rsidRDefault="00332C23" w:rsidP="00A64E41">
            <w:r w:rsidRPr="00A64E41">
              <w:t>02/05/19</w:t>
            </w:r>
          </w:p>
        </w:tc>
      </w:tr>
      <w:tr w:rsidR="00A64E41" w:rsidRPr="00A64E41" w14:paraId="6CC68506" w14:textId="77777777" w:rsidTr="00A64E41">
        <w:tc>
          <w:tcPr>
            <w:tcW w:w="307" w:type="pct"/>
            <w:tcBorders>
              <w:top w:val="single" w:sz="4" w:space="0" w:color="auto"/>
              <w:left w:val="single" w:sz="4" w:space="0" w:color="auto"/>
              <w:bottom w:val="single" w:sz="4" w:space="0" w:color="auto"/>
              <w:right w:val="single" w:sz="4" w:space="0" w:color="auto"/>
            </w:tcBorders>
          </w:tcPr>
          <w:p w14:paraId="5334D2F3" w14:textId="77777777" w:rsidR="00332C23" w:rsidRPr="00A64E41" w:rsidRDefault="00332C23" w:rsidP="00A64E41">
            <w:r w:rsidRPr="00A64E41">
              <w:t>4.10</w:t>
            </w:r>
          </w:p>
        </w:tc>
        <w:tc>
          <w:tcPr>
            <w:tcW w:w="1613" w:type="pct"/>
            <w:tcBorders>
              <w:top w:val="single" w:sz="4" w:space="0" w:color="auto"/>
              <w:left w:val="single" w:sz="4" w:space="0" w:color="auto"/>
              <w:bottom w:val="single" w:sz="4" w:space="0" w:color="auto"/>
              <w:right w:val="single" w:sz="4" w:space="0" w:color="auto"/>
            </w:tcBorders>
          </w:tcPr>
          <w:p w14:paraId="2C8D9529" w14:textId="1BF09671" w:rsidR="00332C23" w:rsidRPr="00A64E41" w:rsidRDefault="00332C23" w:rsidP="00A64E41">
            <w:r w:rsidRPr="00A64E41">
              <w:t>So, does this mean 94.5% of the respondents to the survey completed q12?  i.e. the response rate for q12 is actually 30.4% (32.2%x94.5%) - I don't think you can call the 94.5% a response rate - it's confusing.</w:t>
            </w:r>
          </w:p>
        </w:tc>
        <w:tc>
          <w:tcPr>
            <w:tcW w:w="544" w:type="pct"/>
            <w:tcBorders>
              <w:top w:val="single" w:sz="4" w:space="0" w:color="auto"/>
              <w:left w:val="single" w:sz="4" w:space="0" w:color="auto"/>
              <w:bottom w:val="single" w:sz="4" w:space="0" w:color="auto"/>
              <w:right w:val="single" w:sz="4" w:space="0" w:color="auto"/>
            </w:tcBorders>
          </w:tcPr>
          <w:p w14:paraId="4EA01A6A"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6F222A26" w14:textId="77777777" w:rsidR="00332C23" w:rsidRPr="00A64E41" w:rsidRDefault="00332C23" w:rsidP="00A64E41">
            <w:pPr>
              <w:spacing w:before="60" w:after="60"/>
            </w:pPr>
            <w:r w:rsidRPr="00A64E41">
              <w:t>Yes, 94.5% of the respondents to the survey completed q12.</w:t>
            </w:r>
          </w:p>
        </w:tc>
        <w:tc>
          <w:tcPr>
            <w:tcW w:w="388" w:type="pct"/>
            <w:tcBorders>
              <w:top w:val="single" w:sz="4" w:space="0" w:color="auto"/>
              <w:left w:val="single" w:sz="4" w:space="0" w:color="auto"/>
              <w:bottom w:val="single" w:sz="4" w:space="0" w:color="auto"/>
              <w:right w:val="single" w:sz="4" w:space="0" w:color="auto"/>
            </w:tcBorders>
          </w:tcPr>
          <w:p w14:paraId="0CB7E540" w14:textId="77777777" w:rsidR="00332C23" w:rsidRPr="00A64E41" w:rsidRDefault="00332C23" w:rsidP="00A64E41">
            <w:r w:rsidRPr="00A64E41">
              <w:t>Robyn Wilson</w:t>
            </w:r>
          </w:p>
        </w:tc>
        <w:sdt>
          <w:sdtPr>
            <w:id w:val="1136999068"/>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5E27C08"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5CBCDFB9" w14:textId="77777777" w:rsidR="00332C23" w:rsidRPr="00A64E41" w:rsidRDefault="00332C23" w:rsidP="00A64E41">
            <w:r w:rsidRPr="00A64E41">
              <w:t>Gemma Ramsay</w:t>
            </w:r>
          </w:p>
          <w:p w14:paraId="54DFAB79" w14:textId="77777777" w:rsidR="00332C23" w:rsidRPr="00A64E41" w:rsidRDefault="00332C23" w:rsidP="00A64E41">
            <w:r w:rsidRPr="00A64E41">
              <w:t>(MRG Vice Chair)</w:t>
            </w:r>
          </w:p>
          <w:p w14:paraId="23C2370C" w14:textId="77777777" w:rsidR="00332C23" w:rsidRPr="00A64E41" w:rsidRDefault="00332C23" w:rsidP="00A64E41">
            <w:r w:rsidRPr="00A64E41">
              <w:t>02/05/19</w:t>
            </w:r>
          </w:p>
        </w:tc>
      </w:tr>
      <w:tr w:rsidR="00A64E41" w:rsidRPr="00A64E41" w14:paraId="50D4C538" w14:textId="77777777" w:rsidTr="00A64E41">
        <w:tc>
          <w:tcPr>
            <w:tcW w:w="307" w:type="pct"/>
            <w:tcBorders>
              <w:top w:val="single" w:sz="4" w:space="0" w:color="auto"/>
              <w:left w:val="single" w:sz="4" w:space="0" w:color="auto"/>
              <w:bottom w:val="single" w:sz="4" w:space="0" w:color="auto"/>
              <w:right w:val="single" w:sz="4" w:space="0" w:color="auto"/>
            </w:tcBorders>
          </w:tcPr>
          <w:p w14:paraId="16EA23D4" w14:textId="77777777" w:rsidR="00332C23" w:rsidRPr="00A64E41" w:rsidRDefault="00332C23" w:rsidP="00A64E41">
            <w:r w:rsidRPr="00A64E41">
              <w:t>4.10</w:t>
            </w:r>
          </w:p>
        </w:tc>
        <w:tc>
          <w:tcPr>
            <w:tcW w:w="1613" w:type="pct"/>
            <w:tcBorders>
              <w:top w:val="single" w:sz="4" w:space="0" w:color="auto"/>
              <w:left w:val="single" w:sz="4" w:space="0" w:color="auto"/>
              <w:bottom w:val="single" w:sz="4" w:space="0" w:color="auto"/>
              <w:right w:val="single" w:sz="4" w:space="0" w:color="auto"/>
            </w:tcBorders>
          </w:tcPr>
          <w:p w14:paraId="2F6D3E2E" w14:textId="77777777" w:rsidR="00332C23" w:rsidRPr="00A64E41" w:rsidRDefault="00332C23" w:rsidP="00A64E41">
            <w:r w:rsidRPr="00A64E41">
              <w:t>There is considerable concern about the response rate; the panel feels that the figure should reflect the overall response rate of the survey rather than the response rate of people who answered the survey as the figures look too high and are misleading.</w:t>
            </w:r>
          </w:p>
        </w:tc>
        <w:tc>
          <w:tcPr>
            <w:tcW w:w="544" w:type="pct"/>
            <w:tcBorders>
              <w:top w:val="single" w:sz="4" w:space="0" w:color="auto"/>
              <w:left w:val="single" w:sz="4" w:space="0" w:color="auto"/>
              <w:bottom w:val="single" w:sz="4" w:space="0" w:color="auto"/>
              <w:right w:val="single" w:sz="4" w:space="0" w:color="auto"/>
            </w:tcBorders>
          </w:tcPr>
          <w:p w14:paraId="0CF72D1A"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0189EF61" w14:textId="77777777" w:rsidR="00332C23" w:rsidRPr="00A64E41" w:rsidRDefault="00332C23" w:rsidP="00A64E41">
            <w:pPr>
              <w:spacing w:before="60" w:after="60"/>
            </w:pPr>
            <w:r w:rsidRPr="00A64E41">
              <w:t>Was not trying to be misleading. This will be discussed by the wider Adult Social Care team in regards of future publications</w:t>
            </w:r>
          </w:p>
        </w:tc>
        <w:tc>
          <w:tcPr>
            <w:tcW w:w="388" w:type="pct"/>
            <w:tcBorders>
              <w:top w:val="single" w:sz="4" w:space="0" w:color="auto"/>
              <w:left w:val="single" w:sz="4" w:space="0" w:color="auto"/>
              <w:bottom w:val="single" w:sz="4" w:space="0" w:color="auto"/>
              <w:right w:val="single" w:sz="4" w:space="0" w:color="auto"/>
            </w:tcBorders>
          </w:tcPr>
          <w:p w14:paraId="23B100CE" w14:textId="77777777" w:rsidR="00332C23" w:rsidRPr="00A64E41" w:rsidRDefault="00332C23" w:rsidP="00A64E41">
            <w:r w:rsidRPr="00A64E41">
              <w:t>Robyn Wilson</w:t>
            </w:r>
          </w:p>
        </w:tc>
        <w:sdt>
          <w:sdtPr>
            <w:id w:val="-1623758465"/>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5878AAE3"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2840B9D2" w14:textId="77777777" w:rsidR="00332C23" w:rsidRPr="00A64E41" w:rsidRDefault="00332C23" w:rsidP="00A64E41">
            <w:r w:rsidRPr="00A64E41">
              <w:t>Gemma Ramsay</w:t>
            </w:r>
          </w:p>
          <w:p w14:paraId="562565EF" w14:textId="77777777" w:rsidR="00332C23" w:rsidRPr="00A64E41" w:rsidRDefault="00332C23" w:rsidP="00A64E41">
            <w:r w:rsidRPr="00A64E41">
              <w:t>(MRG Vice Chair)</w:t>
            </w:r>
          </w:p>
          <w:p w14:paraId="73C467F3" w14:textId="77777777" w:rsidR="00332C23" w:rsidRPr="00A64E41" w:rsidRDefault="00332C23" w:rsidP="00A64E41">
            <w:r w:rsidRPr="00A64E41">
              <w:t>02/05/19</w:t>
            </w:r>
          </w:p>
        </w:tc>
      </w:tr>
      <w:tr w:rsidR="00A64E41" w:rsidRPr="00A64E41" w14:paraId="043F9E36" w14:textId="77777777" w:rsidTr="00A64E41">
        <w:tc>
          <w:tcPr>
            <w:tcW w:w="307" w:type="pct"/>
            <w:tcBorders>
              <w:top w:val="single" w:sz="4" w:space="0" w:color="auto"/>
              <w:left w:val="single" w:sz="4" w:space="0" w:color="auto"/>
              <w:bottom w:val="single" w:sz="4" w:space="0" w:color="auto"/>
              <w:right w:val="single" w:sz="4" w:space="0" w:color="auto"/>
            </w:tcBorders>
          </w:tcPr>
          <w:p w14:paraId="0D9EDD93" w14:textId="77777777" w:rsidR="00332C23" w:rsidRPr="00A64E41" w:rsidRDefault="00332C23" w:rsidP="00A64E41">
            <w:r w:rsidRPr="00A64E41">
              <w:t>4.10</w:t>
            </w:r>
          </w:p>
        </w:tc>
        <w:tc>
          <w:tcPr>
            <w:tcW w:w="1613" w:type="pct"/>
            <w:tcBorders>
              <w:top w:val="single" w:sz="4" w:space="0" w:color="auto"/>
              <w:left w:val="single" w:sz="4" w:space="0" w:color="auto"/>
              <w:bottom w:val="single" w:sz="4" w:space="0" w:color="auto"/>
              <w:right w:val="single" w:sz="4" w:space="0" w:color="auto"/>
            </w:tcBorders>
          </w:tcPr>
          <w:p w14:paraId="22A6F6EB" w14:textId="77777777" w:rsidR="00332C23" w:rsidRPr="00A64E41" w:rsidRDefault="00332C23" w:rsidP="00A64E41">
            <w:r w:rsidRPr="00A64E41">
              <w:t>In light of MRG’s earlier concerns, it would probably be better not to call this a ‘response rate’.</w:t>
            </w:r>
          </w:p>
        </w:tc>
        <w:tc>
          <w:tcPr>
            <w:tcW w:w="544" w:type="pct"/>
            <w:tcBorders>
              <w:top w:val="single" w:sz="4" w:space="0" w:color="auto"/>
              <w:left w:val="single" w:sz="4" w:space="0" w:color="auto"/>
              <w:bottom w:val="single" w:sz="4" w:space="0" w:color="auto"/>
              <w:right w:val="single" w:sz="4" w:space="0" w:color="auto"/>
            </w:tcBorders>
          </w:tcPr>
          <w:p w14:paraId="7A5B56C8" w14:textId="77777777" w:rsidR="00332C23" w:rsidRPr="00A64E41" w:rsidRDefault="00332C23" w:rsidP="00A64E41">
            <w:r w:rsidRPr="00A64E41">
              <w:t>MRG 24/04/2019</w:t>
            </w:r>
          </w:p>
        </w:tc>
        <w:tc>
          <w:tcPr>
            <w:tcW w:w="1385" w:type="pct"/>
            <w:tcBorders>
              <w:top w:val="single" w:sz="4" w:space="0" w:color="auto"/>
              <w:left w:val="single" w:sz="4" w:space="0" w:color="auto"/>
              <w:bottom w:val="single" w:sz="4" w:space="0" w:color="auto"/>
              <w:right w:val="single" w:sz="4" w:space="0" w:color="auto"/>
            </w:tcBorders>
          </w:tcPr>
          <w:p w14:paraId="1D1D2674" w14:textId="77777777" w:rsidR="00332C23" w:rsidRPr="00A64E41" w:rsidRDefault="00332C23" w:rsidP="00A64E41">
            <w:pPr>
              <w:spacing w:before="60" w:after="60"/>
            </w:pPr>
            <w:r w:rsidRPr="00A64E41">
              <w:t>Will discuss revising the publication within the wider Adult Social Care team</w:t>
            </w:r>
          </w:p>
        </w:tc>
        <w:tc>
          <w:tcPr>
            <w:tcW w:w="388" w:type="pct"/>
            <w:tcBorders>
              <w:top w:val="single" w:sz="4" w:space="0" w:color="auto"/>
              <w:left w:val="single" w:sz="4" w:space="0" w:color="auto"/>
              <w:bottom w:val="single" w:sz="4" w:space="0" w:color="auto"/>
              <w:right w:val="single" w:sz="4" w:space="0" w:color="auto"/>
            </w:tcBorders>
          </w:tcPr>
          <w:p w14:paraId="0258E3EC" w14:textId="77777777" w:rsidR="00332C23" w:rsidRPr="00A64E41" w:rsidRDefault="00332C23" w:rsidP="00A64E41">
            <w:r w:rsidRPr="00A64E41">
              <w:t>Robyn Wilson</w:t>
            </w:r>
          </w:p>
        </w:tc>
        <w:tc>
          <w:tcPr>
            <w:tcW w:w="369" w:type="pct"/>
            <w:tcBorders>
              <w:top w:val="single" w:sz="4" w:space="0" w:color="auto"/>
              <w:left w:val="single" w:sz="4" w:space="0" w:color="auto"/>
              <w:bottom w:val="single" w:sz="4" w:space="0" w:color="auto"/>
              <w:right w:val="single" w:sz="4" w:space="0" w:color="auto"/>
            </w:tcBorders>
          </w:tcPr>
          <w:p w14:paraId="272C758E" w14:textId="77777777" w:rsidR="00332C23" w:rsidRPr="00A64E41" w:rsidRDefault="008A7875" w:rsidP="00A64E41">
            <w:pPr>
              <w:jc w:val="center"/>
            </w:pPr>
            <w:sdt>
              <w:sdtPr>
                <w:id w:val="-327221461"/>
                <w14:checkbox>
                  <w14:checked w14:val="1"/>
                  <w14:checkedState w14:val="2612" w14:font="MS Gothic"/>
                  <w14:uncheckedState w14:val="2610" w14:font="MS Gothic"/>
                </w14:checkbox>
              </w:sdtPr>
              <w:sdtEndPr/>
              <w:sdtContent>
                <w:r w:rsidR="00332C23" w:rsidRPr="00A64E41">
                  <w:rPr>
                    <w:rFonts w:ascii="Segoe UI Symbol" w:eastAsia="MS Gothic" w:hAnsi="Segoe UI Symbol" w:cs="Segoe UI Symbol"/>
                  </w:rPr>
                  <w:t>☒</w:t>
                </w:r>
              </w:sdtContent>
            </w:sdt>
          </w:p>
        </w:tc>
        <w:tc>
          <w:tcPr>
            <w:tcW w:w="394" w:type="pct"/>
            <w:tcBorders>
              <w:top w:val="single" w:sz="4" w:space="0" w:color="auto"/>
              <w:left w:val="single" w:sz="4" w:space="0" w:color="auto"/>
              <w:bottom w:val="single" w:sz="4" w:space="0" w:color="auto"/>
              <w:right w:val="single" w:sz="4" w:space="0" w:color="auto"/>
            </w:tcBorders>
          </w:tcPr>
          <w:p w14:paraId="6FA6917E" w14:textId="77777777" w:rsidR="00332C23" w:rsidRPr="00A64E41" w:rsidRDefault="00332C23" w:rsidP="00A64E41">
            <w:r w:rsidRPr="00A64E41">
              <w:t>Gemma Ramsay</w:t>
            </w:r>
          </w:p>
          <w:p w14:paraId="64287580" w14:textId="77777777" w:rsidR="00332C23" w:rsidRPr="00A64E41" w:rsidRDefault="00332C23" w:rsidP="00A64E41">
            <w:r w:rsidRPr="00A64E41">
              <w:t>(MRG Vice Chair)</w:t>
            </w:r>
          </w:p>
          <w:p w14:paraId="7F308A89" w14:textId="77777777" w:rsidR="00332C23" w:rsidRPr="00A64E41" w:rsidRDefault="00332C23" w:rsidP="00A64E41">
            <w:r w:rsidRPr="00A64E41">
              <w:t>02/05/19</w:t>
            </w:r>
          </w:p>
        </w:tc>
      </w:tr>
    </w:tbl>
    <w:p w14:paraId="17A53B96" w14:textId="77777777" w:rsidR="00332C23" w:rsidRPr="00A64E41" w:rsidRDefault="00332C23" w:rsidP="00A64E41">
      <w:pPr>
        <w:rPr>
          <w:b/>
        </w:rPr>
      </w:pPr>
    </w:p>
    <w:tbl>
      <w:tblPr>
        <w:tblStyle w:val="TableGrid"/>
        <w:tblpPr w:leftFromText="180" w:rightFromText="180" w:vertAnchor="text" w:tblpX="-5" w:tblpY="1"/>
        <w:tblOverlap w:val="never"/>
        <w:tblW w:w="49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
        <w:gridCol w:w="4712"/>
        <w:gridCol w:w="1589"/>
        <w:gridCol w:w="4046"/>
        <w:gridCol w:w="1133"/>
        <w:gridCol w:w="1078"/>
        <w:gridCol w:w="1151"/>
      </w:tblGrid>
      <w:tr w:rsidR="00147C16" w:rsidRPr="00A64E41" w14:paraId="2BD3C8BE" w14:textId="77777777" w:rsidTr="00A64E41">
        <w:tc>
          <w:tcPr>
            <w:tcW w:w="307" w:type="pct"/>
            <w:tcBorders>
              <w:top w:val="single" w:sz="4" w:space="0" w:color="auto"/>
              <w:left w:val="single" w:sz="4" w:space="0" w:color="auto"/>
              <w:bottom w:val="single" w:sz="4" w:space="0" w:color="auto"/>
              <w:right w:val="single" w:sz="4" w:space="0" w:color="auto"/>
            </w:tcBorders>
          </w:tcPr>
          <w:p w14:paraId="25BDC6A5" w14:textId="4A92C649" w:rsidR="00147C16" w:rsidRPr="00A64E41" w:rsidRDefault="00147C16" w:rsidP="00A64E41">
            <w:pPr>
              <w:rPr>
                <w:b/>
                <w:i/>
              </w:rPr>
            </w:pPr>
            <w:r w:rsidRPr="00A64E41">
              <w:rPr>
                <w:b/>
              </w:rPr>
              <w:t xml:space="preserve">5. Construction and </w:t>
            </w:r>
            <w:r w:rsidRPr="00A64E41">
              <w:rPr>
                <w:b/>
              </w:rPr>
              <w:lastRenderedPageBreak/>
              <w:t>Testing</w:t>
            </w:r>
          </w:p>
        </w:tc>
        <w:tc>
          <w:tcPr>
            <w:tcW w:w="1613" w:type="pct"/>
            <w:tcBorders>
              <w:top w:val="single" w:sz="4" w:space="0" w:color="auto"/>
              <w:left w:val="single" w:sz="4" w:space="0" w:color="auto"/>
              <w:bottom w:val="single" w:sz="4" w:space="0" w:color="auto"/>
              <w:right w:val="single" w:sz="4" w:space="0" w:color="auto"/>
            </w:tcBorders>
          </w:tcPr>
          <w:p w14:paraId="7C7A648E" w14:textId="77777777" w:rsidR="00147C16" w:rsidRPr="00A64E41" w:rsidRDefault="00147C16" w:rsidP="00A64E41">
            <w:pPr>
              <w:rPr>
                <w:b/>
                <w:i/>
              </w:rPr>
            </w:pPr>
          </w:p>
        </w:tc>
        <w:tc>
          <w:tcPr>
            <w:tcW w:w="544" w:type="pct"/>
            <w:tcBorders>
              <w:top w:val="single" w:sz="4" w:space="0" w:color="auto"/>
              <w:left w:val="single" w:sz="4" w:space="0" w:color="auto"/>
              <w:bottom w:val="single" w:sz="4" w:space="0" w:color="auto"/>
              <w:right w:val="single" w:sz="4" w:space="0" w:color="auto"/>
            </w:tcBorders>
          </w:tcPr>
          <w:p w14:paraId="7E7099C3" w14:textId="77777777" w:rsidR="00147C16" w:rsidRPr="00A64E41" w:rsidRDefault="00147C16" w:rsidP="00A64E41">
            <w:pPr>
              <w:rPr>
                <w:b/>
                <w:i/>
              </w:rPr>
            </w:pPr>
          </w:p>
        </w:tc>
        <w:tc>
          <w:tcPr>
            <w:tcW w:w="1385" w:type="pct"/>
            <w:tcBorders>
              <w:top w:val="single" w:sz="4" w:space="0" w:color="auto"/>
              <w:left w:val="single" w:sz="4" w:space="0" w:color="auto"/>
              <w:bottom w:val="single" w:sz="4" w:space="0" w:color="auto"/>
              <w:right w:val="single" w:sz="4" w:space="0" w:color="auto"/>
            </w:tcBorders>
          </w:tcPr>
          <w:p w14:paraId="40C7C98C" w14:textId="77777777" w:rsidR="00147C16" w:rsidRPr="00A64E41" w:rsidRDefault="00147C16" w:rsidP="00A64E41">
            <w:pPr>
              <w:rPr>
                <w:b/>
                <w:i/>
              </w:rPr>
            </w:pPr>
          </w:p>
        </w:tc>
        <w:tc>
          <w:tcPr>
            <w:tcW w:w="388" w:type="pct"/>
            <w:tcBorders>
              <w:top w:val="single" w:sz="4" w:space="0" w:color="auto"/>
              <w:left w:val="single" w:sz="4" w:space="0" w:color="auto"/>
              <w:bottom w:val="single" w:sz="4" w:space="0" w:color="auto"/>
              <w:right w:val="single" w:sz="4" w:space="0" w:color="auto"/>
            </w:tcBorders>
          </w:tcPr>
          <w:p w14:paraId="4B8BD581" w14:textId="77777777" w:rsidR="00147C16" w:rsidRPr="00A64E41" w:rsidRDefault="00147C16" w:rsidP="00A64E41">
            <w:pPr>
              <w:rPr>
                <w:b/>
                <w:i/>
              </w:rPr>
            </w:pPr>
          </w:p>
        </w:tc>
        <w:tc>
          <w:tcPr>
            <w:tcW w:w="369" w:type="pct"/>
            <w:tcBorders>
              <w:top w:val="single" w:sz="4" w:space="0" w:color="auto"/>
              <w:left w:val="single" w:sz="4" w:space="0" w:color="auto"/>
              <w:bottom w:val="single" w:sz="4" w:space="0" w:color="auto"/>
              <w:right w:val="single" w:sz="4" w:space="0" w:color="auto"/>
            </w:tcBorders>
          </w:tcPr>
          <w:p w14:paraId="4E8A80F1" w14:textId="77777777" w:rsidR="00147C16" w:rsidRPr="00A64E41" w:rsidRDefault="00147C16" w:rsidP="00A64E41">
            <w:pPr>
              <w:rPr>
                <w:b/>
                <w:i/>
              </w:rPr>
            </w:pPr>
          </w:p>
        </w:tc>
        <w:tc>
          <w:tcPr>
            <w:tcW w:w="394" w:type="pct"/>
            <w:tcBorders>
              <w:top w:val="single" w:sz="4" w:space="0" w:color="auto"/>
              <w:left w:val="single" w:sz="4" w:space="0" w:color="auto"/>
              <w:bottom w:val="single" w:sz="4" w:space="0" w:color="auto"/>
              <w:right w:val="single" w:sz="4" w:space="0" w:color="auto"/>
            </w:tcBorders>
          </w:tcPr>
          <w:p w14:paraId="3281778A" w14:textId="77777777" w:rsidR="00147C16" w:rsidRPr="00A64E41" w:rsidRDefault="00147C16" w:rsidP="00A64E41">
            <w:pPr>
              <w:rPr>
                <w:b/>
                <w:i/>
              </w:rPr>
            </w:pPr>
          </w:p>
        </w:tc>
      </w:tr>
      <w:tr w:rsidR="00A64E41" w:rsidRPr="00A64E41" w14:paraId="6696320C" w14:textId="77777777" w:rsidTr="00A64E41">
        <w:tc>
          <w:tcPr>
            <w:tcW w:w="307" w:type="pct"/>
            <w:tcBorders>
              <w:top w:val="single" w:sz="4" w:space="0" w:color="auto"/>
              <w:left w:val="single" w:sz="4" w:space="0" w:color="auto"/>
              <w:bottom w:val="single" w:sz="4" w:space="0" w:color="auto"/>
              <w:right w:val="single" w:sz="4" w:space="0" w:color="auto"/>
            </w:tcBorders>
          </w:tcPr>
          <w:p w14:paraId="3F45CD75" w14:textId="77777777" w:rsidR="00332C23" w:rsidRPr="00A64E41" w:rsidRDefault="00332C23" w:rsidP="00A64E41">
            <w:pPr>
              <w:rPr>
                <w:b/>
                <w:i/>
              </w:rPr>
            </w:pPr>
            <w:r w:rsidRPr="00A64E41">
              <w:rPr>
                <w:b/>
                <w:i/>
              </w:rPr>
              <w:t>Section</w:t>
            </w:r>
          </w:p>
        </w:tc>
        <w:tc>
          <w:tcPr>
            <w:tcW w:w="1613" w:type="pct"/>
            <w:tcBorders>
              <w:top w:val="single" w:sz="4" w:space="0" w:color="auto"/>
              <w:left w:val="single" w:sz="4" w:space="0" w:color="auto"/>
              <w:bottom w:val="single" w:sz="4" w:space="0" w:color="auto"/>
              <w:right w:val="single" w:sz="4" w:space="0" w:color="auto"/>
            </w:tcBorders>
          </w:tcPr>
          <w:p w14:paraId="73E7D2F3" w14:textId="77777777" w:rsidR="00332C23" w:rsidRPr="00A64E41" w:rsidRDefault="00332C23" w:rsidP="00A64E41">
            <w:pPr>
              <w:rPr>
                <w:b/>
                <w:i/>
              </w:rPr>
            </w:pPr>
            <w:r w:rsidRPr="00A64E41">
              <w:rPr>
                <w:b/>
                <w:i/>
              </w:rPr>
              <w:t>Issue or recommendation</w:t>
            </w:r>
          </w:p>
        </w:tc>
        <w:tc>
          <w:tcPr>
            <w:tcW w:w="544" w:type="pct"/>
            <w:tcBorders>
              <w:top w:val="single" w:sz="4" w:space="0" w:color="auto"/>
              <w:left w:val="single" w:sz="4" w:space="0" w:color="auto"/>
              <w:bottom w:val="single" w:sz="4" w:space="0" w:color="auto"/>
              <w:right w:val="single" w:sz="4" w:space="0" w:color="auto"/>
            </w:tcBorders>
          </w:tcPr>
          <w:p w14:paraId="1F949F21" w14:textId="77777777" w:rsidR="00332C23" w:rsidRPr="00A64E41" w:rsidRDefault="00332C23" w:rsidP="00A64E41">
            <w:pPr>
              <w:rPr>
                <w:b/>
                <w:i/>
              </w:rPr>
            </w:pPr>
            <w:r w:rsidRPr="00A64E41">
              <w:rPr>
                <w:b/>
                <w:i/>
              </w:rPr>
              <w:t xml:space="preserve">Raised </w:t>
            </w:r>
          </w:p>
          <w:p w14:paraId="23A9695D" w14:textId="77777777" w:rsidR="00332C23" w:rsidRPr="00A64E41" w:rsidRDefault="00332C23" w:rsidP="00A64E41">
            <w:pPr>
              <w:rPr>
                <w:b/>
                <w:i/>
              </w:rPr>
            </w:pPr>
            <w:r w:rsidRPr="00A64E41">
              <w:rPr>
                <w:b/>
                <w:i/>
              </w:rPr>
              <w:t>by / Date</w:t>
            </w:r>
          </w:p>
        </w:tc>
        <w:tc>
          <w:tcPr>
            <w:tcW w:w="1385" w:type="pct"/>
            <w:tcBorders>
              <w:top w:val="single" w:sz="4" w:space="0" w:color="auto"/>
              <w:left w:val="single" w:sz="4" w:space="0" w:color="auto"/>
              <w:bottom w:val="single" w:sz="4" w:space="0" w:color="auto"/>
              <w:right w:val="single" w:sz="4" w:space="0" w:color="auto"/>
            </w:tcBorders>
          </w:tcPr>
          <w:p w14:paraId="353BED5A" w14:textId="77777777" w:rsidR="00332C23" w:rsidRPr="00A64E41" w:rsidRDefault="00332C23" w:rsidP="00A64E41">
            <w:pPr>
              <w:rPr>
                <w:b/>
                <w:i/>
              </w:rPr>
            </w:pPr>
            <w:r w:rsidRPr="00A64E41">
              <w:rPr>
                <w:b/>
                <w:i/>
              </w:rPr>
              <w:t>Response or Action taken by applicant</w:t>
            </w:r>
          </w:p>
        </w:tc>
        <w:tc>
          <w:tcPr>
            <w:tcW w:w="388" w:type="pct"/>
            <w:tcBorders>
              <w:top w:val="single" w:sz="4" w:space="0" w:color="auto"/>
              <w:left w:val="single" w:sz="4" w:space="0" w:color="auto"/>
              <w:bottom w:val="single" w:sz="4" w:space="0" w:color="auto"/>
              <w:right w:val="single" w:sz="4" w:space="0" w:color="auto"/>
            </w:tcBorders>
          </w:tcPr>
          <w:p w14:paraId="570D63FF" w14:textId="77777777" w:rsidR="00332C23" w:rsidRPr="00A64E41" w:rsidRDefault="00332C23" w:rsidP="00A64E41">
            <w:pPr>
              <w:rPr>
                <w:b/>
                <w:i/>
              </w:rPr>
            </w:pPr>
            <w:r w:rsidRPr="00A64E41">
              <w:rPr>
                <w:b/>
                <w:i/>
              </w:rPr>
              <w:t>Response by / Date</w:t>
            </w:r>
          </w:p>
        </w:tc>
        <w:tc>
          <w:tcPr>
            <w:tcW w:w="369" w:type="pct"/>
            <w:tcBorders>
              <w:top w:val="single" w:sz="4" w:space="0" w:color="auto"/>
              <w:left w:val="single" w:sz="4" w:space="0" w:color="auto"/>
              <w:bottom w:val="single" w:sz="4" w:space="0" w:color="auto"/>
              <w:right w:val="single" w:sz="4" w:space="0" w:color="auto"/>
            </w:tcBorders>
          </w:tcPr>
          <w:p w14:paraId="37C2005C" w14:textId="77777777" w:rsidR="00332C23" w:rsidRPr="00A64E41" w:rsidRDefault="00332C23" w:rsidP="00A64E41">
            <w:pPr>
              <w:rPr>
                <w:b/>
                <w:i/>
              </w:rPr>
            </w:pPr>
            <w:r w:rsidRPr="00A64E41">
              <w:rPr>
                <w:b/>
                <w:i/>
              </w:rPr>
              <w:t>Resolved</w:t>
            </w:r>
          </w:p>
        </w:tc>
        <w:tc>
          <w:tcPr>
            <w:tcW w:w="394" w:type="pct"/>
            <w:tcBorders>
              <w:top w:val="single" w:sz="4" w:space="0" w:color="auto"/>
              <w:left w:val="single" w:sz="4" w:space="0" w:color="auto"/>
              <w:bottom w:val="single" w:sz="4" w:space="0" w:color="auto"/>
              <w:right w:val="single" w:sz="4" w:space="0" w:color="auto"/>
            </w:tcBorders>
          </w:tcPr>
          <w:p w14:paraId="28949148" w14:textId="77777777" w:rsidR="00332C23" w:rsidRPr="00A64E41" w:rsidRDefault="00332C23" w:rsidP="00A64E41">
            <w:pPr>
              <w:rPr>
                <w:b/>
                <w:i/>
              </w:rPr>
            </w:pPr>
            <w:r w:rsidRPr="00A64E41">
              <w:rPr>
                <w:b/>
                <w:i/>
              </w:rPr>
              <w:t>Sign off by / Date</w:t>
            </w:r>
          </w:p>
        </w:tc>
      </w:tr>
      <w:tr w:rsidR="00A64E41" w:rsidRPr="00A64E41" w14:paraId="41BDF8E4" w14:textId="77777777" w:rsidTr="00A64E41">
        <w:tc>
          <w:tcPr>
            <w:tcW w:w="307" w:type="pct"/>
            <w:tcBorders>
              <w:top w:val="single" w:sz="4" w:space="0" w:color="auto"/>
              <w:left w:val="single" w:sz="4" w:space="0" w:color="auto"/>
              <w:bottom w:val="single" w:sz="4" w:space="0" w:color="auto"/>
              <w:right w:val="single" w:sz="4" w:space="0" w:color="auto"/>
            </w:tcBorders>
          </w:tcPr>
          <w:p w14:paraId="2B0AEDB9" w14:textId="77777777" w:rsidR="00332C23" w:rsidRPr="00A64E41" w:rsidRDefault="00332C23" w:rsidP="00A64E41">
            <w:r w:rsidRPr="00A64E41">
              <w:t>5</w:t>
            </w:r>
          </w:p>
        </w:tc>
        <w:tc>
          <w:tcPr>
            <w:tcW w:w="1613" w:type="pct"/>
            <w:tcBorders>
              <w:top w:val="single" w:sz="4" w:space="0" w:color="auto"/>
              <w:left w:val="single" w:sz="4" w:space="0" w:color="auto"/>
              <w:bottom w:val="single" w:sz="4" w:space="0" w:color="auto"/>
              <w:right w:val="single" w:sz="4" w:space="0" w:color="auto"/>
            </w:tcBorders>
          </w:tcPr>
          <w:p w14:paraId="5D4E933E" w14:textId="540FEB2E" w:rsidR="00332C23" w:rsidRPr="00A64E41" w:rsidRDefault="00332C23" w:rsidP="00A64E41">
            <w:r w:rsidRPr="00A64E41">
              <w:t>Not sure where on the form this should go but think it important to acknowledge that ease of finding information is affected by variables that are not within the control of the service provider. e.g. literacy and English as a first language vary by Region and Council.</w:t>
            </w:r>
          </w:p>
        </w:tc>
        <w:tc>
          <w:tcPr>
            <w:tcW w:w="544" w:type="pct"/>
            <w:tcBorders>
              <w:top w:val="single" w:sz="4" w:space="0" w:color="auto"/>
              <w:left w:val="single" w:sz="4" w:space="0" w:color="auto"/>
              <w:bottom w:val="single" w:sz="4" w:space="0" w:color="auto"/>
              <w:right w:val="single" w:sz="4" w:space="0" w:color="auto"/>
            </w:tcBorders>
          </w:tcPr>
          <w:p w14:paraId="2A73A4D7"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3187947D" w14:textId="77777777" w:rsidR="00332C23" w:rsidRPr="00A64E41" w:rsidRDefault="00332C23" w:rsidP="00A64E41">
            <w:pPr>
              <w:rPr>
                <w:i/>
                <w:iCs/>
              </w:rPr>
            </w:pPr>
            <w:r w:rsidRPr="00A64E41">
              <w:rPr>
                <w:i/>
                <w:iCs/>
              </w:rPr>
              <w:t>Added to 4.9</w:t>
            </w:r>
          </w:p>
        </w:tc>
        <w:tc>
          <w:tcPr>
            <w:tcW w:w="388" w:type="pct"/>
            <w:tcBorders>
              <w:top w:val="single" w:sz="4" w:space="0" w:color="auto"/>
              <w:left w:val="single" w:sz="4" w:space="0" w:color="auto"/>
              <w:bottom w:val="single" w:sz="4" w:space="0" w:color="auto"/>
              <w:right w:val="single" w:sz="4" w:space="0" w:color="auto"/>
            </w:tcBorders>
          </w:tcPr>
          <w:p w14:paraId="395844B8" w14:textId="77777777" w:rsidR="00332C23" w:rsidRPr="00A64E41" w:rsidRDefault="00332C23" w:rsidP="00A64E41">
            <w:r w:rsidRPr="00A64E41">
              <w:t>Robyn Wilson</w:t>
            </w:r>
          </w:p>
        </w:tc>
        <w:sdt>
          <w:sdtPr>
            <w:id w:val="-2025471896"/>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A51215C"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65798A15" w14:textId="77777777" w:rsidR="00332C23" w:rsidRPr="00A64E41" w:rsidRDefault="00332C23" w:rsidP="00A64E41">
            <w:r w:rsidRPr="00A64E41">
              <w:t>Gemma Ramsay</w:t>
            </w:r>
          </w:p>
          <w:p w14:paraId="02B3224C" w14:textId="77777777" w:rsidR="00332C23" w:rsidRPr="00A64E41" w:rsidRDefault="00332C23" w:rsidP="00A64E41">
            <w:r w:rsidRPr="00A64E41">
              <w:t>(MRG Vice Chair)</w:t>
            </w:r>
          </w:p>
          <w:p w14:paraId="2D3768D8" w14:textId="77777777" w:rsidR="00332C23" w:rsidRPr="00A64E41" w:rsidRDefault="00332C23" w:rsidP="00A64E41">
            <w:r w:rsidRPr="00A64E41">
              <w:t>02/05/19</w:t>
            </w:r>
          </w:p>
        </w:tc>
      </w:tr>
      <w:tr w:rsidR="00A64E41" w:rsidRPr="00A64E41" w14:paraId="7C7E15E4" w14:textId="77777777" w:rsidTr="00A64E41">
        <w:tc>
          <w:tcPr>
            <w:tcW w:w="307" w:type="pct"/>
            <w:tcBorders>
              <w:top w:val="single" w:sz="4" w:space="0" w:color="auto"/>
              <w:left w:val="single" w:sz="4" w:space="0" w:color="auto"/>
              <w:bottom w:val="single" w:sz="4" w:space="0" w:color="auto"/>
              <w:right w:val="single" w:sz="4" w:space="0" w:color="auto"/>
            </w:tcBorders>
          </w:tcPr>
          <w:p w14:paraId="30022C2E" w14:textId="77777777" w:rsidR="00332C23" w:rsidRPr="00A64E41" w:rsidRDefault="00332C23" w:rsidP="00A64E41">
            <w:r w:rsidRPr="00A64E41">
              <w:t>5.1</w:t>
            </w:r>
          </w:p>
        </w:tc>
        <w:tc>
          <w:tcPr>
            <w:tcW w:w="1613" w:type="pct"/>
            <w:tcBorders>
              <w:top w:val="single" w:sz="4" w:space="0" w:color="auto"/>
              <w:left w:val="single" w:sz="4" w:space="0" w:color="auto"/>
              <w:bottom w:val="single" w:sz="4" w:space="0" w:color="auto"/>
              <w:right w:val="single" w:sz="4" w:space="0" w:color="auto"/>
            </w:tcBorders>
          </w:tcPr>
          <w:p w14:paraId="5E65A305" w14:textId="77777777" w:rsidR="00332C23" w:rsidRPr="00A64E41" w:rsidRDefault="00332C23" w:rsidP="00A64E41">
            <w:r w:rsidRPr="00A64E41">
              <w:t>Needs to show how it is calculated, including the weighting, rather than what the final calculation is, as well as explaining that the calculation is done using specific software. It was noted that the first part of section 5.4 could be moved to this section.</w:t>
            </w:r>
          </w:p>
        </w:tc>
        <w:tc>
          <w:tcPr>
            <w:tcW w:w="544" w:type="pct"/>
            <w:tcBorders>
              <w:top w:val="single" w:sz="4" w:space="0" w:color="auto"/>
              <w:left w:val="single" w:sz="4" w:space="0" w:color="auto"/>
              <w:bottom w:val="single" w:sz="4" w:space="0" w:color="auto"/>
              <w:right w:val="single" w:sz="4" w:space="0" w:color="auto"/>
            </w:tcBorders>
          </w:tcPr>
          <w:p w14:paraId="7C2BED80"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3C433CEA" w14:textId="77777777" w:rsidR="00332C23" w:rsidRPr="00A64E41" w:rsidRDefault="00332C23" w:rsidP="00A64E41">
            <w:pPr>
              <w:rPr>
                <w:i/>
                <w:iCs/>
              </w:rPr>
            </w:pPr>
            <w:r w:rsidRPr="00A64E41">
              <w:rPr>
                <w:i/>
                <w:iCs/>
              </w:rPr>
              <w:t>First part moved. Some of 5.7 brought up to 5.1 also.</w:t>
            </w:r>
          </w:p>
        </w:tc>
        <w:tc>
          <w:tcPr>
            <w:tcW w:w="388" w:type="pct"/>
            <w:tcBorders>
              <w:top w:val="single" w:sz="4" w:space="0" w:color="auto"/>
              <w:left w:val="single" w:sz="4" w:space="0" w:color="auto"/>
              <w:bottom w:val="single" w:sz="4" w:space="0" w:color="auto"/>
              <w:right w:val="single" w:sz="4" w:space="0" w:color="auto"/>
            </w:tcBorders>
          </w:tcPr>
          <w:p w14:paraId="7A84A8C2" w14:textId="77777777" w:rsidR="00332C23" w:rsidRPr="00A64E41" w:rsidRDefault="00332C23" w:rsidP="00A64E41">
            <w:r w:rsidRPr="00A64E41">
              <w:t>Robyn Wilson</w:t>
            </w:r>
          </w:p>
        </w:tc>
        <w:sdt>
          <w:sdtPr>
            <w:id w:val="2109543439"/>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4E4B0CD1"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30378EF6" w14:textId="77777777" w:rsidR="00332C23" w:rsidRPr="00A64E41" w:rsidRDefault="00332C23" w:rsidP="00A64E41">
            <w:r w:rsidRPr="00A64E41">
              <w:t>Gemma Ramsay</w:t>
            </w:r>
          </w:p>
          <w:p w14:paraId="5E742F75" w14:textId="77777777" w:rsidR="00332C23" w:rsidRPr="00A64E41" w:rsidRDefault="00332C23" w:rsidP="00A64E41">
            <w:r w:rsidRPr="00A64E41">
              <w:t>(MRG Vice Chair)</w:t>
            </w:r>
          </w:p>
          <w:p w14:paraId="2A4D8F45" w14:textId="77777777" w:rsidR="00332C23" w:rsidRPr="00A64E41" w:rsidRDefault="00332C23" w:rsidP="00A64E41">
            <w:r w:rsidRPr="00A64E41">
              <w:t>02/05/19</w:t>
            </w:r>
          </w:p>
        </w:tc>
      </w:tr>
      <w:tr w:rsidR="00A64E41" w:rsidRPr="00A64E41" w14:paraId="3E98ECFB" w14:textId="77777777" w:rsidTr="00A64E41">
        <w:tc>
          <w:tcPr>
            <w:tcW w:w="307" w:type="pct"/>
            <w:tcBorders>
              <w:top w:val="single" w:sz="4" w:space="0" w:color="auto"/>
              <w:left w:val="single" w:sz="4" w:space="0" w:color="auto"/>
              <w:bottom w:val="single" w:sz="4" w:space="0" w:color="auto"/>
              <w:right w:val="single" w:sz="4" w:space="0" w:color="auto"/>
            </w:tcBorders>
          </w:tcPr>
          <w:p w14:paraId="0C1AC524" w14:textId="77777777" w:rsidR="00332C23" w:rsidRPr="00A64E41" w:rsidRDefault="00332C23" w:rsidP="00A64E41">
            <w:r w:rsidRPr="00A64E41">
              <w:t>5.1</w:t>
            </w:r>
          </w:p>
        </w:tc>
        <w:tc>
          <w:tcPr>
            <w:tcW w:w="1613" w:type="pct"/>
            <w:tcBorders>
              <w:top w:val="single" w:sz="4" w:space="0" w:color="auto"/>
              <w:left w:val="single" w:sz="4" w:space="0" w:color="auto"/>
              <w:bottom w:val="single" w:sz="4" w:space="0" w:color="auto"/>
              <w:right w:val="single" w:sz="4" w:space="0" w:color="auto"/>
            </w:tcBorders>
          </w:tcPr>
          <w:p w14:paraId="7A09AC8C" w14:textId="2FE9FED5" w:rsidR="00332C23" w:rsidRPr="00A64E41" w:rsidRDefault="00332C23" w:rsidP="00A64E41">
            <w:pPr>
              <w:pStyle w:val="CommentText"/>
              <w:rPr>
                <w:sz w:val="22"/>
                <w:szCs w:val="22"/>
              </w:rPr>
            </w:pPr>
            <w:r w:rsidRPr="00A64E41">
              <w:rPr>
                <w:sz w:val="22"/>
                <w:szCs w:val="22"/>
              </w:rPr>
              <w:t>This account makes no attempt to define what ‘X’ and ‘Y’ are. It is very important to spell this out, given the confusion over whether or not to include the people who said, ‘I haven’t tried to find information or advice’.</w:t>
            </w:r>
          </w:p>
          <w:p w14:paraId="602D7915" w14:textId="77777777" w:rsidR="00332C23" w:rsidRPr="00A64E41" w:rsidRDefault="00332C23" w:rsidP="00A64E41">
            <w:pPr>
              <w:pStyle w:val="CommentText"/>
              <w:rPr>
                <w:sz w:val="22"/>
                <w:szCs w:val="22"/>
              </w:rPr>
            </w:pPr>
          </w:p>
          <w:p w14:paraId="4B8B0F24" w14:textId="77777777" w:rsidR="00332C23" w:rsidRPr="00A64E41" w:rsidRDefault="00332C23" w:rsidP="00A64E41">
            <w:r w:rsidRPr="00A64E41">
              <w:t xml:space="preserve">Also, it says on p21 of </w:t>
            </w:r>
            <w:hyperlink r:id="rId39">
              <w:r w:rsidRPr="00A64E41">
                <w:t>https://files.digital.nhs.uk/69/1CAF62/meas-from-asc-of-eng-1718-appendices.pdf</w:t>
              </w:r>
            </w:hyperlink>
            <w:r w:rsidRPr="00A64E41">
              <w:t xml:space="preserve"> that the weights now used are different for each question. This isn’t reflected in the account given here. We need an explanation of the new method, including what happens to the ‘I haven’t tried to find information or advice’ responses when it comes to weighting.</w:t>
            </w:r>
          </w:p>
        </w:tc>
        <w:tc>
          <w:tcPr>
            <w:tcW w:w="544" w:type="pct"/>
            <w:tcBorders>
              <w:top w:val="single" w:sz="4" w:space="0" w:color="auto"/>
              <w:left w:val="single" w:sz="4" w:space="0" w:color="auto"/>
              <w:bottom w:val="single" w:sz="4" w:space="0" w:color="auto"/>
              <w:right w:val="single" w:sz="4" w:space="0" w:color="auto"/>
            </w:tcBorders>
          </w:tcPr>
          <w:p w14:paraId="30D0C33A" w14:textId="77777777" w:rsidR="00332C23" w:rsidRPr="00A64E41" w:rsidRDefault="00332C23" w:rsidP="00A64E41">
            <w:r w:rsidRPr="00A64E41">
              <w:t>MRG 24/04/2019</w:t>
            </w:r>
          </w:p>
        </w:tc>
        <w:tc>
          <w:tcPr>
            <w:tcW w:w="1385" w:type="pct"/>
            <w:tcBorders>
              <w:top w:val="single" w:sz="4" w:space="0" w:color="auto"/>
              <w:left w:val="single" w:sz="4" w:space="0" w:color="auto"/>
              <w:bottom w:val="single" w:sz="4" w:space="0" w:color="auto"/>
              <w:right w:val="single" w:sz="4" w:space="0" w:color="auto"/>
            </w:tcBorders>
          </w:tcPr>
          <w:p w14:paraId="53DE582B" w14:textId="77777777" w:rsidR="00332C23" w:rsidRPr="00A64E41" w:rsidRDefault="00332C23" w:rsidP="00A64E41">
            <w:r w:rsidRPr="00A64E41">
              <w:t>The first line says that:</w:t>
            </w:r>
          </w:p>
          <w:p w14:paraId="13E94A22" w14:textId="77777777" w:rsidR="00332C23" w:rsidRPr="00A64E41" w:rsidRDefault="00332C23" w:rsidP="00A64E41"/>
          <w:p w14:paraId="77CDAC07" w14:textId="77777777" w:rsidR="00332C23" w:rsidRPr="00A64E41" w:rsidRDefault="00332C23" w:rsidP="00A64E41">
            <w:r w:rsidRPr="00A64E41">
              <w:t xml:space="preserve">The indicator is calculated as the percentage. For both the numerator (X) and denominator (Y), weighted data should be used to calculate the measure. </w:t>
            </w:r>
          </w:p>
        </w:tc>
        <w:tc>
          <w:tcPr>
            <w:tcW w:w="388" w:type="pct"/>
            <w:tcBorders>
              <w:top w:val="single" w:sz="4" w:space="0" w:color="auto"/>
              <w:left w:val="single" w:sz="4" w:space="0" w:color="auto"/>
              <w:bottom w:val="single" w:sz="4" w:space="0" w:color="auto"/>
              <w:right w:val="single" w:sz="4" w:space="0" w:color="auto"/>
            </w:tcBorders>
          </w:tcPr>
          <w:p w14:paraId="284D72CB" w14:textId="77777777" w:rsidR="00332C23" w:rsidRPr="00A64E41" w:rsidRDefault="00332C23" w:rsidP="00A64E41">
            <w:r w:rsidRPr="00A64E41">
              <w:t>Robyn Wilson</w:t>
            </w:r>
          </w:p>
        </w:tc>
        <w:sdt>
          <w:sdtPr>
            <w:id w:val="-176881046"/>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3E399F1A"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43997B9E" w14:textId="77777777" w:rsidR="00332C23" w:rsidRPr="00A64E41" w:rsidRDefault="00332C23" w:rsidP="00A64E41">
            <w:r w:rsidRPr="00A64E41">
              <w:t>Gemma Ramsay</w:t>
            </w:r>
          </w:p>
          <w:p w14:paraId="722827B3" w14:textId="77777777" w:rsidR="00332C23" w:rsidRPr="00A64E41" w:rsidRDefault="00332C23" w:rsidP="00A64E41">
            <w:r w:rsidRPr="00A64E41">
              <w:t>(MRG Vice Chair)</w:t>
            </w:r>
          </w:p>
          <w:p w14:paraId="0987ECED" w14:textId="77777777" w:rsidR="00332C23" w:rsidRPr="00A64E41" w:rsidRDefault="00332C23" w:rsidP="00A64E41">
            <w:r w:rsidRPr="00A64E41">
              <w:t>02/05/19</w:t>
            </w:r>
          </w:p>
        </w:tc>
      </w:tr>
      <w:tr w:rsidR="00A64E41" w:rsidRPr="00A64E41" w14:paraId="7C94D799" w14:textId="77777777" w:rsidTr="00A64E41">
        <w:tc>
          <w:tcPr>
            <w:tcW w:w="307" w:type="pct"/>
            <w:tcBorders>
              <w:top w:val="single" w:sz="4" w:space="0" w:color="auto"/>
              <w:left w:val="single" w:sz="4" w:space="0" w:color="auto"/>
              <w:bottom w:val="single" w:sz="4" w:space="0" w:color="auto"/>
              <w:right w:val="single" w:sz="4" w:space="0" w:color="auto"/>
            </w:tcBorders>
          </w:tcPr>
          <w:p w14:paraId="0BC82B75" w14:textId="77777777" w:rsidR="00332C23" w:rsidRPr="00A64E41" w:rsidRDefault="00332C23" w:rsidP="00A64E41">
            <w:r w:rsidRPr="00A64E41">
              <w:t>5.3</w:t>
            </w:r>
          </w:p>
        </w:tc>
        <w:tc>
          <w:tcPr>
            <w:tcW w:w="1613" w:type="pct"/>
            <w:tcBorders>
              <w:top w:val="single" w:sz="4" w:space="0" w:color="auto"/>
              <w:left w:val="single" w:sz="4" w:space="0" w:color="auto"/>
              <w:bottom w:val="single" w:sz="4" w:space="0" w:color="auto"/>
              <w:right w:val="single" w:sz="4" w:space="0" w:color="auto"/>
            </w:tcBorders>
          </w:tcPr>
          <w:p w14:paraId="1937EBEB" w14:textId="77777777" w:rsidR="00332C23" w:rsidRPr="00A64E41" w:rsidRDefault="00332C23" w:rsidP="00A64E41">
            <w:r w:rsidRPr="00A64E41">
              <w:t xml:space="preserve">Is this indicator an aggregation of the 2 surveys? or is it 2 separate indicators: 3d part 1 and 3d part 2? If the later then it would be useful to state this upfront that we are </w:t>
            </w:r>
            <w:r w:rsidRPr="00A64E41">
              <w:lastRenderedPageBreak/>
              <w:t>assessing 2 different indicators from different data sources.</w:t>
            </w:r>
          </w:p>
        </w:tc>
        <w:tc>
          <w:tcPr>
            <w:tcW w:w="544" w:type="pct"/>
            <w:tcBorders>
              <w:top w:val="single" w:sz="4" w:space="0" w:color="auto"/>
              <w:left w:val="single" w:sz="4" w:space="0" w:color="auto"/>
              <w:bottom w:val="single" w:sz="4" w:space="0" w:color="auto"/>
              <w:right w:val="single" w:sz="4" w:space="0" w:color="auto"/>
            </w:tcBorders>
          </w:tcPr>
          <w:p w14:paraId="116243A2" w14:textId="77777777" w:rsidR="00332C23" w:rsidRPr="00A64E41" w:rsidRDefault="00332C23" w:rsidP="00A64E41">
            <w:pPr>
              <w:rPr>
                <w:i/>
              </w:rPr>
            </w:pPr>
            <w:r w:rsidRPr="00A64E41">
              <w:lastRenderedPageBreak/>
              <w:t>MRG 21/02/2019</w:t>
            </w:r>
          </w:p>
        </w:tc>
        <w:tc>
          <w:tcPr>
            <w:tcW w:w="1385" w:type="pct"/>
            <w:tcBorders>
              <w:top w:val="single" w:sz="4" w:space="0" w:color="auto"/>
              <w:left w:val="single" w:sz="4" w:space="0" w:color="auto"/>
              <w:bottom w:val="single" w:sz="4" w:space="0" w:color="auto"/>
              <w:right w:val="single" w:sz="4" w:space="0" w:color="auto"/>
            </w:tcBorders>
          </w:tcPr>
          <w:p w14:paraId="01C9463E" w14:textId="77777777" w:rsidR="00332C23" w:rsidRPr="00A64E41" w:rsidRDefault="00332C23" w:rsidP="00A64E41">
            <w:r w:rsidRPr="00A64E41">
              <w:t>Two separate indicators. Rectified at the beginning.</w:t>
            </w:r>
          </w:p>
          <w:p w14:paraId="21986854" w14:textId="77777777" w:rsidR="00332C23" w:rsidRPr="00A64E41" w:rsidRDefault="00332C23" w:rsidP="00A64E41"/>
          <w:p w14:paraId="6EE73402" w14:textId="77777777" w:rsidR="00332C23" w:rsidRPr="00A64E41" w:rsidRDefault="00332C23" w:rsidP="00A64E41">
            <w:r w:rsidRPr="00A64E41">
              <w:lastRenderedPageBreak/>
              <w:t>IMAS NOTE: This will be addressed by having two separate indicators for part 1 and part 2, as previously mentioned.</w:t>
            </w:r>
          </w:p>
        </w:tc>
        <w:tc>
          <w:tcPr>
            <w:tcW w:w="388" w:type="pct"/>
            <w:tcBorders>
              <w:top w:val="single" w:sz="4" w:space="0" w:color="auto"/>
              <w:left w:val="single" w:sz="4" w:space="0" w:color="auto"/>
              <w:bottom w:val="single" w:sz="4" w:space="0" w:color="auto"/>
              <w:right w:val="single" w:sz="4" w:space="0" w:color="auto"/>
            </w:tcBorders>
          </w:tcPr>
          <w:p w14:paraId="36C32B3C" w14:textId="77777777" w:rsidR="00332C23" w:rsidRPr="00A64E41" w:rsidRDefault="00332C23" w:rsidP="00A64E41">
            <w:r w:rsidRPr="00A64E41">
              <w:lastRenderedPageBreak/>
              <w:t>Robyn Wilson</w:t>
            </w:r>
          </w:p>
        </w:tc>
        <w:sdt>
          <w:sdtPr>
            <w:id w:val="-107766207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785E7609"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5AE31DEC" w14:textId="77777777" w:rsidR="00332C23" w:rsidRPr="00A64E41" w:rsidRDefault="00332C23" w:rsidP="00A64E41">
            <w:r w:rsidRPr="00A64E41">
              <w:t>Gemma Ramsay</w:t>
            </w:r>
          </w:p>
          <w:p w14:paraId="55FFBAE1" w14:textId="77777777" w:rsidR="00332C23" w:rsidRPr="00A64E41" w:rsidRDefault="00332C23" w:rsidP="00A64E41">
            <w:r w:rsidRPr="00A64E41">
              <w:lastRenderedPageBreak/>
              <w:t>(MRG Vice Chair)</w:t>
            </w:r>
          </w:p>
          <w:p w14:paraId="4EB122E7" w14:textId="77777777" w:rsidR="00332C23" w:rsidRPr="00A64E41" w:rsidRDefault="00332C23" w:rsidP="00A64E41">
            <w:r w:rsidRPr="00A64E41">
              <w:t>02/05/19</w:t>
            </w:r>
          </w:p>
        </w:tc>
      </w:tr>
      <w:tr w:rsidR="00A64E41" w:rsidRPr="00A64E41" w14:paraId="3996C48D" w14:textId="77777777" w:rsidTr="00A64E41">
        <w:tc>
          <w:tcPr>
            <w:tcW w:w="307" w:type="pct"/>
            <w:tcBorders>
              <w:top w:val="single" w:sz="4" w:space="0" w:color="auto"/>
              <w:left w:val="single" w:sz="4" w:space="0" w:color="auto"/>
              <w:bottom w:val="single" w:sz="4" w:space="0" w:color="auto"/>
              <w:right w:val="single" w:sz="4" w:space="0" w:color="auto"/>
            </w:tcBorders>
          </w:tcPr>
          <w:p w14:paraId="7520070F" w14:textId="77777777" w:rsidR="00332C23" w:rsidRPr="00A64E41" w:rsidRDefault="00332C23" w:rsidP="00A64E41">
            <w:r w:rsidRPr="00A64E41">
              <w:lastRenderedPageBreak/>
              <w:t>5.4</w:t>
            </w:r>
          </w:p>
        </w:tc>
        <w:tc>
          <w:tcPr>
            <w:tcW w:w="1613" w:type="pct"/>
            <w:tcBorders>
              <w:top w:val="single" w:sz="4" w:space="0" w:color="auto"/>
              <w:left w:val="single" w:sz="4" w:space="0" w:color="auto"/>
              <w:bottom w:val="single" w:sz="4" w:space="0" w:color="auto"/>
              <w:right w:val="single" w:sz="4" w:space="0" w:color="auto"/>
            </w:tcBorders>
          </w:tcPr>
          <w:p w14:paraId="68BBBBAA" w14:textId="77777777" w:rsidR="00332C23" w:rsidRPr="00A64E41" w:rsidRDefault="00332C23" w:rsidP="00A64E41">
            <w:r w:rsidRPr="00A64E41">
              <w:t>A worked example of the weighting should be included here, prior to the worked example of the percentage</w:t>
            </w:r>
          </w:p>
        </w:tc>
        <w:tc>
          <w:tcPr>
            <w:tcW w:w="544" w:type="pct"/>
            <w:tcBorders>
              <w:top w:val="single" w:sz="4" w:space="0" w:color="auto"/>
              <w:left w:val="single" w:sz="4" w:space="0" w:color="auto"/>
              <w:bottom w:val="single" w:sz="4" w:space="0" w:color="auto"/>
              <w:right w:val="single" w:sz="4" w:space="0" w:color="auto"/>
            </w:tcBorders>
          </w:tcPr>
          <w:p w14:paraId="051B5449"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047D1ABD" w14:textId="77777777" w:rsidR="00332C23" w:rsidRPr="00A64E41" w:rsidRDefault="00332C23" w:rsidP="00A64E41">
            <w:r w:rsidRPr="00A64E41">
              <w:t>To be added another time – we don’t have one currently.</w:t>
            </w:r>
          </w:p>
          <w:p w14:paraId="4E776A33" w14:textId="77777777" w:rsidR="00332C23" w:rsidRPr="00A64E41" w:rsidRDefault="00332C23" w:rsidP="00A64E41"/>
          <w:p w14:paraId="56320071" w14:textId="77777777" w:rsidR="00332C23" w:rsidRPr="00A64E41" w:rsidRDefault="00332C23" w:rsidP="00A64E41">
            <w:pPr>
              <w:rPr>
                <w:i/>
              </w:rPr>
            </w:pPr>
            <w:r w:rsidRPr="00A64E41">
              <w:rPr>
                <w:i/>
              </w:rPr>
              <w:t>Why not?</w:t>
            </w:r>
          </w:p>
          <w:p w14:paraId="5747C7B1" w14:textId="77777777" w:rsidR="00332C23" w:rsidRPr="00A64E41" w:rsidRDefault="00332C23" w:rsidP="00A64E41">
            <w:pPr>
              <w:rPr>
                <w:i/>
              </w:rPr>
            </w:pPr>
          </w:p>
          <w:p w14:paraId="77C4A691" w14:textId="77777777" w:rsidR="00332C23" w:rsidRPr="00A64E41" w:rsidRDefault="00332C23" w:rsidP="00A64E41">
            <w:pPr>
              <w:rPr>
                <w:i/>
              </w:rPr>
            </w:pPr>
            <w:r w:rsidRPr="00A64E41">
              <w:rPr>
                <w:i/>
              </w:rPr>
              <w:t>We have not had a need to produce a worked example previously. We are only required in our published documentation to give the methodology.</w:t>
            </w:r>
          </w:p>
          <w:p w14:paraId="4E36FDA3" w14:textId="77777777" w:rsidR="00332C23" w:rsidRPr="00A64E41" w:rsidRDefault="00332C23" w:rsidP="00A64E41">
            <w:pPr>
              <w:rPr>
                <w:i/>
              </w:rPr>
            </w:pPr>
          </w:p>
          <w:p w14:paraId="2EAD44E3" w14:textId="77777777" w:rsidR="00332C23" w:rsidRPr="00A64E41" w:rsidRDefault="00332C23" w:rsidP="00A64E41">
            <w:pPr>
              <w:rPr>
                <w:i/>
              </w:rPr>
            </w:pPr>
            <w:r w:rsidRPr="00A64E41">
              <w:rPr>
                <w:i/>
              </w:rPr>
              <w:t>This will be a caveat to request an actual example of the weighting for the question, based on a publication for the next review.</w:t>
            </w:r>
          </w:p>
        </w:tc>
        <w:tc>
          <w:tcPr>
            <w:tcW w:w="388" w:type="pct"/>
            <w:tcBorders>
              <w:top w:val="single" w:sz="4" w:space="0" w:color="auto"/>
              <w:left w:val="single" w:sz="4" w:space="0" w:color="auto"/>
              <w:bottom w:val="single" w:sz="4" w:space="0" w:color="auto"/>
              <w:right w:val="single" w:sz="4" w:space="0" w:color="auto"/>
            </w:tcBorders>
          </w:tcPr>
          <w:p w14:paraId="483876CE" w14:textId="77777777" w:rsidR="00332C23" w:rsidRPr="00A64E41" w:rsidRDefault="00332C23" w:rsidP="00A64E41">
            <w:r w:rsidRPr="00A64E41">
              <w:t>Robyn Wilson</w:t>
            </w:r>
          </w:p>
        </w:tc>
        <w:sdt>
          <w:sdtPr>
            <w:id w:val="94838836"/>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39329B79"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6583343E" w14:textId="77777777" w:rsidR="00332C23" w:rsidRPr="00A64E41" w:rsidRDefault="00332C23" w:rsidP="00A64E41">
            <w:r w:rsidRPr="00A64E41">
              <w:t>Gemma Ramsay</w:t>
            </w:r>
          </w:p>
          <w:p w14:paraId="75780CB5" w14:textId="77777777" w:rsidR="00332C23" w:rsidRPr="00A64E41" w:rsidRDefault="00332C23" w:rsidP="00A64E41">
            <w:r w:rsidRPr="00A64E41">
              <w:t>(MRG Vice Chair)</w:t>
            </w:r>
          </w:p>
          <w:p w14:paraId="198C61F5" w14:textId="77777777" w:rsidR="00332C23" w:rsidRPr="00A64E41" w:rsidRDefault="00332C23" w:rsidP="00A64E41">
            <w:r w:rsidRPr="00A64E41">
              <w:t>02/05/19</w:t>
            </w:r>
          </w:p>
        </w:tc>
      </w:tr>
      <w:tr w:rsidR="00A64E41" w:rsidRPr="00A64E41" w14:paraId="012D14D4" w14:textId="77777777" w:rsidTr="00A64E41">
        <w:tc>
          <w:tcPr>
            <w:tcW w:w="307" w:type="pct"/>
            <w:tcBorders>
              <w:top w:val="single" w:sz="4" w:space="0" w:color="auto"/>
              <w:left w:val="single" w:sz="4" w:space="0" w:color="auto"/>
              <w:bottom w:val="single" w:sz="4" w:space="0" w:color="auto"/>
              <w:right w:val="single" w:sz="4" w:space="0" w:color="auto"/>
            </w:tcBorders>
          </w:tcPr>
          <w:p w14:paraId="67FF392D" w14:textId="77777777" w:rsidR="00332C23" w:rsidRPr="00A64E41" w:rsidRDefault="00332C23" w:rsidP="00A64E41">
            <w:r w:rsidRPr="00A64E41">
              <w:t>5.6</w:t>
            </w:r>
          </w:p>
        </w:tc>
        <w:tc>
          <w:tcPr>
            <w:tcW w:w="1613" w:type="pct"/>
            <w:tcBorders>
              <w:top w:val="single" w:sz="4" w:space="0" w:color="auto"/>
              <w:left w:val="single" w:sz="4" w:space="0" w:color="auto"/>
              <w:bottom w:val="single" w:sz="4" w:space="0" w:color="auto"/>
              <w:right w:val="single" w:sz="4" w:space="0" w:color="auto"/>
            </w:tcBorders>
          </w:tcPr>
          <w:p w14:paraId="45415906" w14:textId="77777777" w:rsidR="00332C23" w:rsidRPr="00A64E41" w:rsidRDefault="00332C23" w:rsidP="00A64E41">
            <w:r w:rsidRPr="00A64E41">
              <w:t xml:space="preserve">LD? Learning Disability? </w:t>
            </w:r>
          </w:p>
        </w:tc>
        <w:tc>
          <w:tcPr>
            <w:tcW w:w="544" w:type="pct"/>
            <w:tcBorders>
              <w:top w:val="single" w:sz="4" w:space="0" w:color="auto"/>
              <w:left w:val="single" w:sz="4" w:space="0" w:color="auto"/>
              <w:bottom w:val="single" w:sz="4" w:space="0" w:color="auto"/>
              <w:right w:val="single" w:sz="4" w:space="0" w:color="auto"/>
            </w:tcBorders>
          </w:tcPr>
          <w:p w14:paraId="770127AC"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025BF24A" w14:textId="77777777" w:rsidR="00332C23" w:rsidRPr="00A64E41" w:rsidRDefault="00332C23" w:rsidP="00A64E41">
            <w:r w:rsidRPr="00A64E41">
              <w:t>Yes – updated in application form</w:t>
            </w:r>
          </w:p>
        </w:tc>
        <w:tc>
          <w:tcPr>
            <w:tcW w:w="388" w:type="pct"/>
            <w:tcBorders>
              <w:top w:val="single" w:sz="4" w:space="0" w:color="auto"/>
              <w:left w:val="single" w:sz="4" w:space="0" w:color="auto"/>
              <w:bottom w:val="single" w:sz="4" w:space="0" w:color="auto"/>
              <w:right w:val="single" w:sz="4" w:space="0" w:color="auto"/>
            </w:tcBorders>
          </w:tcPr>
          <w:p w14:paraId="1C6ABDA7" w14:textId="77777777" w:rsidR="00332C23" w:rsidRPr="00A64E41" w:rsidRDefault="00332C23" w:rsidP="00A64E41">
            <w:r w:rsidRPr="00A64E41">
              <w:t>Robyn Wilson</w:t>
            </w:r>
          </w:p>
        </w:tc>
        <w:sdt>
          <w:sdtPr>
            <w:id w:val="153607690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45FA6F0F"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3383768E" w14:textId="77777777" w:rsidR="00332C23" w:rsidRPr="00A64E41" w:rsidRDefault="00332C23" w:rsidP="00A64E41">
            <w:r w:rsidRPr="00A64E41">
              <w:t>Gemma Ramsay</w:t>
            </w:r>
          </w:p>
          <w:p w14:paraId="5567F2D6" w14:textId="77777777" w:rsidR="00332C23" w:rsidRPr="00A64E41" w:rsidRDefault="00332C23" w:rsidP="00A64E41">
            <w:r w:rsidRPr="00A64E41">
              <w:t>(MRG Vice Chair)</w:t>
            </w:r>
          </w:p>
          <w:p w14:paraId="0FDBE000" w14:textId="77777777" w:rsidR="00332C23" w:rsidRPr="00A64E41" w:rsidRDefault="00332C23" w:rsidP="00A64E41">
            <w:r w:rsidRPr="00A64E41">
              <w:t>02/05/19</w:t>
            </w:r>
          </w:p>
        </w:tc>
      </w:tr>
      <w:tr w:rsidR="00A64E41" w:rsidRPr="00A64E41" w14:paraId="14F23681" w14:textId="77777777" w:rsidTr="00A64E41">
        <w:tc>
          <w:tcPr>
            <w:tcW w:w="307" w:type="pct"/>
            <w:tcBorders>
              <w:top w:val="single" w:sz="4" w:space="0" w:color="auto"/>
              <w:left w:val="single" w:sz="4" w:space="0" w:color="auto"/>
              <w:bottom w:val="single" w:sz="4" w:space="0" w:color="auto"/>
              <w:right w:val="single" w:sz="4" w:space="0" w:color="auto"/>
            </w:tcBorders>
          </w:tcPr>
          <w:p w14:paraId="3984BEAA" w14:textId="77777777" w:rsidR="00332C23" w:rsidRPr="00A64E41" w:rsidRDefault="00332C23" w:rsidP="00A64E41">
            <w:r w:rsidRPr="00A64E41">
              <w:t>5.6, 5.7</w:t>
            </w:r>
          </w:p>
        </w:tc>
        <w:tc>
          <w:tcPr>
            <w:tcW w:w="1613" w:type="pct"/>
            <w:tcBorders>
              <w:top w:val="single" w:sz="4" w:space="0" w:color="auto"/>
              <w:left w:val="single" w:sz="4" w:space="0" w:color="auto"/>
              <w:bottom w:val="single" w:sz="4" w:space="0" w:color="auto"/>
              <w:right w:val="single" w:sz="4" w:space="0" w:color="auto"/>
            </w:tcBorders>
          </w:tcPr>
          <w:p w14:paraId="34935BB2" w14:textId="77777777" w:rsidR="00332C23" w:rsidRPr="00A64E41" w:rsidRDefault="00332C23" w:rsidP="00A64E41">
            <w:r w:rsidRPr="00A64E41">
              <w:t>What is the source of the weighting and CI methodologies?</w:t>
            </w:r>
          </w:p>
        </w:tc>
        <w:tc>
          <w:tcPr>
            <w:tcW w:w="544" w:type="pct"/>
            <w:tcBorders>
              <w:top w:val="single" w:sz="4" w:space="0" w:color="auto"/>
              <w:left w:val="single" w:sz="4" w:space="0" w:color="auto"/>
              <w:bottom w:val="single" w:sz="4" w:space="0" w:color="auto"/>
              <w:right w:val="single" w:sz="4" w:space="0" w:color="auto"/>
            </w:tcBorders>
          </w:tcPr>
          <w:p w14:paraId="14319C1A"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4E3E3C27" w14:textId="77777777" w:rsidR="00332C23" w:rsidRPr="00A64E41" w:rsidRDefault="00332C23" w:rsidP="00A64E41">
            <w:r w:rsidRPr="00A64E41">
              <w:t xml:space="preserve">The weighting methodology changes were developed and agreed by the Social Services User Survey Group, which includes representatives from the HSCIC, the Department of Health, the Personal Social Services Research Unit, the Care Quality Commission, and local authorities in England. See Appendix C of </w:t>
            </w:r>
            <w:hyperlink r:id="rId40" w:history="1">
              <w:r w:rsidRPr="00A64E41">
                <w:rPr>
                  <w:rStyle w:val="Hyperlink"/>
                  <w:color w:val="auto"/>
                </w:rPr>
                <w:t>https://files.digital.nhs.uk/publicationim</w:t>
              </w:r>
              <w:r w:rsidRPr="00A64E41">
                <w:rPr>
                  <w:rStyle w:val="Hyperlink"/>
                  <w:color w:val="auto"/>
                </w:rPr>
                <w:lastRenderedPageBreak/>
                <w:t>port/pub18xxx/pub18642/pss-ascs-eng-1415-rpt.pdf</w:t>
              </w:r>
            </w:hyperlink>
          </w:p>
          <w:p w14:paraId="4496928A" w14:textId="77777777" w:rsidR="00332C23" w:rsidRPr="00A64E41" w:rsidRDefault="00332C23" w:rsidP="00A64E41"/>
          <w:p w14:paraId="5F8080F6" w14:textId="77777777" w:rsidR="00332C23" w:rsidRPr="00A64E41" w:rsidRDefault="00332C23" w:rsidP="00A64E41">
            <w:pPr>
              <w:rPr>
                <w:i/>
                <w:iCs/>
              </w:rPr>
            </w:pPr>
            <w:r w:rsidRPr="00A64E41">
              <w:t>SAS Enterprise Guide – link is provided as a footnote in the application form</w:t>
            </w:r>
          </w:p>
        </w:tc>
        <w:tc>
          <w:tcPr>
            <w:tcW w:w="388" w:type="pct"/>
            <w:tcBorders>
              <w:top w:val="single" w:sz="4" w:space="0" w:color="auto"/>
              <w:left w:val="single" w:sz="4" w:space="0" w:color="auto"/>
              <w:bottom w:val="single" w:sz="4" w:space="0" w:color="auto"/>
              <w:right w:val="single" w:sz="4" w:space="0" w:color="auto"/>
            </w:tcBorders>
          </w:tcPr>
          <w:p w14:paraId="5FE04C7C" w14:textId="77777777" w:rsidR="00332C23" w:rsidRPr="00A64E41" w:rsidRDefault="00332C23" w:rsidP="00A64E41">
            <w:r w:rsidRPr="00A64E41">
              <w:lastRenderedPageBreak/>
              <w:t>Robyn Wilson</w:t>
            </w:r>
          </w:p>
        </w:tc>
        <w:sdt>
          <w:sdtPr>
            <w:id w:val="-428190785"/>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3AE31933"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354A7F70" w14:textId="77777777" w:rsidR="00332C23" w:rsidRPr="00A64E41" w:rsidRDefault="00332C23" w:rsidP="00A64E41">
            <w:r w:rsidRPr="00A64E41">
              <w:t>Gemma Ramsay</w:t>
            </w:r>
          </w:p>
          <w:p w14:paraId="0607B13A" w14:textId="77777777" w:rsidR="00332C23" w:rsidRPr="00A64E41" w:rsidRDefault="00332C23" w:rsidP="00A64E41">
            <w:r w:rsidRPr="00A64E41">
              <w:t>(MRG Vice Chair)</w:t>
            </w:r>
          </w:p>
          <w:p w14:paraId="7026A0C2" w14:textId="77777777" w:rsidR="00332C23" w:rsidRPr="00A64E41" w:rsidRDefault="00332C23" w:rsidP="00A64E41">
            <w:r w:rsidRPr="00A64E41">
              <w:t>02/05/19</w:t>
            </w:r>
          </w:p>
        </w:tc>
      </w:tr>
      <w:tr w:rsidR="00A64E41" w:rsidRPr="00A64E41" w14:paraId="7FB138C7" w14:textId="77777777" w:rsidTr="00A64E41">
        <w:tc>
          <w:tcPr>
            <w:tcW w:w="307" w:type="pct"/>
            <w:tcBorders>
              <w:top w:val="single" w:sz="4" w:space="0" w:color="auto"/>
              <w:left w:val="single" w:sz="4" w:space="0" w:color="auto"/>
              <w:bottom w:val="single" w:sz="4" w:space="0" w:color="auto"/>
              <w:right w:val="single" w:sz="4" w:space="0" w:color="auto"/>
            </w:tcBorders>
          </w:tcPr>
          <w:p w14:paraId="2B21A870" w14:textId="77777777" w:rsidR="00332C23" w:rsidRPr="00A64E41" w:rsidRDefault="00332C23" w:rsidP="00A64E41">
            <w:r w:rsidRPr="00A64E41">
              <w:t>5.6</w:t>
            </w:r>
          </w:p>
        </w:tc>
        <w:tc>
          <w:tcPr>
            <w:tcW w:w="1613" w:type="pct"/>
            <w:tcBorders>
              <w:top w:val="single" w:sz="4" w:space="0" w:color="auto"/>
              <w:left w:val="single" w:sz="4" w:space="0" w:color="auto"/>
              <w:bottom w:val="single" w:sz="4" w:space="0" w:color="auto"/>
              <w:right w:val="single" w:sz="4" w:space="0" w:color="auto"/>
            </w:tcBorders>
          </w:tcPr>
          <w:p w14:paraId="4547A5A8" w14:textId="77777777" w:rsidR="00332C23" w:rsidRPr="00A64E41" w:rsidRDefault="00332C23" w:rsidP="00A64E41">
            <w:r w:rsidRPr="00A64E41">
              <w:t xml:space="preserve">This doesn’t reflect what the documentation says about using different weights for each question. See p21 of </w:t>
            </w:r>
            <w:hyperlink r:id="rId41" w:history="1">
              <w:r w:rsidRPr="00A64E41">
                <w:rPr>
                  <w:rStyle w:val="Hyperlink"/>
                  <w:color w:val="auto"/>
                </w:rPr>
                <w:t>https://files.digital.nhs.uk/69/1CAF62/meas-from-asc-of-eng-1718-appendices.pdf</w:t>
              </w:r>
            </w:hyperlink>
            <w:r w:rsidRPr="00A64E41">
              <w:t xml:space="preserve"> , and paras 5.13-5.17 of </w:t>
            </w:r>
            <w:hyperlink r:id="rId42" w:history="1">
              <w:r w:rsidRPr="00A64E41">
                <w:rPr>
                  <w:rStyle w:val="Hyperlink"/>
                  <w:color w:val="auto"/>
                </w:rPr>
                <w:t>https://webarchive.nationalarchives.gov.uk/20180328130852tf_/http://content.digital.nhs.uk/media/25522/ASCS-Guidance-2017-18/pdf/ASCS_Guidance_2017-18.pdf/</w:t>
              </w:r>
            </w:hyperlink>
            <w:r w:rsidRPr="00A64E41">
              <w:t xml:space="preserve"> </w:t>
            </w:r>
          </w:p>
          <w:p w14:paraId="68AAF71E" w14:textId="77777777" w:rsidR="00332C23" w:rsidRPr="00A64E41" w:rsidRDefault="00332C23" w:rsidP="00A64E41"/>
          <w:p w14:paraId="01D738FB" w14:textId="77777777" w:rsidR="00332C23" w:rsidRPr="00A64E41" w:rsidRDefault="00332C23" w:rsidP="00A64E41">
            <w:r w:rsidRPr="00A64E41">
              <w:t>It says in the Appraisal Log that a SAS guide to weighting has been used, but surely the ASCOF documentation takes precedence?</w:t>
            </w:r>
          </w:p>
        </w:tc>
        <w:tc>
          <w:tcPr>
            <w:tcW w:w="544" w:type="pct"/>
            <w:tcBorders>
              <w:top w:val="single" w:sz="4" w:space="0" w:color="auto"/>
              <w:left w:val="single" w:sz="4" w:space="0" w:color="auto"/>
              <w:bottom w:val="single" w:sz="4" w:space="0" w:color="auto"/>
              <w:right w:val="single" w:sz="4" w:space="0" w:color="auto"/>
            </w:tcBorders>
          </w:tcPr>
          <w:p w14:paraId="38B1AB0F" w14:textId="77777777" w:rsidR="00332C23" w:rsidRPr="00A64E41" w:rsidRDefault="00332C23" w:rsidP="00A64E41">
            <w:r w:rsidRPr="00A64E41">
              <w:t>MRG 24/04/2019</w:t>
            </w:r>
          </w:p>
        </w:tc>
        <w:tc>
          <w:tcPr>
            <w:tcW w:w="1385" w:type="pct"/>
            <w:tcBorders>
              <w:top w:val="single" w:sz="4" w:space="0" w:color="auto"/>
              <w:left w:val="single" w:sz="4" w:space="0" w:color="auto"/>
              <w:bottom w:val="single" w:sz="4" w:space="0" w:color="auto"/>
              <w:right w:val="single" w:sz="4" w:space="0" w:color="auto"/>
            </w:tcBorders>
          </w:tcPr>
          <w:p w14:paraId="12FC28EF" w14:textId="77777777" w:rsidR="00332C23" w:rsidRPr="00A64E41" w:rsidRDefault="00332C23" w:rsidP="00A64E41">
            <w:r w:rsidRPr="00A64E41">
              <w:t xml:space="preserve">The application has been updated to clarify that questions have individual weighting based on the response rate. </w:t>
            </w:r>
          </w:p>
          <w:p w14:paraId="6EBB1211" w14:textId="77777777" w:rsidR="00332C23" w:rsidRPr="00A64E41" w:rsidRDefault="00332C23" w:rsidP="00A64E41"/>
          <w:p w14:paraId="19B10DB0" w14:textId="77777777" w:rsidR="00332C23" w:rsidRPr="00A64E41" w:rsidRDefault="00332C23" w:rsidP="00A64E41">
            <w:r w:rsidRPr="00A64E41">
              <w:t>The SAS documentation refers to confidence intervals.</w:t>
            </w:r>
          </w:p>
        </w:tc>
        <w:tc>
          <w:tcPr>
            <w:tcW w:w="388" w:type="pct"/>
            <w:tcBorders>
              <w:top w:val="single" w:sz="4" w:space="0" w:color="auto"/>
              <w:left w:val="single" w:sz="4" w:space="0" w:color="auto"/>
              <w:bottom w:val="single" w:sz="4" w:space="0" w:color="auto"/>
              <w:right w:val="single" w:sz="4" w:space="0" w:color="auto"/>
            </w:tcBorders>
          </w:tcPr>
          <w:p w14:paraId="3866E7FD" w14:textId="77777777" w:rsidR="00332C23" w:rsidRPr="00A64E41" w:rsidRDefault="00332C23" w:rsidP="00A64E41">
            <w:r w:rsidRPr="00A64E41">
              <w:t>Robyn Wilson</w:t>
            </w:r>
          </w:p>
        </w:tc>
        <w:sdt>
          <w:sdtPr>
            <w:id w:val="-204111984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5EDEA096"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1DC385DE" w14:textId="77777777" w:rsidR="00332C23" w:rsidRPr="00A64E41" w:rsidRDefault="00332C23" w:rsidP="00A64E41">
            <w:r w:rsidRPr="00A64E41">
              <w:t>Gemma Ramsay</w:t>
            </w:r>
          </w:p>
          <w:p w14:paraId="70F35449" w14:textId="77777777" w:rsidR="00332C23" w:rsidRPr="00A64E41" w:rsidRDefault="00332C23" w:rsidP="00A64E41">
            <w:r w:rsidRPr="00A64E41">
              <w:t>(MRG Vice Chair)</w:t>
            </w:r>
          </w:p>
          <w:p w14:paraId="41F56F07" w14:textId="77777777" w:rsidR="00332C23" w:rsidRPr="00A64E41" w:rsidRDefault="00332C23" w:rsidP="00A64E41">
            <w:r w:rsidRPr="00A64E41">
              <w:t>02/05/19</w:t>
            </w:r>
          </w:p>
        </w:tc>
      </w:tr>
      <w:tr w:rsidR="00A64E41" w:rsidRPr="00A64E41" w14:paraId="744D182E" w14:textId="77777777" w:rsidTr="00A64E41">
        <w:tc>
          <w:tcPr>
            <w:tcW w:w="307" w:type="pct"/>
            <w:tcBorders>
              <w:top w:val="single" w:sz="4" w:space="0" w:color="auto"/>
              <w:left w:val="single" w:sz="4" w:space="0" w:color="auto"/>
              <w:bottom w:val="single" w:sz="4" w:space="0" w:color="auto"/>
              <w:right w:val="single" w:sz="4" w:space="0" w:color="auto"/>
            </w:tcBorders>
          </w:tcPr>
          <w:p w14:paraId="4CDC374F" w14:textId="77777777" w:rsidR="00332C23" w:rsidRPr="00A64E41" w:rsidRDefault="00332C23" w:rsidP="00A64E41">
            <w:r w:rsidRPr="00A64E41">
              <w:t>5.7</w:t>
            </w:r>
          </w:p>
        </w:tc>
        <w:tc>
          <w:tcPr>
            <w:tcW w:w="1613" w:type="pct"/>
            <w:tcBorders>
              <w:top w:val="single" w:sz="4" w:space="0" w:color="auto"/>
              <w:left w:val="single" w:sz="4" w:space="0" w:color="auto"/>
              <w:bottom w:val="single" w:sz="4" w:space="0" w:color="auto"/>
              <w:right w:val="single" w:sz="4" w:space="0" w:color="auto"/>
            </w:tcBorders>
          </w:tcPr>
          <w:p w14:paraId="3742A5D8" w14:textId="77777777" w:rsidR="00332C23" w:rsidRPr="00A64E41" w:rsidRDefault="00332C23" w:rsidP="00A64E41">
            <w:r w:rsidRPr="00A64E41">
              <w:t>This is not a formula for the degrees of freedom. The SAS documentation erroneously directs the reader to the ‘t test for the mean’ page (https://support.sas.com/documentation/cdl/en/statug/63347/HTML/default/statug_surveymeans_a0000000224.htm) for an explanation of the degrees of freedom (which they will not find there).</w:t>
            </w:r>
          </w:p>
        </w:tc>
        <w:tc>
          <w:tcPr>
            <w:tcW w:w="544" w:type="pct"/>
            <w:tcBorders>
              <w:top w:val="single" w:sz="4" w:space="0" w:color="auto"/>
              <w:left w:val="single" w:sz="4" w:space="0" w:color="auto"/>
              <w:bottom w:val="single" w:sz="4" w:space="0" w:color="auto"/>
              <w:right w:val="single" w:sz="4" w:space="0" w:color="auto"/>
            </w:tcBorders>
          </w:tcPr>
          <w:p w14:paraId="12E128A3" w14:textId="77777777" w:rsidR="00332C23" w:rsidRPr="00A64E41" w:rsidRDefault="00332C23" w:rsidP="00A64E41">
            <w:r w:rsidRPr="00A64E41">
              <w:t>MRG 24/04/2019</w:t>
            </w:r>
          </w:p>
        </w:tc>
        <w:tc>
          <w:tcPr>
            <w:tcW w:w="1385" w:type="pct"/>
            <w:tcBorders>
              <w:top w:val="single" w:sz="4" w:space="0" w:color="auto"/>
              <w:left w:val="single" w:sz="4" w:space="0" w:color="auto"/>
              <w:bottom w:val="single" w:sz="4" w:space="0" w:color="auto"/>
              <w:right w:val="single" w:sz="4" w:space="0" w:color="auto"/>
            </w:tcBorders>
          </w:tcPr>
          <w:p w14:paraId="62E0AE88" w14:textId="77777777" w:rsidR="00332C23" w:rsidRPr="00A64E41" w:rsidRDefault="00332C23" w:rsidP="00A64E41">
            <w:r w:rsidRPr="00A64E41">
              <w:t>The link in the application is to the formula used for calculating confidence intervals, which is the main part of the response. The link quoted is not referenced in the application.</w:t>
            </w:r>
          </w:p>
          <w:p w14:paraId="609495E2" w14:textId="77777777" w:rsidR="00332C23" w:rsidRPr="00A64E41" w:rsidRDefault="00332C23" w:rsidP="00A64E41"/>
          <w:p w14:paraId="3F46F052" w14:textId="7F04BC47" w:rsidR="00332C23" w:rsidRPr="00A64E41" w:rsidRDefault="00332C23" w:rsidP="00A64E41">
            <w:r w:rsidRPr="00A64E41">
              <w:t>The methodology is the same for the proportion of people who use services who say that those services have made them feel safe and secure (IAP00425) which has been previously assured by MRG.</w:t>
            </w:r>
          </w:p>
          <w:p w14:paraId="1F7E3EE0" w14:textId="77777777" w:rsidR="00332C23" w:rsidRPr="00A64E41" w:rsidRDefault="00332C23" w:rsidP="00A64E41"/>
        </w:tc>
        <w:tc>
          <w:tcPr>
            <w:tcW w:w="388" w:type="pct"/>
            <w:tcBorders>
              <w:top w:val="single" w:sz="4" w:space="0" w:color="auto"/>
              <w:left w:val="single" w:sz="4" w:space="0" w:color="auto"/>
              <w:bottom w:val="single" w:sz="4" w:space="0" w:color="auto"/>
              <w:right w:val="single" w:sz="4" w:space="0" w:color="auto"/>
            </w:tcBorders>
          </w:tcPr>
          <w:p w14:paraId="493EDCFC" w14:textId="77777777" w:rsidR="00332C23" w:rsidRPr="00A64E41" w:rsidRDefault="00332C23" w:rsidP="00A64E41">
            <w:r w:rsidRPr="00A64E41">
              <w:t>Robyn Wilson</w:t>
            </w:r>
          </w:p>
        </w:tc>
        <w:sdt>
          <w:sdtPr>
            <w:id w:val="250785572"/>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BB07F93"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0D1ADD95" w14:textId="77777777" w:rsidR="00332C23" w:rsidRPr="00A64E41" w:rsidRDefault="00332C23" w:rsidP="00A64E41">
            <w:r w:rsidRPr="00A64E41">
              <w:t>Gemma Ramsay</w:t>
            </w:r>
          </w:p>
          <w:p w14:paraId="5AB352ED" w14:textId="77777777" w:rsidR="00332C23" w:rsidRPr="00A64E41" w:rsidRDefault="00332C23" w:rsidP="00A64E41">
            <w:r w:rsidRPr="00A64E41">
              <w:t>(MRG Vice Chair)</w:t>
            </w:r>
          </w:p>
          <w:p w14:paraId="2C8137F9" w14:textId="77777777" w:rsidR="00332C23" w:rsidRPr="00A64E41" w:rsidRDefault="00332C23" w:rsidP="00A64E41">
            <w:r w:rsidRPr="00A64E41">
              <w:t>02/05/19</w:t>
            </w:r>
          </w:p>
        </w:tc>
      </w:tr>
      <w:tr w:rsidR="00A64E41" w:rsidRPr="00A64E41" w14:paraId="5F1BC2E0" w14:textId="77777777" w:rsidTr="00A64E41">
        <w:tc>
          <w:tcPr>
            <w:tcW w:w="307" w:type="pct"/>
            <w:tcBorders>
              <w:top w:val="single" w:sz="4" w:space="0" w:color="auto"/>
              <w:left w:val="single" w:sz="4" w:space="0" w:color="auto"/>
              <w:bottom w:val="single" w:sz="4" w:space="0" w:color="auto"/>
              <w:right w:val="single" w:sz="4" w:space="0" w:color="auto"/>
            </w:tcBorders>
          </w:tcPr>
          <w:p w14:paraId="4CA59CEA" w14:textId="77777777" w:rsidR="00332C23" w:rsidRPr="00A64E41" w:rsidRDefault="00332C23" w:rsidP="00A64E41">
            <w:r w:rsidRPr="00A64E41">
              <w:t>5.7</w:t>
            </w:r>
          </w:p>
        </w:tc>
        <w:tc>
          <w:tcPr>
            <w:tcW w:w="1613" w:type="pct"/>
            <w:tcBorders>
              <w:top w:val="single" w:sz="4" w:space="0" w:color="auto"/>
              <w:left w:val="single" w:sz="4" w:space="0" w:color="auto"/>
              <w:bottom w:val="single" w:sz="4" w:space="0" w:color="auto"/>
              <w:right w:val="single" w:sz="4" w:space="0" w:color="auto"/>
            </w:tcBorders>
          </w:tcPr>
          <w:p w14:paraId="08818EC2" w14:textId="77777777" w:rsidR="00332C23" w:rsidRPr="00A64E41" w:rsidRDefault="00332C23" w:rsidP="00A64E41">
            <w:r w:rsidRPr="00A64E41">
              <w:t>There needs to be enough here that someone could reproduce the CIs?</w:t>
            </w:r>
          </w:p>
        </w:tc>
        <w:tc>
          <w:tcPr>
            <w:tcW w:w="544" w:type="pct"/>
            <w:tcBorders>
              <w:top w:val="single" w:sz="4" w:space="0" w:color="auto"/>
              <w:left w:val="single" w:sz="4" w:space="0" w:color="auto"/>
              <w:bottom w:val="single" w:sz="4" w:space="0" w:color="auto"/>
              <w:right w:val="single" w:sz="4" w:space="0" w:color="auto"/>
            </w:tcBorders>
          </w:tcPr>
          <w:p w14:paraId="6D4E6278"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7324860F" w14:textId="77777777" w:rsidR="00332C23" w:rsidRPr="00A64E41" w:rsidRDefault="00332C23" w:rsidP="00A64E41">
            <w:r w:rsidRPr="00A64E41">
              <w:t>We believe there is enough here</w:t>
            </w:r>
          </w:p>
        </w:tc>
        <w:tc>
          <w:tcPr>
            <w:tcW w:w="388" w:type="pct"/>
            <w:tcBorders>
              <w:top w:val="single" w:sz="4" w:space="0" w:color="auto"/>
              <w:left w:val="single" w:sz="4" w:space="0" w:color="auto"/>
              <w:bottom w:val="single" w:sz="4" w:space="0" w:color="auto"/>
              <w:right w:val="single" w:sz="4" w:space="0" w:color="auto"/>
            </w:tcBorders>
          </w:tcPr>
          <w:p w14:paraId="5B37E003" w14:textId="77777777" w:rsidR="00332C23" w:rsidRPr="00A64E41" w:rsidRDefault="00332C23" w:rsidP="00A64E41">
            <w:r w:rsidRPr="00A64E41">
              <w:t>Robyn Wilson</w:t>
            </w:r>
          </w:p>
        </w:tc>
        <w:sdt>
          <w:sdtPr>
            <w:id w:val="-1493170693"/>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999C8F5"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6BBF07C3" w14:textId="77777777" w:rsidR="00332C23" w:rsidRPr="00A64E41" w:rsidRDefault="00332C23" w:rsidP="00A64E41">
            <w:r w:rsidRPr="00A64E41">
              <w:t>Gemma Ramsay</w:t>
            </w:r>
          </w:p>
          <w:p w14:paraId="1A99BCDA" w14:textId="77777777" w:rsidR="00332C23" w:rsidRPr="00A64E41" w:rsidRDefault="00332C23" w:rsidP="00A64E41">
            <w:r w:rsidRPr="00A64E41">
              <w:lastRenderedPageBreak/>
              <w:t>(MRG Vice Chair)</w:t>
            </w:r>
          </w:p>
          <w:p w14:paraId="16EEB829" w14:textId="77777777" w:rsidR="00332C23" w:rsidRPr="00A64E41" w:rsidRDefault="00332C23" w:rsidP="00A64E41">
            <w:r w:rsidRPr="00A64E41">
              <w:t>02/05/19</w:t>
            </w:r>
          </w:p>
        </w:tc>
      </w:tr>
      <w:tr w:rsidR="00A64E41" w:rsidRPr="00A64E41" w14:paraId="21FC86B1" w14:textId="77777777" w:rsidTr="00A64E41">
        <w:tc>
          <w:tcPr>
            <w:tcW w:w="307" w:type="pct"/>
            <w:tcBorders>
              <w:top w:val="single" w:sz="4" w:space="0" w:color="auto"/>
              <w:left w:val="single" w:sz="4" w:space="0" w:color="auto"/>
              <w:bottom w:val="single" w:sz="4" w:space="0" w:color="auto"/>
              <w:right w:val="single" w:sz="4" w:space="0" w:color="auto"/>
            </w:tcBorders>
          </w:tcPr>
          <w:p w14:paraId="470FFE3D" w14:textId="77777777" w:rsidR="00332C23" w:rsidRPr="00A64E41" w:rsidRDefault="00332C23" w:rsidP="00A64E41">
            <w:r w:rsidRPr="00A64E41">
              <w:lastRenderedPageBreak/>
              <w:t>5.7</w:t>
            </w:r>
          </w:p>
        </w:tc>
        <w:tc>
          <w:tcPr>
            <w:tcW w:w="1613" w:type="pct"/>
            <w:tcBorders>
              <w:top w:val="single" w:sz="4" w:space="0" w:color="auto"/>
              <w:left w:val="single" w:sz="4" w:space="0" w:color="auto"/>
              <w:bottom w:val="single" w:sz="4" w:space="0" w:color="auto"/>
              <w:right w:val="single" w:sz="4" w:space="0" w:color="auto"/>
            </w:tcBorders>
          </w:tcPr>
          <w:p w14:paraId="4B995575" w14:textId="77777777" w:rsidR="00332C23" w:rsidRPr="00A64E41" w:rsidRDefault="00332C23" w:rsidP="00A64E41">
            <w:r w:rsidRPr="00A64E41">
              <w:t>This is a specific option for the specific command in the specific software used - neither of which are mentioned until much later.  All this is saying is they are 95% confidence intervals - just say that.</w:t>
            </w:r>
          </w:p>
        </w:tc>
        <w:tc>
          <w:tcPr>
            <w:tcW w:w="544" w:type="pct"/>
            <w:tcBorders>
              <w:top w:val="single" w:sz="4" w:space="0" w:color="auto"/>
              <w:left w:val="single" w:sz="4" w:space="0" w:color="auto"/>
              <w:bottom w:val="single" w:sz="4" w:space="0" w:color="auto"/>
              <w:right w:val="single" w:sz="4" w:space="0" w:color="auto"/>
            </w:tcBorders>
          </w:tcPr>
          <w:p w14:paraId="5470478A" w14:textId="77777777" w:rsidR="00332C23" w:rsidRPr="00A64E41" w:rsidRDefault="00332C23" w:rsidP="00A64E41">
            <w:pPr>
              <w:rPr>
                <w:i/>
              </w:rPr>
            </w:pPr>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72755165" w14:textId="77777777" w:rsidR="00332C23" w:rsidRPr="00A64E41" w:rsidRDefault="00332C23" w:rsidP="00A64E41">
            <w:r w:rsidRPr="00A64E41">
              <w:t>We did that with similar applications and were asked to provide the methodology. This methodology was approved for IAP00425.</w:t>
            </w:r>
          </w:p>
        </w:tc>
        <w:tc>
          <w:tcPr>
            <w:tcW w:w="388" w:type="pct"/>
            <w:tcBorders>
              <w:top w:val="single" w:sz="4" w:space="0" w:color="auto"/>
              <w:left w:val="single" w:sz="4" w:space="0" w:color="auto"/>
              <w:bottom w:val="single" w:sz="4" w:space="0" w:color="auto"/>
              <w:right w:val="single" w:sz="4" w:space="0" w:color="auto"/>
            </w:tcBorders>
          </w:tcPr>
          <w:p w14:paraId="19C08ED9" w14:textId="77777777" w:rsidR="00332C23" w:rsidRPr="00A64E41" w:rsidRDefault="00332C23" w:rsidP="00A64E41">
            <w:r w:rsidRPr="00A64E41">
              <w:t>Robyn Wilson</w:t>
            </w:r>
          </w:p>
        </w:tc>
        <w:sdt>
          <w:sdtPr>
            <w:id w:val="331413043"/>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B34D7C1"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0545AE14" w14:textId="77777777" w:rsidR="00332C23" w:rsidRPr="00A64E41" w:rsidRDefault="00332C23" w:rsidP="00A64E41">
            <w:r w:rsidRPr="00A64E41">
              <w:t>Gemma Ramsay</w:t>
            </w:r>
          </w:p>
          <w:p w14:paraId="5D33FA20" w14:textId="77777777" w:rsidR="00332C23" w:rsidRPr="00A64E41" w:rsidRDefault="00332C23" w:rsidP="00A64E41">
            <w:r w:rsidRPr="00A64E41">
              <w:t>(MRG Vice Chair)</w:t>
            </w:r>
          </w:p>
          <w:p w14:paraId="2E0F74B1" w14:textId="77777777" w:rsidR="00332C23" w:rsidRPr="00A64E41" w:rsidRDefault="00332C23" w:rsidP="00A64E41">
            <w:r w:rsidRPr="00A64E41">
              <w:t>02/05/19</w:t>
            </w:r>
          </w:p>
        </w:tc>
      </w:tr>
      <w:tr w:rsidR="00A64E41" w:rsidRPr="00A64E41" w14:paraId="2FE528BC" w14:textId="77777777" w:rsidTr="00A64E41">
        <w:tc>
          <w:tcPr>
            <w:tcW w:w="307" w:type="pct"/>
            <w:tcBorders>
              <w:top w:val="single" w:sz="4" w:space="0" w:color="auto"/>
              <w:left w:val="single" w:sz="4" w:space="0" w:color="auto"/>
              <w:bottom w:val="single" w:sz="4" w:space="0" w:color="auto"/>
              <w:right w:val="single" w:sz="4" w:space="0" w:color="auto"/>
            </w:tcBorders>
          </w:tcPr>
          <w:p w14:paraId="6FC7E65A" w14:textId="77777777" w:rsidR="00332C23" w:rsidRPr="00A64E41" w:rsidRDefault="00332C23" w:rsidP="00A64E41">
            <w:r w:rsidRPr="00A64E41">
              <w:t>5.7</w:t>
            </w:r>
          </w:p>
        </w:tc>
        <w:tc>
          <w:tcPr>
            <w:tcW w:w="1613" w:type="pct"/>
            <w:tcBorders>
              <w:top w:val="single" w:sz="4" w:space="0" w:color="auto"/>
              <w:left w:val="single" w:sz="4" w:space="0" w:color="auto"/>
              <w:bottom w:val="single" w:sz="4" w:space="0" w:color="auto"/>
              <w:right w:val="single" w:sz="4" w:space="0" w:color="auto"/>
            </w:tcBorders>
          </w:tcPr>
          <w:p w14:paraId="62DCF16C" w14:textId="77777777" w:rsidR="00332C23" w:rsidRPr="00A64E41" w:rsidRDefault="00332C23" w:rsidP="00A64E41">
            <w:r w:rsidRPr="00A64E41">
              <w:t>Just say the calculations are performed in SAS using the SURVEYMEANS procedure.  The rest is unnecessary and not helpful.</w:t>
            </w:r>
          </w:p>
        </w:tc>
        <w:tc>
          <w:tcPr>
            <w:tcW w:w="544" w:type="pct"/>
            <w:tcBorders>
              <w:top w:val="single" w:sz="4" w:space="0" w:color="auto"/>
              <w:left w:val="single" w:sz="4" w:space="0" w:color="auto"/>
              <w:bottom w:val="single" w:sz="4" w:space="0" w:color="auto"/>
              <w:right w:val="single" w:sz="4" w:space="0" w:color="auto"/>
            </w:tcBorders>
          </w:tcPr>
          <w:p w14:paraId="51269746"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50862681" w14:textId="77777777" w:rsidR="00332C23" w:rsidRPr="00A64E41" w:rsidRDefault="00332C23" w:rsidP="00A64E41">
            <w:r w:rsidRPr="00A64E41">
              <w:t xml:space="preserve">We did that with similar applications and were asked to provide the methodology. </w:t>
            </w:r>
          </w:p>
        </w:tc>
        <w:tc>
          <w:tcPr>
            <w:tcW w:w="388" w:type="pct"/>
            <w:tcBorders>
              <w:top w:val="single" w:sz="4" w:space="0" w:color="auto"/>
              <w:left w:val="single" w:sz="4" w:space="0" w:color="auto"/>
              <w:bottom w:val="single" w:sz="4" w:space="0" w:color="auto"/>
              <w:right w:val="single" w:sz="4" w:space="0" w:color="auto"/>
            </w:tcBorders>
          </w:tcPr>
          <w:p w14:paraId="4580070B" w14:textId="77777777" w:rsidR="00332C23" w:rsidRPr="00A64E41" w:rsidRDefault="00332C23" w:rsidP="00A64E41">
            <w:r w:rsidRPr="00A64E41">
              <w:t>Robyn Wilson</w:t>
            </w:r>
          </w:p>
        </w:tc>
        <w:sdt>
          <w:sdtPr>
            <w:id w:val="756177164"/>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5B9B0537"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6523EF1D" w14:textId="77777777" w:rsidR="00332C23" w:rsidRPr="00A64E41" w:rsidRDefault="00332C23" w:rsidP="00A64E41">
            <w:r w:rsidRPr="00A64E41">
              <w:t>Gemma Ramsay</w:t>
            </w:r>
          </w:p>
          <w:p w14:paraId="2E990719" w14:textId="77777777" w:rsidR="00332C23" w:rsidRPr="00A64E41" w:rsidRDefault="00332C23" w:rsidP="00A64E41">
            <w:r w:rsidRPr="00A64E41">
              <w:t>(MRG Vice Chair)</w:t>
            </w:r>
          </w:p>
          <w:p w14:paraId="3FB22293" w14:textId="77777777" w:rsidR="00332C23" w:rsidRPr="00A64E41" w:rsidRDefault="00332C23" w:rsidP="00A64E41">
            <w:r w:rsidRPr="00A64E41">
              <w:t>02/05/19</w:t>
            </w:r>
          </w:p>
        </w:tc>
      </w:tr>
      <w:tr w:rsidR="00A64E41" w:rsidRPr="00A64E41" w14:paraId="452990C0" w14:textId="77777777" w:rsidTr="00A64E41">
        <w:tc>
          <w:tcPr>
            <w:tcW w:w="307" w:type="pct"/>
            <w:tcBorders>
              <w:top w:val="single" w:sz="4" w:space="0" w:color="auto"/>
              <w:left w:val="single" w:sz="4" w:space="0" w:color="auto"/>
              <w:bottom w:val="single" w:sz="4" w:space="0" w:color="auto"/>
              <w:right w:val="single" w:sz="4" w:space="0" w:color="auto"/>
            </w:tcBorders>
          </w:tcPr>
          <w:p w14:paraId="05588B25" w14:textId="77777777" w:rsidR="00332C23" w:rsidRPr="00A64E41" w:rsidRDefault="00332C23" w:rsidP="00A64E41">
            <w:r w:rsidRPr="00A64E41">
              <w:t>5.7</w:t>
            </w:r>
          </w:p>
        </w:tc>
        <w:tc>
          <w:tcPr>
            <w:tcW w:w="1613" w:type="pct"/>
            <w:tcBorders>
              <w:top w:val="single" w:sz="4" w:space="0" w:color="auto"/>
              <w:left w:val="single" w:sz="4" w:space="0" w:color="auto"/>
              <w:bottom w:val="single" w:sz="4" w:space="0" w:color="auto"/>
              <w:right w:val="single" w:sz="4" w:space="0" w:color="auto"/>
            </w:tcBorders>
          </w:tcPr>
          <w:p w14:paraId="30DEAB90" w14:textId="77777777" w:rsidR="00332C23" w:rsidRPr="00A64E41" w:rsidRDefault="00332C23" w:rsidP="00A64E41">
            <w:r w:rsidRPr="00A64E41">
              <w:t>Could this be made clearer to be more understandable to a lay person?</w:t>
            </w:r>
          </w:p>
        </w:tc>
        <w:tc>
          <w:tcPr>
            <w:tcW w:w="544" w:type="pct"/>
            <w:tcBorders>
              <w:top w:val="single" w:sz="4" w:space="0" w:color="auto"/>
              <w:left w:val="single" w:sz="4" w:space="0" w:color="auto"/>
              <w:bottom w:val="single" w:sz="4" w:space="0" w:color="auto"/>
              <w:right w:val="single" w:sz="4" w:space="0" w:color="auto"/>
            </w:tcBorders>
          </w:tcPr>
          <w:p w14:paraId="696871BA"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66DFD22C" w14:textId="77777777" w:rsidR="00332C23" w:rsidRPr="00A64E41" w:rsidRDefault="00332C23" w:rsidP="00A64E41">
            <w:r w:rsidRPr="00A64E41">
              <w:t>Rudimentary explanation provided in application form</w:t>
            </w:r>
          </w:p>
        </w:tc>
        <w:tc>
          <w:tcPr>
            <w:tcW w:w="388" w:type="pct"/>
            <w:tcBorders>
              <w:top w:val="single" w:sz="4" w:space="0" w:color="auto"/>
              <w:left w:val="single" w:sz="4" w:space="0" w:color="auto"/>
              <w:bottom w:val="single" w:sz="4" w:space="0" w:color="auto"/>
              <w:right w:val="single" w:sz="4" w:space="0" w:color="auto"/>
            </w:tcBorders>
          </w:tcPr>
          <w:p w14:paraId="338EC783" w14:textId="77777777" w:rsidR="00332C23" w:rsidRPr="00A64E41" w:rsidRDefault="00332C23" w:rsidP="00A64E41">
            <w:r w:rsidRPr="00A64E41">
              <w:t>Robyn Wilson</w:t>
            </w:r>
          </w:p>
        </w:tc>
        <w:sdt>
          <w:sdtPr>
            <w:id w:val="-1212577994"/>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0788CB27"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25E6537D" w14:textId="77777777" w:rsidR="00332C23" w:rsidRPr="00A64E41" w:rsidRDefault="00332C23" w:rsidP="00A64E41">
            <w:r w:rsidRPr="00A64E41">
              <w:t>Gemma Ramsay</w:t>
            </w:r>
          </w:p>
          <w:p w14:paraId="101D9E5B" w14:textId="77777777" w:rsidR="00332C23" w:rsidRPr="00A64E41" w:rsidRDefault="00332C23" w:rsidP="00A64E41">
            <w:r w:rsidRPr="00A64E41">
              <w:t>(MRG Vice Chair)</w:t>
            </w:r>
          </w:p>
          <w:p w14:paraId="5B50C886" w14:textId="77777777" w:rsidR="00332C23" w:rsidRPr="00A64E41" w:rsidRDefault="00332C23" w:rsidP="00A64E41">
            <w:r w:rsidRPr="00A64E41">
              <w:t>02/05/19</w:t>
            </w:r>
          </w:p>
        </w:tc>
      </w:tr>
      <w:tr w:rsidR="00A64E41" w:rsidRPr="00A64E41" w14:paraId="6CE506BA" w14:textId="77777777" w:rsidTr="00A64E41">
        <w:tc>
          <w:tcPr>
            <w:tcW w:w="307" w:type="pct"/>
            <w:tcBorders>
              <w:top w:val="single" w:sz="4" w:space="0" w:color="auto"/>
              <w:left w:val="single" w:sz="4" w:space="0" w:color="auto"/>
              <w:bottom w:val="single" w:sz="4" w:space="0" w:color="auto"/>
              <w:right w:val="single" w:sz="4" w:space="0" w:color="auto"/>
            </w:tcBorders>
          </w:tcPr>
          <w:p w14:paraId="66A2E7F2" w14:textId="77777777" w:rsidR="00332C23" w:rsidRPr="00A64E41" w:rsidRDefault="00332C23" w:rsidP="00A64E41">
            <w:r w:rsidRPr="00A64E41">
              <w:t>5.8/5.5</w:t>
            </w:r>
          </w:p>
        </w:tc>
        <w:tc>
          <w:tcPr>
            <w:tcW w:w="1613" w:type="pct"/>
            <w:tcBorders>
              <w:top w:val="single" w:sz="4" w:space="0" w:color="auto"/>
              <w:left w:val="single" w:sz="4" w:space="0" w:color="auto"/>
              <w:bottom w:val="single" w:sz="4" w:space="0" w:color="auto"/>
              <w:right w:val="single" w:sz="4" w:space="0" w:color="auto"/>
            </w:tcBorders>
          </w:tcPr>
          <w:p w14:paraId="12A912B9" w14:textId="77777777" w:rsidR="00332C23" w:rsidRPr="00A64E41" w:rsidRDefault="00332C23" w:rsidP="00A64E41">
            <w:r w:rsidRPr="00A64E41">
              <w:t>Don’t repeat information which you have previously used in other sections.</w:t>
            </w:r>
          </w:p>
        </w:tc>
        <w:tc>
          <w:tcPr>
            <w:tcW w:w="544" w:type="pct"/>
            <w:tcBorders>
              <w:top w:val="single" w:sz="4" w:space="0" w:color="auto"/>
              <w:left w:val="single" w:sz="4" w:space="0" w:color="auto"/>
              <w:bottom w:val="single" w:sz="4" w:space="0" w:color="auto"/>
              <w:right w:val="single" w:sz="4" w:space="0" w:color="auto"/>
            </w:tcBorders>
          </w:tcPr>
          <w:p w14:paraId="7B3FF495" w14:textId="77777777" w:rsidR="00332C23" w:rsidRPr="00A64E41" w:rsidRDefault="00332C23" w:rsidP="00A64E41">
            <w:r w:rsidRPr="00A64E41">
              <w:t>MRG 21/02/2019</w:t>
            </w:r>
          </w:p>
        </w:tc>
        <w:tc>
          <w:tcPr>
            <w:tcW w:w="1385" w:type="pct"/>
            <w:tcBorders>
              <w:top w:val="single" w:sz="4" w:space="0" w:color="auto"/>
              <w:left w:val="single" w:sz="4" w:space="0" w:color="auto"/>
              <w:bottom w:val="single" w:sz="4" w:space="0" w:color="auto"/>
              <w:right w:val="single" w:sz="4" w:space="0" w:color="auto"/>
            </w:tcBorders>
          </w:tcPr>
          <w:p w14:paraId="5F96ECDE" w14:textId="77777777" w:rsidR="00332C23" w:rsidRPr="00A64E41" w:rsidRDefault="00332C23" w:rsidP="00A64E41">
            <w:r w:rsidRPr="00A64E41">
              <w:t>previously been advised to repeat if it fits in the section so that the Panel don’t need to keep going backwards and forwards between sections.</w:t>
            </w:r>
          </w:p>
        </w:tc>
        <w:tc>
          <w:tcPr>
            <w:tcW w:w="388" w:type="pct"/>
            <w:tcBorders>
              <w:top w:val="single" w:sz="4" w:space="0" w:color="auto"/>
              <w:left w:val="single" w:sz="4" w:space="0" w:color="auto"/>
              <w:bottom w:val="single" w:sz="4" w:space="0" w:color="auto"/>
              <w:right w:val="single" w:sz="4" w:space="0" w:color="auto"/>
            </w:tcBorders>
          </w:tcPr>
          <w:p w14:paraId="3C09DA7D" w14:textId="77777777" w:rsidR="00332C23" w:rsidRPr="00A64E41" w:rsidRDefault="00332C23" w:rsidP="00A64E41">
            <w:r w:rsidRPr="00A64E41">
              <w:t>Robyn Wilson</w:t>
            </w:r>
          </w:p>
        </w:tc>
        <w:sdt>
          <w:sdtPr>
            <w:id w:val="-1797897211"/>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610FBF15"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34226205" w14:textId="77777777" w:rsidR="00332C23" w:rsidRPr="00A64E41" w:rsidRDefault="00332C23" w:rsidP="00A64E41">
            <w:r w:rsidRPr="00A64E41">
              <w:t>Gemma Ramsay</w:t>
            </w:r>
          </w:p>
          <w:p w14:paraId="2617280B" w14:textId="77777777" w:rsidR="00332C23" w:rsidRPr="00A64E41" w:rsidRDefault="00332C23" w:rsidP="00A64E41">
            <w:r w:rsidRPr="00A64E41">
              <w:t>(MRG Vice Chair)</w:t>
            </w:r>
          </w:p>
          <w:p w14:paraId="6167F9BF" w14:textId="77777777" w:rsidR="00332C23" w:rsidRPr="00A64E41" w:rsidRDefault="00332C23" w:rsidP="00A64E41">
            <w:r w:rsidRPr="00A64E41">
              <w:t>02/05/19</w:t>
            </w:r>
          </w:p>
        </w:tc>
      </w:tr>
      <w:tr w:rsidR="00A64E41" w:rsidRPr="00A64E41" w14:paraId="69AF6515" w14:textId="77777777" w:rsidTr="00A64E41">
        <w:tc>
          <w:tcPr>
            <w:tcW w:w="307" w:type="pct"/>
            <w:tcBorders>
              <w:top w:val="single" w:sz="4" w:space="0" w:color="auto"/>
              <w:left w:val="single" w:sz="4" w:space="0" w:color="auto"/>
              <w:bottom w:val="single" w:sz="4" w:space="0" w:color="auto"/>
              <w:right w:val="single" w:sz="4" w:space="0" w:color="auto"/>
            </w:tcBorders>
          </w:tcPr>
          <w:p w14:paraId="293FEE74" w14:textId="77777777" w:rsidR="00332C23" w:rsidRPr="00A64E41" w:rsidRDefault="00332C23" w:rsidP="00A64E41">
            <w:r w:rsidRPr="00A64E41">
              <w:t>5.8</w:t>
            </w:r>
          </w:p>
        </w:tc>
        <w:tc>
          <w:tcPr>
            <w:tcW w:w="1613" w:type="pct"/>
            <w:tcBorders>
              <w:top w:val="single" w:sz="4" w:space="0" w:color="auto"/>
              <w:left w:val="single" w:sz="4" w:space="0" w:color="auto"/>
              <w:bottom w:val="single" w:sz="4" w:space="0" w:color="auto"/>
              <w:right w:val="single" w:sz="4" w:space="0" w:color="auto"/>
            </w:tcBorders>
          </w:tcPr>
          <w:p w14:paraId="14ABACBD" w14:textId="77777777" w:rsidR="00332C23" w:rsidRPr="00A64E41" w:rsidRDefault="00332C23" w:rsidP="00A64E41">
            <w:pPr>
              <w:rPr>
                <w:i/>
              </w:rPr>
            </w:pPr>
            <w:r w:rsidRPr="00A64E41">
              <w:rPr>
                <w:i/>
              </w:rPr>
              <w:t>“The guidance also explicitly states that “Anyone directly involved in the provision of services to the participant should not help them to complete the questionnaire. This is because respondents may not feel able to give their true opinion and this would bias the results.””</w:t>
            </w:r>
          </w:p>
          <w:p w14:paraId="190E84E9" w14:textId="77777777" w:rsidR="00332C23" w:rsidRPr="00A64E41" w:rsidRDefault="00332C23" w:rsidP="00A64E41"/>
          <w:p w14:paraId="5D0DA59A" w14:textId="77777777" w:rsidR="00332C23" w:rsidRPr="00A64E41" w:rsidRDefault="00332C23" w:rsidP="00A64E41">
            <w:r w:rsidRPr="00A64E41">
              <w:lastRenderedPageBreak/>
              <w:t>This instruction puts care workers/service users in a double bind. It contradicts the acknowledgment in the previous paragraph that service users are likely to need to ask care workers for help. Would it be better to focus on the need to control for/ be aware of the potential bias if the service user is helped by a care worker? For most councils, face-to-face or telephone interview is not a practical or affordable alternative.</w:t>
            </w:r>
          </w:p>
        </w:tc>
        <w:tc>
          <w:tcPr>
            <w:tcW w:w="544" w:type="pct"/>
            <w:tcBorders>
              <w:top w:val="single" w:sz="4" w:space="0" w:color="auto"/>
              <w:left w:val="single" w:sz="4" w:space="0" w:color="auto"/>
              <w:bottom w:val="single" w:sz="4" w:space="0" w:color="auto"/>
              <w:right w:val="single" w:sz="4" w:space="0" w:color="auto"/>
            </w:tcBorders>
          </w:tcPr>
          <w:p w14:paraId="6F96DF4E" w14:textId="77777777" w:rsidR="00332C23" w:rsidRPr="00A64E41" w:rsidRDefault="00332C23" w:rsidP="00A64E41">
            <w:r w:rsidRPr="00A64E41">
              <w:lastRenderedPageBreak/>
              <w:t>MRG 21/02/2019</w:t>
            </w:r>
          </w:p>
        </w:tc>
        <w:tc>
          <w:tcPr>
            <w:tcW w:w="1385" w:type="pct"/>
            <w:tcBorders>
              <w:top w:val="single" w:sz="4" w:space="0" w:color="auto"/>
              <w:left w:val="single" w:sz="4" w:space="0" w:color="auto"/>
              <w:bottom w:val="single" w:sz="4" w:space="0" w:color="auto"/>
              <w:right w:val="single" w:sz="4" w:space="0" w:color="auto"/>
            </w:tcBorders>
          </w:tcPr>
          <w:p w14:paraId="0A01B5CA" w14:textId="77777777" w:rsidR="00332C23" w:rsidRPr="00A64E41" w:rsidRDefault="00332C23" w:rsidP="00A64E41">
            <w:r w:rsidRPr="00A64E41">
              <w:t>We have to advise against providing assistance to avoid the introduction of bias, but we do also have a question which asks if the user had assistance completing the questionnaire. This way, we take it into account when we perform our analyses to ensure the correct context is provided.</w:t>
            </w:r>
          </w:p>
          <w:p w14:paraId="7EA7C2FF" w14:textId="77777777" w:rsidR="00332C23" w:rsidRPr="00A64E41" w:rsidRDefault="00332C23" w:rsidP="00A64E41">
            <w:r w:rsidRPr="00A64E41">
              <w:lastRenderedPageBreak/>
              <w:t>Appreciate that telephone/in person interviews are difficult, but due to ethics and accessibility requirements, it must be an option. Most of those sampled do not take up this option.</w:t>
            </w:r>
          </w:p>
          <w:p w14:paraId="04F0AED2" w14:textId="77777777" w:rsidR="00332C23" w:rsidRPr="00A64E41" w:rsidRDefault="00332C23" w:rsidP="00A64E41"/>
          <w:p w14:paraId="206F5D45" w14:textId="77777777" w:rsidR="00332C23" w:rsidRPr="00A64E41" w:rsidRDefault="00332C23" w:rsidP="00A64E41">
            <w:pPr>
              <w:rPr>
                <w:i/>
              </w:rPr>
            </w:pPr>
            <w:r w:rsidRPr="00A64E41">
              <w:rPr>
                <w:i/>
              </w:rPr>
              <w:t>This will be a caveat</w:t>
            </w:r>
          </w:p>
        </w:tc>
        <w:tc>
          <w:tcPr>
            <w:tcW w:w="388" w:type="pct"/>
            <w:tcBorders>
              <w:top w:val="single" w:sz="4" w:space="0" w:color="auto"/>
              <w:left w:val="single" w:sz="4" w:space="0" w:color="auto"/>
              <w:bottom w:val="single" w:sz="4" w:space="0" w:color="auto"/>
              <w:right w:val="single" w:sz="4" w:space="0" w:color="auto"/>
            </w:tcBorders>
          </w:tcPr>
          <w:p w14:paraId="6B59F5A2" w14:textId="77777777" w:rsidR="00332C23" w:rsidRPr="00A64E41" w:rsidRDefault="00332C23" w:rsidP="00A64E41">
            <w:r w:rsidRPr="00A64E41">
              <w:lastRenderedPageBreak/>
              <w:t>Robyn Wilson</w:t>
            </w:r>
          </w:p>
        </w:tc>
        <w:sdt>
          <w:sdtPr>
            <w:id w:val="1638537240"/>
            <w14:checkbox>
              <w14:checked w14:val="1"/>
              <w14:checkedState w14:val="2612" w14:font="MS Gothic"/>
              <w14:uncheckedState w14:val="2610" w14:font="MS Gothic"/>
            </w14:checkbox>
          </w:sdtPr>
          <w:sdtEndPr/>
          <w:sdtContent>
            <w:tc>
              <w:tcPr>
                <w:tcW w:w="369" w:type="pct"/>
                <w:tcBorders>
                  <w:top w:val="single" w:sz="4" w:space="0" w:color="auto"/>
                  <w:left w:val="single" w:sz="4" w:space="0" w:color="auto"/>
                  <w:bottom w:val="single" w:sz="4" w:space="0" w:color="auto"/>
                  <w:right w:val="single" w:sz="4" w:space="0" w:color="auto"/>
                </w:tcBorders>
              </w:tcPr>
              <w:p w14:paraId="75313252" w14:textId="77777777" w:rsidR="00332C23" w:rsidRPr="00A64E41" w:rsidRDefault="00332C23" w:rsidP="00A64E41">
                <w:pPr>
                  <w:jc w:val="center"/>
                </w:pPr>
                <w:r w:rsidRPr="00A64E41">
                  <w:rPr>
                    <w:rFonts w:ascii="Segoe UI Symbol" w:eastAsia="MS Gothic" w:hAnsi="Segoe UI Symbol" w:cs="Segoe UI Symbol"/>
                  </w:rPr>
                  <w:t>☒</w:t>
                </w:r>
              </w:p>
            </w:tc>
          </w:sdtContent>
        </w:sdt>
        <w:tc>
          <w:tcPr>
            <w:tcW w:w="394" w:type="pct"/>
            <w:tcBorders>
              <w:top w:val="single" w:sz="4" w:space="0" w:color="auto"/>
              <w:left w:val="single" w:sz="4" w:space="0" w:color="auto"/>
              <w:bottom w:val="single" w:sz="4" w:space="0" w:color="auto"/>
              <w:right w:val="single" w:sz="4" w:space="0" w:color="auto"/>
            </w:tcBorders>
          </w:tcPr>
          <w:p w14:paraId="7B647855" w14:textId="77777777" w:rsidR="00332C23" w:rsidRPr="00A64E41" w:rsidRDefault="00332C23" w:rsidP="00A64E41">
            <w:r w:rsidRPr="00A64E41">
              <w:t>Gemma Ramsay</w:t>
            </w:r>
          </w:p>
          <w:p w14:paraId="58696185" w14:textId="77777777" w:rsidR="00332C23" w:rsidRPr="00A64E41" w:rsidRDefault="00332C23" w:rsidP="00A64E41">
            <w:r w:rsidRPr="00A64E41">
              <w:t>(MRG Vice Chair)</w:t>
            </w:r>
          </w:p>
          <w:p w14:paraId="5DCF02E8" w14:textId="77777777" w:rsidR="00332C23" w:rsidRPr="00A64E41" w:rsidRDefault="00332C23" w:rsidP="00A64E41">
            <w:r w:rsidRPr="00A64E41">
              <w:t>02/05/19</w:t>
            </w:r>
          </w:p>
        </w:tc>
      </w:tr>
    </w:tbl>
    <w:p w14:paraId="08C5B890" w14:textId="77777777" w:rsidR="00332C23" w:rsidRPr="00A64E41" w:rsidRDefault="00332C23" w:rsidP="00A64E41">
      <w:pPr>
        <w:rPr>
          <w:b/>
        </w:rPr>
      </w:pPr>
      <w:r w:rsidRPr="00A64E41">
        <w:rPr>
          <w:b/>
        </w:rPr>
        <w:br w:type="textWrapping" w:clear="all"/>
      </w:r>
    </w:p>
    <w:p w14:paraId="24462F4D" w14:textId="77777777" w:rsidR="00332C23" w:rsidRPr="00A64E41" w:rsidRDefault="00332C23" w:rsidP="00A64E41">
      <w:pPr>
        <w:rPr>
          <w:b/>
        </w:rPr>
        <w:sectPr w:rsidR="00332C23" w:rsidRPr="00A64E41" w:rsidSect="00A64E41">
          <w:headerReference w:type="default" r:id="rId43"/>
          <w:pgSz w:w="16838" w:h="11906" w:orient="landscape"/>
          <w:pgMar w:top="851" w:right="851" w:bottom="1276" w:left="1134" w:header="426" w:footer="709" w:gutter="0"/>
          <w:cols w:space="708"/>
          <w:docGrid w:linePitch="360"/>
        </w:sectPr>
      </w:pPr>
    </w:p>
    <w:p w14:paraId="33915F49" w14:textId="77777777" w:rsidR="00332C23" w:rsidRPr="00A64E41" w:rsidRDefault="00332C23">
      <w:pPr>
        <w:rPr>
          <w:b/>
        </w:rPr>
      </w:pPr>
    </w:p>
    <w:p w14:paraId="6B0143D7" w14:textId="77777777" w:rsidR="00332C23" w:rsidRPr="00A64E41" w:rsidRDefault="00332C23" w:rsidP="00A64E41">
      <w:pPr>
        <w:rPr>
          <w:b/>
        </w:rPr>
      </w:pPr>
    </w:p>
    <w:p w14:paraId="2A948485" w14:textId="77777777" w:rsidR="00332C23" w:rsidRPr="00A64E41" w:rsidRDefault="00332C23" w:rsidP="00A64E41">
      <w:pPr>
        <w:rPr>
          <w:b/>
        </w:rPr>
      </w:pPr>
      <w:r w:rsidRPr="00A64E41">
        <w:rPr>
          <w:b/>
          <w:noProof/>
          <w:lang w:eastAsia="en-GB"/>
        </w:rPr>
        <mc:AlternateContent>
          <mc:Choice Requires="wps">
            <w:drawing>
              <wp:inline distT="0" distB="0" distL="0" distR="0" wp14:anchorId="58575ABF" wp14:editId="2A413112">
                <wp:extent cx="6581775" cy="1403985"/>
                <wp:effectExtent l="0" t="0" r="9525" b="381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3985"/>
                        </a:xfrm>
                        <a:prstGeom prst="rect">
                          <a:avLst/>
                        </a:prstGeom>
                        <a:solidFill>
                          <a:schemeClr val="accent1">
                            <a:lumMod val="20000"/>
                            <a:lumOff val="80000"/>
                          </a:schemeClr>
                        </a:solidFill>
                        <a:ln w="9525">
                          <a:noFill/>
                          <a:miter lim="800000"/>
                          <a:headEnd/>
                          <a:tailEnd/>
                        </a:ln>
                      </wps:spPr>
                      <wps:txbx>
                        <w:txbxContent>
                          <w:p w14:paraId="3E89A660" w14:textId="77777777" w:rsidR="00A64E41" w:rsidRDefault="00A64E41" w:rsidP="00A64E41">
                            <w:pPr>
                              <w:rPr>
                                <w:rFonts w:cstheme="minorHAnsi"/>
                                <w:b/>
                                <w:color w:val="1F497D" w:themeColor="text2"/>
                              </w:rPr>
                            </w:pPr>
                            <w:r>
                              <w:rPr>
                                <w:rFonts w:cstheme="minorHAnsi"/>
                                <w:b/>
                                <w:color w:val="1F497D" w:themeColor="text2"/>
                              </w:rPr>
                              <w:t>Any feedback should be made to the Data Standards Assurance Service (DSAS) Team at NHS Digital. Likewise, if you are unclear regarding any of the recommendations in this report or have any queries about the assurance process in general, please contact the DSAS team.</w:t>
                            </w:r>
                          </w:p>
                          <w:p w14:paraId="41C0920F" w14:textId="77777777" w:rsidR="00A64E41" w:rsidRDefault="00A64E41" w:rsidP="00A64E41">
                            <w:pPr>
                              <w:rPr>
                                <w:rFonts w:cstheme="minorHAnsi"/>
                                <w:b/>
                                <w:color w:val="1F497D" w:themeColor="text2"/>
                              </w:rPr>
                            </w:pPr>
                          </w:p>
                          <w:p w14:paraId="13B0137B" w14:textId="77777777" w:rsidR="00A64E41" w:rsidRDefault="00A64E41" w:rsidP="00A64E41">
                            <w:pPr>
                              <w:rPr>
                                <w:rFonts w:cstheme="minorHAnsi"/>
                                <w:b/>
                                <w:color w:val="1F497D" w:themeColor="text2"/>
                              </w:rPr>
                            </w:pPr>
                            <w:r>
                              <w:rPr>
                                <w:rFonts w:cstheme="minorHAnsi"/>
                                <w:b/>
                                <w:color w:val="1F497D" w:themeColor="text2"/>
                              </w:rPr>
                              <w:t>Data Standards Assurance Service</w:t>
                            </w:r>
                          </w:p>
                          <w:p w14:paraId="64E81AD7" w14:textId="77777777" w:rsidR="00A64E41" w:rsidRDefault="00A64E41" w:rsidP="00A64E41">
                            <w:pPr>
                              <w:rPr>
                                <w:rFonts w:cstheme="minorHAnsi"/>
                                <w:b/>
                                <w:color w:val="1F497D" w:themeColor="text2"/>
                              </w:rPr>
                            </w:pPr>
                            <w:r>
                              <w:rPr>
                                <w:rFonts w:cstheme="minorHAnsi"/>
                                <w:b/>
                                <w:color w:val="1F497D" w:themeColor="text2"/>
                              </w:rPr>
                              <w:t>NHS Digital</w:t>
                            </w:r>
                          </w:p>
                          <w:p w14:paraId="375A9D0C" w14:textId="77777777" w:rsidR="00A64E41" w:rsidRDefault="00A64E41" w:rsidP="00A64E41">
                            <w:pPr>
                              <w:rPr>
                                <w:rFonts w:cstheme="minorHAnsi"/>
                                <w:b/>
                                <w:color w:val="1F497D" w:themeColor="text2"/>
                              </w:rPr>
                            </w:pPr>
                            <w:r>
                              <w:rPr>
                                <w:rFonts w:cstheme="minorHAnsi"/>
                                <w:b/>
                                <w:color w:val="1F497D" w:themeColor="text2"/>
                              </w:rPr>
                              <w:t>1 Trevelyan Square, Boar Lane,</w:t>
                            </w:r>
                          </w:p>
                          <w:p w14:paraId="2A47A143" w14:textId="77777777" w:rsidR="00A64E41" w:rsidRDefault="00A64E41" w:rsidP="00A64E41">
                            <w:pPr>
                              <w:rPr>
                                <w:rFonts w:cstheme="minorHAnsi"/>
                                <w:b/>
                                <w:color w:val="1F497D" w:themeColor="text2"/>
                              </w:rPr>
                            </w:pPr>
                            <w:r>
                              <w:rPr>
                                <w:rFonts w:cstheme="minorHAnsi"/>
                                <w:b/>
                                <w:color w:val="1F497D" w:themeColor="text2"/>
                              </w:rPr>
                              <w:t xml:space="preserve">LEEDS </w:t>
                            </w:r>
                          </w:p>
                          <w:p w14:paraId="19026142" w14:textId="77777777" w:rsidR="00A64E41" w:rsidRDefault="00A64E41" w:rsidP="00A64E41">
                            <w:pPr>
                              <w:rPr>
                                <w:rFonts w:cstheme="minorHAnsi"/>
                                <w:b/>
                                <w:color w:val="1F497D" w:themeColor="text2"/>
                              </w:rPr>
                            </w:pPr>
                            <w:r>
                              <w:rPr>
                                <w:rFonts w:cstheme="minorHAnsi"/>
                                <w:b/>
                                <w:color w:val="1F497D" w:themeColor="text2"/>
                              </w:rPr>
                              <w:t>LS1 6AE.</w:t>
                            </w:r>
                          </w:p>
                          <w:p w14:paraId="0B59D342" w14:textId="77777777" w:rsidR="00A64E41" w:rsidRDefault="00A64E41" w:rsidP="00A64E41">
                            <w:pPr>
                              <w:rPr>
                                <w:rFonts w:cstheme="minorHAnsi"/>
                                <w:b/>
                                <w:color w:val="1F497D" w:themeColor="text2"/>
                              </w:rPr>
                            </w:pPr>
                          </w:p>
                          <w:p w14:paraId="100A39E3" w14:textId="77777777" w:rsidR="00A64E41" w:rsidRDefault="00A64E41" w:rsidP="00A64E41">
                            <w:pPr>
                              <w:rPr>
                                <w:rFonts w:cstheme="minorHAnsi"/>
                                <w:b/>
                                <w:color w:val="1F497D" w:themeColor="text2"/>
                              </w:rPr>
                            </w:pPr>
                            <w:r>
                              <w:rPr>
                                <w:rFonts w:cstheme="minorHAnsi"/>
                                <w:b/>
                                <w:color w:val="1F497D" w:themeColor="text2"/>
                              </w:rPr>
                              <w:t xml:space="preserve">Email: </w:t>
                            </w:r>
                            <w:hyperlink r:id="rId44" w:history="1">
                              <w:r w:rsidRPr="008328E2">
                                <w:rPr>
                                  <w:rStyle w:val="Hyperlink"/>
                                  <w:rFonts w:cstheme="minorHAnsi"/>
                                  <w:b/>
                                </w:rPr>
                                <w:t>Standards.assurance@nhs.net</w:t>
                              </w:r>
                            </w:hyperlink>
                          </w:p>
                          <w:p w14:paraId="735B61B3" w14:textId="77777777" w:rsidR="00A64E41" w:rsidRPr="00DC3381" w:rsidRDefault="00A64E41" w:rsidP="00A64E41">
                            <w:pPr>
                              <w:rPr>
                                <w:rStyle w:val="Hyperlink"/>
                                <w:b/>
                              </w:rPr>
                            </w:pPr>
                            <w:r>
                              <w:rPr>
                                <w:rFonts w:cstheme="minorHAnsi"/>
                                <w:b/>
                                <w:color w:val="1F497D" w:themeColor="text2"/>
                              </w:rPr>
                              <w:t xml:space="preserve">Website: </w:t>
                            </w:r>
                            <w:r w:rsidRPr="00DC3381">
                              <w:rPr>
                                <w:rStyle w:val="Hyperlink"/>
                                <w:rFonts w:cstheme="minorHAnsi"/>
                                <w:b/>
                              </w:rPr>
                              <w:t>https://digital.nhs.uk/systems-and-services/all-a-z/indicator-methodology-and-assurance-service</w:t>
                            </w:r>
                          </w:p>
                        </w:txbxContent>
                      </wps:txbx>
                      <wps:bodyPr rot="0" vert="horz" wrap="square" lIns="91440" tIns="45720" rIns="91440" bIns="45720" anchor="t" anchorCtr="0">
                        <a:spAutoFit/>
                      </wps:bodyPr>
                    </wps:wsp>
                  </a:graphicData>
                </a:graphic>
              </wp:inline>
            </w:drawing>
          </mc:Choice>
          <mc:Fallback>
            <w:pict>
              <v:shape w14:anchorId="58575ABF" id="_x0000_s1027" type="#_x0000_t202" style="width:518.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" fillcolor="#dbe5f1 [660]" stroked="f">
                <v:textbox style="mso-fit-shape-to-text:t">
                  <w:txbxContent>
                    <w:p w14:paraId="3E89A660" w14:textId="77777777" w:rsidR="00A64E41" w:rsidRDefault="00A64E41" w:rsidP="00A64E41">
                      <w:pPr>
                        <w:rPr>
                          <w:rFonts w:cstheme="minorHAnsi"/>
                          <w:b/>
                          <w:color w:val="1F497D" w:themeColor="text2"/>
                        </w:rPr>
                      </w:pPr>
                      <w:r>
                        <w:rPr>
                          <w:rFonts w:cstheme="minorHAnsi"/>
                          <w:b/>
                          <w:color w:val="1F497D" w:themeColor="text2"/>
                        </w:rPr>
                        <w:t>Any feedback should be made to the Data Standards Assurance Service (DSAS) Team at NHS Digital. Likewise, if you are unclear regarding any of the recommendations in this report or have any queries about the assurance process in general, please contact the DSAS team.</w:t>
                      </w:r>
                    </w:p>
                    <w:p w14:paraId="41C0920F" w14:textId="77777777" w:rsidR="00A64E41" w:rsidRDefault="00A64E41" w:rsidP="00A64E41">
                      <w:pPr>
                        <w:rPr>
                          <w:rFonts w:cstheme="minorHAnsi"/>
                          <w:b/>
                          <w:color w:val="1F497D" w:themeColor="text2"/>
                        </w:rPr>
                      </w:pPr>
                    </w:p>
                    <w:p w14:paraId="13B0137B" w14:textId="77777777" w:rsidR="00A64E41" w:rsidRDefault="00A64E41" w:rsidP="00A64E41">
                      <w:pPr>
                        <w:rPr>
                          <w:rFonts w:cstheme="minorHAnsi"/>
                          <w:b/>
                          <w:color w:val="1F497D" w:themeColor="text2"/>
                        </w:rPr>
                      </w:pPr>
                      <w:r>
                        <w:rPr>
                          <w:rFonts w:cstheme="minorHAnsi"/>
                          <w:b/>
                          <w:color w:val="1F497D" w:themeColor="text2"/>
                        </w:rPr>
                        <w:t>Data Standards Assurance Service</w:t>
                      </w:r>
                    </w:p>
                    <w:p w14:paraId="64E81AD7" w14:textId="77777777" w:rsidR="00A64E41" w:rsidRDefault="00A64E41" w:rsidP="00A64E41">
                      <w:pPr>
                        <w:rPr>
                          <w:rFonts w:cstheme="minorHAnsi"/>
                          <w:b/>
                          <w:color w:val="1F497D" w:themeColor="text2"/>
                        </w:rPr>
                      </w:pPr>
                      <w:r>
                        <w:rPr>
                          <w:rFonts w:cstheme="minorHAnsi"/>
                          <w:b/>
                          <w:color w:val="1F497D" w:themeColor="text2"/>
                        </w:rPr>
                        <w:t>NHS Digital</w:t>
                      </w:r>
                    </w:p>
                    <w:p w14:paraId="375A9D0C" w14:textId="77777777" w:rsidR="00A64E41" w:rsidRDefault="00A64E41" w:rsidP="00A64E41">
                      <w:pPr>
                        <w:rPr>
                          <w:rFonts w:cstheme="minorHAnsi"/>
                          <w:b/>
                          <w:color w:val="1F497D" w:themeColor="text2"/>
                        </w:rPr>
                      </w:pPr>
                      <w:r>
                        <w:rPr>
                          <w:rFonts w:cstheme="minorHAnsi"/>
                          <w:b/>
                          <w:color w:val="1F497D" w:themeColor="text2"/>
                        </w:rPr>
                        <w:t>1 Trevelyan Square, Boar Lane,</w:t>
                      </w:r>
                    </w:p>
                    <w:p w14:paraId="2A47A143" w14:textId="77777777" w:rsidR="00A64E41" w:rsidRDefault="00A64E41" w:rsidP="00A64E41">
                      <w:pPr>
                        <w:rPr>
                          <w:rFonts w:cstheme="minorHAnsi"/>
                          <w:b/>
                          <w:color w:val="1F497D" w:themeColor="text2"/>
                        </w:rPr>
                      </w:pPr>
                      <w:r>
                        <w:rPr>
                          <w:rFonts w:cstheme="minorHAnsi"/>
                          <w:b/>
                          <w:color w:val="1F497D" w:themeColor="text2"/>
                        </w:rPr>
                        <w:t xml:space="preserve">LEEDS </w:t>
                      </w:r>
                    </w:p>
                    <w:p w14:paraId="19026142" w14:textId="77777777" w:rsidR="00A64E41" w:rsidRDefault="00A64E41" w:rsidP="00A64E41">
                      <w:pPr>
                        <w:rPr>
                          <w:rFonts w:cstheme="minorHAnsi"/>
                          <w:b/>
                          <w:color w:val="1F497D" w:themeColor="text2"/>
                        </w:rPr>
                      </w:pPr>
                      <w:r>
                        <w:rPr>
                          <w:rFonts w:cstheme="minorHAnsi"/>
                          <w:b/>
                          <w:color w:val="1F497D" w:themeColor="text2"/>
                        </w:rPr>
                        <w:t>LS1 6AE.</w:t>
                      </w:r>
                    </w:p>
                    <w:p w14:paraId="0B59D342" w14:textId="77777777" w:rsidR="00A64E41" w:rsidRDefault="00A64E41" w:rsidP="00A64E41">
                      <w:pPr>
                        <w:rPr>
                          <w:rFonts w:cstheme="minorHAnsi"/>
                          <w:b/>
                          <w:color w:val="1F497D" w:themeColor="text2"/>
                        </w:rPr>
                      </w:pPr>
                    </w:p>
                    <w:p w14:paraId="100A39E3" w14:textId="77777777" w:rsidR="00A64E41" w:rsidRDefault="00A64E41" w:rsidP="00A64E41">
                      <w:pPr>
                        <w:rPr>
                          <w:rFonts w:cstheme="minorHAnsi"/>
                          <w:b/>
                          <w:color w:val="1F497D" w:themeColor="text2"/>
                        </w:rPr>
                      </w:pPr>
                      <w:r>
                        <w:rPr>
                          <w:rFonts w:cstheme="minorHAnsi"/>
                          <w:b/>
                          <w:color w:val="1F497D" w:themeColor="text2"/>
                        </w:rPr>
                        <w:t xml:space="preserve">Email: </w:t>
                      </w:r>
                      <w:hyperlink r:id="rId47" w:history="1">
                        <w:r w:rsidRPr="008328E2">
                          <w:rPr>
                            <w:rStyle w:val="Hyperlink"/>
                            <w:rFonts w:cstheme="minorHAnsi"/>
                            <w:b/>
                          </w:rPr>
                          <w:t>Standards.assurance@nhs.net</w:t>
                        </w:r>
                      </w:hyperlink>
                    </w:p>
                    <w:p w14:paraId="735B61B3" w14:textId="77777777" w:rsidR="00A64E41" w:rsidRPr="00DC3381" w:rsidRDefault="00A64E41" w:rsidP="00A64E41">
                      <w:pPr>
                        <w:rPr>
                          <w:rStyle w:val="Hyperlink"/>
                          <w:b/>
                        </w:rPr>
                      </w:pPr>
                      <w:r>
                        <w:rPr>
                          <w:rFonts w:cstheme="minorHAnsi"/>
                          <w:b/>
                          <w:color w:val="1F497D" w:themeColor="text2"/>
                        </w:rPr>
                        <w:t xml:space="preserve">Website: </w:t>
                      </w:r>
                      <w:r w:rsidRPr="00DC3381">
                        <w:rPr>
                          <w:rStyle w:val="Hyperlink"/>
                          <w:rFonts w:cstheme="minorHAnsi"/>
                          <w:b/>
                        </w:rPr>
                        <w:t>https://digital.nhs.uk/systems-and-services/all-a-z/indicator-methodology-and-assurance-service</w:t>
                      </w:r>
                    </w:p>
                  </w:txbxContent>
                </v:textbox>
                <w10:anchorlock/>
              </v:shape>
            </w:pict>
          </mc:Fallback>
        </mc:AlternateContent>
      </w:r>
    </w:p>
    <w:p w14:paraId="1EACAE12" w14:textId="77777777" w:rsidR="00332C23" w:rsidRPr="00A64E41" w:rsidRDefault="00332C23" w:rsidP="00A64E41">
      <w:pPr>
        <w:rPr>
          <w:b/>
        </w:rPr>
      </w:pPr>
    </w:p>
    <w:p w14:paraId="619EB484" w14:textId="77777777" w:rsidR="00332C23" w:rsidRPr="00A64E41" w:rsidRDefault="00332C23">
      <w:pPr>
        <w:rPr>
          <w:b/>
        </w:rPr>
      </w:pPr>
    </w:p>
    <w:p w14:paraId="552CFDA3" w14:textId="77777777" w:rsidR="00173180" w:rsidRPr="00A64E41" w:rsidRDefault="00173180" w:rsidP="00BD69FE">
      <w:pPr>
        <w:rPr>
          <w:b/>
        </w:rPr>
      </w:pPr>
    </w:p>
    <w:sectPr w:rsidR="00173180" w:rsidRPr="00A64E41" w:rsidSect="00A64E4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740E9" w14:textId="77777777" w:rsidR="00A64E41" w:rsidRDefault="00A64E41" w:rsidP="00332C23">
      <w:r>
        <w:separator/>
      </w:r>
    </w:p>
  </w:endnote>
  <w:endnote w:type="continuationSeparator" w:id="0">
    <w:p w14:paraId="0066D59A" w14:textId="77777777" w:rsidR="00A64E41" w:rsidRDefault="00A64E41" w:rsidP="0033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61506761"/>
      <w:docPartObj>
        <w:docPartGallery w:val="Page Numbers (Bottom of Page)"/>
        <w:docPartUnique/>
      </w:docPartObj>
    </w:sdtPr>
    <w:sdtEndPr>
      <w:rPr>
        <w:noProof/>
      </w:rPr>
    </w:sdtEndPr>
    <w:sdtContent>
      <w:p w14:paraId="605A664A" w14:textId="170C159F" w:rsidR="00A64E41" w:rsidRPr="00A64E41" w:rsidRDefault="00A64E41" w:rsidP="00A64E41">
        <w:pPr>
          <w:tabs>
            <w:tab w:val="left" w:pos="426"/>
            <w:tab w:val="center" w:pos="4513"/>
            <w:tab w:val="right" w:pos="9026"/>
          </w:tabs>
          <w:rPr>
            <w:sz w:val="18"/>
            <w:szCs w:val="18"/>
          </w:rPr>
        </w:pPr>
        <w:r w:rsidRPr="00A64E41">
          <w:rPr>
            <w:sz w:val="18"/>
            <w:szCs w:val="18"/>
          </w:rPr>
          <w:t>IAP0</w:t>
        </w:r>
        <w:r>
          <w:rPr>
            <w:sz w:val="18"/>
            <w:szCs w:val="18"/>
          </w:rPr>
          <w:t>0422</w:t>
        </w:r>
        <w:r w:rsidRPr="00A64E41">
          <w:rPr>
            <w:sz w:val="18"/>
            <w:szCs w:val="18"/>
          </w:rPr>
          <w:t xml:space="preserve"> Supporting documentation</w:t>
        </w:r>
      </w:p>
      <w:p w14:paraId="07130D69" w14:textId="77777777" w:rsidR="00A64E41" w:rsidRPr="00A64E41" w:rsidRDefault="00A64E41" w:rsidP="00A64E41">
        <w:pPr>
          <w:tabs>
            <w:tab w:val="left" w:pos="426"/>
            <w:tab w:val="center" w:pos="4513"/>
            <w:tab w:val="right" w:pos="9026"/>
          </w:tabs>
          <w:rPr>
            <w:sz w:val="18"/>
            <w:szCs w:val="18"/>
          </w:rPr>
        </w:pPr>
        <w:r w:rsidRPr="00A64E41">
          <w:rPr>
            <w:sz w:val="18"/>
            <w:szCs w:val="18"/>
          </w:rPr>
          <w:t>Copyright © 2019 NHS Digital</w:t>
        </w:r>
        <w:r w:rsidRPr="00A64E41">
          <w:rPr>
            <w:sz w:val="18"/>
            <w:szCs w:val="18"/>
          </w:rPr>
          <w:tab/>
        </w:r>
        <w:r w:rsidRPr="00A64E41">
          <w:rPr>
            <w:sz w:val="18"/>
            <w:szCs w:val="18"/>
          </w:rPr>
          <w:tab/>
        </w:r>
        <w:r w:rsidRPr="00A64E41">
          <w:rPr>
            <w:sz w:val="18"/>
            <w:szCs w:val="18"/>
          </w:rPr>
          <w:tab/>
        </w:r>
        <w:r w:rsidRPr="00A64E41">
          <w:rPr>
            <w:sz w:val="18"/>
            <w:szCs w:val="18"/>
          </w:rPr>
          <w:tab/>
        </w:r>
        <w:r w:rsidRPr="00A64E41">
          <w:rPr>
            <w:sz w:val="18"/>
            <w:szCs w:val="18"/>
          </w:rPr>
          <w:tab/>
        </w:r>
        <w:r w:rsidRPr="00A64E41">
          <w:rPr>
            <w:sz w:val="18"/>
            <w:szCs w:val="18"/>
          </w:rPr>
          <w:tab/>
        </w:r>
        <w:r w:rsidRPr="00A64E41">
          <w:rPr>
            <w:sz w:val="18"/>
            <w:szCs w:val="18"/>
          </w:rPr>
          <w:tab/>
        </w:r>
        <w:r w:rsidRPr="00A64E41">
          <w:rPr>
            <w:sz w:val="18"/>
            <w:szCs w:val="18"/>
          </w:rPr>
          <w:tab/>
        </w:r>
        <w:r w:rsidRPr="00A64E41">
          <w:rPr>
            <w:sz w:val="18"/>
            <w:szCs w:val="18"/>
          </w:rPr>
          <w:tab/>
        </w:r>
        <w:r w:rsidRPr="00A64E41">
          <w:rPr>
            <w:sz w:val="18"/>
            <w:szCs w:val="18"/>
          </w:rPr>
          <w:fldChar w:fldCharType="begin"/>
        </w:r>
        <w:r w:rsidRPr="00A64E41">
          <w:rPr>
            <w:sz w:val="18"/>
            <w:szCs w:val="18"/>
          </w:rPr>
          <w:instrText xml:space="preserve"> PAGE   \* MERGEFORMAT </w:instrText>
        </w:r>
        <w:r w:rsidRPr="00A64E41">
          <w:rPr>
            <w:sz w:val="18"/>
            <w:szCs w:val="18"/>
          </w:rPr>
          <w:fldChar w:fldCharType="separate"/>
        </w:r>
        <w:r w:rsidRPr="00A64E41">
          <w:rPr>
            <w:sz w:val="18"/>
            <w:szCs w:val="18"/>
          </w:rPr>
          <w:t>1</w:t>
        </w:r>
        <w:r w:rsidRPr="00A64E41">
          <w:rPr>
            <w:noProof/>
            <w:sz w:val="18"/>
            <w:szCs w:val="18"/>
          </w:rPr>
          <w:fldChar w:fldCharType="end"/>
        </w:r>
      </w:p>
    </w:sdtContent>
  </w:sdt>
  <w:p w14:paraId="0203F47B" w14:textId="308D4373" w:rsidR="00A64E41" w:rsidRPr="00A64E41" w:rsidRDefault="00A64E41" w:rsidP="00A64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105308"/>
      <w:docPartObj>
        <w:docPartGallery w:val="Page Numbers (Bottom of Page)"/>
        <w:docPartUnique/>
      </w:docPartObj>
    </w:sdtPr>
    <w:sdtEndPr>
      <w:rPr>
        <w:noProof/>
      </w:rPr>
    </w:sdtEndPr>
    <w:sdtContent>
      <w:p w14:paraId="29A47CBF" w14:textId="77777777" w:rsidR="00A64E41" w:rsidRDefault="008A7875">
        <w:pPr>
          <w:pStyle w:val="Footer"/>
          <w:jc w:val="right"/>
        </w:pPr>
      </w:p>
    </w:sdtContent>
  </w:sdt>
  <w:p w14:paraId="26527172" w14:textId="77777777" w:rsidR="00A64E41" w:rsidRDefault="00A64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302D1" w14:textId="77777777" w:rsidR="00A64E41" w:rsidRDefault="00A64E41" w:rsidP="00332C23">
      <w:r>
        <w:separator/>
      </w:r>
    </w:p>
  </w:footnote>
  <w:footnote w:type="continuationSeparator" w:id="0">
    <w:p w14:paraId="148C36EB" w14:textId="77777777" w:rsidR="00A64E41" w:rsidRDefault="00A64E41" w:rsidP="00332C23">
      <w:r>
        <w:continuationSeparator/>
      </w:r>
    </w:p>
  </w:footnote>
  <w:footnote w:id="1">
    <w:p w14:paraId="2284AAEA" w14:textId="77777777" w:rsidR="00A64E41" w:rsidRDefault="00A64E41" w:rsidP="00A64E41">
      <w:pPr>
        <w:pStyle w:val="FootnoteText"/>
      </w:pPr>
      <w:r>
        <w:rPr>
          <w:rStyle w:val="FootnoteReference"/>
        </w:rPr>
        <w:footnoteRef/>
      </w:r>
      <w:r>
        <w:t xml:space="preserve"> </w:t>
      </w:r>
      <w:r w:rsidRPr="00EF7602">
        <w:t xml:space="preserve">SAS EG Proc Means methodology - </w:t>
      </w:r>
      <w:hyperlink r:id="rId1" w:anchor="statug_surveymeans_a0000000226.htm" w:history="1">
        <w:r w:rsidRPr="00BE05E7">
          <w:rPr>
            <w:rStyle w:val="Hyperlink"/>
            <w:color w:val="0070C0"/>
          </w:rPr>
          <w:t>https://support.sas.com/documentation/cdl/en/statug/63347/HTML/default/viewer.htm#statug_surveymeans_a0000000226.htm</w:t>
        </w:r>
      </w:hyperlink>
      <w:r w:rsidRPr="00EF7602">
        <w:t>.</w:t>
      </w:r>
    </w:p>
  </w:footnote>
  <w:footnote w:id="2">
    <w:p w14:paraId="569D9132" w14:textId="77777777" w:rsidR="00A64E41" w:rsidRDefault="00A64E41" w:rsidP="00A64E41">
      <w:pPr>
        <w:pStyle w:val="FootnoteText"/>
      </w:pPr>
      <w:r>
        <w:rPr>
          <w:rStyle w:val="FootnoteReference"/>
        </w:rPr>
        <w:footnoteRef/>
      </w:r>
      <w:r>
        <w:t xml:space="preserve"> </w:t>
      </w:r>
      <w:hyperlink r:id="rId2" w:anchor="statug_surveymeans_a0000000226.htm" w:history="1">
        <w:r w:rsidRPr="00BE05E7">
          <w:rPr>
            <w:rStyle w:val="Hyperlink"/>
            <w:color w:val="0070C0"/>
          </w:rPr>
          <w:t>https://support.sas.com/documentation/cdl/en/statug/63347/HTML/default/viewer.htm#statug_surveymeans_a0000000226.htm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57A8" w14:textId="3D234E2A" w:rsidR="00A64E41" w:rsidRPr="00A64E41" w:rsidRDefault="00A64E41" w:rsidP="00A64E41">
    <w:pPr>
      <w:pStyle w:val="Header"/>
      <w:jc w:val="center"/>
      <w:rPr>
        <w:rFonts w:ascii="Arial" w:hAnsi="Arial" w:cs="Arial"/>
        <w:b/>
        <w:sz w:val="24"/>
        <w:szCs w:val="24"/>
      </w:rPr>
    </w:pPr>
    <w:r w:rsidRPr="00A64E41">
      <w:rPr>
        <w:rFonts w:ascii="Arial" w:hAnsi="Arial" w:cs="Arial"/>
        <w:b/>
        <w:sz w:val="24"/>
        <w:szCs w:val="24"/>
      </w:rPr>
      <w:t>NICE inherited this indicator and all its supporting documentation from NHS Digital on 1 April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B910" w14:textId="77777777" w:rsidR="00A64E41" w:rsidRPr="00574969" w:rsidRDefault="00A64E41" w:rsidP="00A64E41">
    <w:pPr>
      <w:pStyle w:val="NormalWeb"/>
      <w:spacing w:before="0" w:beforeAutospacing="0" w:after="0" w:afterAutospacing="0"/>
      <w:rPr>
        <w:rFonts w:ascii="Arial" w:eastAsia="+mn-ea" w:hAnsi="Arial" w:cs="Arial"/>
        <w:b/>
        <w:color w:val="1F497D" w:themeColor="text2"/>
        <w:position w:val="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AFC9" w14:textId="77777777" w:rsidR="00CF53AC" w:rsidRPr="00B2779C" w:rsidRDefault="00CF53AC" w:rsidP="00CF53AC">
    <w:pPr>
      <w:pStyle w:val="Header"/>
      <w:tabs>
        <w:tab w:val="left" w:pos="7365"/>
      </w:tabs>
      <w:rPr>
        <w:rFonts w:cstheme="minorHAnsi"/>
        <w:b/>
        <w:color w:val="002060"/>
      </w:rPr>
    </w:pPr>
  </w:p>
  <w:p w14:paraId="75056DFD" w14:textId="77777777" w:rsidR="00CF53AC" w:rsidRPr="00A64E41" w:rsidRDefault="00CF53AC" w:rsidP="00CF53AC">
    <w:pPr>
      <w:pStyle w:val="Header"/>
      <w:jc w:val="center"/>
      <w:rPr>
        <w:rFonts w:ascii="Arial" w:hAnsi="Arial" w:cs="Arial"/>
        <w:b/>
        <w:sz w:val="24"/>
        <w:szCs w:val="24"/>
      </w:rPr>
    </w:pPr>
    <w:r w:rsidRPr="00A64E41">
      <w:rPr>
        <w:rFonts w:ascii="Arial" w:hAnsi="Arial" w:cs="Arial"/>
        <w:b/>
        <w:sz w:val="24"/>
        <w:szCs w:val="24"/>
      </w:rPr>
      <w:t>NICE inherited this indicator and all its supporting documentation from NHS Digital on 1 April 2020</w:t>
    </w:r>
  </w:p>
  <w:p w14:paraId="2DFA7034" w14:textId="7FF855ED" w:rsidR="00A64E41" w:rsidRDefault="00A64E41" w:rsidP="00CF53AC">
    <w:pPr>
      <w:pStyle w:val="Header"/>
      <w:tabs>
        <w:tab w:val="left" w:pos="73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ymbol for the " style="width:32.25pt;height:11.25pt;visibility:visible;mso-wrap-style:square" o:bullet="t">
        <v:imagedata r:id="rId1" o:title="Symbol for the "/>
      </v:shape>
    </w:pict>
  </w:numPicBullet>
  <w:abstractNum w:abstractNumId="0" w15:restartNumberingAfterBreak="0">
    <w:nsid w:val="0CB35DED"/>
    <w:multiLevelType w:val="hybridMultilevel"/>
    <w:tmpl w:val="3D64B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1667DB"/>
    <w:multiLevelType w:val="hybridMultilevel"/>
    <w:tmpl w:val="239E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77FD5"/>
    <w:multiLevelType w:val="hybridMultilevel"/>
    <w:tmpl w:val="BFE6841A"/>
    <w:lvl w:ilvl="0" w:tplc="51104D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CF5AE5"/>
    <w:multiLevelType w:val="hybridMultilevel"/>
    <w:tmpl w:val="7C7E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63679"/>
    <w:multiLevelType w:val="hybridMultilevel"/>
    <w:tmpl w:val="DFB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E4970"/>
    <w:multiLevelType w:val="multilevel"/>
    <w:tmpl w:val="FF587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6579BF"/>
    <w:multiLevelType w:val="hybridMultilevel"/>
    <w:tmpl w:val="F95AB8CE"/>
    <w:lvl w:ilvl="0" w:tplc="4EB4BB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FA7D0B"/>
    <w:multiLevelType w:val="hybridMultilevel"/>
    <w:tmpl w:val="F2F42000"/>
    <w:lvl w:ilvl="0" w:tplc="09E018F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4220A3"/>
    <w:multiLevelType w:val="hybridMultilevel"/>
    <w:tmpl w:val="BFE6841A"/>
    <w:lvl w:ilvl="0" w:tplc="51104D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866C68"/>
    <w:multiLevelType w:val="hybridMultilevel"/>
    <w:tmpl w:val="3DA67C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E41CB"/>
    <w:multiLevelType w:val="hybridMultilevel"/>
    <w:tmpl w:val="86E2F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F800F4"/>
    <w:multiLevelType w:val="hybridMultilevel"/>
    <w:tmpl w:val="9806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9"/>
  </w:num>
  <w:num w:numId="5">
    <w:abstractNumId w:val="8"/>
  </w:num>
  <w:num w:numId="6">
    <w:abstractNumId w:val="13"/>
  </w:num>
  <w:num w:numId="7">
    <w:abstractNumId w:val="1"/>
  </w:num>
  <w:num w:numId="8">
    <w:abstractNumId w:val="0"/>
  </w:num>
  <w:num w:numId="9">
    <w:abstractNumId w:val="5"/>
  </w:num>
  <w:num w:numId="10">
    <w:abstractNumId w:val="4"/>
  </w:num>
  <w:num w:numId="11">
    <w:abstractNumId w:val="10"/>
  </w:num>
  <w:num w:numId="12">
    <w:abstractNumId w:val="3"/>
  </w:num>
  <w:num w:numId="13">
    <w:abstractNumId w:val="2"/>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B61"/>
    <w:rsid w:val="00006728"/>
    <w:rsid w:val="00020DA2"/>
    <w:rsid w:val="00026588"/>
    <w:rsid w:val="00033D06"/>
    <w:rsid w:val="0009710A"/>
    <w:rsid w:val="000A5ED0"/>
    <w:rsid w:val="000C7612"/>
    <w:rsid w:val="000D0D73"/>
    <w:rsid w:val="00114832"/>
    <w:rsid w:val="00142C8A"/>
    <w:rsid w:val="00147C16"/>
    <w:rsid w:val="00173180"/>
    <w:rsid w:val="001919BF"/>
    <w:rsid w:val="001A71DD"/>
    <w:rsid w:val="001C1F62"/>
    <w:rsid w:val="001D76BF"/>
    <w:rsid w:val="001E43C8"/>
    <w:rsid w:val="00202C33"/>
    <w:rsid w:val="00230D71"/>
    <w:rsid w:val="002330DA"/>
    <w:rsid w:val="002464C3"/>
    <w:rsid w:val="00251BC6"/>
    <w:rsid w:val="002A30AC"/>
    <w:rsid w:val="002D3972"/>
    <w:rsid w:val="00332C23"/>
    <w:rsid w:val="00336595"/>
    <w:rsid w:val="0036134A"/>
    <w:rsid w:val="003643F0"/>
    <w:rsid w:val="0038765A"/>
    <w:rsid w:val="003A5F69"/>
    <w:rsid w:val="004475CE"/>
    <w:rsid w:val="00460F2C"/>
    <w:rsid w:val="00471A1B"/>
    <w:rsid w:val="00472F07"/>
    <w:rsid w:val="004C64BB"/>
    <w:rsid w:val="004F581C"/>
    <w:rsid w:val="00502D93"/>
    <w:rsid w:val="00516E18"/>
    <w:rsid w:val="00537BD7"/>
    <w:rsid w:val="00557D20"/>
    <w:rsid w:val="00566E9F"/>
    <w:rsid w:val="005A7C7C"/>
    <w:rsid w:val="005B0199"/>
    <w:rsid w:val="005F373B"/>
    <w:rsid w:val="005F6766"/>
    <w:rsid w:val="00606204"/>
    <w:rsid w:val="00646AE1"/>
    <w:rsid w:val="0066022E"/>
    <w:rsid w:val="00672952"/>
    <w:rsid w:val="00690607"/>
    <w:rsid w:val="006965C4"/>
    <w:rsid w:val="006A0711"/>
    <w:rsid w:val="006A54FE"/>
    <w:rsid w:val="006F0E9F"/>
    <w:rsid w:val="00706ADC"/>
    <w:rsid w:val="007072FA"/>
    <w:rsid w:val="00715FA4"/>
    <w:rsid w:val="00724B3F"/>
    <w:rsid w:val="00747A51"/>
    <w:rsid w:val="00763298"/>
    <w:rsid w:val="00772590"/>
    <w:rsid w:val="00772EDD"/>
    <w:rsid w:val="007A2C37"/>
    <w:rsid w:val="007D3D67"/>
    <w:rsid w:val="007D537B"/>
    <w:rsid w:val="008A7875"/>
    <w:rsid w:val="008E4A05"/>
    <w:rsid w:val="00950DC4"/>
    <w:rsid w:val="0099022E"/>
    <w:rsid w:val="009A7D6B"/>
    <w:rsid w:val="009E1357"/>
    <w:rsid w:val="009E2200"/>
    <w:rsid w:val="009E25A9"/>
    <w:rsid w:val="00A01732"/>
    <w:rsid w:val="00A06C18"/>
    <w:rsid w:val="00A2099D"/>
    <w:rsid w:val="00A457F9"/>
    <w:rsid w:val="00A54876"/>
    <w:rsid w:val="00A60DB5"/>
    <w:rsid w:val="00A64E41"/>
    <w:rsid w:val="00A8619F"/>
    <w:rsid w:val="00A9787A"/>
    <w:rsid w:val="00AC42F0"/>
    <w:rsid w:val="00AC7991"/>
    <w:rsid w:val="00AE2A0B"/>
    <w:rsid w:val="00AE672C"/>
    <w:rsid w:val="00B11D90"/>
    <w:rsid w:val="00B16508"/>
    <w:rsid w:val="00B60543"/>
    <w:rsid w:val="00B81CD9"/>
    <w:rsid w:val="00BC1B9A"/>
    <w:rsid w:val="00BD69FE"/>
    <w:rsid w:val="00BF60CC"/>
    <w:rsid w:val="00C04716"/>
    <w:rsid w:val="00C100DE"/>
    <w:rsid w:val="00C305A4"/>
    <w:rsid w:val="00C405E9"/>
    <w:rsid w:val="00C97387"/>
    <w:rsid w:val="00CC7502"/>
    <w:rsid w:val="00CD0F59"/>
    <w:rsid w:val="00CF53AC"/>
    <w:rsid w:val="00D24289"/>
    <w:rsid w:val="00D574B9"/>
    <w:rsid w:val="00D62F3F"/>
    <w:rsid w:val="00DC46F5"/>
    <w:rsid w:val="00DF138D"/>
    <w:rsid w:val="00E26145"/>
    <w:rsid w:val="00E36877"/>
    <w:rsid w:val="00E55904"/>
    <w:rsid w:val="00E77AB3"/>
    <w:rsid w:val="00E85960"/>
    <w:rsid w:val="00E9757C"/>
    <w:rsid w:val="00F14928"/>
    <w:rsid w:val="00F41B3C"/>
    <w:rsid w:val="00F5176C"/>
    <w:rsid w:val="00F77413"/>
    <w:rsid w:val="00FA67EF"/>
    <w:rsid w:val="00FB0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C2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2C2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unhideWhenUsed/>
    <w:rsid w:val="00FA67EF"/>
    <w:rPr>
      <w:sz w:val="20"/>
      <w:szCs w:val="20"/>
    </w:rPr>
  </w:style>
  <w:style w:type="character" w:customStyle="1" w:styleId="CommentTextChar">
    <w:name w:val="Comment Text Char"/>
    <w:basedOn w:val="DefaultParagraphFont"/>
    <w:link w:val="CommentText"/>
    <w:uiPriority w:val="99"/>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1E43C8"/>
    <w:pPr>
      <w:spacing w:after="120"/>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1E43C8"/>
    <w:rPr>
      <w:rFonts w:asciiTheme="minorHAnsi" w:hAnsiTheme="minorHAnsi" w:cstheme="minorBidi"/>
    </w:rPr>
  </w:style>
  <w:style w:type="paragraph" w:customStyle="1" w:styleId="FrontpageTitle">
    <w:name w:val="Frontpage_Title"/>
    <w:basedOn w:val="Normal"/>
    <w:link w:val="FrontpageTitleChar"/>
    <w:autoRedefine/>
    <w:qFormat/>
    <w:rsid w:val="00332C23"/>
    <w:pPr>
      <w:spacing w:before="60" w:after="60"/>
      <w:textboxTightWrap w:val="lastLineOnly"/>
    </w:pPr>
    <w:rPr>
      <w:rFonts w:asciiTheme="minorHAnsi" w:hAnsiTheme="minorHAnsi" w:cstheme="minorBidi"/>
      <w:i/>
    </w:rPr>
  </w:style>
  <w:style w:type="character" w:customStyle="1" w:styleId="FrontpageTitleChar">
    <w:name w:val="Frontpage_Title Char"/>
    <w:basedOn w:val="DefaultParagraphFont"/>
    <w:link w:val="FrontpageTitle"/>
    <w:rsid w:val="00332C23"/>
    <w:rPr>
      <w:rFonts w:asciiTheme="minorHAnsi" w:hAnsiTheme="minorHAnsi" w:cstheme="minorBidi"/>
      <w:i/>
    </w:rPr>
  </w:style>
  <w:style w:type="paragraph" w:customStyle="1" w:styleId="Default">
    <w:name w:val="Default"/>
    <w:rsid w:val="00332C23"/>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332C23"/>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2C23"/>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32C23"/>
    <w:rPr>
      <w:vertAlign w:val="superscript"/>
    </w:rPr>
  </w:style>
  <w:style w:type="paragraph" w:styleId="BodyText">
    <w:name w:val="Body Text"/>
    <w:basedOn w:val="Normal"/>
    <w:link w:val="BodyTextChar"/>
    <w:uiPriority w:val="99"/>
    <w:unhideWhenUsed/>
    <w:rsid w:val="00332C23"/>
    <w:pPr>
      <w:spacing w:after="120"/>
    </w:pPr>
    <w:rPr>
      <w:rFonts w:asciiTheme="minorHAnsi" w:hAnsiTheme="minorHAnsi" w:cstheme="minorBidi"/>
    </w:rPr>
  </w:style>
  <w:style w:type="character" w:customStyle="1" w:styleId="BodyTextChar">
    <w:name w:val="Body Text Char"/>
    <w:basedOn w:val="DefaultParagraphFont"/>
    <w:link w:val="BodyText"/>
    <w:uiPriority w:val="99"/>
    <w:rsid w:val="00332C23"/>
    <w:rPr>
      <w:rFonts w:asciiTheme="minorHAnsi" w:hAnsiTheme="minorHAnsi" w:cstheme="minorBidi"/>
    </w:rPr>
  </w:style>
  <w:style w:type="paragraph" w:customStyle="1" w:styleId="paragraph">
    <w:name w:val="paragraph"/>
    <w:basedOn w:val="Normal"/>
    <w:rsid w:val="00332C23"/>
    <w:rPr>
      <w:rFonts w:ascii="Times New Roman" w:eastAsia="Times New Roman" w:hAnsi="Times New Roman" w:cs="Times New Roman"/>
      <w:sz w:val="24"/>
      <w:szCs w:val="24"/>
      <w:lang w:eastAsia="en-GB"/>
    </w:rPr>
  </w:style>
  <w:style w:type="character" w:customStyle="1" w:styleId="eop">
    <w:name w:val="eop"/>
    <w:basedOn w:val="DefaultParagraphFont"/>
    <w:rsid w:val="00332C23"/>
  </w:style>
  <w:style w:type="character" w:customStyle="1" w:styleId="normaltextrun">
    <w:name w:val="normaltextrun"/>
    <w:basedOn w:val="DefaultParagraphFont"/>
    <w:rsid w:val="00332C23"/>
  </w:style>
  <w:style w:type="character" w:customStyle="1" w:styleId="Heading1Char">
    <w:name w:val="Heading 1 Char"/>
    <w:basedOn w:val="DefaultParagraphFont"/>
    <w:link w:val="Heading1"/>
    <w:uiPriority w:val="9"/>
    <w:rsid w:val="00332C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32C2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32C23"/>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332C23"/>
    <w:rPr>
      <w:rFonts w:asciiTheme="minorHAnsi" w:hAnsiTheme="minorHAnsi" w:cstheme="minorBidi"/>
    </w:rPr>
  </w:style>
  <w:style w:type="paragraph" w:styleId="Footer">
    <w:name w:val="footer"/>
    <w:basedOn w:val="Normal"/>
    <w:link w:val="FooterChar"/>
    <w:uiPriority w:val="99"/>
    <w:unhideWhenUsed/>
    <w:qFormat/>
    <w:rsid w:val="00332C23"/>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332C23"/>
    <w:rPr>
      <w:rFonts w:asciiTheme="minorHAnsi" w:hAnsiTheme="minorHAnsi" w:cstheme="minorBidi"/>
    </w:rPr>
  </w:style>
  <w:style w:type="paragraph" w:styleId="NormalWeb">
    <w:name w:val="Normal (Web)"/>
    <w:basedOn w:val="Normal"/>
    <w:uiPriority w:val="99"/>
    <w:unhideWhenUsed/>
    <w:rsid w:val="00332C23"/>
    <w:pPr>
      <w:spacing w:before="100" w:beforeAutospacing="1" w:after="100" w:afterAutospacing="1"/>
    </w:pPr>
    <w:rPr>
      <w:rFonts w:ascii="Times New Roman" w:eastAsia="Times New Roman" w:hAnsi="Times New Roman" w:cs="Times New Roman"/>
      <w:sz w:val="24"/>
      <w:szCs w:val="24"/>
      <w:lang w:eastAsia="en-GB"/>
    </w:rPr>
  </w:style>
  <w:style w:type="table" w:styleId="LightShading-Accent3">
    <w:name w:val="Light Shading Accent 3"/>
    <w:basedOn w:val="TableNormal"/>
    <w:uiPriority w:val="60"/>
    <w:rsid w:val="00332C23"/>
    <w:rPr>
      <w:rFonts w:asciiTheme="minorHAnsi" w:hAnsiTheme="minorHAnsi"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PlaceholderText">
    <w:name w:val="Placeholder Text"/>
    <w:basedOn w:val="DefaultParagraphFont"/>
    <w:uiPriority w:val="99"/>
    <w:semiHidden/>
    <w:rsid w:val="00332C23"/>
    <w:rPr>
      <w:color w:val="808080"/>
    </w:rPr>
  </w:style>
  <w:style w:type="character" w:customStyle="1" w:styleId="Style1">
    <w:name w:val="Style1"/>
    <w:basedOn w:val="DefaultParagraphFont"/>
    <w:uiPriority w:val="1"/>
    <w:rsid w:val="00332C23"/>
    <w:rPr>
      <w:rFonts w:ascii="Arial" w:hAnsi="Arial"/>
      <w:b w:val="0"/>
      <w:color w:val="1F497D" w:themeColor="text2"/>
      <w:sz w:val="28"/>
    </w:rPr>
  </w:style>
  <w:style w:type="paragraph" w:styleId="NoSpacing">
    <w:name w:val="No Spacing"/>
    <w:link w:val="NoSpacingChar"/>
    <w:uiPriority w:val="1"/>
    <w:qFormat/>
    <w:rsid w:val="00332C23"/>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32C23"/>
    <w:rPr>
      <w:rFonts w:asciiTheme="minorHAnsi" w:eastAsiaTheme="minorEastAsia" w:hAnsiTheme="minorHAnsi" w:cstheme="minorBidi"/>
      <w:lang w:val="en-US" w:eastAsia="ja-JP"/>
    </w:rPr>
  </w:style>
  <w:style w:type="paragraph" w:styleId="Title">
    <w:name w:val="Title"/>
    <w:basedOn w:val="Normal"/>
    <w:next w:val="Normal"/>
    <w:link w:val="TitleChar"/>
    <w:uiPriority w:val="10"/>
    <w:qFormat/>
    <w:rsid w:val="00332C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2C23"/>
    <w:rPr>
      <w:rFonts w:asciiTheme="majorHAnsi" w:eastAsiaTheme="majorEastAsia" w:hAnsiTheme="majorHAnsi" w:cstheme="majorBidi"/>
      <w:color w:val="17365D" w:themeColor="text2" w:themeShade="BF"/>
      <w:spacing w:val="5"/>
      <w:kern w:val="28"/>
      <w:sz w:val="52"/>
      <w:szCs w:val="52"/>
    </w:rPr>
  </w:style>
  <w:style w:type="character" w:customStyle="1" w:styleId="Title2">
    <w:name w:val="Title 2"/>
    <w:basedOn w:val="DefaultParagraphFont"/>
    <w:uiPriority w:val="1"/>
    <w:rsid w:val="00332C23"/>
    <w:rPr>
      <w:rFonts w:asciiTheme="majorHAnsi" w:hAnsiTheme="majorHAnsi"/>
      <w:sz w:val="40"/>
    </w:rPr>
  </w:style>
  <w:style w:type="character" w:customStyle="1" w:styleId="Normal2">
    <w:name w:val="Normal2"/>
    <w:basedOn w:val="DefaultParagraphFont"/>
    <w:uiPriority w:val="1"/>
    <w:rsid w:val="00332C23"/>
    <w:rPr>
      <w:rFonts w:asciiTheme="minorHAnsi" w:hAnsiTheme="minorHAnsi"/>
      <w:b/>
      <w:color w:val="1F497D" w:themeColor="text2"/>
      <w:sz w:val="22"/>
    </w:rPr>
  </w:style>
  <w:style w:type="table" w:customStyle="1" w:styleId="TableGrid1">
    <w:name w:val="Table Grid1"/>
    <w:basedOn w:val="TableNormal"/>
    <w:next w:val="TableGrid"/>
    <w:rsid w:val="00332C23"/>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32C23"/>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32C23"/>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32C23"/>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32C23"/>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2C23"/>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yn.wilson@nhs.net" TargetMode="External"/><Relationship Id="rId13" Type="http://schemas.openxmlformats.org/officeDocument/2006/relationships/hyperlink" Target="https://www.pssru.ac.uk/pub/4633.pdf" TargetMode="External"/><Relationship Id="rId18" Type="http://schemas.openxmlformats.org/officeDocument/2006/relationships/hyperlink" Target="http://www.cipfastats.net/resources/nearestneighbours/" TargetMode="External"/><Relationship Id="rId26" Type="http://schemas.openxmlformats.org/officeDocument/2006/relationships/image" Target="media/image3.png"/><Relationship Id="rId39" Type="http://schemas.openxmlformats.org/officeDocument/2006/relationships/hyperlink" Target="https://files.digital.nhs.uk/69/1CAF62/meas-from-asc-of-eng-1718-appendices.pdf" TargetMode="External"/><Relationship Id="rId3" Type="http://schemas.openxmlformats.org/officeDocument/2006/relationships/settings" Target="settings.xml"/><Relationship Id="rId21" Type="http://schemas.openxmlformats.org/officeDocument/2006/relationships/hyperlink" Target="https://digital.nhs.uk/binaries/content/assets/website-assets/data-and-information/data-collections/social-care-user-surveys/ascs_guidance_2018-19.pdf" TargetMode="External"/><Relationship Id="rId34" Type="http://schemas.openxmlformats.org/officeDocument/2006/relationships/footer" Target="footer2.xml"/><Relationship Id="rId42" Type="http://schemas.openxmlformats.org/officeDocument/2006/relationships/hyperlink" Target="https://webarchive.nationalarchives.gov.uk/20180328130852tf_/http://content.digital.nhs.uk/media/25522/ASCS-Guidance-2017-18/pdf/ASCS_Guidance_2017-18.pdf/" TargetMode="External"/><Relationship Id="rId47" Type="http://schemas.openxmlformats.org/officeDocument/2006/relationships/hyperlink" Target="mailto:Standards.assurance@nhs.net" TargetMode="External"/><Relationship Id="rId50" Type="http://schemas.openxmlformats.org/officeDocument/2006/relationships/theme" Target="theme/theme1.xml"/><Relationship Id="rId7" Type="http://schemas.openxmlformats.org/officeDocument/2006/relationships/hyperlink" Target="https://digital.nhs.uk/binaries/content/assets/website-assets/data-and-information/data-collections/social-care-user-surveys/ascs_guidance_2018-19.pdf" TargetMode="External"/><Relationship Id="rId12" Type="http://schemas.openxmlformats.org/officeDocument/2006/relationships/hyperlink" Target="https://www.pssru.ac.uk/pub/dp2542.pdf" TargetMode="External"/><Relationship Id="rId17" Type="http://schemas.openxmlformats.org/officeDocument/2006/relationships/hyperlink" Target="https://digital.nhs.uk/data-and-information/publications/statistical/personal-social-services-survey-of-adult-carers/personal-social-services-survey-of-adult-carers-in-england-2016-17" TargetMode="External"/><Relationship Id="rId25" Type="http://schemas.openxmlformats.org/officeDocument/2006/relationships/image" Target="media/image2.png"/><Relationship Id="rId33" Type="http://schemas.openxmlformats.org/officeDocument/2006/relationships/header" Target="header2.xml"/><Relationship Id="rId38" Type="http://schemas.openxmlformats.org/officeDocument/2006/relationships/hyperlink" Target="https://www.gov.uk/government/publications/adult-social-care-outcomes-framework-handbook-of-definitions" TargetMode="External"/><Relationship Id="rId2" Type="http://schemas.openxmlformats.org/officeDocument/2006/relationships/styles" Target="styles.xml"/><Relationship Id="rId16" Type="http://schemas.openxmlformats.org/officeDocument/2006/relationships/hyperlink" Target="https://indicators.hscic.gov.uk/webview/" TargetMode="External"/><Relationship Id="rId20" Type="http://schemas.openxmlformats.org/officeDocument/2006/relationships/hyperlink" Target="http://www.inspiredservices.org.uk" TargetMode="External"/><Relationship Id="rId29" Type="http://schemas.openxmlformats.org/officeDocument/2006/relationships/image" Target="media/image5.png"/><Relationship Id="rId41" Type="http://schemas.openxmlformats.org/officeDocument/2006/relationships/hyperlink" Target="https://files.digital.nhs.uk/69/1CAF62/meas-from-asc-of-eng-1718-appendic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cator.assurance@nhs.net" TargetMode="External"/><Relationship Id="rId24" Type="http://schemas.openxmlformats.org/officeDocument/2006/relationships/hyperlink" Target="https://files.digital.nhs.uk/publicationimport/pub18xxx/pub18642/pss-ascs-eng-1415-rpt.pdf" TargetMode="External"/><Relationship Id="rId32" Type="http://schemas.openxmlformats.org/officeDocument/2006/relationships/footer" Target="footer1.xml"/><Relationship Id="rId37" Type="http://schemas.openxmlformats.org/officeDocument/2006/relationships/hyperlink" Target="https://www.gov.uk/government/publications/adult-social-care-outcomes-framework-handbook-of-definitions" TargetMode="External"/><Relationship Id="rId40" Type="http://schemas.openxmlformats.org/officeDocument/2006/relationships/hyperlink" Target="https://files.digital.nhs.uk/publicationimport/pub18xxx/pub18642/pss-ascs-eng-1415-rpt.pdf" TargetMode="External"/><Relationship Id="rId5" Type="http://schemas.openxmlformats.org/officeDocument/2006/relationships/footnotes" Target="footnotes.xml"/><Relationship Id="rId15" Type="http://schemas.openxmlformats.org/officeDocument/2006/relationships/hyperlink" Target="http://bit.ly/SocialCare_HUB)" TargetMode="External"/><Relationship Id="rId23" Type="http://schemas.openxmlformats.org/officeDocument/2006/relationships/hyperlink" Target="https://digital.nhs.uk/data-and-information/data-collections-and-data-sets/data-collections/social-care-user-surveys/social-care-user-survey-2018-19" TargetMode="External"/><Relationship Id="rId28" Type="http://schemas.openxmlformats.org/officeDocument/2006/relationships/image" Target="media/image1.png"/><Relationship Id="rId36" Type="http://schemas.openxmlformats.org/officeDocument/2006/relationships/hyperlink" Target="https://assets.publishing.service.gov.uk/government/uploads/system/uploads/attachment_data/file/215310/dh_131732.pdf" TargetMode="External"/><Relationship Id="rId49" Type="http://schemas.openxmlformats.org/officeDocument/2006/relationships/glossaryDocument" Target="glossary/document.xml"/><Relationship Id="rId10" Type="http://schemas.openxmlformats.org/officeDocument/2006/relationships/hyperlink" Target="mailto:indicator.assurance@nhs.net" TargetMode="External"/><Relationship Id="rId19" Type="http://schemas.openxmlformats.org/officeDocument/2006/relationships/hyperlink" Target="https://digital.nhs.uk/data-and-information/data-collections-and-data-sets/data-collections/social-care-user-surveys/social-care-users-survey-2018-19" TargetMode="External"/><Relationship Id="rId31" Type="http://schemas.openxmlformats.org/officeDocument/2006/relationships/header" Target="header1.xml"/><Relationship Id="rId44" Type="http://schemas.openxmlformats.org/officeDocument/2006/relationships/hyperlink" Target="mailto:Standards.assurance@nhs.net" TargetMode="External"/><Relationship Id="rId4" Type="http://schemas.openxmlformats.org/officeDocument/2006/relationships/webSettings" Target="webSettings.xml"/><Relationship Id="rId9" Type="http://schemas.openxmlformats.org/officeDocument/2006/relationships/hyperlink" Target="mailto:ASCOF@dhsc.gov.uk" TargetMode="External"/><Relationship Id="rId14" Type="http://schemas.openxmlformats.org/officeDocument/2006/relationships/hyperlink" Target="https://digital.nhs.uk/data-and-information/publications/clinical-indicators/adult-social-care-outcomes-framework-ascof/current" TargetMode="External"/><Relationship Id="rId22" Type="http://schemas.openxmlformats.org/officeDocument/2006/relationships/hyperlink" Target="https://digital.nhs.uk/data-and-information/data-collections-and-data-sets/data-collections/social-care-user-surveys/social-care-user-survey-2018-19"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hyperlink" Target="http://www.cpa.org.uk/cpa_documents/Transparency%20_in_Outcomes_for_adult_social_care.pdf" TargetMode="External"/><Relationship Id="rId43" Type="http://schemas.openxmlformats.org/officeDocument/2006/relationships/header" Target="header3.xml"/><Relationship Id="rId48"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upport.sas.com/documentation/cdl/en/statug/63347/HTML/default/viewer.htm" TargetMode="External"/><Relationship Id="rId1" Type="http://schemas.openxmlformats.org/officeDocument/2006/relationships/hyperlink" Target="https://support.sas.com/documentation/cdl/en/statug/63347/HTML/default/viewer.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65A9C89FE6430484935A7CEABE8F39"/>
        <w:category>
          <w:name w:val="General"/>
          <w:gallery w:val="placeholder"/>
        </w:category>
        <w:types>
          <w:type w:val="bbPlcHdr"/>
        </w:types>
        <w:behaviors>
          <w:behavior w:val="content"/>
        </w:behaviors>
        <w:guid w:val="{4E204EBA-47F1-482D-9186-15CB10387DAF}"/>
      </w:docPartPr>
      <w:docPartBody>
        <w:p w:rsidR="00FD5F5B" w:rsidRDefault="00FD5F5B"/>
      </w:docPartBody>
    </w:docPart>
    <w:docPart>
      <w:docPartPr>
        <w:name w:val="42C7A024BFEC4A57BF0F2BE66B1C336B"/>
        <w:category>
          <w:name w:val="General"/>
          <w:gallery w:val="placeholder"/>
        </w:category>
        <w:types>
          <w:type w:val="bbPlcHdr"/>
        </w:types>
        <w:behaviors>
          <w:behavior w:val="content"/>
        </w:behaviors>
        <w:guid w:val="{191E7B09-C635-476C-912C-7103D38E9E2A}"/>
      </w:docPartPr>
      <w:docPartBody>
        <w:p w:rsidR="00FD5F5B" w:rsidRDefault="00FD5F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5B"/>
    <w:rsid w:val="00FD5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62398891</Template>
  <TotalTime>0</TotalTime>
  <Pages>49</Pages>
  <Words>11984</Words>
  <Characters>68315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2020-03-10T11:20:00Z</dcterms:created>
  <dcterms:modified xsi:type="dcterms:W3CDTF">2020-03-11T14:15:00Z</dcterms:modified>
</cp:coreProperties>
</file>