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6EE687B0" w14:textId="0B216FAC" w:rsidR="00456948" w:rsidRPr="00456948" w:rsidRDefault="00456948" w:rsidP="009B0E59">
      <w:pPr>
        <w:pStyle w:val="Heading1"/>
        <w:rPr>
          <w:b w:val="0"/>
          <w:bCs w:val="0"/>
          <w:sz w:val="24"/>
          <w:szCs w:val="24"/>
          <w:lang w:eastAsia="en-GB"/>
        </w:rPr>
      </w:pPr>
      <w:r w:rsidRPr="00456948">
        <w:rPr>
          <w:b w:val="0"/>
          <w:bCs w:val="0"/>
          <w:sz w:val="24"/>
          <w:szCs w:val="24"/>
          <w:lang w:eastAsia="en-GB"/>
        </w:rPr>
        <w:t>Assurance date: August 2023</w:t>
      </w:r>
    </w:p>
    <w:p w14:paraId="4BB033D4" w14:textId="689A8BBC" w:rsidR="00456948" w:rsidRDefault="00456948" w:rsidP="00456948">
      <w:pPr>
        <w:pStyle w:val="Paragraph"/>
        <w:rPr>
          <w:lang w:eastAsia="en-GB"/>
        </w:rPr>
      </w:pPr>
      <w:r>
        <w:rPr>
          <w:lang w:eastAsia="en-GB"/>
        </w:rPr>
        <w:t>Review date: August 2026</w:t>
      </w:r>
    </w:p>
    <w:p w14:paraId="047E7BC9" w14:textId="1CF059C2"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F40961">
        <w:rPr>
          <w:lang w:eastAsia="en-GB"/>
        </w:rPr>
        <w:t>42</w:t>
      </w:r>
      <w:r w:rsidR="00CF434B">
        <w:rPr>
          <w:lang w:eastAsia="en-GB"/>
        </w:rPr>
        <w:t>5</w:t>
      </w:r>
    </w:p>
    <w:p w14:paraId="23F3D3AC" w14:textId="77777777" w:rsidR="00E5484F" w:rsidRDefault="00CF434B" w:rsidP="009B0E59">
      <w:pPr>
        <w:pStyle w:val="Heading1"/>
        <w:rPr>
          <w:b w:val="0"/>
          <w:bCs w:val="0"/>
          <w:kern w:val="0"/>
          <w:sz w:val="24"/>
          <w:szCs w:val="24"/>
          <w:lang w:eastAsia="en-GB"/>
        </w:rPr>
      </w:pPr>
      <w:bookmarkStart w:id="1" w:name="_Hlk139977930"/>
      <w:r w:rsidRPr="00CF434B">
        <w:rPr>
          <w:b w:val="0"/>
          <w:bCs w:val="0"/>
          <w:kern w:val="0"/>
          <w:sz w:val="24"/>
          <w:szCs w:val="24"/>
          <w:lang w:eastAsia="en-GB"/>
        </w:rPr>
        <w:t xml:space="preserve">The proportion of people who use services who say that those services have made them feel safe and </w:t>
      </w:r>
      <w:proofErr w:type="gramStart"/>
      <w:r w:rsidRPr="00CF434B">
        <w:rPr>
          <w:b w:val="0"/>
          <w:bCs w:val="0"/>
          <w:kern w:val="0"/>
          <w:sz w:val="24"/>
          <w:szCs w:val="24"/>
          <w:lang w:eastAsia="en-GB"/>
        </w:rPr>
        <w:t>secure</w:t>
      </w:r>
      <w:proofErr w:type="gramEnd"/>
      <w:r w:rsidRPr="00CF434B">
        <w:rPr>
          <w:b w:val="0"/>
          <w:bCs w:val="0"/>
          <w:kern w:val="0"/>
          <w:sz w:val="24"/>
          <w:szCs w:val="24"/>
          <w:lang w:eastAsia="en-GB"/>
        </w:rPr>
        <w:t xml:space="preserve"> </w:t>
      </w:r>
      <w:bookmarkEnd w:id="1"/>
    </w:p>
    <w:p w14:paraId="01F9413E" w14:textId="68709ABF" w:rsidR="00CF434B" w:rsidRDefault="008F609B" w:rsidP="009B0E59">
      <w:pPr>
        <w:pStyle w:val="Heading1"/>
        <w:rPr>
          <w:b w:val="0"/>
          <w:bCs w:val="0"/>
          <w:kern w:val="0"/>
          <w:sz w:val="24"/>
          <w:szCs w:val="24"/>
          <w:lang w:eastAsia="en-GB"/>
        </w:rPr>
      </w:pPr>
      <w:r w:rsidRPr="008F609B">
        <w:rPr>
          <w:b w:val="0"/>
          <w:bCs w:val="0"/>
          <w:kern w:val="0"/>
          <w:sz w:val="24"/>
          <w:szCs w:val="24"/>
          <w:lang w:eastAsia="en-GB"/>
        </w:rPr>
        <w:t>(See also IAP00</w:t>
      </w:r>
      <w:r>
        <w:rPr>
          <w:b w:val="0"/>
          <w:bCs w:val="0"/>
          <w:kern w:val="0"/>
          <w:sz w:val="24"/>
          <w:szCs w:val="24"/>
          <w:lang w:eastAsia="en-GB"/>
        </w:rPr>
        <w:t>424</w:t>
      </w:r>
      <w:r w:rsidRPr="008F609B">
        <w:rPr>
          <w:b w:val="0"/>
          <w:bCs w:val="0"/>
          <w:kern w:val="0"/>
          <w:sz w:val="24"/>
          <w:szCs w:val="24"/>
          <w:lang w:eastAsia="en-GB"/>
        </w:rPr>
        <w:t xml:space="preserve">, </w:t>
      </w:r>
      <w:r w:rsidR="00C13DEB" w:rsidRPr="00C13DEB">
        <w:rPr>
          <w:b w:val="0"/>
          <w:bCs w:val="0"/>
          <w:kern w:val="0"/>
          <w:sz w:val="24"/>
          <w:szCs w:val="24"/>
          <w:lang w:eastAsia="en-GB"/>
        </w:rPr>
        <w:t>Proportion of people who use adult social care services and who feel safe</w:t>
      </w:r>
      <w:r w:rsidR="00A83F3C">
        <w:rPr>
          <w:b w:val="0"/>
          <w:bCs w:val="0"/>
          <w:kern w:val="0"/>
          <w:sz w:val="24"/>
          <w:szCs w:val="24"/>
          <w:lang w:eastAsia="en-GB"/>
        </w:rPr>
        <w:t xml:space="preserve">, Adult </w:t>
      </w:r>
      <w:r w:rsidR="00CF2AAC">
        <w:rPr>
          <w:b w:val="0"/>
          <w:bCs w:val="0"/>
          <w:kern w:val="0"/>
          <w:sz w:val="24"/>
          <w:szCs w:val="24"/>
          <w:lang w:eastAsia="en-GB"/>
        </w:rPr>
        <w:t>S</w:t>
      </w:r>
      <w:r w:rsidR="00A83F3C">
        <w:rPr>
          <w:b w:val="0"/>
          <w:bCs w:val="0"/>
          <w:kern w:val="0"/>
          <w:sz w:val="24"/>
          <w:szCs w:val="24"/>
          <w:lang w:eastAsia="en-GB"/>
        </w:rPr>
        <w:t xml:space="preserve">ocial </w:t>
      </w:r>
      <w:r w:rsidR="00CF2AAC">
        <w:rPr>
          <w:b w:val="0"/>
          <w:bCs w:val="0"/>
          <w:kern w:val="0"/>
          <w:sz w:val="24"/>
          <w:szCs w:val="24"/>
          <w:lang w:eastAsia="en-GB"/>
        </w:rPr>
        <w:t>C</w:t>
      </w:r>
      <w:r w:rsidR="00A83F3C">
        <w:rPr>
          <w:b w:val="0"/>
          <w:bCs w:val="0"/>
          <w:kern w:val="0"/>
          <w:sz w:val="24"/>
          <w:szCs w:val="24"/>
          <w:lang w:eastAsia="en-GB"/>
        </w:rPr>
        <w:t xml:space="preserve">are </w:t>
      </w:r>
      <w:r w:rsidR="00CF2AAC">
        <w:rPr>
          <w:b w:val="0"/>
          <w:bCs w:val="0"/>
          <w:kern w:val="0"/>
          <w:sz w:val="24"/>
          <w:szCs w:val="24"/>
          <w:lang w:eastAsia="en-GB"/>
        </w:rPr>
        <w:t>O</w:t>
      </w:r>
      <w:r w:rsidR="00A83F3C">
        <w:rPr>
          <w:b w:val="0"/>
          <w:bCs w:val="0"/>
          <w:kern w:val="0"/>
          <w:sz w:val="24"/>
          <w:szCs w:val="24"/>
          <w:lang w:eastAsia="en-GB"/>
        </w:rPr>
        <w:t xml:space="preserve">utcomes </w:t>
      </w:r>
      <w:r w:rsidR="00CF2AAC">
        <w:rPr>
          <w:b w:val="0"/>
          <w:bCs w:val="0"/>
          <w:kern w:val="0"/>
          <w:sz w:val="24"/>
          <w:szCs w:val="24"/>
          <w:lang w:eastAsia="en-GB"/>
        </w:rPr>
        <w:t>F</w:t>
      </w:r>
      <w:r w:rsidR="00A83F3C">
        <w:rPr>
          <w:b w:val="0"/>
          <w:bCs w:val="0"/>
          <w:kern w:val="0"/>
          <w:sz w:val="24"/>
          <w:szCs w:val="24"/>
          <w:lang w:eastAsia="en-GB"/>
        </w:rPr>
        <w:t>ramework</w:t>
      </w:r>
      <w:r w:rsidR="00C13DEB">
        <w:rPr>
          <w:b w:val="0"/>
          <w:bCs w:val="0"/>
          <w:kern w:val="0"/>
          <w:sz w:val="24"/>
          <w:szCs w:val="24"/>
          <w:lang w:eastAsia="en-GB"/>
        </w:rPr>
        <w:t>)</w:t>
      </w:r>
    </w:p>
    <w:p w14:paraId="7C25BFBC" w14:textId="44A17B05" w:rsidR="007136A7" w:rsidRDefault="00192B09" w:rsidP="009B0E59">
      <w:pPr>
        <w:pStyle w:val="Heading1"/>
      </w:pPr>
      <w:r>
        <w:t xml:space="preserve">Validity assessment </w:t>
      </w:r>
    </w:p>
    <w:tbl>
      <w:tblPr>
        <w:tblStyle w:val="TableGrid1"/>
        <w:tblW w:w="9298" w:type="dxa"/>
        <w:tblLayout w:type="fixed"/>
        <w:tblLook w:val="04A0" w:firstRow="1" w:lastRow="0" w:firstColumn="1" w:lastColumn="0" w:noHBand="0" w:noVBand="1"/>
      </w:tblPr>
      <w:tblGrid>
        <w:gridCol w:w="1877"/>
        <w:gridCol w:w="4377"/>
        <w:gridCol w:w="3044"/>
      </w:tblGrid>
      <w:tr w:rsidR="00455B14" w:rsidRPr="006E1387" w14:paraId="0815D160" w14:textId="1327D684" w:rsidTr="00884206">
        <w:tc>
          <w:tcPr>
            <w:tcW w:w="1877"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377"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4"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884206">
        <w:tc>
          <w:tcPr>
            <w:tcW w:w="1877"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377" w:type="dxa"/>
          </w:tcPr>
          <w:p w14:paraId="00803C67" w14:textId="03B6ABBB" w:rsidR="00333A96" w:rsidRDefault="00333A96" w:rsidP="00F40961">
            <w:pPr>
              <w:spacing w:before="120" w:after="120"/>
              <w:rPr>
                <w:rFonts w:ascii="Arial" w:hAnsi="Arial" w:cs="Arial"/>
                <w:sz w:val="22"/>
                <w:szCs w:val="22"/>
              </w:rPr>
            </w:pPr>
            <w:r>
              <w:rPr>
                <w:rFonts w:ascii="Arial" w:hAnsi="Arial" w:cs="Arial"/>
                <w:sz w:val="22"/>
                <w:szCs w:val="22"/>
              </w:rPr>
              <w:t xml:space="preserve">Indicator </w:t>
            </w:r>
            <w:r w:rsidR="00182BC3">
              <w:rPr>
                <w:rFonts w:ascii="Arial" w:hAnsi="Arial" w:cs="Arial"/>
                <w:sz w:val="22"/>
                <w:szCs w:val="22"/>
              </w:rPr>
              <w:t>was previously</w:t>
            </w:r>
            <w:r>
              <w:rPr>
                <w:rFonts w:ascii="Arial" w:hAnsi="Arial" w:cs="Arial"/>
                <w:sz w:val="22"/>
                <w:szCs w:val="22"/>
              </w:rPr>
              <w:t xml:space="preserve"> part of the </w:t>
            </w:r>
            <w:r w:rsidR="00F40961">
              <w:rPr>
                <w:rFonts w:ascii="Arial" w:hAnsi="Arial" w:cs="Arial"/>
                <w:sz w:val="22"/>
                <w:szCs w:val="22"/>
              </w:rPr>
              <w:t>Adult Social Care Outcomes Framework</w:t>
            </w:r>
            <w:r w:rsidR="00402BFB">
              <w:rPr>
                <w:rFonts w:ascii="Arial" w:hAnsi="Arial" w:cs="Arial"/>
                <w:sz w:val="22"/>
                <w:szCs w:val="22"/>
              </w:rPr>
              <w:t xml:space="preserve"> </w:t>
            </w:r>
            <w:r w:rsidR="00F75B77">
              <w:rPr>
                <w:rFonts w:ascii="Arial" w:hAnsi="Arial" w:cs="Arial"/>
                <w:sz w:val="22"/>
                <w:szCs w:val="22"/>
              </w:rPr>
              <w:t xml:space="preserve">domain </w:t>
            </w:r>
            <w:r w:rsidR="00F40961">
              <w:rPr>
                <w:rFonts w:ascii="Arial" w:hAnsi="Arial" w:cs="Arial"/>
                <w:sz w:val="22"/>
                <w:szCs w:val="22"/>
              </w:rPr>
              <w:t>4</w:t>
            </w:r>
            <w:r w:rsidR="00F75B77">
              <w:rPr>
                <w:rFonts w:ascii="Arial" w:hAnsi="Arial" w:cs="Arial"/>
                <w:sz w:val="22"/>
                <w:szCs w:val="22"/>
              </w:rPr>
              <w:t xml:space="preserve"> – </w:t>
            </w:r>
            <w:r w:rsidR="00F40961" w:rsidRPr="00F40961">
              <w:rPr>
                <w:rFonts w:ascii="Arial" w:hAnsi="Arial" w:cs="Arial"/>
                <w:sz w:val="22"/>
                <w:szCs w:val="22"/>
              </w:rPr>
              <w:t>Safeguarding adults whose circumstances make them</w:t>
            </w:r>
            <w:r w:rsidR="00F40961">
              <w:rPr>
                <w:rFonts w:ascii="Arial" w:hAnsi="Arial" w:cs="Arial"/>
                <w:sz w:val="22"/>
                <w:szCs w:val="22"/>
              </w:rPr>
              <w:t xml:space="preserve"> </w:t>
            </w:r>
            <w:r w:rsidR="00F40961" w:rsidRPr="00F40961">
              <w:rPr>
                <w:rFonts w:ascii="Arial" w:hAnsi="Arial" w:cs="Arial"/>
                <w:sz w:val="22"/>
                <w:szCs w:val="22"/>
              </w:rPr>
              <w:t>vulnerable and protecting from avoidable harm</w:t>
            </w:r>
            <w:r w:rsidR="00182BC3">
              <w:rPr>
                <w:rFonts w:ascii="Arial" w:hAnsi="Arial" w:cs="Arial"/>
                <w:sz w:val="22"/>
                <w:szCs w:val="22"/>
              </w:rPr>
              <w:t xml:space="preserve">, however </w:t>
            </w:r>
            <w:r w:rsidR="006F6F2B">
              <w:rPr>
                <w:rFonts w:ascii="Arial" w:hAnsi="Arial" w:cs="Arial"/>
                <w:sz w:val="22"/>
                <w:szCs w:val="22"/>
              </w:rPr>
              <w:t xml:space="preserve">this </w:t>
            </w:r>
            <w:r w:rsidR="00BB080C">
              <w:rPr>
                <w:rFonts w:ascii="Arial" w:hAnsi="Arial" w:cs="Arial"/>
                <w:sz w:val="22"/>
                <w:szCs w:val="22"/>
              </w:rPr>
              <w:t xml:space="preserve">indicator </w:t>
            </w:r>
            <w:r w:rsidR="006F6F2B">
              <w:rPr>
                <w:rFonts w:ascii="Arial" w:hAnsi="Arial" w:cs="Arial"/>
                <w:sz w:val="22"/>
                <w:szCs w:val="22"/>
              </w:rPr>
              <w:t>will be</w:t>
            </w:r>
            <w:r w:rsidR="00182BC3">
              <w:rPr>
                <w:rFonts w:ascii="Arial" w:hAnsi="Arial" w:cs="Arial"/>
                <w:sz w:val="22"/>
                <w:szCs w:val="22"/>
              </w:rPr>
              <w:t xml:space="preserve"> removed for 2024</w:t>
            </w:r>
            <w:r w:rsidR="00654FB6">
              <w:rPr>
                <w:rFonts w:ascii="Arial" w:hAnsi="Arial" w:cs="Arial"/>
                <w:sz w:val="22"/>
                <w:szCs w:val="22"/>
              </w:rPr>
              <w:t xml:space="preserve"> </w:t>
            </w:r>
            <w:r w:rsidR="00E715A3">
              <w:rPr>
                <w:rFonts w:ascii="Arial" w:hAnsi="Arial" w:cs="Arial"/>
                <w:sz w:val="22"/>
                <w:szCs w:val="22"/>
              </w:rPr>
              <w:t xml:space="preserve">and not replaced </w:t>
            </w:r>
            <w:r w:rsidR="00654FB6" w:rsidRPr="00654FB6">
              <w:rPr>
                <w:rFonts w:ascii="Arial" w:hAnsi="Arial" w:cs="Arial"/>
                <w:sz w:val="22"/>
                <w:szCs w:val="22"/>
              </w:rPr>
              <w:t>(</w:t>
            </w:r>
            <w:hyperlink r:id="rId7" w:history="1">
              <w:r w:rsidR="00654FB6" w:rsidRPr="00E76D55">
                <w:rPr>
                  <w:rStyle w:val="Hyperlink"/>
                  <w:rFonts w:ascii="Arial" w:hAnsi="Arial" w:cs="Arial"/>
                  <w:sz w:val="22"/>
                  <w:szCs w:val="22"/>
                </w:rPr>
                <w:t>Adult social care outcomes framework 2023 to 2024: draft handbook of definitions - GOV.UK (www.gov.uk)</w:t>
              </w:r>
            </w:hyperlink>
            <w:r w:rsidR="00654FB6" w:rsidRPr="00E76D55">
              <w:rPr>
                <w:rFonts w:ascii="Arial" w:hAnsi="Arial" w:cs="Arial"/>
                <w:sz w:val="22"/>
                <w:szCs w:val="22"/>
              </w:rPr>
              <w:t>)</w:t>
            </w:r>
            <w:r w:rsidR="00182BC3" w:rsidRPr="00654FB6">
              <w:rPr>
                <w:rFonts w:ascii="Arial" w:hAnsi="Arial" w:cs="Arial"/>
                <w:sz w:val="22"/>
                <w:szCs w:val="22"/>
              </w:rPr>
              <w:t>.</w:t>
            </w:r>
            <w:r w:rsidR="006F6F2B">
              <w:rPr>
                <w:rFonts w:ascii="Arial" w:hAnsi="Arial" w:cs="Arial"/>
                <w:sz w:val="22"/>
                <w:szCs w:val="22"/>
              </w:rPr>
              <w:t xml:space="preserve"> The source data remains available</w:t>
            </w:r>
            <w:r w:rsidR="00654FB6">
              <w:rPr>
                <w:rFonts w:ascii="Arial" w:hAnsi="Arial" w:cs="Arial"/>
                <w:sz w:val="22"/>
                <w:szCs w:val="22"/>
              </w:rPr>
              <w:t xml:space="preserve"> as the relevant question will still be asked in the</w:t>
            </w:r>
            <w:r w:rsidR="006F6F2B">
              <w:rPr>
                <w:rFonts w:ascii="Arial" w:hAnsi="Arial" w:cs="Arial"/>
                <w:sz w:val="22"/>
                <w:szCs w:val="22"/>
              </w:rPr>
              <w:t xml:space="preserve"> Adult Social Care Survey.</w:t>
            </w:r>
          </w:p>
          <w:p w14:paraId="6A0AAFD7" w14:textId="4D8C99D3" w:rsidR="00645411" w:rsidRPr="006E1387" w:rsidRDefault="007452ED" w:rsidP="00F40961">
            <w:pPr>
              <w:spacing w:before="120" w:after="120"/>
              <w:rPr>
                <w:rFonts w:ascii="Arial" w:hAnsi="Arial" w:cs="Arial"/>
                <w:sz w:val="22"/>
                <w:szCs w:val="22"/>
              </w:rPr>
            </w:pPr>
            <w:r>
              <w:rPr>
                <w:rFonts w:ascii="Arial" w:hAnsi="Arial" w:cs="Arial"/>
                <w:sz w:val="22"/>
                <w:szCs w:val="22"/>
              </w:rPr>
              <w:t xml:space="preserve">This data has been collected since 2011/12 with a small methodology change in 2014/15. </w:t>
            </w:r>
            <w:r w:rsidR="006100D7">
              <w:rPr>
                <w:rFonts w:ascii="Arial" w:hAnsi="Arial" w:cs="Arial"/>
                <w:sz w:val="22"/>
                <w:szCs w:val="22"/>
              </w:rPr>
              <w:t xml:space="preserve">At a national level </w:t>
            </w:r>
            <w:r w:rsidR="00944C93">
              <w:rPr>
                <w:rFonts w:ascii="Arial" w:hAnsi="Arial" w:cs="Arial"/>
                <w:sz w:val="22"/>
                <w:szCs w:val="22"/>
              </w:rPr>
              <w:t xml:space="preserve">the indicator value </w:t>
            </w:r>
            <w:r>
              <w:rPr>
                <w:rFonts w:ascii="Arial" w:hAnsi="Arial" w:cs="Arial"/>
                <w:sz w:val="22"/>
                <w:szCs w:val="22"/>
              </w:rPr>
              <w:t xml:space="preserve">has remained </w:t>
            </w:r>
            <w:proofErr w:type="gramStart"/>
            <w:r>
              <w:rPr>
                <w:rFonts w:ascii="Arial" w:hAnsi="Arial" w:cs="Arial"/>
                <w:sz w:val="22"/>
                <w:szCs w:val="22"/>
              </w:rPr>
              <w:t>fairly stable</w:t>
            </w:r>
            <w:proofErr w:type="gramEnd"/>
            <w:r>
              <w:rPr>
                <w:rFonts w:ascii="Arial" w:hAnsi="Arial" w:cs="Arial"/>
                <w:sz w:val="22"/>
                <w:szCs w:val="22"/>
              </w:rPr>
              <w:t xml:space="preserve"> and stands at </w:t>
            </w:r>
            <w:r w:rsidR="00B06C5E" w:rsidRPr="00654FB6">
              <w:rPr>
                <w:rFonts w:ascii="Arial" w:hAnsi="Arial" w:cs="Arial"/>
                <w:sz w:val="22"/>
                <w:szCs w:val="22"/>
              </w:rPr>
              <w:t>85.6</w:t>
            </w:r>
            <w:r w:rsidR="00F40961">
              <w:rPr>
                <w:rFonts w:ascii="Arial" w:hAnsi="Arial" w:cs="Arial"/>
                <w:sz w:val="22"/>
                <w:szCs w:val="22"/>
              </w:rPr>
              <w:t>% in 20</w:t>
            </w:r>
            <w:r>
              <w:rPr>
                <w:rFonts w:ascii="Arial" w:hAnsi="Arial" w:cs="Arial"/>
                <w:sz w:val="22"/>
                <w:szCs w:val="22"/>
              </w:rPr>
              <w:t>21</w:t>
            </w:r>
            <w:r w:rsidR="00F40961">
              <w:rPr>
                <w:rFonts w:ascii="Arial" w:hAnsi="Arial" w:cs="Arial"/>
                <w:sz w:val="22"/>
                <w:szCs w:val="22"/>
              </w:rPr>
              <w:t>/2</w:t>
            </w:r>
            <w:r>
              <w:rPr>
                <w:rFonts w:ascii="Arial" w:hAnsi="Arial" w:cs="Arial"/>
                <w:sz w:val="22"/>
                <w:szCs w:val="22"/>
              </w:rPr>
              <w:t>2</w:t>
            </w:r>
            <w:r w:rsidR="00F40961">
              <w:rPr>
                <w:rFonts w:ascii="Arial" w:hAnsi="Arial" w:cs="Arial"/>
                <w:sz w:val="22"/>
                <w:szCs w:val="22"/>
              </w:rPr>
              <w:t>. Variation exists between local authorities.</w:t>
            </w:r>
          </w:p>
        </w:tc>
        <w:tc>
          <w:tcPr>
            <w:tcW w:w="3044" w:type="dxa"/>
          </w:tcPr>
          <w:p w14:paraId="34B49690" w14:textId="57F5BEF0"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383115">
              <w:rPr>
                <w:rFonts w:eastAsiaTheme="minorEastAsia" w:cs="Arial"/>
                <w:color w:val="000000" w:themeColor="dark1"/>
                <w:kern w:val="24"/>
                <w:sz w:val="22"/>
                <w:szCs w:val="22"/>
              </w:rPr>
              <w:t xml:space="preserve"> a recogni</w:t>
            </w:r>
            <w:r w:rsidR="00182BC3">
              <w:rPr>
                <w:rFonts w:eastAsiaTheme="minorEastAsia" w:cs="Arial"/>
                <w:color w:val="000000" w:themeColor="dark1"/>
                <w:kern w:val="24"/>
                <w:sz w:val="22"/>
                <w:szCs w:val="22"/>
              </w:rPr>
              <w:t>s</w:t>
            </w:r>
            <w:r w:rsidR="00383115">
              <w:rPr>
                <w:rFonts w:eastAsiaTheme="minorEastAsia" w:cs="Arial"/>
                <w:color w:val="000000" w:themeColor="dark1"/>
                <w:kern w:val="24"/>
                <w:sz w:val="22"/>
                <w:szCs w:val="22"/>
              </w:rPr>
              <w:t>ed dataset</w:t>
            </w:r>
            <w:r w:rsidR="004636CC">
              <w:rPr>
                <w:rFonts w:eastAsiaTheme="minorEastAsia" w:cs="Arial"/>
                <w:color w:val="000000" w:themeColor="dark1"/>
                <w:kern w:val="24"/>
                <w:sz w:val="22"/>
                <w:szCs w:val="22"/>
              </w:rPr>
              <w:t xml:space="preserve"> (annual Adult Social Care Survey </w:t>
            </w:r>
            <w:r w:rsidR="004636CC" w:rsidRPr="004636CC">
              <w:rPr>
                <w:rFonts w:eastAsiaTheme="minorEastAsia" w:cs="Arial"/>
                <w:color w:val="000000" w:themeColor="dark1"/>
                <w:kern w:val="24"/>
                <w:sz w:val="22"/>
                <w:szCs w:val="22"/>
                <w:lang w:val="en-GB"/>
              </w:rPr>
              <w:t>of service users aged 18 and over in receipt of long-term support services funded or managed by social services</w:t>
            </w:r>
            <w:r w:rsidR="004636CC">
              <w:rPr>
                <w:rFonts w:eastAsiaTheme="minorEastAsia" w:cs="Arial"/>
                <w:color w:val="000000" w:themeColor="dark1"/>
                <w:kern w:val="24"/>
                <w:sz w:val="22"/>
                <w:szCs w:val="22"/>
                <w:lang w:val="en-GB"/>
              </w:rPr>
              <w:t>)</w:t>
            </w:r>
            <w:r w:rsidR="00182BC3">
              <w:rPr>
                <w:rFonts w:eastAsiaTheme="minorEastAsia" w:cs="Arial"/>
                <w:color w:val="000000" w:themeColor="dark1"/>
                <w:kern w:val="24"/>
                <w:sz w:val="22"/>
                <w:szCs w:val="22"/>
              </w:rPr>
              <w:t>, however is no longer part of the Adult Social Care Outcomes Framework.</w:t>
            </w:r>
          </w:p>
          <w:p w14:paraId="78280FB7" w14:textId="7BCEFA1F" w:rsidR="00E05AB5" w:rsidRPr="006E1387" w:rsidRDefault="00944C93" w:rsidP="006100D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value has </w:t>
            </w:r>
            <w:r w:rsidR="007452ED">
              <w:rPr>
                <w:rFonts w:eastAsiaTheme="minorEastAsia" w:cs="Arial"/>
                <w:color w:val="000000" w:themeColor="dark1"/>
                <w:kern w:val="24"/>
                <w:sz w:val="22"/>
                <w:szCs w:val="22"/>
              </w:rPr>
              <w:t>remained</w:t>
            </w:r>
            <w:r w:rsidR="00EC5260">
              <w:rPr>
                <w:rFonts w:eastAsiaTheme="minorEastAsia" w:cs="Arial"/>
                <w:color w:val="000000" w:themeColor="dark1"/>
                <w:kern w:val="24"/>
                <w:sz w:val="22"/>
                <w:szCs w:val="22"/>
              </w:rPr>
              <w:t xml:space="preserve"> relatively</w:t>
            </w:r>
            <w:r w:rsidR="007452ED">
              <w:rPr>
                <w:rFonts w:eastAsiaTheme="minorEastAsia" w:cs="Arial"/>
                <w:color w:val="000000" w:themeColor="dark1"/>
                <w:kern w:val="24"/>
                <w:sz w:val="22"/>
                <w:szCs w:val="22"/>
              </w:rPr>
              <w:t xml:space="preserve"> stable</w:t>
            </w:r>
            <w:r w:rsidR="00EC477B">
              <w:rPr>
                <w:rFonts w:eastAsiaTheme="minorEastAsia" w:cs="Arial"/>
                <w:color w:val="000000" w:themeColor="dark1"/>
                <w:kern w:val="24"/>
                <w:sz w:val="22"/>
                <w:szCs w:val="22"/>
              </w:rPr>
              <w:t xml:space="preserve"> over time</w:t>
            </w:r>
            <w:r w:rsidR="007452ED">
              <w:rPr>
                <w:rFonts w:eastAsiaTheme="minorEastAsia" w:cs="Arial"/>
                <w:color w:val="000000" w:themeColor="dark1"/>
                <w:kern w:val="24"/>
                <w:sz w:val="22"/>
                <w:szCs w:val="22"/>
              </w:rPr>
              <w:t>.</w:t>
            </w:r>
          </w:p>
        </w:tc>
      </w:tr>
      <w:tr w:rsidR="00455B14" w:rsidRPr="006E1387" w14:paraId="77F6A4A2" w14:textId="33EFD485" w:rsidTr="00884206">
        <w:tc>
          <w:tcPr>
            <w:tcW w:w="1877"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377" w:type="dxa"/>
          </w:tcPr>
          <w:p w14:paraId="67D19D99" w14:textId="7EA69324" w:rsidR="0019550C" w:rsidRPr="00182BC3" w:rsidRDefault="0019550C" w:rsidP="005F3926">
            <w:pPr>
              <w:spacing w:before="120" w:after="120"/>
              <w:rPr>
                <w:rFonts w:ascii="Arial" w:hAnsi="Arial" w:cs="Arial"/>
                <w:sz w:val="22"/>
                <w:szCs w:val="22"/>
              </w:rPr>
            </w:pPr>
            <w:r w:rsidRPr="00182BC3">
              <w:rPr>
                <w:rFonts w:ascii="Arial" w:hAnsi="Arial" w:cs="Arial"/>
                <w:sz w:val="22"/>
                <w:szCs w:val="22"/>
              </w:rPr>
              <w:t xml:space="preserve">From </w:t>
            </w:r>
            <w:r w:rsidR="00C14B5D" w:rsidRPr="00182BC3">
              <w:rPr>
                <w:rFonts w:ascii="Arial" w:hAnsi="Arial" w:cs="Arial"/>
                <w:sz w:val="22"/>
                <w:szCs w:val="22"/>
              </w:rPr>
              <w:t>indicator application form provided by NICE</w:t>
            </w:r>
            <w:r w:rsidR="00521D6D" w:rsidRPr="00182BC3">
              <w:rPr>
                <w:rFonts w:ascii="Arial" w:hAnsi="Arial" w:cs="Arial"/>
                <w:sz w:val="22"/>
                <w:szCs w:val="22"/>
              </w:rPr>
              <w:t>:</w:t>
            </w:r>
          </w:p>
          <w:p w14:paraId="2A6E0BE9" w14:textId="77777777" w:rsidR="00182BC3" w:rsidRPr="00182BC3" w:rsidRDefault="0019550C" w:rsidP="00182BC3">
            <w:pPr>
              <w:spacing w:before="120" w:after="120"/>
              <w:rPr>
                <w:rFonts w:ascii="Arial" w:hAnsi="Arial" w:cs="Arial"/>
                <w:sz w:val="22"/>
                <w:szCs w:val="22"/>
              </w:rPr>
            </w:pPr>
            <w:r w:rsidRPr="00182BC3">
              <w:rPr>
                <w:rFonts w:ascii="Arial" w:hAnsi="Arial" w:cs="Arial"/>
                <w:sz w:val="22"/>
                <w:szCs w:val="22"/>
              </w:rPr>
              <w:t>“</w:t>
            </w:r>
            <w:r w:rsidR="00182BC3" w:rsidRPr="00182BC3">
              <w:rPr>
                <w:rFonts w:ascii="Arial" w:hAnsi="Arial" w:cs="Arial"/>
                <w:sz w:val="22"/>
                <w:szCs w:val="22"/>
              </w:rPr>
              <w:t xml:space="preserve">This indicator, Adult Social Care Outcomes Framework (ASCOF) 4B, supports ASCOF 4A (The proportion of people who use adult social care services and who feel safe) by reflecting the extent to which users of care services feel that their care and support has contributed to making them feel safe and secure. As </w:t>
            </w:r>
            <w:r w:rsidR="00182BC3" w:rsidRPr="00182BC3">
              <w:rPr>
                <w:rFonts w:ascii="Arial" w:hAnsi="Arial" w:cs="Arial"/>
                <w:sz w:val="22"/>
                <w:szCs w:val="22"/>
              </w:rPr>
              <w:lastRenderedPageBreak/>
              <w:t>such it goes some way to separate the role of care and support in helping people to feel safe from the influence of other factors, such as crime levels and socio-economic factors.</w:t>
            </w:r>
          </w:p>
          <w:p w14:paraId="25F5756B" w14:textId="7624DD0F" w:rsidR="00EC74B9" w:rsidRDefault="00182BC3" w:rsidP="00182BC3">
            <w:pPr>
              <w:spacing w:before="120" w:after="120"/>
              <w:rPr>
                <w:rFonts w:ascii="Arial" w:hAnsi="Arial" w:cs="Arial"/>
                <w:sz w:val="22"/>
                <w:szCs w:val="22"/>
              </w:rPr>
            </w:pPr>
            <w:r w:rsidRPr="00182BC3">
              <w:rPr>
                <w:rFonts w:ascii="Arial" w:hAnsi="Arial" w:cs="Arial"/>
                <w:sz w:val="22"/>
                <w:szCs w:val="22"/>
              </w:rPr>
              <w:t>The Government’s aim is to prevent and reduce the risk of adults with care and support needs from experiencing abuse or neglect. All adult social care users, including those whose circumstances make them vulnerable, should feel safe and secure.</w:t>
            </w:r>
            <w:r w:rsidR="002C6038">
              <w:rPr>
                <w:rFonts w:ascii="Arial" w:hAnsi="Arial" w:cs="Arial"/>
                <w:sz w:val="22"/>
                <w:szCs w:val="22"/>
              </w:rPr>
              <w:t>”</w:t>
            </w:r>
          </w:p>
          <w:p w14:paraId="36A88494" w14:textId="5FF0B8A6" w:rsidR="002C6038" w:rsidRPr="00E76D55" w:rsidRDefault="002C6038" w:rsidP="00182BC3">
            <w:pPr>
              <w:spacing w:before="120" w:after="120"/>
              <w:rPr>
                <w:rFonts w:ascii="Arial" w:hAnsi="Arial" w:cs="Arial"/>
                <w:sz w:val="22"/>
                <w:szCs w:val="22"/>
              </w:rPr>
            </w:pPr>
            <w:r w:rsidRPr="00E76D55">
              <w:rPr>
                <w:rFonts w:ascii="Arial" w:hAnsi="Arial" w:cs="Arial"/>
                <w:sz w:val="22"/>
                <w:szCs w:val="22"/>
              </w:rPr>
              <w:t>While the indicator no longer forms part of the ASCOF, the underlying</w:t>
            </w:r>
            <w:r w:rsidR="00CA707C" w:rsidRPr="00E76D55">
              <w:rPr>
                <w:rFonts w:ascii="Arial" w:hAnsi="Arial" w:cs="Arial"/>
                <w:sz w:val="22"/>
                <w:szCs w:val="22"/>
              </w:rPr>
              <w:t xml:space="preserve"> data continues to be published by NHS England as part of an Official Statistics publication: </w:t>
            </w:r>
          </w:p>
          <w:p w14:paraId="5FA7C964" w14:textId="00F5680C" w:rsidR="00CA707C" w:rsidRDefault="00CA707C" w:rsidP="00CA707C">
            <w:pPr>
              <w:spacing w:before="120" w:after="120"/>
              <w:rPr>
                <w:rFonts w:ascii="Arial" w:hAnsi="Arial" w:cs="Arial"/>
                <w:sz w:val="22"/>
                <w:szCs w:val="22"/>
              </w:rPr>
            </w:pPr>
            <w:r>
              <w:rPr>
                <w:rFonts w:ascii="Arial" w:hAnsi="Arial" w:cs="Arial"/>
                <w:sz w:val="22"/>
                <w:szCs w:val="22"/>
              </w:rPr>
              <w:t>“</w:t>
            </w:r>
            <w:r w:rsidRPr="00CA707C">
              <w:rPr>
                <w:rFonts w:ascii="Arial" w:hAnsi="Arial" w:cs="Arial"/>
                <w:sz w:val="22"/>
                <w:szCs w:val="22"/>
              </w:rPr>
              <w:t>These statistics provide useful insights into the lives, experiences and perceptions of adults who receive long term social care and support services. They will be of use not just to people who plan, provide or use services, but also more widely to all those who take an interest in the support provided by social services</w:t>
            </w:r>
            <w:r>
              <w:rPr>
                <w:rFonts w:ascii="Arial" w:hAnsi="Arial" w:cs="Arial"/>
                <w:sz w:val="22"/>
                <w:szCs w:val="22"/>
              </w:rPr>
              <w:t>”</w:t>
            </w:r>
          </w:p>
          <w:p w14:paraId="46FD2163" w14:textId="11E6CA1A" w:rsidR="005F3926" w:rsidRPr="00604C29" w:rsidRDefault="00174BA9" w:rsidP="00182BC3">
            <w:pPr>
              <w:spacing w:before="120" w:after="120"/>
              <w:rPr>
                <w:rFonts w:ascii="Arial" w:hAnsi="Arial" w:cs="Arial"/>
                <w:sz w:val="22"/>
                <w:szCs w:val="22"/>
                <w:highlight w:val="yellow"/>
              </w:rPr>
            </w:pPr>
            <w:hyperlink r:id="rId8" w:history="1">
              <w:r w:rsidR="00CA707C" w:rsidRPr="00E76D55">
                <w:rPr>
                  <w:rStyle w:val="Hyperlink"/>
                  <w:rFonts w:ascii="Arial" w:hAnsi="Arial" w:cs="Arial"/>
                  <w:sz w:val="22"/>
                  <w:szCs w:val="22"/>
                </w:rPr>
                <w:t>Personal Social Services Adult Social Care Survey, England, 2021-22 - NDRS (digital.nhs.uk)</w:t>
              </w:r>
            </w:hyperlink>
            <w:r w:rsidR="00CA707C" w:rsidRPr="00E76D55" w:rsidDel="00CA707C">
              <w:rPr>
                <w:rFonts w:ascii="Arial" w:hAnsi="Arial" w:cs="Arial"/>
                <w:sz w:val="18"/>
                <w:szCs w:val="18"/>
                <w:highlight w:val="yellow"/>
              </w:rPr>
              <w:t xml:space="preserve"> </w:t>
            </w:r>
          </w:p>
        </w:tc>
        <w:tc>
          <w:tcPr>
            <w:tcW w:w="3044" w:type="dxa"/>
          </w:tcPr>
          <w:p w14:paraId="3170F2D1" w14:textId="77777777" w:rsidR="00593808" w:rsidRDefault="00E25210" w:rsidP="00C14B5D">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w:t>
            </w:r>
            <w:r w:rsidR="005F3926">
              <w:rPr>
                <w:rFonts w:eastAsiaTheme="minorEastAsia" w:cs="Arial"/>
                <w:color w:val="000000" w:themeColor="dark1"/>
                <w:kern w:val="24"/>
                <w:sz w:val="22"/>
                <w:szCs w:val="22"/>
              </w:rPr>
              <w:t>.</w:t>
            </w:r>
            <w:r w:rsidR="007E7E62">
              <w:rPr>
                <w:rFonts w:eastAsiaTheme="minorEastAsia" w:cs="Arial"/>
                <w:color w:val="000000" w:themeColor="dark1"/>
                <w:kern w:val="24"/>
                <w:sz w:val="22"/>
                <w:szCs w:val="22"/>
              </w:rPr>
              <w:t xml:space="preserve"> </w:t>
            </w:r>
            <w:r w:rsidR="005F3CD1">
              <w:rPr>
                <w:rFonts w:eastAsiaTheme="minorEastAsia" w:cs="Arial"/>
                <w:color w:val="000000" w:themeColor="dark1"/>
                <w:kern w:val="24"/>
                <w:sz w:val="22"/>
                <w:szCs w:val="22"/>
              </w:rPr>
              <w:t>This indicator aligns with NICE guidance</w:t>
            </w:r>
            <w:r w:rsidR="00593808">
              <w:rPr>
                <w:rFonts w:eastAsiaTheme="minorEastAsia" w:cs="Arial"/>
                <w:color w:val="000000" w:themeColor="dark1"/>
                <w:kern w:val="24"/>
                <w:sz w:val="22"/>
                <w:szCs w:val="22"/>
              </w:rPr>
              <w:t>:</w:t>
            </w:r>
          </w:p>
          <w:p w14:paraId="12B8C1AB" w14:textId="7138B385" w:rsidR="00E05AB5" w:rsidRPr="006E1387" w:rsidRDefault="00593808" w:rsidP="00E76D55">
            <w:pPr>
              <w:pStyle w:val="NICEnormal"/>
              <w:numPr>
                <w:ilvl w:val="0"/>
                <w:numId w:val="42"/>
              </w:numPr>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NG86 - </w:t>
            </w:r>
            <w:r w:rsidRPr="00593808">
              <w:rPr>
                <w:rFonts w:eastAsiaTheme="minorEastAsia" w:cs="Arial"/>
                <w:color w:val="000000" w:themeColor="dark1"/>
                <w:kern w:val="24"/>
                <w:sz w:val="22"/>
                <w:szCs w:val="22"/>
              </w:rPr>
              <w:t xml:space="preserve">People's experience in adult social care services: improving the experience of care and support for people using adult social </w:t>
            </w:r>
            <w:r w:rsidRPr="00593808">
              <w:rPr>
                <w:rFonts w:eastAsiaTheme="minorEastAsia" w:cs="Arial"/>
                <w:color w:val="000000" w:themeColor="dark1"/>
                <w:kern w:val="24"/>
                <w:sz w:val="22"/>
                <w:szCs w:val="22"/>
              </w:rPr>
              <w:lastRenderedPageBreak/>
              <w:t xml:space="preserve">care services, Published 20 February 2018, </w:t>
            </w:r>
            <w:hyperlink r:id="rId9" w:history="1">
              <w:r w:rsidRPr="0029612B">
                <w:rPr>
                  <w:rStyle w:val="Hyperlink"/>
                  <w:rFonts w:eastAsiaTheme="minorEastAsia" w:cs="Arial"/>
                  <w:kern w:val="24"/>
                  <w:sz w:val="22"/>
                  <w:szCs w:val="22"/>
                </w:rPr>
                <w:t>https://www.nice.org.uk/guidance/ng86</w:t>
              </w:r>
            </w:hyperlink>
          </w:p>
        </w:tc>
      </w:tr>
      <w:tr w:rsidR="00455B14" w:rsidRPr="006E1387" w14:paraId="3CC8FB8C" w14:textId="54EA7E4F" w:rsidTr="00884206">
        <w:tc>
          <w:tcPr>
            <w:tcW w:w="1877"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3C404B">
              <w:rPr>
                <w:rFonts w:ascii="Arial" w:hAnsi="Arial" w:cs="Arial"/>
                <w:color w:val="000000"/>
                <w:kern w:val="24"/>
                <w:sz w:val="22"/>
                <w:szCs w:val="22"/>
                <w:lang w:eastAsia="en-GB"/>
              </w:rPr>
              <w:lastRenderedPageBreak/>
              <w:t>Specification</w:t>
            </w:r>
            <w:r w:rsidRPr="006E1387">
              <w:rPr>
                <w:rFonts w:ascii="Arial" w:hAnsi="Arial" w:cs="Arial"/>
                <w:color w:val="000000"/>
                <w:kern w:val="24"/>
                <w:sz w:val="22"/>
                <w:szCs w:val="22"/>
                <w:lang w:eastAsia="en-GB"/>
              </w:rPr>
              <w:t xml:space="preserve"> </w:t>
            </w:r>
          </w:p>
        </w:tc>
        <w:tc>
          <w:tcPr>
            <w:tcW w:w="4377" w:type="dxa"/>
          </w:tcPr>
          <w:p w14:paraId="5BB39B09" w14:textId="301BDFC2" w:rsidR="00F25E11"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D530A6">
              <w:rPr>
                <w:rFonts w:ascii="Arial" w:hAnsi="Arial" w:cs="Arial"/>
                <w:color w:val="000000"/>
                <w:kern w:val="24"/>
                <w:sz w:val="22"/>
                <w:szCs w:val="22"/>
                <w:lang w:eastAsia="en-GB"/>
              </w:rPr>
              <w:t>Number</w:t>
            </w:r>
            <w:r w:rsidR="00D530A6" w:rsidRPr="00D530A6">
              <w:rPr>
                <w:rFonts w:ascii="Arial" w:hAnsi="Arial" w:cs="Arial"/>
                <w:color w:val="000000"/>
                <w:kern w:val="24"/>
                <w:sz w:val="22"/>
                <w:szCs w:val="22"/>
                <w:lang w:eastAsia="en-GB"/>
              </w:rPr>
              <w:t xml:space="preserve"> of respondents to question 7</w:t>
            </w:r>
            <w:r w:rsidR="005D4AB3">
              <w:rPr>
                <w:rFonts w:ascii="Arial" w:hAnsi="Arial" w:cs="Arial"/>
                <w:color w:val="000000"/>
                <w:kern w:val="24"/>
                <w:sz w:val="22"/>
                <w:szCs w:val="22"/>
                <w:lang w:eastAsia="en-GB"/>
              </w:rPr>
              <w:t>c</w:t>
            </w:r>
            <w:r w:rsidR="00D530A6" w:rsidRPr="00D530A6">
              <w:rPr>
                <w:rFonts w:ascii="Arial" w:hAnsi="Arial" w:cs="Arial"/>
                <w:color w:val="000000"/>
                <w:kern w:val="24"/>
                <w:sz w:val="22"/>
                <w:szCs w:val="22"/>
                <w:lang w:eastAsia="en-GB"/>
              </w:rPr>
              <w:t xml:space="preserve"> who </w:t>
            </w:r>
            <w:r w:rsidR="00712E62">
              <w:rPr>
                <w:rFonts w:ascii="Arial" w:hAnsi="Arial" w:cs="Arial"/>
                <w:color w:val="000000"/>
                <w:kern w:val="24"/>
                <w:sz w:val="22"/>
                <w:szCs w:val="22"/>
                <w:lang w:eastAsia="en-GB"/>
              </w:rPr>
              <w:t>responded “Yes”</w:t>
            </w:r>
            <w:r w:rsidR="00C9218F">
              <w:rPr>
                <w:rFonts w:ascii="Arial" w:hAnsi="Arial" w:cs="Arial"/>
                <w:color w:val="000000"/>
                <w:kern w:val="24"/>
                <w:sz w:val="22"/>
                <w:szCs w:val="22"/>
                <w:lang w:eastAsia="en-GB"/>
              </w:rPr>
              <w:t>.</w:t>
            </w:r>
          </w:p>
          <w:p w14:paraId="7010D85E" w14:textId="3AD61399" w:rsidR="00BE627D"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D530A6">
              <w:rPr>
                <w:rFonts w:ascii="Arial" w:hAnsi="Arial" w:cs="Arial"/>
                <w:color w:val="000000"/>
                <w:kern w:val="24"/>
                <w:sz w:val="22"/>
                <w:szCs w:val="22"/>
                <w:lang w:eastAsia="en-GB"/>
              </w:rPr>
              <w:t>Number of respondents to question 7</w:t>
            </w:r>
            <w:r w:rsidR="005D4AB3">
              <w:rPr>
                <w:rFonts w:ascii="Arial" w:hAnsi="Arial" w:cs="Arial"/>
                <w:color w:val="000000"/>
                <w:kern w:val="24"/>
                <w:sz w:val="22"/>
                <w:szCs w:val="22"/>
                <w:lang w:eastAsia="en-GB"/>
              </w:rPr>
              <w:t>c</w:t>
            </w:r>
            <w:r w:rsidR="00C9218F">
              <w:rPr>
                <w:rFonts w:ascii="Arial" w:hAnsi="Arial" w:cs="Arial"/>
                <w:color w:val="000000"/>
                <w:kern w:val="24"/>
                <w:sz w:val="22"/>
                <w:szCs w:val="22"/>
                <w:lang w:eastAsia="en-GB"/>
              </w:rPr>
              <w:t>.</w:t>
            </w:r>
          </w:p>
          <w:p w14:paraId="5ED07D15" w14:textId="50A83E77" w:rsidR="00D530A6" w:rsidRPr="00712E62" w:rsidRDefault="00712E62" w:rsidP="00712E62">
            <w:pPr>
              <w:spacing w:before="120" w:after="120"/>
              <w:rPr>
                <w:rFonts w:ascii="Arial" w:hAnsi="Arial" w:cs="Arial"/>
                <w:i/>
                <w:color w:val="000000"/>
                <w:kern w:val="24"/>
                <w:sz w:val="22"/>
                <w:szCs w:val="22"/>
                <w:lang w:eastAsia="en-GB"/>
              </w:rPr>
            </w:pPr>
            <w:r w:rsidRPr="00712E62">
              <w:rPr>
                <w:rFonts w:ascii="Arial" w:hAnsi="Arial" w:cs="Arial"/>
                <w:i/>
                <w:color w:val="000000"/>
                <w:kern w:val="24"/>
                <w:sz w:val="22"/>
                <w:szCs w:val="22"/>
                <w:lang w:eastAsia="en-GB"/>
              </w:rPr>
              <w:t>“</w:t>
            </w:r>
            <w:bookmarkStart w:id="2" w:name="_Hlk142487625"/>
            <w:r w:rsidRPr="00712E62">
              <w:rPr>
                <w:rFonts w:ascii="Arial" w:hAnsi="Arial" w:cs="Arial"/>
                <w:i/>
                <w:color w:val="000000"/>
                <w:kern w:val="24"/>
                <w:sz w:val="22"/>
                <w:szCs w:val="22"/>
                <w:lang w:eastAsia="en-GB"/>
              </w:rPr>
              <w:t>Do care and support services help you in feeling safe?”</w:t>
            </w:r>
            <w:bookmarkEnd w:id="2"/>
          </w:p>
          <w:p w14:paraId="2BB08A13" w14:textId="3196C0FC" w:rsidR="00D530A6" w:rsidRPr="00D530A6" w:rsidRDefault="00712E62" w:rsidP="00D530A6">
            <w:pPr>
              <w:pStyle w:val="ListParagraph"/>
              <w:numPr>
                <w:ilvl w:val="0"/>
                <w:numId w:val="41"/>
              </w:numPr>
              <w:spacing w:before="120" w:after="120"/>
              <w:rPr>
                <w:rFonts w:ascii="Arial" w:hAnsi="Arial" w:cs="Arial"/>
                <w:i/>
                <w:color w:val="000000"/>
                <w:kern w:val="24"/>
                <w:sz w:val="22"/>
                <w:szCs w:val="22"/>
                <w:lang w:eastAsia="en-GB"/>
              </w:rPr>
            </w:pPr>
            <w:r>
              <w:rPr>
                <w:rFonts w:ascii="Arial" w:hAnsi="Arial" w:cs="Arial"/>
                <w:i/>
                <w:color w:val="000000"/>
                <w:kern w:val="24"/>
                <w:sz w:val="22"/>
                <w:szCs w:val="22"/>
                <w:lang w:eastAsia="en-GB"/>
              </w:rPr>
              <w:t>Yes</w:t>
            </w:r>
          </w:p>
          <w:p w14:paraId="29791FF3" w14:textId="77C7D1B1" w:rsidR="00BE627D" w:rsidRPr="00E76D55" w:rsidRDefault="00712E62" w:rsidP="00BE627D">
            <w:pPr>
              <w:pStyle w:val="ListParagraph"/>
              <w:numPr>
                <w:ilvl w:val="0"/>
                <w:numId w:val="41"/>
              </w:numPr>
              <w:spacing w:before="120" w:after="120"/>
              <w:rPr>
                <w:rFonts w:ascii="Arial" w:hAnsi="Arial" w:cs="Arial"/>
                <w:i/>
                <w:color w:val="000000"/>
                <w:kern w:val="24"/>
                <w:sz w:val="22"/>
                <w:szCs w:val="22"/>
                <w:lang w:eastAsia="en-GB"/>
              </w:rPr>
            </w:pPr>
            <w:r>
              <w:rPr>
                <w:rFonts w:ascii="Arial" w:hAnsi="Arial" w:cs="Arial"/>
                <w:i/>
                <w:color w:val="000000"/>
                <w:kern w:val="24"/>
                <w:sz w:val="22"/>
                <w:szCs w:val="22"/>
                <w:lang w:eastAsia="en-GB"/>
              </w:rPr>
              <w:t>No</w:t>
            </w:r>
          </w:p>
          <w:p w14:paraId="3830CAD0" w14:textId="656EF7FD" w:rsidR="00BE627D" w:rsidRDefault="00BE627D"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Note this was question 7b prior to 2022/23, question number has changed but wording is the same.</w:t>
            </w:r>
          </w:p>
          <w:p w14:paraId="158FFEDA" w14:textId="30D00A8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9A1FC0">
              <w:rPr>
                <w:rFonts w:ascii="Arial" w:hAnsi="Arial" w:cs="Arial"/>
                <w:color w:val="000000"/>
                <w:kern w:val="24"/>
                <w:sz w:val="22"/>
                <w:szCs w:val="22"/>
                <w:lang w:eastAsia="en-GB"/>
              </w:rPr>
              <w:t>None</w:t>
            </w:r>
            <w:r w:rsidR="00C9218F">
              <w:rPr>
                <w:rFonts w:ascii="Arial" w:hAnsi="Arial" w:cs="Arial"/>
                <w:color w:val="000000"/>
                <w:kern w:val="24"/>
                <w:sz w:val="22"/>
                <w:szCs w:val="22"/>
                <w:lang w:eastAsia="en-GB"/>
              </w:rPr>
              <w:t>.</w:t>
            </w:r>
          </w:p>
          <w:p w14:paraId="46400236" w14:textId="764A6E41"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944C93">
              <w:rPr>
                <w:rFonts w:ascii="Arial" w:hAnsi="Arial" w:cs="Arial"/>
                <w:color w:val="000000"/>
                <w:kern w:val="24"/>
                <w:sz w:val="22"/>
                <w:szCs w:val="22"/>
                <w:lang w:eastAsia="en-GB"/>
              </w:rPr>
              <w:t>Percentage</w:t>
            </w:r>
            <w:r w:rsidR="00506FFA">
              <w:rPr>
                <w:rFonts w:ascii="Arial" w:hAnsi="Arial" w:cs="Arial"/>
                <w:color w:val="000000"/>
                <w:kern w:val="24"/>
                <w:sz w:val="22"/>
                <w:szCs w:val="22"/>
                <w:lang w:eastAsia="en-GB"/>
              </w:rPr>
              <w:t>, after population weighting applied to numerator and denominator</w:t>
            </w:r>
            <w:r w:rsidR="00C9218F">
              <w:rPr>
                <w:rFonts w:ascii="Arial" w:hAnsi="Arial" w:cs="Arial"/>
                <w:color w:val="000000"/>
                <w:kern w:val="24"/>
                <w:sz w:val="22"/>
                <w:szCs w:val="22"/>
                <w:lang w:eastAsia="en-GB"/>
              </w:rPr>
              <w:t>.</w:t>
            </w:r>
          </w:p>
          <w:p w14:paraId="393472AC" w14:textId="2C1FFC3D" w:rsidR="005D4AB3"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25E11">
              <w:rPr>
                <w:rFonts w:ascii="Arial" w:hAnsi="Arial" w:cs="Arial"/>
                <w:color w:val="000000"/>
                <w:kern w:val="24"/>
                <w:sz w:val="22"/>
                <w:szCs w:val="22"/>
                <w:lang w:eastAsia="en-GB"/>
              </w:rPr>
              <w:t xml:space="preserve">England, </w:t>
            </w:r>
            <w:r w:rsidR="00D530A6">
              <w:rPr>
                <w:rFonts w:ascii="Arial" w:hAnsi="Arial" w:cs="Arial"/>
                <w:color w:val="000000"/>
                <w:kern w:val="24"/>
                <w:sz w:val="22"/>
                <w:szCs w:val="22"/>
                <w:lang w:eastAsia="en-GB"/>
              </w:rPr>
              <w:t xml:space="preserve">Local authority (defined as CASSR – Councils with Adult Social </w:t>
            </w:r>
            <w:r w:rsidR="009B49B5">
              <w:rPr>
                <w:rFonts w:ascii="Arial" w:hAnsi="Arial" w:cs="Arial"/>
                <w:color w:val="000000"/>
                <w:kern w:val="24"/>
                <w:sz w:val="22"/>
                <w:szCs w:val="22"/>
                <w:lang w:eastAsia="en-GB"/>
              </w:rPr>
              <w:t>Services</w:t>
            </w:r>
            <w:r w:rsidR="00D530A6">
              <w:rPr>
                <w:rFonts w:ascii="Arial" w:hAnsi="Arial" w:cs="Arial"/>
                <w:color w:val="000000"/>
                <w:kern w:val="24"/>
                <w:sz w:val="22"/>
                <w:szCs w:val="22"/>
                <w:lang w:eastAsia="en-GB"/>
              </w:rPr>
              <w:t xml:space="preserve"> Responsibilities)</w:t>
            </w:r>
            <w:r w:rsidR="00F25E11">
              <w:rPr>
                <w:rFonts w:ascii="Arial" w:hAnsi="Arial" w:cs="Arial"/>
                <w:color w:val="000000"/>
                <w:kern w:val="24"/>
                <w:sz w:val="22"/>
                <w:szCs w:val="22"/>
                <w:lang w:eastAsia="en-GB"/>
              </w:rPr>
              <w:t>.</w:t>
            </w:r>
            <w:r w:rsidR="00C14B5D">
              <w:rPr>
                <w:rFonts w:ascii="Arial" w:hAnsi="Arial" w:cs="Arial"/>
                <w:color w:val="000000"/>
                <w:kern w:val="24"/>
                <w:sz w:val="22"/>
                <w:szCs w:val="22"/>
                <w:lang w:eastAsia="en-GB"/>
              </w:rPr>
              <w:t xml:space="preserve"> </w:t>
            </w:r>
            <w:r w:rsidR="005D4AB3">
              <w:rPr>
                <w:rFonts w:ascii="Arial" w:hAnsi="Arial" w:cs="Arial"/>
                <w:color w:val="000000"/>
                <w:kern w:val="24"/>
                <w:sz w:val="22"/>
                <w:szCs w:val="22"/>
                <w:lang w:eastAsia="en-GB"/>
              </w:rPr>
              <w:t xml:space="preserve">Further breakdowns are available including </w:t>
            </w:r>
            <w:r w:rsidR="00C14B5D">
              <w:rPr>
                <w:rFonts w:ascii="Arial" w:hAnsi="Arial" w:cs="Arial"/>
                <w:color w:val="000000"/>
                <w:kern w:val="24"/>
                <w:sz w:val="22"/>
                <w:szCs w:val="22"/>
                <w:lang w:eastAsia="en-GB"/>
              </w:rPr>
              <w:t>Sex</w:t>
            </w:r>
            <w:r w:rsidR="005D4AB3">
              <w:rPr>
                <w:rFonts w:ascii="Arial" w:hAnsi="Arial" w:cs="Arial"/>
                <w:color w:val="000000"/>
                <w:kern w:val="24"/>
                <w:sz w:val="22"/>
                <w:szCs w:val="22"/>
                <w:lang w:eastAsia="en-GB"/>
              </w:rPr>
              <w:t xml:space="preserve">, </w:t>
            </w:r>
            <w:r w:rsidR="00C14B5D">
              <w:rPr>
                <w:rFonts w:ascii="Arial" w:hAnsi="Arial" w:cs="Arial"/>
                <w:color w:val="000000"/>
                <w:kern w:val="24"/>
                <w:sz w:val="22"/>
                <w:szCs w:val="22"/>
                <w:lang w:eastAsia="en-GB"/>
              </w:rPr>
              <w:t>Age band</w:t>
            </w:r>
            <w:r w:rsidR="005D4AB3">
              <w:rPr>
                <w:rFonts w:ascii="Arial" w:hAnsi="Arial" w:cs="Arial"/>
                <w:color w:val="000000"/>
                <w:kern w:val="24"/>
                <w:sz w:val="22"/>
                <w:szCs w:val="22"/>
                <w:lang w:eastAsia="en-GB"/>
              </w:rPr>
              <w:t xml:space="preserve"> and Ethnicity. </w:t>
            </w:r>
          </w:p>
          <w:p w14:paraId="5B155699" w14:textId="1318CB1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Data Source:</w:t>
            </w:r>
            <w:r w:rsidR="00873503">
              <w:rPr>
                <w:rFonts w:ascii="Arial" w:hAnsi="Arial" w:cs="Arial"/>
                <w:color w:val="000000"/>
                <w:kern w:val="24"/>
                <w:sz w:val="22"/>
                <w:szCs w:val="22"/>
                <w:lang w:eastAsia="en-GB"/>
              </w:rPr>
              <w:t xml:space="preserve"> </w:t>
            </w:r>
            <w:r w:rsidR="00D530A6">
              <w:rPr>
                <w:rFonts w:ascii="Arial" w:hAnsi="Arial" w:cs="Arial"/>
                <w:color w:val="000000"/>
                <w:kern w:val="24"/>
                <w:sz w:val="22"/>
                <w:szCs w:val="22"/>
                <w:lang w:eastAsia="en-GB"/>
              </w:rPr>
              <w:t>Adult Social Care Survey (ASCS)</w:t>
            </w:r>
            <w:r w:rsidR="00C9218F">
              <w:rPr>
                <w:rFonts w:ascii="Arial" w:hAnsi="Arial" w:cs="Arial"/>
                <w:color w:val="000000"/>
                <w:kern w:val="24"/>
                <w:sz w:val="22"/>
                <w:szCs w:val="22"/>
                <w:lang w:eastAsia="en-GB"/>
              </w:rPr>
              <w:t>.</w:t>
            </w:r>
          </w:p>
          <w:p w14:paraId="134E4565" w14:textId="67148E5C" w:rsidR="00A54F81" w:rsidRPr="006E1387" w:rsidRDefault="00873503" w:rsidP="00C14B5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C14B5D">
              <w:rPr>
                <w:rFonts w:ascii="Arial" w:hAnsi="Arial" w:cs="Arial"/>
                <w:color w:val="000000"/>
                <w:kern w:val="24"/>
                <w:sz w:val="22"/>
                <w:szCs w:val="22"/>
                <w:lang w:eastAsia="en-GB"/>
              </w:rPr>
              <w:t xml:space="preserve">CASSR’s with very small numbers are excluded and noted on data publications. </w:t>
            </w:r>
            <w:r w:rsidR="00872E52">
              <w:rPr>
                <w:rFonts w:ascii="Arial" w:hAnsi="Arial" w:cs="Arial"/>
                <w:color w:val="000000"/>
                <w:kern w:val="24"/>
                <w:sz w:val="22"/>
                <w:szCs w:val="22"/>
                <w:lang w:eastAsia="en-GB"/>
              </w:rPr>
              <w:t>Counts</w:t>
            </w:r>
            <w:r w:rsidR="00C14B5D">
              <w:rPr>
                <w:rFonts w:ascii="Arial" w:hAnsi="Arial" w:cs="Arial"/>
                <w:color w:val="000000"/>
                <w:kern w:val="24"/>
                <w:sz w:val="22"/>
                <w:szCs w:val="22"/>
                <w:lang w:eastAsia="en-GB"/>
              </w:rPr>
              <w:t xml:space="preserve"> are rounded to the nearest 5</w:t>
            </w:r>
            <w:r w:rsidR="00872E52">
              <w:rPr>
                <w:rFonts w:ascii="Arial" w:hAnsi="Arial" w:cs="Arial"/>
                <w:color w:val="000000"/>
                <w:kern w:val="24"/>
                <w:sz w:val="22"/>
                <w:szCs w:val="22"/>
                <w:lang w:eastAsia="en-GB"/>
              </w:rPr>
              <w:t xml:space="preserve"> for publication.</w:t>
            </w:r>
          </w:p>
        </w:tc>
        <w:tc>
          <w:tcPr>
            <w:tcW w:w="3044"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884206">
        <w:tc>
          <w:tcPr>
            <w:tcW w:w="1877"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377"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4" w:type="dxa"/>
          </w:tcPr>
          <w:p w14:paraId="7C614BB1" w14:textId="0668E0D4" w:rsidR="00455B14" w:rsidRPr="006E1387" w:rsidRDefault="00262A3E" w:rsidP="009A1FC0">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9A1FC0">
              <w:rPr>
                <w:rFonts w:ascii="Arial" w:eastAsiaTheme="minorEastAsia" w:hAnsi="Arial" w:cs="Arial"/>
                <w:color w:val="000000" w:themeColor="dark1"/>
                <w:kern w:val="24"/>
                <w:sz w:val="22"/>
                <w:szCs w:val="22"/>
                <w:lang w:eastAsia="en-GB"/>
              </w:rPr>
              <w:t>.</w:t>
            </w:r>
          </w:p>
        </w:tc>
      </w:tr>
      <w:tr w:rsidR="00455B14" w:rsidRPr="006E1387" w14:paraId="211AFDFC" w14:textId="3BA1BF23" w:rsidTr="00884206">
        <w:tc>
          <w:tcPr>
            <w:tcW w:w="1877"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377" w:type="dxa"/>
          </w:tcPr>
          <w:p w14:paraId="1CBAC61F" w14:textId="2DE151B8" w:rsidR="009A1FC0" w:rsidRDefault="00C14B5D" w:rsidP="000438E0">
            <w:pPr>
              <w:spacing w:before="120" w:after="120"/>
              <w:rPr>
                <w:rFonts w:ascii="Arial" w:hAnsi="Arial" w:cs="Arial"/>
                <w:sz w:val="22"/>
                <w:szCs w:val="22"/>
              </w:rPr>
            </w:pPr>
            <w:r>
              <w:rPr>
                <w:rFonts w:ascii="Arial" w:hAnsi="Arial" w:cs="Arial"/>
                <w:sz w:val="22"/>
                <w:szCs w:val="22"/>
              </w:rPr>
              <w:t xml:space="preserve">Survey data allows for comparison of trends over time </w:t>
            </w:r>
            <w:r w:rsidR="002C6038">
              <w:rPr>
                <w:rFonts w:ascii="Arial" w:hAnsi="Arial" w:cs="Arial"/>
                <w:sz w:val="22"/>
                <w:szCs w:val="22"/>
              </w:rPr>
              <w:t xml:space="preserve">from </w:t>
            </w:r>
            <w:r w:rsidR="00E715A3">
              <w:rPr>
                <w:rFonts w:ascii="Arial" w:hAnsi="Arial" w:cs="Arial"/>
                <w:sz w:val="22"/>
                <w:szCs w:val="22"/>
              </w:rPr>
              <w:t xml:space="preserve">the last methodology change in </w:t>
            </w:r>
            <w:r w:rsidR="002C6038">
              <w:rPr>
                <w:rFonts w:ascii="Arial" w:hAnsi="Arial" w:cs="Arial"/>
                <w:sz w:val="22"/>
                <w:szCs w:val="22"/>
              </w:rPr>
              <w:t xml:space="preserve">2014/15 onwards </w:t>
            </w:r>
            <w:r>
              <w:rPr>
                <w:rFonts w:ascii="Arial" w:hAnsi="Arial" w:cs="Arial"/>
                <w:sz w:val="22"/>
                <w:szCs w:val="22"/>
              </w:rPr>
              <w:t>as well as between CASSRs.</w:t>
            </w:r>
          </w:p>
          <w:p w14:paraId="2117977B" w14:textId="218AFB98" w:rsidR="009F3187" w:rsidRPr="006E1387" w:rsidRDefault="009F3187" w:rsidP="00262A3E">
            <w:pPr>
              <w:spacing w:before="120" w:after="120"/>
              <w:rPr>
                <w:rFonts w:cs="Arial"/>
                <w:sz w:val="22"/>
                <w:szCs w:val="22"/>
              </w:rPr>
            </w:pPr>
          </w:p>
        </w:tc>
        <w:tc>
          <w:tcPr>
            <w:tcW w:w="3044"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452B17E2" w:rsidR="00217BF3" w:rsidRPr="006E1387" w:rsidRDefault="00455B14" w:rsidP="009A1FC0">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884206">
        <w:trPr>
          <w:trHeight w:val="2836"/>
        </w:trPr>
        <w:tc>
          <w:tcPr>
            <w:tcW w:w="1877"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377" w:type="dxa"/>
          </w:tcPr>
          <w:p w14:paraId="43F7B156" w14:textId="77777777" w:rsidR="00041011" w:rsidRDefault="00F40961"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Small changes to methodology were made in 2011/12 and 2014/15, however none have taken place since.</w:t>
            </w:r>
          </w:p>
          <w:p w14:paraId="4DDD12EB" w14:textId="04A06468" w:rsidR="00C14B5D" w:rsidRDefault="00C14B5D" w:rsidP="00C14B5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As with all surveys there is some risk of question changes, however this survey is long running with no</w:t>
            </w:r>
            <w:r w:rsidR="005D4AB3">
              <w:rPr>
                <w:rFonts w:ascii="Arial" w:hAnsi="Arial" w:cs="Arial"/>
                <w:color w:val="000000"/>
                <w:kern w:val="24"/>
                <w:sz w:val="22"/>
                <w:szCs w:val="22"/>
                <w:lang w:eastAsia="en-GB"/>
              </w:rPr>
              <w:t xml:space="preserve"> significant</w:t>
            </w:r>
            <w:r>
              <w:rPr>
                <w:rFonts w:ascii="Arial" w:hAnsi="Arial" w:cs="Arial"/>
                <w:color w:val="000000"/>
                <w:kern w:val="24"/>
                <w:sz w:val="22"/>
                <w:szCs w:val="22"/>
                <w:lang w:eastAsia="en-GB"/>
              </w:rPr>
              <w:t xml:space="preserve"> changes to the question involved so far.</w:t>
            </w:r>
            <w:r w:rsidR="005D4AB3">
              <w:rPr>
                <w:rFonts w:ascii="Arial" w:hAnsi="Arial" w:cs="Arial"/>
                <w:color w:val="000000"/>
                <w:kern w:val="24"/>
                <w:sz w:val="22"/>
                <w:szCs w:val="22"/>
                <w:lang w:eastAsia="en-GB"/>
              </w:rPr>
              <w:t xml:space="preserve"> Question number changed from 7b to 7c in 2022/23</w:t>
            </w:r>
          </w:p>
          <w:p w14:paraId="5D0CF0EF" w14:textId="46FD8526" w:rsidR="009E788E" w:rsidRDefault="009E788E" w:rsidP="00C14B5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Indicator is no longer a part of the Adult Social Care Outcomes Framework for 2024.</w:t>
            </w:r>
          </w:p>
          <w:p w14:paraId="6C854FEE" w14:textId="508D505E" w:rsidR="008F609B" w:rsidRPr="006E1387" w:rsidRDefault="008F609B" w:rsidP="00C14B5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As noted at the previous assessment the ASCS question is </w:t>
            </w:r>
            <w:r w:rsidRPr="008F609B">
              <w:rPr>
                <w:rFonts w:ascii="Arial" w:hAnsi="Arial" w:cs="Arial"/>
                <w:color w:val="000000"/>
                <w:kern w:val="24"/>
                <w:sz w:val="22"/>
                <w:szCs w:val="22"/>
                <w:lang w:eastAsia="en-GB"/>
              </w:rPr>
              <w:t>“Do care and support services help you in feeling safe?”</w:t>
            </w:r>
            <w:r>
              <w:rPr>
                <w:rFonts w:ascii="Arial" w:hAnsi="Arial" w:cs="Arial"/>
                <w:color w:val="000000"/>
                <w:kern w:val="24"/>
                <w:sz w:val="22"/>
                <w:szCs w:val="22"/>
                <w:lang w:eastAsia="en-GB"/>
              </w:rPr>
              <w:t>, whereas the indicator title refers to “safe and secure”. This also differs from related indicator IAP00424.</w:t>
            </w:r>
          </w:p>
        </w:tc>
        <w:tc>
          <w:tcPr>
            <w:tcW w:w="3044" w:type="dxa"/>
          </w:tcPr>
          <w:p w14:paraId="7C2C11AA" w14:textId="530F3CD3" w:rsidR="00041011" w:rsidRPr="006E1387" w:rsidRDefault="009E788E"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Removal of indicator from Adult Social Care Outcomes Framework</w:t>
            </w:r>
            <w:r w:rsidR="009A1FC0">
              <w:rPr>
                <w:rFonts w:eastAsiaTheme="minorEastAsia" w:cs="Arial"/>
                <w:color w:val="000000" w:themeColor="dark1"/>
                <w:kern w:val="24"/>
                <w:sz w:val="22"/>
                <w:szCs w:val="22"/>
              </w:rPr>
              <w:t>.</w:t>
            </w:r>
          </w:p>
        </w:tc>
      </w:tr>
    </w:tbl>
    <w:p w14:paraId="37D9A2F5" w14:textId="084C27AB" w:rsidR="004A517E" w:rsidRDefault="004A517E">
      <w:pPr>
        <w:rPr>
          <w:rFonts w:ascii="Arial" w:hAnsi="Arial"/>
          <w:lang w:val="en-US"/>
        </w:rPr>
      </w:pPr>
    </w:p>
    <w:p w14:paraId="123085F8" w14:textId="5639914C" w:rsidR="00D73835" w:rsidRDefault="00456948" w:rsidP="00A8035E">
      <w:pPr>
        <w:pStyle w:val="Paragraphnonumbers"/>
      </w:pPr>
      <w:r>
        <w:rPr>
          <w:b/>
        </w:rPr>
        <w:t>S</w:t>
      </w:r>
      <w:r w:rsidR="00937DDA" w:rsidRPr="00B12039">
        <w:rPr>
          <w:b/>
        </w:rPr>
        <w:t>ummary:</w:t>
      </w:r>
      <w:r w:rsidR="00937DDA">
        <w:t xml:space="preserve"> </w:t>
      </w:r>
      <w:r>
        <w:t>Indicator to be renewed.</w:t>
      </w:r>
      <w:r w:rsidR="0099250B">
        <w:t xml:space="preserve"> </w:t>
      </w:r>
    </w:p>
    <w:sectPr w:rsidR="00D73835" w:rsidSect="00192B09">
      <w:headerReference w:type="default" r:id="rId10"/>
      <w:footerReference w:type="defaul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0D6BE56E" w:rsidR="00BB14CA" w:rsidRPr="008C1C95" w:rsidRDefault="00A8035E" w:rsidP="00A8035E">
    <w:pPr>
      <w:pStyle w:val="Footer"/>
    </w:pPr>
    <w:r>
      <w:t>IAP0042</w:t>
    </w:r>
    <w:r w:rsidR="008D32C2">
      <w:t>5</w:t>
    </w:r>
    <w:r>
      <w:t xml:space="preserve"> </w:t>
    </w:r>
    <w:r w:rsidR="008D32C2" w:rsidRPr="008D32C2">
      <w:t>The proportion of people who use services who say that those services have made them feel safe and secure</w:t>
    </w:r>
    <w:r w:rsidR="008D32C2">
      <w:t xml:space="preserve"> </w:t>
    </w:r>
    <w:r w:rsidR="008F609B">
      <w:t>–</w:t>
    </w:r>
    <w:r w:rsidR="008D32C2">
      <w:t xml:space="preserve"> </w:t>
    </w:r>
    <w:r w:rsidR="008F609B">
      <w:t xml:space="preserve">Validity Assessment </w:t>
    </w:r>
    <w:r w:rsidR="008D32C2">
      <w:t>August 2023</w:t>
    </w:r>
    <w:r w:rsidR="009B0E59">
      <w:tab/>
    </w:r>
    <w:r w:rsidR="009B0E59">
      <w:tab/>
    </w:r>
    <w:r w:rsidR="008F609B">
      <w:tab/>
    </w:r>
    <w:r w:rsidR="00BB14CA">
      <w:fldChar w:fldCharType="begin"/>
    </w:r>
    <w:r w:rsidR="00BB14CA">
      <w:instrText xml:space="preserve"> PAGE </w:instrText>
    </w:r>
    <w:r w:rsidR="00BB14CA">
      <w:fldChar w:fldCharType="separate"/>
    </w:r>
    <w:r w:rsidR="0029612B">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29612B">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FAD4100"/>
    <w:multiLevelType w:val="hybridMultilevel"/>
    <w:tmpl w:val="A676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81A44"/>
    <w:multiLevelType w:val="hybridMultilevel"/>
    <w:tmpl w:val="A6E2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4681251">
    <w:abstractNumId w:val="32"/>
  </w:num>
  <w:num w:numId="2" w16cid:durableId="182522151">
    <w:abstractNumId w:val="11"/>
  </w:num>
  <w:num w:numId="3" w16cid:durableId="2055348085">
    <w:abstractNumId w:val="27"/>
  </w:num>
  <w:num w:numId="4" w16cid:durableId="833373101">
    <w:abstractNumId w:val="12"/>
  </w:num>
  <w:num w:numId="5" w16cid:durableId="1421246441">
    <w:abstractNumId w:val="24"/>
  </w:num>
  <w:num w:numId="6" w16cid:durableId="796266486">
    <w:abstractNumId w:val="1"/>
  </w:num>
  <w:num w:numId="7" w16cid:durableId="53433679">
    <w:abstractNumId w:val="10"/>
  </w:num>
  <w:num w:numId="8" w16cid:durableId="276766291">
    <w:abstractNumId w:val="22"/>
  </w:num>
  <w:num w:numId="9" w16cid:durableId="620187863">
    <w:abstractNumId w:val="23"/>
  </w:num>
  <w:num w:numId="10" w16cid:durableId="1930573985">
    <w:abstractNumId w:val="5"/>
  </w:num>
  <w:num w:numId="11" w16cid:durableId="188220699">
    <w:abstractNumId w:val="7"/>
  </w:num>
  <w:num w:numId="12" w16cid:durableId="141972973">
    <w:abstractNumId w:val="3"/>
  </w:num>
  <w:num w:numId="13" w16cid:durableId="28921938">
    <w:abstractNumId w:val="31"/>
  </w:num>
  <w:num w:numId="14" w16cid:durableId="1145467336">
    <w:abstractNumId w:val="14"/>
  </w:num>
  <w:num w:numId="15" w16cid:durableId="1560896389">
    <w:abstractNumId w:val="9"/>
  </w:num>
  <w:num w:numId="16" w16cid:durableId="1536121033">
    <w:abstractNumId w:val="19"/>
  </w:num>
  <w:num w:numId="17" w16cid:durableId="527792295">
    <w:abstractNumId w:val="16"/>
  </w:num>
  <w:num w:numId="18" w16cid:durableId="1055815435">
    <w:abstractNumId w:val="21"/>
  </w:num>
  <w:num w:numId="19" w16cid:durableId="432483896">
    <w:abstractNumId w:val="25"/>
  </w:num>
  <w:num w:numId="20" w16cid:durableId="1403455444">
    <w:abstractNumId w:val="6"/>
  </w:num>
  <w:num w:numId="21" w16cid:durableId="1917086363">
    <w:abstractNumId w:val="28"/>
  </w:num>
  <w:num w:numId="22" w16cid:durableId="701172784">
    <w:abstractNumId w:val="0"/>
  </w:num>
  <w:num w:numId="23" w16cid:durableId="529421116">
    <w:abstractNumId w:val="4"/>
  </w:num>
  <w:num w:numId="24" w16cid:durableId="1284262891">
    <w:abstractNumId w:val="26"/>
  </w:num>
  <w:num w:numId="25" w16cid:durableId="1299609132">
    <w:abstractNumId w:val="18"/>
  </w:num>
  <w:num w:numId="26" w16cid:durableId="1886527826">
    <w:abstractNumId w:val="17"/>
  </w:num>
  <w:num w:numId="27" w16cid:durableId="999042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3276121">
    <w:abstractNumId w:val="8"/>
  </w:num>
  <w:num w:numId="29" w16cid:durableId="930889348">
    <w:abstractNumId w:val="5"/>
  </w:num>
  <w:num w:numId="30" w16cid:durableId="301468731">
    <w:abstractNumId w:val="13"/>
  </w:num>
  <w:num w:numId="31" w16cid:durableId="1878078480">
    <w:abstractNumId w:val="5"/>
  </w:num>
  <w:num w:numId="32" w16cid:durableId="273942993">
    <w:abstractNumId w:val="5"/>
  </w:num>
  <w:num w:numId="33" w16cid:durableId="295990455">
    <w:abstractNumId w:val="5"/>
  </w:num>
  <w:num w:numId="34" w16cid:durableId="104490724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9929177">
    <w:abstractNumId w:val="5"/>
  </w:num>
  <w:num w:numId="36" w16cid:durableId="555316224">
    <w:abstractNumId w:val="5"/>
  </w:num>
  <w:num w:numId="37" w16cid:durableId="1272469952">
    <w:abstractNumId w:val="5"/>
  </w:num>
  <w:num w:numId="38" w16cid:durableId="1427313065">
    <w:abstractNumId w:val="30"/>
  </w:num>
  <w:num w:numId="39" w16cid:durableId="1991598259">
    <w:abstractNumId w:val="20"/>
  </w:num>
  <w:num w:numId="40" w16cid:durableId="1680351239">
    <w:abstractNumId w:val="2"/>
  </w:num>
  <w:num w:numId="41" w16cid:durableId="626467721">
    <w:abstractNumId w:val="29"/>
  </w:num>
  <w:num w:numId="42" w16cid:durableId="1256212732">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0610"/>
    <w:rsid w:val="00081BFA"/>
    <w:rsid w:val="00081C69"/>
    <w:rsid w:val="000853CB"/>
    <w:rsid w:val="000910A7"/>
    <w:rsid w:val="00094BC2"/>
    <w:rsid w:val="00094C1B"/>
    <w:rsid w:val="000963D1"/>
    <w:rsid w:val="000A16C2"/>
    <w:rsid w:val="000A2F74"/>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4E81"/>
    <w:rsid w:val="001066B8"/>
    <w:rsid w:val="00110A94"/>
    <w:rsid w:val="00110AD8"/>
    <w:rsid w:val="00112FAE"/>
    <w:rsid w:val="001131E2"/>
    <w:rsid w:val="001134E7"/>
    <w:rsid w:val="0012086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35AE"/>
    <w:rsid w:val="00165770"/>
    <w:rsid w:val="00165B01"/>
    <w:rsid w:val="00166C1A"/>
    <w:rsid w:val="0017169E"/>
    <w:rsid w:val="00173568"/>
    <w:rsid w:val="0017396B"/>
    <w:rsid w:val="00174BA9"/>
    <w:rsid w:val="00175BE8"/>
    <w:rsid w:val="00175F5D"/>
    <w:rsid w:val="00177200"/>
    <w:rsid w:val="001773DC"/>
    <w:rsid w:val="001779E5"/>
    <w:rsid w:val="00182263"/>
    <w:rsid w:val="0018281C"/>
    <w:rsid w:val="00182BC3"/>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31C6"/>
    <w:rsid w:val="002363B6"/>
    <w:rsid w:val="00236B76"/>
    <w:rsid w:val="002408EA"/>
    <w:rsid w:val="00241410"/>
    <w:rsid w:val="002549B2"/>
    <w:rsid w:val="002563DF"/>
    <w:rsid w:val="0026014A"/>
    <w:rsid w:val="0026108E"/>
    <w:rsid w:val="002614ED"/>
    <w:rsid w:val="00261B7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1A5B"/>
    <w:rsid w:val="00292B2C"/>
    <w:rsid w:val="0029330E"/>
    <w:rsid w:val="0029612B"/>
    <w:rsid w:val="00296E2E"/>
    <w:rsid w:val="002A23A7"/>
    <w:rsid w:val="002A24C9"/>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038"/>
    <w:rsid w:val="002C6739"/>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1BDD"/>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3115"/>
    <w:rsid w:val="00384141"/>
    <w:rsid w:val="003856AA"/>
    <w:rsid w:val="00386007"/>
    <w:rsid w:val="003861AC"/>
    <w:rsid w:val="003862A5"/>
    <w:rsid w:val="00390249"/>
    <w:rsid w:val="00391F56"/>
    <w:rsid w:val="003953C7"/>
    <w:rsid w:val="00395ED8"/>
    <w:rsid w:val="003A03DC"/>
    <w:rsid w:val="003A1975"/>
    <w:rsid w:val="003A1DE1"/>
    <w:rsid w:val="003A39A0"/>
    <w:rsid w:val="003A3E2A"/>
    <w:rsid w:val="003A4CBB"/>
    <w:rsid w:val="003B0286"/>
    <w:rsid w:val="003B091A"/>
    <w:rsid w:val="003B0C0D"/>
    <w:rsid w:val="003B1C33"/>
    <w:rsid w:val="003B254D"/>
    <w:rsid w:val="003B298F"/>
    <w:rsid w:val="003B69AA"/>
    <w:rsid w:val="003C1C18"/>
    <w:rsid w:val="003C3023"/>
    <w:rsid w:val="003C39D1"/>
    <w:rsid w:val="003C404B"/>
    <w:rsid w:val="003C7AAF"/>
    <w:rsid w:val="003C7B7D"/>
    <w:rsid w:val="003D1875"/>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948"/>
    <w:rsid w:val="00456B1D"/>
    <w:rsid w:val="004615CD"/>
    <w:rsid w:val="00461C01"/>
    <w:rsid w:val="00462AFA"/>
    <w:rsid w:val="0046325E"/>
    <w:rsid w:val="004636CC"/>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06FFA"/>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3808"/>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1B29"/>
    <w:rsid w:val="005C3893"/>
    <w:rsid w:val="005C5E41"/>
    <w:rsid w:val="005C7DB5"/>
    <w:rsid w:val="005D15B9"/>
    <w:rsid w:val="005D1E0A"/>
    <w:rsid w:val="005D352A"/>
    <w:rsid w:val="005D4AB3"/>
    <w:rsid w:val="005D4C95"/>
    <w:rsid w:val="005E0AC1"/>
    <w:rsid w:val="005E2508"/>
    <w:rsid w:val="005E437F"/>
    <w:rsid w:val="005E58ED"/>
    <w:rsid w:val="005E62A7"/>
    <w:rsid w:val="005E6B30"/>
    <w:rsid w:val="005F25FD"/>
    <w:rsid w:val="005F2905"/>
    <w:rsid w:val="005F3926"/>
    <w:rsid w:val="005F3989"/>
    <w:rsid w:val="005F3C5C"/>
    <w:rsid w:val="005F3CD1"/>
    <w:rsid w:val="005F5AFD"/>
    <w:rsid w:val="005F6BB8"/>
    <w:rsid w:val="005F6F0A"/>
    <w:rsid w:val="005F7681"/>
    <w:rsid w:val="00601291"/>
    <w:rsid w:val="0060351B"/>
    <w:rsid w:val="00604C29"/>
    <w:rsid w:val="00607959"/>
    <w:rsid w:val="006100D7"/>
    <w:rsid w:val="0061221F"/>
    <w:rsid w:val="00614078"/>
    <w:rsid w:val="006150A0"/>
    <w:rsid w:val="0061798B"/>
    <w:rsid w:val="0062228B"/>
    <w:rsid w:val="00624430"/>
    <w:rsid w:val="00625AEE"/>
    <w:rsid w:val="0062642E"/>
    <w:rsid w:val="00627687"/>
    <w:rsid w:val="006276D1"/>
    <w:rsid w:val="006279C2"/>
    <w:rsid w:val="00630A5B"/>
    <w:rsid w:val="00637F2A"/>
    <w:rsid w:val="00642C45"/>
    <w:rsid w:val="0064313B"/>
    <w:rsid w:val="006434DF"/>
    <w:rsid w:val="00645411"/>
    <w:rsid w:val="0064604F"/>
    <w:rsid w:val="00651D20"/>
    <w:rsid w:val="006523CB"/>
    <w:rsid w:val="0065348A"/>
    <w:rsid w:val="00654FB6"/>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392"/>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6F6F2B"/>
    <w:rsid w:val="0070542C"/>
    <w:rsid w:val="007067D1"/>
    <w:rsid w:val="00712E62"/>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52ED"/>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502"/>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3218"/>
    <w:rsid w:val="00855549"/>
    <w:rsid w:val="0086032D"/>
    <w:rsid w:val="00861B3D"/>
    <w:rsid w:val="00862879"/>
    <w:rsid w:val="00865CE7"/>
    <w:rsid w:val="0086701C"/>
    <w:rsid w:val="00867262"/>
    <w:rsid w:val="00870BDD"/>
    <w:rsid w:val="008717F1"/>
    <w:rsid w:val="00872E52"/>
    <w:rsid w:val="00873503"/>
    <w:rsid w:val="00876D05"/>
    <w:rsid w:val="00876F5C"/>
    <w:rsid w:val="00880ED3"/>
    <w:rsid w:val="00883721"/>
    <w:rsid w:val="00884206"/>
    <w:rsid w:val="00890137"/>
    <w:rsid w:val="008904D0"/>
    <w:rsid w:val="00892112"/>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32C2"/>
    <w:rsid w:val="008D62F8"/>
    <w:rsid w:val="008D652E"/>
    <w:rsid w:val="008D6A3E"/>
    <w:rsid w:val="008E1B3C"/>
    <w:rsid w:val="008E4419"/>
    <w:rsid w:val="008E56A4"/>
    <w:rsid w:val="008E5BA8"/>
    <w:rsid w:val="008E664D"/>
    <w:rsid w:val="008E6FCA"/>
    <w:rsid w:val="008F2FAE"/>
    <w:rsid w:val="008F4B70"/>
    <w:rsid w:val="008F4E22"/>
    <w:rsid w:val="008F4ED3"/>
    <w:rsid w:val="008F609B"/>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4C93"/>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250B"/>
    <w:rsid w:val="00993567"/>
    <w:rsid w:val="00994CE5"/>
    <w:rsid w:val="00995A38"/>
    <w:rsid w:val="009965E1"/>
    <w:rsid w:val="009A1E7A"/>
    <w:rsid w:val="009A1FC0"/>
    <w:rsid w:val="009A23F7"/>
    <w:rsid w:val="009A2B2A"/>
    <w:rsid w:val="009A38DA"/>
    <w:rsid w:val="009A3F7F"/>
    <w:rsid w:val="009A4775"/>
    <w:rsid w:val="009A75C4"/>
    <w:rsid w:val="009B0897"/>
    <w:rsid w:val="009B0E59"/>
    <w:rsid w:val="009B276A"/>
    <w:rsid w:val="009B3223"/>
    <w:rsid w:val="009B4063"/>
    <w:rsid w:val="009B49B5"/>
    <w:rsid w:val="009B52E5"/>
    <w:rsid w:val="009B5C5F"/>
    <w:rsid w:val="009C0968"/>
    <w:rsid w:val="009C1354"/>
    <w:rsid w:val="009C3C0C"/>
    <w:rsid w:val="009C3CDC"/>
    <w:rsid w:val="009C5ADA"/>
    <w:rsid w:val="009C6214"/>
    <w:rsid w:val="009C6C95"/>
    <w:rsid w:val="009C77BF"/>
    <w:rsid w:val="009D02ED"/>
    <w:rsid w:val="009D1D56"/>
    <w:rsid w:val="009D1EB8"/>
    <w:rsid w:val="009D2922"/>
    <w:rsid w:val="009D49AA"/>
    <w:rsid w:val="009D4FBB"/>
    <w:rsid w:val="009D7602"/>
    <w:rsid w:val="009E3151"/>
    <w:rsid w:val="009E680B"/>
    <w:rsid w:val="009E788E"/>
    <w:rsid w:val="009F1902"/>
    <w:rsid w:val="009F3187"/>
    <w:rsid w:val="009F4086"/>
    <w:rsid w:val="009F4F44"/>
    <w:rsid w:val="009F7239"/>
    <w:rsid w:val="00A0249B"/>
    <w:rsid w:val="00A0479E"/>
    <w:rsid w:val="00A04E36"/>
    <w:rsid w:val="00A05C88"/>
    <w:rsid w:val="00A07644"/>
    <w:rsid w:val="00A11761"/>
    <w:rsid w:val="00A11ECD"/>
    <w:rsid w:val="00A12BE0"/>
    <w:rsid w:val="00A137EF"/>
    <w:rsid w:val="00A144F8"/>
    <w:rsid w:val="00A1592C"/>
    <w:rsid w:val="00A15A1F"/>
    <w:rsid w:val="00A16F4B"/>
    <w:rsid w:val="00A17B57"/>
    <w:rsid w:val="00A17F9B"/>
    <w:rsid w:val="00A206E7"/>
    <w:rsid w:val="00A240EE"/>
    <w:rsid w:val="00A25B7F"/>
    <w:rsid w:val="00A264CE"/>
    <w:rsid w:val="00A3050E"/>
    <w:rsid w:val="00A305B3"/>
    <w:rsid w:val="00A32C40"/>
    <w:rsid w:val="00A3325A"/>
    <w:rsid w:val="00A40427"/>
    <w:rsid w:val="00A4094A"/>
    <w:rsid w:val="00A426B6"/>
    <w:rsid w:val="00A426BE"/>
    <w:rsid w:val="00A42B42"/>
    <w:rsid w:val="00A526EF"/>
    <w:rsid w:val="00A53E97"/>
    <w:rsid w:val="00A54F81"/>
    <w:rsid w:val="00A60794"/>
    <w:rsid w:val="00A611CE"/>
    <w:rsid w:val="00A614C6"/>
    <w:rsid w:val="00A7018B"/>
    <w:rsid w:val="00A70A7A"/>
    <w:rsid w:val="00A71410"/>
    <w:rsid w:val="00A74AE2"/>
    <w:rsid w:val="00A756BB"/>
    <w:rsid w:val="00A77B63"/>
    <w:rsid w:val="00A8035E"/>
    <w:rsid w:val="00A80975"/>
    <w:rsid w:val="00A80F87"/>
    <w:rsid w:val="00A8249A"/>
    <w:rsid w:val="00A83F3C"/>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C5E"/>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174E"/>
    <w:rsid w:val="00BA30D0"/>
    <w:rsid w:val="00BA31F9"/>
    <w:rsid w:val="00BA3317"/>
    <w:rsid w:val="00BA3FDA"/>
    <w:rsid w:val="00BA4313"/>
    <w:rsid w:val="00BA4784"/>
    <w:rsid w:val="00BA478F"/>
    <w:rsid w:val="00BA49EA"/>
    <w:rsid w:val="00BA4F42"/>
    <w:rsid w:val="00BA513C"/>
    <w:rsid w:val="00BA570A"/>
    <w:rsid w:val="00BA714E"/>
    <w:rsid w:val="00BA7AA3"/>
    <w:rsid w:val="00BB080C"/>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627D"/>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DEB"/>
    <w:rsid w:val="00C13F60"/>
    <w:rsid w:val="00C14404"/>
    <w:rsid w:val="00C14B5D"/>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6DA"/>
    <w:rsid w:val="00C74D07"/>
    <w:rsid w:val="00C803FD"/>
    <w:rsid w:val="00C80EB4"/>
    <w:rsid w:val="00C8156F"/>
    <w:rsid w:val="00C86682"/>
    <w:rsid w:val="00C90846"/>
    <w:rsid w:val="00C9218F"/>
    <w:rsid w:val="00C92700"/>
    <w:rsid w:val="00C92E3F"/>
    <w:rsid w:val="00C94681"/>
    <w:rsid w:val="00CA129E"/>
    <w:rsid w:val="00CA20B5"/>
    <w:rsid w:val="00CA3562"/>
    <w:rsid w:val="00CA371D"/>
    <w:rsid w:val="00CA6681"/>
    <w:rsid w:val="00CA707C"/>
    <w:rsid w:val="00CA77AE"/>
    <w:rsid w:val="00CB0A27"/>
    <w:rsid w:val="00CB2154"/>
    <w:rsid w:val="00CB35D9"/>
    <w:rsid w:val="00CB469C"/>
    <w:rsid w:val="00CB4A8A"/>
    <w:rsid w:val="00CB60DD"/>
    <w:rsid w:val="00CB6E1F"/>
    <w:rsid w:val="00CB7E4D"/>
    <w:rsid w:val="00CC04DE"/>
    <w:rsid w:val="00CC12E7"/>
    <w:rsid w:val="00CC315E"/>
    <w:rsid w:val="00CC3F84"/>
    <w:rsid w:val="00CC6E2D"/>
    <w:rsid w:val="00CD24A8"/>
    <w:rsid w:val="00CD315A"/>
    <w:rsid w:val="00CD319A"/>
    <w:rsid w:val="00CD5502"/>
    <w:rsid w:val="00CE0526"/>
    <w:rsid w:val="00CE1ED9"/>
    <w:rsid w:val="00CE3665"/>
    <w:rsid w:val="00CE4F42"/>
    <w:rsid w:val="00CF0BB4"/>
    <w:rsid w:val="00CF1333"/>
    <w:rsid w:val="00CF1BB4"/>
    <w:rsid w:val="00CF2AAC"/>
    <w:rsid w:val="00CF2FF8"/>
    <w:rsid w:val="00CF3F6B"/>
    <w:rsid w:val="00CF434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0A6"/>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23E2"/>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84F"/>
    <w:rsid w:val="00E54D26"/>
    <w:rsid w:val="00E620CC"/>
    <w:rsid w:val="00E63ADD"/>
    <w:rsid w:val="00E64120"/>
    <w:rsid w:val="00E65FA3"/>
    <w:rsid w:val="00E678CB"/>
    <w:rsid w:val="00E67D1E"/>
    <w:rsid w:val="00E707FD"/>
    <w:rsid w:val="00E710D7"/>
    <w:rsid w:val="00E71348"/>
    <w:rsid w:val="00E715A3"/>
    <w:rsid w:val="00E71657"/>
    <w:rsid w:val="00E745BB"/>
    <w:rsid w:val="00E76D55"/>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477B"/>
    <w:rsid w:val="00EC5260"/>
    <w:rsid w:val="00EC7278"/>
    <w:rsid w:val="00EC74B9"/>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25E11"/>
    <w:rsid w:val="00F307D6"/>
    <w:rsid w:val="00F31A8E"/>
    <w:rsid w:val="00F32C2D"/>
    <w:rsid w:val="00F33108"/>
    <w:rsid w:val="00F33A4C"/>
    <w:rsid w:val="00F34B87"/>
    <w:rsid w:val="00F358BF"/>
    <w:rsid w:val="00F35CB2"/>
    <w:rsid w:val="00F374CD"/>
    <w:rsid w:val="00F4046E"/>
    <w:rsid w:val="00F40961"/>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3F8B"/>
    <w:rsid w:val="00F7531F"/>
    <w:rsid w:val="00F75B77"/>
    <w:rsid w:val="00F762D8"/>
    <w:rsid w:val="00F7721E"/>
    <w:rsid w:val="00F77823"/>
    <w:rsid w:val="00F77F03"/>
    <w:rsid w:val="00F77FD4"/>
    <w:rsid w:val="00F81C15"/>
    <w:rsid w:val="00F82391"/>
    <w:rsid w:val="00F8333E"/>
    <w:rsid w:val="00F84641"/>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380535">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00603828">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personal-social-services-adult-social-care-survey/england-2021-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adult-social-care-outcomes-framework-handbook-of-definitions/adult-social-care-outcomes-framework-2023-to-2024-draft-handbook-of-defini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ng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4753</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2023-09-14T15:00:00Z</dcterms:created>
  <dcterms:modified xsi:type="dcterms:W3CDTF">2023-09-14T15:00:00Z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2023-09-14T15:00:17Z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63a7a079-2b3e-4791-ac02-a845653a7bc9</vt:lpwstr>
  </property>
  <property fmtid="{D5CDD505-2E9C-101B-9397-08002B2CF9AE}" pid="8" name="MSIP_Label_c69d85d5-6d9e-4305-a294-1f636ec0f2d6_ContentBits">
    <vt:lpwstr>0</vt:lpwstr>
  </property>
</Properties>
</file>