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B46B9" w14:textId="77777777" w:rsidR="00F15EE6" w:rsidRDefault="00F15EE6" w:rsidP="00F15EE6">
      <w:pPr>
        <w:pStyle w:val="Frontpagesubhead"/>
        <w:rPr>
          <w:color w:val="auto"/>
          <w:sz w:val="28"/>
          <w:szCs w:val="28"/>
        </w:rPr>
      </w:pPr>
      <w:bookmarkStart w:id="0" w:name="_GoBack"/>
      <w:bookmarkEnd w:id="0"/>
    </w:p>
    <w:p w14:paraId="7B5D35B2" w14:textId="60C28D87" w:rsidR="00F15EE6" w:rsidRDefault="00F15EE6" w:rsidP="00F15EE6">
      <w:pPr>
        <w:pStyle w:val="Frontpagesubhead"/>
        <w:rPr>
          <w:color w:val="auto"/>
          <w:sz w:val="28"/>
          <w:szCs w:val="28"/>
        </w:rPr>
      </w:pPr>
      <w:r>
        <w:rPr>
          <w:color w:val="auto"/>
          <w:sz w:val="28"/>
          <w:szCs w:val="28"/>
        </w:rPr>
        <w:t xml:space="preserve">NHS Digital </w:t>
      </w:r>
    </w:p>
    <w:p w14:paraId="22BC53BA" w14:textId="50FF2965" w:rsidR="00F15EE6" w:rsidRDefault="00F15EE6" w:rsidP="00F15EE6">
      <w:pPr>
        <w:pStyle w:val="Frontpagesubhead"/>
        <w:rPr>
          <w:color w:val="auto"/>
          <w:sz w:val="28"/>
          <w:szCs w:val="28"/>
        </w:rPr>
      </w:pPr>
      <w:r>
        <w:rPr>
          <w:color w:val="auto"/>
          <w:sz w:val="28"/>
          <w:szCs w:val="28"/>
        </w:rPr>
        <w:t>Indicator Supporting Documentation</w:t>
      </w:r>
    </w:p>
    <w:p w14:paraId="67E3D83D" w14:textId="0289AF96" w:rsidR="00F15EE6" w:rsidRDefault="00F15EE6" w:rsidP="00F15EE6">
      <w:pPr>
        <w:pStyle w:val="Frontpagesubhead"/>
        <w:rPr>
          <w:color w:val="auto"/>
          <w:sz w:val="28"/>
          <w:szCs w:val="28"/>
        </w:rPr>
      </w:pPr>
      <w:r>
        <w:rPr>
          <w:color w:val="auto"/>
          <w:sz w:val="28"/>
          <w:szCs w:val="28"/>
        </w:rPr>
        <w:t>IAP00427 Dementia: 65+ Estimated Diagnosis Rate</w:t>
      </w:r>
    </w:p>
    <w:p w14:paraId="115B5B2E" w14:textId="77777777" w:rsidR="00997F6C" w:rsidRDefault="00997F6C" w:rsidP="00997F6C">
      <w:pPr>
        <w:pStyle w:val="Frontpagesubhead"/>
        <w:jc w:val="left"/>
      </w:pPr>
    </w:p>
    <w:p w14:paraId="3C463533" w14:textId="060BE4F6" w:rsidR="00997F6C" w:rsidRPr="00997F6C" w:rsidRDefault="00997F6C" w:rsidP="00997F6C">
      <w:pPr>
        <w:pStyle w:val="Frontpagesubhead"/>
        <w:jc w:val="left"/>
        <w:rPr>
          <w:color w:val="auto"/>
          <w:sz w:val="28"/>
          <w:szCs w:val="28"/>
        </w:rPr>
      </w:pPr>
      <w:r w:rsidRPr="00F15EE6">
        <w:rPr>
          <w:color w:val="auto"/>
        </w:rPr>
        <w:t>Application Form</w:t>
      </w:r>
    </w:p>
    <w:p w14:paraId="3BA2318A" w14:textId="77777777" w:rsidR="00F15EE6" w:rsidRDefault="00F15EE6" w:rsidP="00997F6C">
      <w:pPr>
        <w:pStyle w:val="Frontpagesubhead"/>
        <w:jc w:val="left"/>
        <w:rPr>
          <w:color w:val="auto"/>
          <w:sz w:val="28"/>
          <w:szCs w:val="28"/>
        </w:rPr>
      </w:pPr>
    </w:p>
    <w:p w14:paraId="23C92BA9" w14:textId="1EAF6B4D" w:rsidR="004A3F74" w:rsidRPr="00F15EE6" w:rsidRDefault="004A3F74">
      <w:r w:rsidRPr="00F15EE6">
        <w:t>Section 1. Introduction / Overview</w:t>
      </w:r>
    </w:p>
    <w:tbl>
      <w:tblPr>
        <w:tblStyle w:val="TableGrid1"/>
        <w:tblW w:w="8788" w:type="dxa"/>
        <w:tblLayout w:type="fixed"/>
        <w:tblLook w:val="04A0" w:firstRow="1" w:lastRow="0" w:firstColumn="1" w:lastColumn="0" w:noHBand="0" w:noVBand="1"/>
      </w:tblPr>
      <w:tblGrid>
        <w:gridCol w:w="2126"/>
        <w:gridCol w:w="6662"/>
      </w:tblGrid>
      <w:tr w:rsidR="00F15EE6" w:rsidRPr="00F15EE6" w14:paraId="09237B6A" w14:textId="77777777" w:rsidTr="004A3F74">
        <w:tc>
          <w:tcPr>
            <w:tcW w:w="2126" w:type="dxa"/>
          </w:tcPr>
          <w:p w14:paraId="6C038518" w14:textId="10A31920" w:rsidR="004A3F74" w:rsidRPr="00F15EE6" w:rsidRDefault="004A3F74" w:rsidP="00772A5C">
            <w:pPr>
              <w:spacing w:before="240"/>
              <w:rPr>
                <w:b/>
                <w:sz w:val="22"/>
                <w:szCs w:val="22"/>
              </w:rPr>
            </w:pPr>
            <w:permStart w:id="1510570197" w:edGrp="everyone" w:colFirst="1" w:colLast="1"/>
            <w:r w:rsidRPr="00F15EE6">
              <w:rPr>
                <w:b/>
                <w:sz w:val="22"/>
                <w:szCs w:val="22"/>
              </w:rPr>
              <w:t>1.1 Title</w:t>
            </w:r>
          </w:p>
        </w:tc>
        <w:tc>
          <w:tcPr>
            <w:tcW w:w="6662" w:type="dxa"/>
          </w:tcPr>
          <w:p w14:paraId="5E15E5F3" w14:textId="2C599B63" w:rsidR="004A3F74" w:rsidRPr="00F15EE6" w:rsidRDefault="004A3F74" w:rsidP="00305261">
            <w:pPr>
              <w:spacing w:before="240"/>
              <w:rPr>
                <w:szCs w:val="22"/>
              </w:rPr>
            </w:pPr>
            <w:r w:rsidRPr="00F15EE6">
              <w:rPr>
                <w:szCs w:val="22"/>
              </w:rPr>
              <w:t>Dementia: 65+ Estimated Diagnosis Rate</w:t>
            </w:r>
          </w:p>
        </w:tc>
      </w:tr>
      <w:tr w:rsidR="00F15EE6" w:rsidRPr="00F15EE6" w14:paraId="0921C869" w14:textId="77777777" w:rsidTr="004A3F74">
        <w:tc>
          <w:tcPr>
            <w:tcW w:w="2126" w:type="dxa"/>
          </w:tcPr>
          <w:p w14:paraId="569F663E" w14:textId="40CBA18B" w:rsidR="004A3F74" w:rsidRPr="00F15EE6" w:rsidRDefault="004A3F74" w:rsidP="00772A5C">
            <w:pPr>
              <w:spacing w:before="240"/>
              <w:rPr>
                <w:b/>
                <w:sz w:val="22"/>
                <w:szCs w:val="22"/>
              </w:rPr>
            </w:pPr>
            <w:permStart w:id="1191662455" w:edGrp="everyone" w:colFirst="1" w:colLast="1"/>
            <w:permEnd w:id="1510570197"/>
            <w:r w:rsidRPr="00F15EE6">
              <w:rPr>
                <w:b/>
                <w:sz w:val="22"/>
                <w:szCs w:val="22"/>
              </w:rPr>
              <w:t>1.2 Set or domain</w:t>
            </w:r>
          </w:p>
        </w:tc>
        <w:tc>
          <w:tcPr>
            <w:tcW w:w="6662" w:type="dxa"/>
          </w:tcPr>
          <w:p w14:paraId="3C224638" w14:textId="77777777" w:rsidR="004A3F74" w:rsidRPr="00F15EE6" w:rsidRDefault="004A3F74" w:rsidP="00BE6914">
            <w:pPr>
              <w:numPr>
                <w:ilvl w:val="0"/>
                <w:numId w:val="12"/>
              </w:numPr>
              <w:spacing w:before="240"/>
              <w:rPr>
                <w:szCs w:val="22"/>
              </w:rPr>
            </w:pPr>
            <w:r w:rsidRPr="00F15EE6">
              <w:rPr>
                <w:szCs w:val="22"/>
              </w:rPr>
              <w:t xml:space="preserve">NHS England: Dementia diagnosis monthly workbook (EAS1) </w:t>
            </w:r>
          </w:p>
          <w:p w14:paraId="09ECA930" w14:textId="77777777" w:rsidR="004A3F74" w:rsidRPr="00F15EE6" w:rsidRDefault="004A3F74" w:rsidP="00BE6914">
            <w:pPr>
              <w:numPr>
                <w:ilvl w:val="0"/>
                <w:numId w:val="12"/>
              </w:numPr>
              <w:spacing w:before="240"/>
              <w:rPr>
                <w:szCs w:val="22"/>
              </w:rPr>
            </w:pPr>
            <w:r w:rsidRPr="00F15EE6">
              <w:rPr>
                <w:szCs w:val="22"/>
              </w:rPr>
              <w:t>Public Health Outcomes Framework / Dementia profiles</w:t>
            </w:r>
          </w:p>
          <w:p w14:paraId="57235DEB" w14:textId="77777777" w:rsidR="004A3F74" w:rsidRPr="00F15EE6" w:rsidRDefault="004A3F74" w:rsidP="00D23C3F">
            <w:pPr>
              <w:numPr>
                <w:ilvl w:val="0"/>
                <w:numId w:val="12"/>
              </w:numPr>
              <w:spacing w:before="240"/>
              <w:rPr>
                <w:szCs w:val="22"/>
              </w:rPr>
            </w:pPr>
            <w:r w:rsidRPr="00F15EE6">
              <w:rPr>
                <w:szCs w:val="22"/>
              </w:rPr>
              <w:t>CCG Outcomes Indicator Set</w:t>
            </w:r>
          </w:p>
          <w:p w14:paraId="02D6E527" w14:textId="77777777" w:rsidR="004A3F74" w:rsidRPr="00F15EE6" w:rsidRDefault="004A3F74" w:rsidP="00D23C3F">
            <w:pPr>
              <w:numPr>
                <w:ilvl w:val="0"/>
                <w:numId w:val="12"/>
              </w:numPr>
              <w:spacing w:before="240"/>
              <w:rPr>
                <w:szCs w:val="22"/>
              </w:rPr>
            </w:pPr>
            <w:r w:rsidRPr="00F15EE6">
              <w:rPr>
                <w:szCs w:val="22"/>
              </w:rPr>
              <w:t>CCG Improvement and Assessment Framework</w:t>
            </w:r>
          </w:p>
        </w:tc>
      </w:tr>
      <w:tr w:rsidR="00F15EE6" w:rsidRPr="00F15EE6" w14:paraId="4833C475" w14:textId="77777777" w:rsidTr="004A3F74">
        <w:tc>
          <w:tcPr>
            <w:tcW w:w="2126" w:type="dxa"/>
          </w:tcPr>
          <w:p w14:paraId="02E18342" w14:textId="64A9FC39" w:rsidR="004A3F74" w:rsidRPr="00F15EE6" w:rsidRDefault="004A3F74" w:rsidP="00772A5C">
            <w:pPr>
              <w:spacing w:before="240"/>
              <w:rPr>
                <w:b/>
                <w:sz w:val="22"/>
                <w:szCs w:val="22"/>
              </w:rPr>
            </w:pPr>
            <w:permStart w:id="2021264133" w:edGrp="everyone" w:colFirst="1" w:colLast="1"/>
            <w:permEnd w:id="1191662455"/>
            <w:r w:rsidRPr="00F15EE6">
              <w:rPr>
                <w:b/>
                <w:sz w:val="22"/>
                <w:szCs w:val="22"/>
              </w:rPr>
              <w:t>1.3 Topic area</w:t>
            </w:r>
          </w:p>
        </w:tc>
        <w:tc>
          <w:tcPr>
            <w:tcW w:w="6662" w:type="dxa"/>
          </w:tcPr>
          <w:p w14:paraId="20751F05" w14:textId="77777777" w:rsidR="004A3F74" w:rsidRPr="00F15EE6" w:rsidRDefault="004A3F74" w:rsidP="00772A5C">
            <w:pPr>
              <w:spacing w:before="240"/>
              <w:rPr>
                <w:sz w:val="22"/>
                <w:szCs w:val="22"/>
              </w:rPr>
            </w:pPr>
            <w:r w:rsidRPr="00F15EE6">
              <w:rPr>
                <w:szCs w:val="22"/>
              </w:rPr>
              <w:t>Dementia, Primary Care</w:t>
            </w:r>
          </w:p>
        </w:tc>
      </w:tr>
      <w:tr w:rsidR="00F15EE6" w:rsidRPr="00F15EE6" w14:paraId="5AE92CDC" w14:textId="77777777" w:rsidTr="004A3F74">
        <w:tc>
          <w:tcPr>
            <w:tcW w:w="2126" w:type="dxa"/>
          </w:tcPr>
          <w:p w14:paraId="1A67B265" w14:textId="28CC0213" w:rsidR="004A3F74" w:rsidRPr="00F15EE6" w:rsidRDefault="004A3F74" w:rsidP="00772A5C">
            <w:pPr>
              <w:spacing w:before="240"/>
              <w:rPr>
                <w:b/>
                <w:sz w:val="22"/>
                <w:szCs w:val="22"/>
              </w:rPr>
            </w:pPr>
            <w:permStart w:id="863650260" w:edGrp="everyone" w:colFirst="1" w:colLast="1"/>
            <w:permEnd w:id="2021264133"/>
            <w:r w:rsidRPr="00F15EE6">
              <w:rPr>
                <w:b/>
                <w:sz w:val="22"/>
                <w:szCs w:val="22"/>
              </w:rPr>
              <w:t>1.4Definition</w:t>
            </w:r>
          </w:p>
          <w:p w14:paraId="76983F61" w14:textId="77777777" w:rsidR="004A3F74" w:rsidRPr="00F15EE6" w:rsidRDefault="004A3F74" w:rsidP="006E06ED">
            <w:pPr>
              <w:rPr>
                <w:sz w:val="22"/>
                <w:szCs w:val="22"/>
              </w:rPr>
            </w:pPr>
          </w:p>
          <w:p w14:paraId="0E79F899" w14:textId="77777777" w:rsidR="004A3F74" w:rsidRPr="00F15EE6" w:rsidRDefault="004A3F74" w:rsidP="006E06ED">
            <w:pPr>
              <w:rPr>
                <w:sz w:val="22"/>
                <w:szCs w:val="22"/>
              </w:rPr>
            </w:pPr>
          </w:p>
          <w:p w14:paraId="323B2C33" w14:textId="77777777" w:rsidR="004A3F74" w:rsidRPr="00F15EE6" w:rsidRDefault="004A3F74" w:rsidP="006E06ED">
            <w:pPr>
              <w:rPr>
                <w:sz w:val="22"/>
                <w:szCs w:val="22"/>
              </w:rPr>
            </w:pPr>
          </w:p>
          <w:p w14:paraId="706BB73B" w14:textId="77777777" w:rsidR="004A3F74" w:rsidRPr="00F15EE6" w:rsidRDefault="004A3F74" w:rsidP="006E06ED">
            <w:pPr>
              <w:rPr>
                <w:sz w:val="22"/>
                <w:szCs w:val="22"/>
              </w:rPr>
            </w:pPr>
          </w:p>
          <w:p w14:paraId="02C05392" w14:textId="77777777" w:rsidR="004A3F74" w:rsidRPr="00F15EE6" w:rsidRDefault="004A3F74" w:rsidP="006E06ED">
            <w:pPr>
              <w:rPr>
                <w:sz w:val="22"/>
                <w:szCs w:val="22"/>
              </w:rPr>
            </w:pPr>
          </w:p>
          <w:p w14:paraId="2BD3C9EC" w14:textId="77777777" w:rsidR="004A3F74" w:rsidRPr="00F15EE6" w:rsidRDefault="004A3F74" w:rsidP="006E06ED">
            <w:pPr>
              <w:rPr>
                <w:sz w:val="22"/>
                <w:szCs w:val="22"/>
              </w:rPr>
            </w:pPr>
          </w:p>
          <w:p w14:paraId="5D8D5B72" w14:textId="77777777" w:rsidR="004A3F74" w:rsidRPr="00F15EE6" w:rsidRDefault="004A3F74" w:rsidP="006E06ED">
            <w:pPr>
              <w:rPr>
                <w:sz w:val="22"/>
                <w:szCs w:val="22"/>
              </w:rPr>
            </w:pPr>
          </w:p>
          <w:p w14:paraId="5A2D40AD" w14:textId="12FA1449" w:rsidR="004A3F74" w:rsidRPr="00F15EE6" w:rsidRDefault="004A3F74" w:rsidP="00BC3670">
            <w:pPr>
              <w:rPr>
                <w:sz w:val="22"/>
                <w:szCs w:val="22"/>
              </w:rPr>
            </w:pPr>
          </w:p>
          <w:p w14:paraId="1EE8EF44" w14:textId="77777777" w:rsidR="004A3F74" w:rsidRPr="00F15EE6" w:rsidRDefault="004A3F74" w:rsidP="006E06ED">
            <w:pPr>
              <w:ind w:firstLine="720"/>
              <w:rPr>
                <w:sz w:val="22"/>
                <w:szCs w:val="22"/>
              </w:rPr>
            </w:pPr>
          </w:p>
        </w:tc>
        <w:tc>
          <w:tcPr>
            <w:tcW w:w="6662" w:type="dxa"/>
          </w:tcPr>
          <w:p w14:paraId="173395D3" w14:textId="77777777" w:rsidR="004A3F74" w:rsidRPr="00F15EE6" w:rsidRDefault="004A3F74" w:rsidP="00305261">
            <w:r w:rsidRPr="00F15EE6">
              <w:t>The indicator value is the estimated diagnosis rate for dementia in persons aged 65 and over, defined as the number diagnosed with dementia divided by the number estimated to have dementia given the characteristics of the population, expressed per 100 persons estimated to have dementia.</w:t>
            </w:r>
          </w:p>
          <w:p w14:paraId="31077DEB" w14:textId="77777777" w:rsidR="004A3F74" w:rsidRPr="00F15EE6" w:rsidRDefault="004A3F74" w:rsidP="00BB06A8">
            <w:r w:rsidRPr="00F15EE6">
              <w:t>More precisely, applying the estimated age and sex-specific 65+ prevalence rates of the reference population (the Cognitive Function Aging Study II (CFAS II) sample) to the age and sex structure of the subject population (all 65+ patients under the care of a given organisation extracted from the General Practice Extraction Service (GPES)), yields the number of people 65+ one could estimate to have dementia within the subject population regardless of diagnosis. Dividing the actual number of cases recorded for said organisation (again extracted from GPES) by the estimated number yields the estimated diagnosis rate.</w:t>
            </w:r>
          </w:p>
          <w:p w14:paraId="0776780A" w14:textId="77777777" w:rsidR="004A3F74" w:rsidRPr="00F15EE6" w:rsidRDefault="004A3F74" w:rsidP="00D23C3F">
            <w:r w:rsidRPr="00F15EE6">
              <w:t xml:space="preserve">The indicator reports a monthly snapshot of the final day of the month, at: </w:t>
            </w:r>
          </w:p>
          <w:p w14:paraId="66E7DF0A" w14:textId="77777777" w:rsidR="004A3F74" w:rsidRPr="00F15EE6" w:rsidRDefault="004A3F74" w:rsidP="00BE6914">
            <w:pPr>
              <w:pStyle w:val="ListParagraph"/>
              <w:numPr>
                <w:ilvl w:val="0"/>
                <w:numId w:val="13"/>
              </w:numPr>
            </w:pPr>
            <w:r w:rsidRPr="00F15EE6">
              <w:t xml:space="preserve">Clinical Commissioning Group (CCG), NHS Commissioning Region, NHS Commissioning Sub-Region and England level, aggregated from GP </w:t>
            </w:r>
            <w:r w:rsidRPr="00F15EE6">
              <w:lastRenderedPageBreak/>
              <w:t>practice level data mapped by commissioning organisation of responsibility.</w:t>
            </w:r>
          </w:p>
          <w:p w14:paraId="68646071" w14:textId="77777777" w:rsidR="004A3F74" w:rsidRPr="00F15EE6" w:rsidRDefault="004A3F74" w:rsidP="00BE6914">
            <w:pPr>
              <w:pStyle w:val="ListParagraph"/>
              <w:numPr>
                <w:ilvl w:val="0"/>
                <w:numId w:val="13"/>
              </w:numPr>
            </w:pPr>
            <w:r w:rsidRPr="00F15EE6">
              <w:t>Local Authority, Public Health Region, Public Health Comparator Organisations and England level, aggregated from GP practice level data mapped by postcode of GP practice</w:t>
            </w:r>
          </w:p>
          <w:p w14:paraId="6DD4B8C6" w14:textId="77777777" w:rsidR="004A3F74" w:rsidRPr="00F15EE6" w:rsidRDefault="004A3F74" w:rsidP="00BE6914">
            <w:pPr>
              <w:pStyle w:val="ListParagraph"/>
              <w:numPr>
                <w:ilvl w:val="0"/>
                <w:numId w:val="13"/>
              </w:numPr>
            </w:pPr>
            <w:r w:rsidRPr="00F15EE6">
              <w:t>Clinical Commissioning Group (CCG) and England level mapped by commissioning organisation of responsibility</w:t>
            </w:r>
          </w:p>
          <w:p w14:paraId="14C16916" w14:textId="77777777" w:rsidR="004A3F74" w:rsidRPr="00F15EE6" w:rsidRDefault="004A3F74" w:rsidP="00BE6914">
            <w:pPr>
              <w:pStyle w:val="ListParagraph"/>
              <w:numPr>
                <w:ilvl w:val="0"/>
                <w:numId w:val="13"/>
              </w:numPr>
            </w:pPr>
            <w:r w:rsidRPr="00F15EE6">
              <w:t>Clinical Commissioning Group (CCG) mapped by commissioning organisation of responsibility</w:t>
            </w:r>
          </w:p>
        </w:tc>
      </w:tr>
      <w:tr w:rsidR="00F15EE6" w:rsidRPr="00F15EE6" w14:paraId="2C481D9F" w14:textId="77777777" w:rsidTr="004A3F74">
        <w:tc>
          <w:tcPr>
            <w:tcW w:w="2126" w:type="dxa"/>
          </w:tcPr>
          <w:p w14:paraId="23251AD9" w14:textId="4FD43152" w:rsidR="004A3F74" w:rsidRPr="00F15EE6" w:rsidRDefault="004A3F74" w:rsidP="00772A5C">
            <w:pPr>
              <w:spacing w:before="240"/>
              <w:rPr>
                <w:b/>
                <w:sz w:val="22"/>
                <w:szCs w:val="22"/>
              </w:rPr>
            </w:pPr>
            <w:permStart w:id="1480859545" w:edGrp="everyone" w:colFirst="1" w:colLast="1"/>
            <w:permEnd w:id="863650260"/>
            <w:r w:rsidRPr="00F15EE6">
              <w:rPr>
                <w:b/>
                <w:sz w:val="22"/>
                <w:szCs w:val="22"/>
              </w:rPr>
              <w:lastRenderedPageBreak/>
              <w:t>1.5 Indicator owner &amp; contact details</w:t>
            </w:r>
          </w:p>
        </w:tc>
        <w:tc>
          <w:tcPr>
            <w:tcW w:w="6662" w:type="dxa"/>
          </w:tcPr>
          <w:p w14:paraId="6183C8A7" w14:textId="77777777" w:rsidR="004A3F74" w:rsidRPr="00F15EE6" w:rsidRDefault="004A3F74" w:rsidP="00772A5C">
            <w:pPr>
              <w:spacing w:before="240"/>
            </w:pPr>
            <w:r w:rsidRPr="00F15EE6">
              <w:t>Kathryn Salt, Primary Care Domain, NHS Digital</w:t>
            </w:r>
          </w:p>
          <w:p w14:paraId="17B595FF" w14:textId="77777777" w:rsidR="004A3F74" w:rsidRPr="00F15EE6" w:rsidRDefault="000E3494" w:rsidP="0027452B">
            <w:pPr>
              <w:spacing w:before="240"/>
              <w:rPr>
                <w:sz w:val="22"/>
                <w:szCs w:val="22"/>
              </w:rPr>
            </w:pPr>
            <w:hyperlink r:id="rId8" w:history="1">
              <w:r w:rsidR="004A3F74" w:rsidRPr="00F15EE6">
                <w:rPr>
                  <w:rStyle w:val="Hyperlink"/>
                  <w:rFonts w:ascii="Arial" w:hAnsi="Arial"/>
                  <w:color w:val="auto"/>
                </w:rPr>
                <w:t>Primarycare.domain@NHS.net</w:t>
              </w:r>
            </w:hyperlink>
          </w:p>
        </w:tc>
      </w:tr>
      <w:tr w:rsidR="00F15EE6" w:rsidRPr="00F15EE6" w14:paraId="52EDD884" w14:textId="77777777" w:rsidTr="004A3F74">
        <w:tc>
          <w:tcPr>
            <w:tcW w:w="2126" w:type="dxa"/>
          </w:tcPr>
          <w:p w14:paraId="0C2CDAA4" w14:textId="57DC8AFC" w:rsidR="004A3F74" w:rsidRPr="00F15EE6" w:rsidRDefault="004A3F74" w:rsidP="00772A5C">
            <w:pPr>
              <w:spacing w:before="240"/>
              <w:rPr>
                <w:b/>
                <w:sz w:val="22"/>
                <w:szCs w:val="22"/>
              </w:rPr>
            </w:pPr>
            <w:permStart w:id="1306616012" w:edGrp="everyone" w:colFirst="1" w:colLast="1"/>
            <w:permEnd w:id="1480859545"/>
            <w:r w:rsidRPr="00F15EE6">
              <w:rPr>
                <w:b/>
                <w:sz w:val="22"/>
                <w:szCs w:val="22"/>
              </w:rPr>
              <w:t>1.6 Publication status</w:t>
            </w:r>
          </w:p>
        </w:tc>
        <w:sdt>
          <w:sdtPr>
            <w:alias w:val="Publication status"/>
            <w:tag w:val="Publication status"/>
            <w:id w:val="-694159432"/>
            <w:placeholder>
              <w:docPart w:val="A3E7F45956AD48C18696E92BFD2177F9"/>
            </w:placeholder>
            <w:comboBox>
              <w:listItem w:value="Choose an item."/>
              <w:listItem w:displayText="Currently in publication" w:value="Currently in publication"/>
              <w:listItem w:displayText="Not currently in publication" w:value="Not currently in publication"/>
            </w:comboBox>
          </w:sdtPr>
          <w:sdtEndPr/>
          <w:sdtContent>
            <w:tc>
              <w:tcPr>
                <w:tcW w:w="6662" w:type="dxa"/>
              </w:tcPr>
              <w:p w14:paraId="2FCC7D40" w14:textId="77777777" w:rsidR="004A3F74" w:rsidRPr="00F15EE6" w:rsidRDefault="004A3F74" w:rsidP="00772A5C">
                <w:pPr>
                  <w:spacing w:before="240"/>
                  <w:rPr>
                    <w:sz w:val="22"/>
                    <w:szCs w:val="22"/>
                  </w:rPr>
                </w:pPr>
                <w:r w:rsidRPr="00F15EE6">
                  <w:t>Not currently in publication</w:t>
                </w:r>
              </w:p>
            </w:tc>
          </w:sdtContent>
        </w:sdt>
      </w:tr>
    </w:tbl>
    <w:permEnd w:id="1306616012"/>
    <w:p w14:paraId="4AB43E9E" w14:textId="5474F1E7" w:rsidR="004A3F74" w:rsidRPr="00F15EE6" w:rsidRDefault="004A3F74">
      <w:r w:rsidRPr="00F15EE6">
        <w:t>Section 2. Rationale</w:t>
      </w:r>
    </w:p>
    <w:tbl>
      <w:tblPr>
        <w:tblStyle w:val="TableGrid1"/>
        <w:tblW w:w="8788" w:type="dxa"/>
        <w:tblLayout w:type="fixed"/>
        <w:tblLook w:val="04A0" w:firstRow="1" w:lastRow="0" w:firstColumn="1" w:lastColumn="0" w:noHBand="0" w:noVBand="1"/>
      </w:tblPr>
      <w:tblGrid>
        <w:gridCol w:w="2126"/>
        <w:gridCol w:w="6662"/>
      </w:tblGrid>
      <w:tr w:rsidR="00F15EE6" w:rsidRPr="00F15EE6" w14:paraId="17E19DA9" w14:textId="77777777" w:rsidTr="004A3F74">
        <w:tc>
          <w:tcPr>
            <w:tcW w:w="2126" w:type="dxa"/>
          </w:tcPr>
          <w:p w14:paraId="7270F1B9" w14:textId="33BC6C13" w:rsidR="004A3F74" w:rsidRPr="00F15EE6" w:rsidRDefault="004A3F74" w:rsidP="00772A5C">
            <w:pPr>
              <w:spacing w:before="240"/>
              <w:rPr>
                <w:b/>
                <w:sz w:val="22"/>
                <w:szCs w:val="22"/>
              </w:rPr>
            </w:pPr>
            <w:permStart w:id="1012427394" w:edGrp="everyone" w:colFirst="1" w:colLast="1"/>
            <w:r w:rsidRPr="00F15EE6">
              <w:rPr>
                <w:b/>
                <w:sz w:val="22"/>
                <w:szCs w:val="22"/>
              </w:rPr>
              <w:t>2.1 Purpose</w:t>
            </w:r>
          </w:p>
        </w:tc>
        <w:tc>
          <w:tcPr>
            <w:tcW w:w="6662" w:type="dxa"/>
          </w:tcPr>
          <w:p w14:paraId="71F64342" w14:textId="77777777" w:rsidR="004A3F74" w:rsidRPr="00F15EE6" w:rsidRDefault="004A3F74" w:rsidP="003C0133">
            <w:pPr>
              <w:pStyle w:val="Heading4"/>
              <w:numPr>
                <w:ilvl w:val="0"/>
                <w:numId w:val="14"/>
              </w:numPr>
              <w:outlineLvl w:val="3"/>
              <w:rPr>
                <w:b w:val="0"/>
                <w:color w:val="auto"/>
              </w:rPr>
            </w:pPr>
            <w:r w:rsidRPr="00F15EE6">
              <w:rPr>
                <w:b w:val="0"/>
                <w:color w:val="auto"/>
              </w:rPr>
              <w:t>NHS England: EAS1</w:t>
            </w:r>
          </w:p>
          <w:p w14:paraId="0F7F4154" w14:textId="77777777" w:rsidR="004A3F74" w:rsidRPr="00F15EE6" w:rsidRDefault="004A3F74" w:rsidP="008A6E35">
            <w:pPr>
              <w:pStyle w:val="Heading4"/>
              <w:outlineLvl w:val="3"/>
              <w:rPr>
                <w:b w:val="0"/>
                <w:color w:val="auto"/>
              </w:rPr>
            </w:pPr>
            <w:r w:rsidRPr="00F15EE6">
              <w:rPr>
                <w:b w:val="0"/>
                <w:color w:val="auto"/>
              </w:rPr>
              <w:t>To monitor performance in increasing England’s dementia diagnosis rate, and to categorise the diagnosis rate of individual organisations as significantly higher, significantly lower, and neither significantly higher nor lower than the target 66.7% diagnosis rate.</w:t>
            </w:r>
          </w:p>
          <w:p w14:paraId="1FF9DADB" w14:textId="77777777" w:rsidR="004A3F74" w:rsidRPr="00F15EE6" w:rsidRDefault="004A3F74" w:rsidP="008A6E35">
            <w:pPr>
              <w:pStyle w:val="Heading4"/>
              <w:outlineLvl w:val="3"/>
              <w:rPr>
                <w:b w:val="0"/>
                <w:color w:val="auto"/>
              </w:rPr>
            </w:pPr>
            <w:r w:rsidRPr="00F15EE6">
              <w:rPr>
                <w:b w:val="0"/>
                <w:color w:val="auto"/>
              </w:rPr>
              <w:t>Whilst the national target has been achieved, variation still exists across the country and is now the focus of improvement plans at various local levels.</w:t>
            </w:r>
          </w:p>
          <w:p w14:paraId="4F4DC4E5" w14:textId="3640B921" w:rsidR="004A3F74" w:rsidRPr="00F15EE6" w:rsidRDefault="004A3F74" w:rsidP="00893989">
            <w:r w:rsidRPr="00F15EE6">
              <w:t>The indicator will be used by NHS England, NHS Commissioning Region Teams, NHS Area Teams and Clinical Commissioning Groups for improving dementia diagnosis rates.</w:t>
            </w:r>
          </w:p>
          <w:p w14:paraId="75876E03" w14:textId="77777777" w:rsidR="004A3F74" w:rsidRPr="00F15EE6" w:rsidRDefault="004A3F74" w:rsidP="003C0133">
            <w:pPr>
              <w:pStyle w:val="ListParagraph"/>
              <w:numPr>
                <w:ilvl w:val="0"/>
                <w:numId w:val="14"/>
              </w:numPr>
            </w:pPr>
            <w:r w:rsidRPr="00F15EE6">
              <w:t>PHOF / Dementia Profiles</w:t>
            </w:r>
          </w:p>
          <w:p w14:paraId="67946DB6" w14:textId="26FDA771" w:rsidR="004A3F74" w:rsidRPr="00F15EE6" w:rsidRDefault="004A3F74" w:rsidP="00893989">
            <w:r w:rsidRPr="00F15EE6">
              <w:t xml:space="preserve">To provide Public Health England, Local Authorities, other organisations and the public with information about the estimated rate of diagnosis of dementia in general practice, as part of PHE’s public health surveillance role.  The indicator has been selected for the PHOF because of the importance of dementia in determining quality of life for older people and the scarcity of information on the topic.  </w:t>
            </w:r>
          </w:p>
          <w:p w14:paraId="4441CC70" w14:textId="77777777" w:rsidR="004A3F74" w:rsidRPr="00F15EE6" w:rsidRDefault="004A3F74" w:rsidP="00BA028B">
            <w:pPr>
              <w:pStyle w:val="ListParagraph"/>
              <w:numPr>
                <w:ilvl w:val="0"/>
                <w:numId w:val="14"/>
              </w:numPr>
            </w:pPr>
            <w:r w:rsidRPr="00F15EE6">
              <w:t xml:space="preserve">CCG OIS </w:t>
            </w:r>
          </w:p>
          <w:p w14:paraId="2B4CBF0D" w14:textId="77777777" w:rsidR="004A3F74" w:rsidRPr="00F15EE6" w:rsidRDefault="004A3F74" w:rsidP="00BC1C0F">
            <w:r w:rsidRPr="00F15EE6">
              <w:t>The purpose of this indicator is to measure the estimated dementia diagnosis rate, allowing CCGs to compare their indicator value to the national target, and where population characteristics are similar, to peer CCGs.</w:t>
            </w:r>
          </w:p>
          <w:p w14:paraId="3A4A31CF" w14:textId="77777777" w:rsidR="004A3F74" w:rsidRPr="00F15EE6" w:rsidRDefault="004A3F74" w:rsidP="00BA028B">
            <w:pPr>
              <w:pStyle w:val="ListParagraph"/>
              <w:numPr>
                <w:ilvl w:val="0"/>
                <w:numId w:val="14"/>
              </w:numPr>
            </w:pPr>
            <w:r w:rsidRPr="00F15EE6">
              <w:lastRenderedPageBreak/>
              <w:t>CCG IAF</w:t>
            </w:r>
          </w:p>
          <w:p w14:paraId="4B65B51B" w14:textId="77777777" w:rsidR="004A3F74" w:rsidRPr="00F15EE6" w:rsidRDefault="004A3F74" w:rsidP="006B07CF">
            <w:r w:rsidRPr="00F15EE6">
              <w:t>Assessment of CCGs performance in meeting and maintaining the national ambition of a diagnosis rate of two thirds of local prevalence.</w:t>
            </w:r>
          </w:p>
        </w:tc>
      </w:tr>
      <w:tr w:rsidR="00F15EE6" w:rsidRPr="00F15EE6" w14:paraId="05F531F2" w14:textId="77777777" w:rsidTr="004A3F74">
        <w:tc>
          <w:tcPr>
            <w:tcW w:w="2126" w:type="dxa"/>
          </w:tcPr>
          <w:p w14:paraId="10E15055" w14:textId="1CF29139" w:rsidR="004A3F74" w:rsidRPr="00F15EE6" w:rsidRDefault="004A3F74" w:rsidP="00772A5C">
            <w:pPr>
              <w:spacing w:before="240"/>
              <w:rPr>
                <w:b/>
                <w:sz w:val="22"/>
                <w:szCs w:val="22"/>
              </w:rPr>
            </w:pPr>
            <w:permStart w:id="1002261570" w:edGrp="everyone" w:colFirst="1" w:colLast="1"/>
            <w:permEnd w:id="1012427394"/>
            <w:r w:rsidRPr="00F15EE6">
              <w:rPr>
                <w:b/>
                <w:sz w:val="22"/>
                <w:szCs w:val="22"/>
              </w:rPr>
              <w:lastRenderedPageBreak/>
              <w:t>2.2 Sponsor</w:t>
            </w:r>
          </w:p>
        </w:tc>
        <w:tc>
          <w:tcPr>
            <w:tcW w:w="6662" w:type="dxa"/>
          </w:tcPr>
          <w:p w14:paraId="2ED39483" w14:textId="77777777" w:rsidR="004A3F74" w:rsidRPr="00F15EE6" w:rsidRDefault="004A3F74" w:rsidP="00D23C3F">
            <w:pPr>
              <w:spacing w:before="240"/>
            </w:pPr>
            <w:r w:rsidRPr="00F15EE6">
              <w:t xml:space="preserve">Carl Child, NHS England </w:t>
            </w:r>
          </w:p>
        </w:tc>
      </w:tr>
      <w:tr w:rsidR="00F15EE6" w:rsidRPr="00F15EE6" w14:paraId="1ED981B0" w14:textId="77777777" w:rsidTr="004A3F74">
        <w:tc>
          <w:tcPr>
            <w:tcW w:w="2126" w:type="dxa"/>
          </w:tcPr>
          <w:p w14:paraId="02C71BED" w14:textId="171C28AF" w:rsidR="004A3F74" w:rsidRPr="00F15EE6" w:rsidRDefault="004A3F74" w:rsidP="00772A5C">
            <w:pPr>
              <w:spacing w:before="240"/>
              <w:rPr>
                <w:b/>
                <w:sz w:val="22"/>
                <w:szCs w:val="22"/>
              </w:rPr>
            </w:pPr>
            <w:permStart w:id="1939996731" w:edGrp="everyone" w:colFirst="1" w:colLast="1"/>
            <w:permEnd w:id="1002261570"/>
            <w:r w:rsidRPr="00F15EE6">
              <w:rPr>
                <w:b/>
                <w:sz w:val="22"/>
                <w:szCs w:val="22"/>
              </w:rPr>
              <w:t>2.3 Endorsement</w:t>
            </w:r>
          </w:p>
        </w:tc>
        <w:tc>
          <w:tcPr>
            <w:tcW w:w="6662" w:type="dxa"/>
          </w:tcPr>
          <w:p w14:paraId="2B870441" w14:textId="77777777" w:rsidR="004A3F74" w:rsidRPr="00F15EE6" w:rsidRDefault="004A3F74" w:rsidP="00690C59">
            <w:pPr>
              <w:spacing w:before="240"/>
            </w:pPr>
            <w:r w:rsidRPr="00F15EE6">
              <w:t xml:space="preserve">NHS England and Public Health England both favour the use of CFAS II, allowing for a unified approach across two sections of the health system with a single indicator methodology. </w:t>
            </w:r>
          </w:p>
          <w:p w14:paraId="75BAEB15" w14:textId="77777777" w:rsidR="004A3F74" w:rsidRPr="00F15EE6" w:rsidRDefault="004A3F74" w:rsidP="00690C59">
            <w:pPr>
              <w:spacing w:before="240"/>
            </w:pPr>
            <w:r w:rsidRPr="00F15EE6">
              <w:t>CFAS II support use of their prevalence data in local planning (as stated in their research). CFAS II finds no heterogeneity between the six study sites (two in each of Cambridge, Newcastle and Nottingham) from which prevalence rates were derived, implying that the results can be scaled up to larger populations and used in the manner described.</w:t>
            </w:r>
          </w:p>
        </w:tc>
      </w:tr>
      <w:tr w:rsidR="00F15EE6" w:rsidRPr="00F15EE6" w14:paraId="0957432F" w14:textId="77777777" w:rsidTr="004A3F74">
        <w:tc>
          <w:tcPr>
            <w:tcW w:w="2126" w:type="dxa"/>
          </w:tcPr>
          <w:p w14:paraId="520F9993" w14:textId="5559ADAC" w:rsidR="004A3F74" w:rsidRPr="00F15EE6" w:rsidRDefault="004A3F74" w:rsidP="00772A5C">
            <w:pPr>
              <w:spacing w:before="240"/>
              <w:rPr>
                <w:b/>
                <w:sz w:val="22"/>
                <w:szCs w:val="22"/>
              </w:rPr>
            </w:pPr>
            <w:permStart w:id="1924421463" w:edGrp="everyone" w:colFirst="1" w:colLast="1"/>
            <w:permEnd w:id="1939996731"/>
            <w:r w:rsidRPr="00F15EE6">
              <w:rPr>
                <w:b/>
                <w:sz w:val="22"/>
                <w:szCs w:val="22"/>
              </w:rPr>
              <w:t>2.4Evidence and Policy base</w:t>
            </w:r>
          </w:p>
          <w:p w14:paraId="3B837D23" w14:textId="77777777" w:rsidR="004A3F74" w:rsidRPr="00F15EE6" w:rsidRDefault="004A3F74" w:rsidP="002C446A">
            <w:pPr>
              <w:rPr>
                <w:sz w:val="22"/>
                <w:szCs w:val="22"/>
              </w:rPr>
            </w:pPr>
            <w:r w:rsidRPr="00F15EE6">
              <w:rPr>
                <w:sz w:val="22"/>
                <w:szCs w:val="22"/>
              </w:rPr>
              <w:t>Including related national incentives, critical business question, NICE quality standard and set or domain rationale, if appropriate</w:t>
            </w:r>
          </w:p>
        </w:tc>
        <w:tc>
          <w:tcPr>
            <w:tcW w:w="6662" w:type="dxa"/>
          </w:tcPr>
          <w:p w14:paraId="3E646E4C" w14:textId="77777777" w:rsidR="004A3F74" w:rsidRPr="00F15EE6" w:rsidRDefault="004A3F74" w:rsidP="00917964">
            <w:pPr>
              <w:pStyle w:val="Heading4"/>
              <w:outlineLvl w:val="3"/>
              <w:rPr>
                <w:b w:val="0"/>
                <w:color w:val="auto"/>
              </w:rPr>
            </w:pPr>
            <w:r w:rsidRPr="00F15EE6">
              <w:rPr>
                <w:b w:val="0"/>
                <w:color w:val="auto"/>
              </w:rPr>
              <w:t>Then Prime Minister David Cameron launched the Dementia Challenge in 2012 (</w:t>
            </w:r>
            <w:hyperlink r:id="rId9" w:history="1">
              <w:r w:rsidRPr="00F15EE6">
                <w:rPr>
                  <w:b w:val="0"/>
                  <w:color w:val="auto"/>
                </w:rPr>
                <w:t>http://dementiachallenge.dh.gov.uk/</w:t>
              </w:r>
            </w:hyperlink>
            <w:r w:rsidRPr="00F15EE6">
              <w:rPr>
                <w:b w:val="0"/>
                <w:color w:val="auto"/>
              </w:rPr>
              <w:t>), to build on the 2009 National Dementia Strategy. A key component of the challenge is to improve diagnosis rates for dementia, so that more patients suffering from dementia are given a formal diagnosis so that they can receive the appropriate post-diagnostic care and support.</w:t>
            </w:r>
          </w:p>
          <w:p w14:paraId="2DE8377F" w14:textId="77777777" w:rsidR="004A3F74" w:rsidRPr="00F15EE6" w:rsidRDefault="004A3F74" w:rsidP="00917964"/>
          <w:p w14:paraId="40A5CD77" w14:textId="6C0AFAFB" w:rsidR="004A3F74" w:rsidRPr="00F15EE6" w:rsidRDefault="004A3F74" w:rsidP="00917964">
            <w:pPr>
              <w:pStyle w:val="Heading4"/>
              <w:outlineLvl w:val="3"/>
              <w:rPr>
                <w:b w:val="0"/>
                <w:color w:val="auto"/>
              </w:rPr>
            </w:pPr>
            <w:r w:rsidRPr="00F15EE6">
              <w:rPr>
                <w:b w:val="0"/>
                <w:color w:val="auto"/>
              </w:rPr>
              <w:t>This commitment was further supported by the NHS 2014-15 mandate which set a target of increasing the Estimated Dementia Diagnosis Rate to two-thirds by March 2015 and to sustain this throughout 2015/16 (</w:t>
            </w:r>
            <w:hyperlink r:id="rId10" w:history="1">
              <w:r w:rsidRPr="00F15EE6">
                <w:rPr>
                  <w:rStyle w:val="Hyperlink"/>
                  <w:rFonts w:ascii="Arial" w:hAnsi="Arial"/>
                  <w:b w:val="0"/>
                  <w:color w:val="auto"/>
                </w:rPr>
                <w:t>https://www.england.nhs.uk/2013/05/dementia-targets/</w:t>
              </w:r>
            </w:hyperlink>
            <w:r w:rsidRPr="00F15EE6">
              <w:rPr>
                <w:b w:val="0"/>
                <w:color w:val="auto"/>
              </w:rPr>
              <w:t xml:space="preserve">). This Mandate commitment had continued since then as it remains a key priority for NHS England. Continued monitoring is important to maintain focus on dementia. </w:t>
            </w:r>
          </w:p>
          <w:p w14:paraId="33C82F44" w14:textId="136E64C5" w:rsidR="004A3F74" w:rsidRPr="00F15EE6" w:rsidRDefault="004A3F74" w:rsidP="00917964"/>
          <w:p w14:paraId="5D670282" w14:textId="796A9141" w:rsidR="004A3F74" w:rsidRPr="00F15EE6" w:rsidRDefault="004A3F74" w:rsidP="00917964"/>
          <w:p w14:paraId="53D8276B" w14:textId="77777777" w:rsidR="004A3F74" w:rsidRPr="00F15EE6" w:rsidRDefault="004A3F74" w:rsidP="009833BB">
            <w:r w:rsidRPr="00F15EE6">
              <w:t xml:space="preserve">Timely diagnosis and intervention </w:t>
            </w:r>
            <w:proofErr w:type="gramStart"/>
            <w:r w:rsidRPr="00F15EE6">
              <w:t>is</w:t>
            </w:r>
            <w:proofErr w:type="gramEnd"/>
            <w:r w:rsidRPr="00F15EE6">
              <w:t xml:space="preserve"> a key objective of the National Dementia Strategy and has been reinforced as a priority in the Prime Minister's Challenge on Dementia, published on 26 March 2012. Diagnosis rates for dementia vary across the country. Too often, diagnosis comes too late - during a crisis or beyond the point at which people can plan for the future and make informed choices about how they would like to be cared for. For example, a fall leading to admission to hospital. NHS England has set the first ever national ambition to improve dementia diagnosis rates. By 2015, the aim was that two-thirds of people with dementia </w:t>
            </w:r>
            <w:r w:rsidRPr="00F15EE6">
              <w:lastRenderedPageBreak/>
              <w:t>should have a diagnosis, with appropriate post diagnosis support. Although this aim was achieved at a national level, regional variation still exists.</w:t>
            </w:r>
          </w:p>
          <w:p w14:paraId="266D06D2" w14:textId="4DEE5D6D" w:rsidR="004A3F74" w:rsidRPr="00F15EE6" w:rsidRDefault="004A3F74" w:rsidP="009833BB">
            <w:r w:rsidRPr="00F15EE6">
              <w:t xml:space="preserve">This indicator acts as a gateway to ensuring that appropriate post-diagnostic support is made available to all who require it. It is also a metric in the CCG IAF and a key indicator for our dementia well-pathway. There are a range of outcomes targeted for people with dementia and their </w:t>
            </w:r>
            <w:proofErr w:type="spellStart"/>
            <w:r w:rsidRPr="00F15EE6">
              <w:t>carers</w:t>
            </w:r>
            <w:proofErr w:type="spellEnd"/>
            <w:r w:rsidRPr="00F15EE6">
              <w:t xml:space="preserve"> as set out below. Improving diagnosis rates has a key role to play in the ability to achieve these outcomes:</w:t>
            </w:r>
          </w:p>
          <w:p w14:paraId="3FAB5CB0" w14:textId="77777777" w:rsidR="004A3F74" w:rsidRPr="00F15EE6" w:rsidRDefault="004A3F74" w:rsidP="00F4293D">
            <w:pPr>
              <w:pStyle w:val="ListParagraph"/>
              <w:numPr>
                <w:ilvl w:val="0"/>
                <w:numId w:val="10"/>
              </w:numPr>
            </w:pPr>
            <w:r w:rsidRPr="00F15EE6">
              <w:t>Slower progression of the condition which might be possible with early diagnosis and the prescription of appropriate drugs for certain types of dementia (e.g. Alzheimer’s</w:t>
            </w:r>
            <w:proofErr w:type="gramStart"/>
            <w:r w:rsidRPr="00F15EE6">
              <w:t>);</w:t>
            </w:r>
            <w:proofErr w:type="gramEnd"/>
          </w:p>
          <w:p w14:paraId="2C0FA0D5" w14:textId="77777777" w:rsidR="004A3F74" w:rsidRPr="00F15EE6" w:rsidRDefault="004A3F74" w:rsidP="00F4293D">
            <w:pPr>
              <w:pStyle w:val="ListParagraph"/>
              <w:numPr>
                <w:ilvl w:val="0"/>
                <w:numId w:val="10"/>
              </w:numPr>
            </w:pPr>
            <w:r w:rsidRPr="00F15EE6">
              <w:t xml:space="preserve">Improved ability to cope with symptoms of dementia and the consequential deferred institutionalisation which might be deliverable through early diagnosis and better information, support and </w:t>
            </w:r>
            <w:proofErr w:type="gramStart"/>
            <w:r w:rsidRPr="00F15EE6">
              <w:t>treatment;</w:t>
            </w:r>
            <w:proofErr w:type="gramEnd"/>
          </w:p>
          <w:p w14:paraId="6E99DD7F" w14:textId="77777777" w:rsidR="004A3F74" w:rsidRPr="00F15EE6" w:rsidRDefault="004A3F74" w:rsidP="00F4293D">
            <w:pPr>
              <w:pStyle w:val="ListParagraph"/>
              <w:numPr>
                <w:ilvl w:val="0"/>
                <w:numId w:val="10"/>
              </w:numPr>
            </w:pPr>
            <w:r w:rsidRPr="00F15EE6">
              <w:t xml:space="preserve">Avoidance of side effects associated with inappropriate medication which might be deliverable through better detection of dementia, better training of staff working in hospitals and care homes, and dramatically reduced reliance upon anti-psychotic </w:t>
            </w:r>
            <w:proofErr w:type="gramStart"/>
            <w:r w:rsidRPr="00F15EE6">
              <w:t>drugs;</w:t>
            </w:r>
            <w:proofErr w:type="gramEnd"/>
          </w:p>
          <w:p w14:paraId="1FD35457" w14:textId="77777777" w:rsidR="004A3F74" w:rsidRPr="00F15EE6" w:rsidRDefault="004A3F74" w:rsidP="00CC2538">
            <w:pPr>
              <w:pStyle w:val="ListParagraph"/>
              <w:numPr>
                <w:ilvl w:val="0"/>
                <w:numId w:val="10"/>
              </w:numPr>
            </w:pPr>
            <w:r w:rsidRPr="00F15EE6">
              <w:t>Reduction in the amount of time that people with dementia spend in hospital, both in terms of avoidable admissions/readmissions and reduced length of hospital stay for those with dementia who are hospitalised for whatever reason.</w:t>
            </w:r>
          </w:p>
        </w:tc>
      </w:tr>
    </w:tbl>
    <w:permEnd w:id="1924421463"/>
    <w:p w14:paraId="25710F66" w14:textId="3E5B78E5" w:rsidR="004A3F74" w:rsidRPr="00F15EE6" w:rsidRDefault="00EC7356" w:rsidP="00EC7356">
      <w:r w:rsidRPr="00F15EE6">
        <w:lastRenderedPageBreak/>
        <w:t>Section 3. Data</w:t>
      </w:r>
    </w:p>
    <w:tbl>
      <w:tblPr>
        <w:tblStyle w:val="TableGrid1"/>
        <w:tblW w:w="9214" w:type="dxa"/>
        <w:tblLayout w:type="fixed"/>
        <w:tblLook w:val="04A0" w:firstRow="1" w:lastRow="0" w:firstColumn="1" w:lastColumn="0" w:noHBand="0" w:noVBand="1"/>
      </w:tblPr>
      <w:tblGrid>
        <w:gridCol w:w="2552"/>
        <w:gridCol w:w="6662"/>
      </w:tblGrid>
      <w:tr w:rsidR="00F15EE6" w:rsidRPr="00F15EE6" w14:paraId="2F05C059" w14:textId="77777777" w:rsidTr="004A3F74">
        <w:tc>
          <w:tcPr>
            <w:tcW w:w="2552" w:type="dxa"/>
          </w:tcPr>
          <w:p w14:paraId="3A7A520C" w14:textId="0BC9E40C" w:rsidR="004A3F74" w:rsidRPr="00F15EE6" w:rsidRDefault="004A3F74" w:rsidP="00772A5C">
            <w:pPr>
              <w:spacing w:before="240"/>
              <w:ind w:left="34"/>
              <w:rPr>
                <w:b/>
                <w:sz w:val="22"/>
                <w:szCs w:val="22"/>
              </w:rPr>
            </w:pPr>
            <w:permStart w:id="2001157220" w:edGrp="everyone" w:colFirst="1" w:colLast="1"/>
            <w:r w:rsidRPr="00F15EE6">
              <w:rPr>
                <w:b/>
                <w:sz w:val="22"/>
                <w:szCs w:val="22"/>
              </w:rPr>
              <w:t>3.1Data source</w:t>
            </w:r>
          </w:p>
        </w:tc>
        <w:tc>
          <w:tcPr>
            <w:tcW w:w="6662" w:type="dxa"/>
          </w:tcPr>
          <w:p w14:paraId="01AA5CB9" w14:textId="77777777" w:rsidR="004A3F74" w:rsidRPr="00F15EE6" w:rsidRDefault="004A3F74" w:rsidP="00772A5C">
            <w:pPr>
              <w:spacing w:before="240"/>
            </w:pPr>
            <w:r w:rsidRPr="00F15EE6">
              <w:t>Dementia diagnoses and registered patient lists collected from GP practice clinical systems: NHS Digital (NHS DIGITAL) GP Extraction Service (GPES), National Health Applications and Infrastructure Services (NHAIS)</w:t>
            </w:r>
          </w:p>
          <w:p w14:paraId="7FB3C7D2" w14:textId="371F335F" w:rsidR="004A3F74" w:rsidRPr="00F15EE6" w:rsidRDefault="004A3F74" w:rsidP="00CC2538">
            <w:pPr>
              <w:spacing w:before="240"/>
            </w:pPr>
            <w:r w:rsidRPr="00F15EE6">
              <w:t xml:space="preserve">Estimated prevalence rates: Medical Research Council (MRC) Cognitive Function Aging Study II (CFAS II). The Cognitive Function and Ageing Studies (CFAS) are </w:t>
            </w:r>
            <w:proofErr w:type="gramStart"/>
            <w:r w:rsidRPr="00F15EE6">
              <w:t>population based</w:t>
            </w:r>
            <w:proofErr w:type="gramEnd"/>
            <w:r w:rsidRPr="00F15EE6">
              <w:t xml:space="preserve"> studies of individuals aged 65 years and over living in the community, including institutions. CFAS is the only large multi-centred, population-based study in the UK that has reached sufficient maturity. CFAS II is based in England and builds upon the design and infrastructure of CFAS I. CFAS II recruitment began in 2008 and the study provides data on generational and geographical differences, including people in institutions. CFAS II is comprised of 3 centres: Cambridgeshire, Newcastle and Nottingham; with 2 sites in each centre. CFAS II baseline fieldwork was conducted between 2008 and 2011, with a follow up interview conducted with participants approximately 2 years after the baseline interview.</w:t>
            </w:r>
          </w:p>
        </w:tc>
      </w:tr>
      <w:tr w:rsidR="00F15EE6" w:rsidRPr="00F15EE6" w14:paraId="011B2FE6" w14:textId="77777777" w:rsidTr="004A3F74">
        <w:tc>
          <w:tcPr>
            <w:tcW w:w="2552" w:type="dxa"/>
          </w:tcPr>
          <w:p w14:paraId="3DE13D5A" w14:textId="5D705FFE" w:rsidR="004A3F74" w:rsidRPr="00F15EE6" w:rsidRDefault="004A3F74" w:rsidP="00772A5C">
            <w:pPr>
              <w:spacing w:before="240"/>
              <w:ind w:left="34"/>
              <w:rPr>
                <w:b/>
                <w:sz w:val="22"/>
                <w:szCs w:val="22"/>
              </w:rPr>
            </w:pPr>
            <w:permStart w:id="1469070912" w:edGrp="everyone"/>
            <w:permEnd w:id="2001157220"/>
            <w:r w:rsidRPr="00F15EE6">
              <w:rPr>
                <w:b/>
                <w:sz w:val="22"/>
                <w:szCs w:val="22"/>
              </w:rPr>
              <w:t>3.2 Justification of source and others considered</w:t>
            </w:r>
          </w:p>
        </w:tc>
        <w:tc>
          <w:tcPr>
            <w:tcW w:w="6662" w:type="dxa"/>
          </w:tcPr>
          <w:p w14:paraId="04FB719A" w14:textId="77777777" w:rsidR="004A3F74" w:rsidRPr="00F15EE6" w:rsidRDefault="004A3F74" w:rsidP="00FC51D9">
            <w:pPr>
              <w:spacing w:before="240"/>
            </w:pPr>
            <w:r w:rsidRPr="00F15EE6">
              <w:t>GPES is the only source of national level primary care diagnosis data from GP system suppliers.</w:t>
            </w:r>
          </w:p>
          <w:p w14:paraId="3D41D47F" w14:textId="77777777" w:rsidR="004A3F74" w:rsidRPr="00F15EE6" w:rsidRDefault="004A3F74" w:rsidP="00FC51D9">
            <w:pPr>
              <w:spacing w:before="240"/>
            </w:pPr>
            <w:r w:rsidRPr="00F15EE6">
              <w:t>Office for National Statistics (ONS) residential population data were considered for use, but NHAIS registered patient data were chosen to maintain consistency between numerator and denominator populations for the following reasons:</w:t>
            </w:r>
          </w:p>
          <w:p w14:paraId="2181E4C7" w14:textId="77777777" w:rsidR="004A3F74" w:rsidRPr="00F15EE6" w:rsidRDefault="004A3F74" w:rsidP="00FC51D9">
            <w:pPr>
              <w:spacing w:before="240"/>
            </w:pPr>
            <w:r w:rsidRPr="00F15EE6">
              <w:t xml:space="preserve">1) GPES clinical data used in the numerator do not yield individual patient postcodes and would be assigned to an ONS </w:t>
            </w:r>
            <w:proofErr w:type="gramStart"/>
            <w:r w:rsidRPr="00F15EE6">
              <w:t>residence based</w:t>
            </w:r>
            <w:proofErr w:type="gramEnd"/>
            <w:r w:rsidRPr="00F15EE6">
              <w:t xml:space="preserve"> denominator by GP practice postcode. Sourcing denominator data from GP clinical systems ensures that the numerator and denominator are taken from the same population.</w:t>
            </w:r>
          </w:p>
          <w:p w14:paraId="0F327B91" w14:textId="77777777" w:rsidR="004A3F74" w:rsidRPr="00F15EE6" w:rsidRDefault="004A3F74" w:rsidP="00FC51D9">
            <w:pPr>
              <w:spacing w:before="240"/>
            </w:pPr>
            <w:r w:rsidRPr="00F15EE6">
              <w:t>2) GPES clinical data used in the numerator do not yield 100% patient coverage. Since the ONS residential data cannot be adjusted to account for this, the diagnosis rate for any given area would be inflated to some extent. Sourcing denominator data from GP clinical systems allows the definition of an identical cohort of GP practices in the numerator and denominator data.</w:t>
            </w:r>
          </w:p>
          <w:p w14:paraId="1EBB11EA" w14:textId="77777777" w:rsidR="004A3F74" w:rsidRPr="00F15EE6" w:rsidRDefault="004A3F74" w:rsidP="00FC51D9">
            <w:pPr>
              <w:spacing w:before="240"/>
            </w:pPr>
            <w:r w:rsidRPr="00F15EE6">
              <w:t>Although numbers of registered patients can be affected by “list inflation” whereby patients remain registered at a practice after leaving the area, this is thought to have minimal effect on people aged 65 and over and will have equal effect on both the numerator and denominator.</w:t>
            </w:r>
          </w:p>
          <w:p w14:paraId="09AB063E" w14:textId="46B2B6E0" w:rsidR="004A3F74" w:rsidRPr="00F15EE6" w:rsidRDefault="004A3F74" w:rsidP="00B479FB">
            <w:pPr>
              <w:pStyle w:val="Bulletlist"/>
              <w:numPr>
                <w:ilvl w:val="0"/>
                <w:numId w:val="0"/>
              </w:numPr>
              <w:autoSpaceDE/>
              <w:autoSpaceDN/>
              <w:adjustRightInd/>
              <w:spacing w:before="240"/>
              <w:textboxTightWrap w:val="lastLineOnly"/>
              <w:rPr>
                <w:rFonts w:cs="Arial"/>
                <w:szCs w:val="24"/>
              </w:rPr>
            </w:pPr>
            <w:r w:rsidRPr="00F15EE6">
              <w:rPr>
                <w:rFonts w:cs="Arial"/>
                <w:szCs w:val="24"/>
              </w:rPr>
              <w:t xml:space="preserve">Nine possible sources of estimated dementia prevalence data are available: </w:t>
            </w:r>
          </w:p>
        </w:tc>
      </w:tr>
    </w:tbl>
    <w:p w14:paraId="3749947B" w14:textId="04746B24" w:rsidR="00EC7356" w:rsidRPr="00F15EE6" w:rsidRDefault="00EC7356"/>
    <w:tbl>
      <w:tblPr>
        <w:tblStyle w:val="TableGrid"/>
        <w:tblW w:w="4120" w:type="dxa"/>
        <w:tblLayout w:type="fixed"/>
        <w:tblLook w:val="04A0" w:firstRow="1" w:lastRow="0" w:firstColumn="1" w:lastColumn="0" w:noHBand="0" w:noVBand="1"/>
      </w:tblPr>
      <w:tblGrid>
        <w:gridCol w:w="4120"/>
      </w:tblGrid>
      <w:tr w:rsidR="00F15EE6" w:rsidRPr="00F15EE6" w14:paraId="4800C28A" w14:textId="77777777" w:rsidTr="00E2418D">
        <w:trPr>
          <w:trHeight w:val="285"/>
        </w:trPr>
        <w:tc>
          <w:tcPr>
            <w:tcW w:w="4120" w:type="dxa"/>
            <w:hideMark/>
          </w:tcPr>
          <w:p w14:paraId="67587802" w14:textId="77777777" w:rsidR="00EC7356" w:rsidRPr="00F15EE6" w:rsidRDefault="00EC7356" w:rsidP="00E2418D">
            <w:pPr>
              <w:spacing w:after="0"/>
              <w:textboxTightWrap w:val="none"/>
              <w:rPr>
                <w:rFonts w:cs="Arial"/>
                <w:sz w:val="22"/>
                <w:szCs w:val="22"/>
                <w:lang w:eastAsia="en-GB"/>
              </w:rPr>
            </w:pPr>
            <w:r w:rsidRPr="00F15EE6">
              <w:rPr>
                <w:rFonts w:cs="Arial"/>
                <w:sz w:val="22"/>
                <w:szCs w:val="22"/>
                <w:lang w:eastAsia="en-GB"/>
              </w:rPr>
              <w:t>O’Connor et al (1989)</w:t>
            </w:r>
          </w:p>
        </w:tc>
      </w:tr>
      <w:tr w:rsidR="00F15EE6" w:rsidRPr="00F15EE6" w14:paraId="4495F224" w14:textId="77777777" w:rsidTr="00E2418D">
        <w:trPr>
          <w:trHeight w:val="285"/>
        </w:trPr>
        <w:tc>
          <w:tcPr>
            <w:tcW w:w="4120" w:type="dxa"/>
            <w:hideMark/>
          </w:tcPr>
          <w:p w14:paraId="6033F6F5" w14:textId="77777777" w:rsidR="00EC7356" w:rsidRPr="00F15EE6" w:rsidRDefault="00EC7356" w:rsidP="00E2418D">
            <w:pPr>
              <w:spacing w:after="0"/>
              <w:textboxTightWrap w:val="none"/>
              <w:rPr>
                <w:rFonts w:cs="Arial"/>
                <w:sz w:val="22"/>
                <w:szCs w:val="22"/>
                <w:lang w:eastAsia="en-GB"/>
              </w:rPr>
            </w:pPr>
            <w:proofErr w:type="spellStart"/>
            <w:r w:rsidRPr="00F15EE6">
              <w:rPr>
                <w:rFonts w:cs="Arial"/>
                <w:sz w:val="22"/>
                <w:szCs w:val="22"/>
                <w:lang w:eastAsia="en-GB"/>
              </w:rPr>
              <w:t>Brayne</w:t>
            </w:r>
            <w:proofErr w:type="spellEnd"/>
            <w:r w:rsidRPr="00F15EE6">
              <w:rPr>
                <w:rFonts w:cs="Arial"/>
                <w:sz w:val="22"/>
                <w:szCs w:val="22"/>
                <w:lang w:eastAsia="en-GB"/>
              </w:rPr>
              <w:t xml:space="preserve"> and Calloway (1989)</w:t>
            </w:r>
          </w:p>
        </w:tc>
      </w:tr>
      <w:tr w:rsidR="00F15EE6" w:rsidRPr="00F15EE6" w14:paraId="4024BFA8" w14:textId="77777777" w:rsidTr="00E2418D">
        <w:trPr>
          <w:trHeight w:val="285"/>
        </w:trPr>
        <w:tc>
          <w:tcPr>
            <w:tcW w:w="4120" w:type="dxa"/>
            <w:hideMark/>
          </w:tcPr>
          <w:p w14:paraId="47772073" w14:textId="77777777" w:rsidR="00EC7356" w:rsidRPr="00F15EE6" w:rsidRDefault="00EC7356" w:rsidP="00E2418D">
            <w:pPr>
              <w:spacing w:after="0"/>
              <w:textboxTightWrap w:val="none"/>
              <w:rPr>
                <w:rFonts w:cs="Arial"/>
                <w:sz w:val="22"/>
                <w:szCs w:val="22"/>
                <w:lang w:eastAsia="en-GB"/>
              </w:rPr>
            </w:pPr>
            <w:r w:rsidRPr="00F15EE6">
              <w:rPr>
                <w:rFonts w:cs="Arial"/>
                <w:sz w:val="22"/>
                <w:szCs w:val="22"/>
                <w:lang w:eastAsia="en-GB"/>
              </w:rPr>
              <w:t>Livingston et al (1990)</w:t>
            </w:r>
          </w:p>
        </w:tc>
      </w:tr>
      <w:tr w:rsidR="00F15EE6" w:rsidRPr="00F15EE6" w14:paraId="1C7A3948" w14:textId="77777777" w:rsidTr="00E2418D">
        <w:trPr>
          <w:trHeight w:val="285"/>
        </w:trPr>
        <w:tc>
          <w:tcPr>
            <w:tcW w:w="4120" w:type="dxa"/>
            <w:hideMark/>
          </w:tcPr>
          <w:p w14:paraId="5CD96EBD" w14:textId="77777777" w:rsidR="00EC7356" w:rsidRPr="00F15EE6" w:rsidRDefault="00EC7356" w:rsidP="00E2418D">
            <w:pPr>
              <w:spacing w:after="0"/>
              <w:textboxTightWrap w:val="none"/>
              <w:rPr>
                <w:rFonts w:cs="Arial"/>
                <w:sz w:val="22"/>
                <w:szCs w:val="22"/>
                <w:lang w:eastAsia="en-GB"/>
              </w:rPr>
            </w:pPr>
            <w:r w:rsidRPr="00F15EE6">
              <w:rPr>
                <w:rFonts w:cs="Arial"/>
                <w:sz w:val="22"/>
                <w:szCs w:val="22"/>
                <w:lang w:eastAsia="en-GB"/>
              </w:rPr>
              <w:t>Clarke et al (1991)</w:t>
            </w:r>
          </w:p>
        </w:tc>
      </w:tr>
      <w:tr w:rsidR="00F15EE6" w:rsidRPr="00F15EE6" w14:paraId="0E4FE224" w14:textId="77777777" w:rsidTr="00E2418D">
        <w:trPr>
          <w:trHeight w:val="285"/>
        </w:trPr>
        <w:tc>
          <w:tcPr>
            <w:tcW w:w="4120" w:type="dxa"/>
            <w:hideMark/>
          </w:tcPr>
          <w:p w14:paraId="17F432DC" w14:textId="77777777" w:rsidR="00EC7356" w:rsidRPr="00F15EE6" w:rsidRDefault="00EC7356" w:rsidP="00E2418D">
            <w:pPr>
              <w:spacing w:after="0"/>
              <w:textboxTightWrap w:val="none"/>
              <w:rPr>
                <w:rFonts w:cs="Arial"/>
                <w:sz w:val="22"/>
                <w:szCs w:val="22"/>
                <w:lang w:eastAsia="en-GB"/>
              </w:rPr>
            </w:pPr>
            <w:r w:rsidRPr="00F15EE6">
              <w:rPr>
                <w:rFonts w:cs="Arial"/>
                <w:sz w:val="22"/>
                <w:szCs w:val="22"/>
                <w:lang w:eastAsia="en-GB"/>
              </w:rPr>
              <w:t>Saunders et al (1993)</w:t>
            </w:r>
          </w:p>
        </w:tc>
      </w:tr>
      <w:tr w:rsidR="00F15EE6" w:rsidRPr="00F15EE6" w14:paraId="72EBB95F" w14:textId="77777777" w:rsidTr="00E2418D">
        <w:trPr>
          <w:trHeight w:val="285"/>
        </w:trPr>
        <w:tc>
          <w:tcPr>
            <w:tcW w:w="4120" w:type="dxa"/>
            <w:hideMark/>
          </w:tcPr>
          <w:p w14:paraId="29A325BE" w14:textId="77777777" w:rsidR="00EC7356" w:rsidRPr="00F15EE6" w:rsidRDefault="00EC7356" w:rsidP="00E2418D">
            <w:pPr>
              <w:spacing w:after="0"/>
              <w:textboxTightWrap w:val="none"/>
              <w:rPr>
                <w:rFonts w:cs="Arial"/>
                <w:sz w:val="22"/>
                <w:szCs w:val="22"/>
                <w:lang w:eastAsia="en-GB"/>
              </w:rPr>
            </w:pPr>
            <w:r w:rsidRPr="00F15EE6">
              <w:rPr>
                <w:rFonts w:cs="Arial"/>
                <w:sz w:val="22"/>
                <w:szCs w:val="22"/>
                <w:lang w:eastAsia="en-GB"/>
              </w:rPr>
              <w:t>MRC-CFAS (1998)</w:t>
            </w:r>
          </w:p>
        </w:tc>
      </w:tr>
      <w:tr w:rsidR="00F15EE6" w:rsidRPr="00F15EE6" w14:paraId="44EC95DA" w14:textId="77777777" w:rsidTr="00E2418D">
        <w:trPr>
          <w:trHeight w:val="285"/>
        </w:trPr>
        <w:tc>
          <w:tcPr>
            <w:tcW w:w="4120" w:type="dxa"/>
            <w:noWrap/>
            <w:hideMark/>
          </w:tcPr>
          <w:p w14:paraId="58335910" w14:textId="77777777" w:rsidR="00EC7356" w:rsidRPr="00F15EE6" w:rsidRDefault="00EC7356" w:rsidP="00E2418D">
            <w:pPr>
              <w:spacing w:after="0"/>
              <w:textboxTightWrap w:val="none"/>
              <w:rPr>
                <w:rFonts w:cs="Arial"/>
                <w:sz w:val="22"/>
                <w:szCs w:val="22"/>
                <w:lang w:eastAsia="en-GB"/>
              </w:rPr>
            </w:pPr>
            <w:r w:rsidRPr="00F15EE6">
              <w:rPr>
                <w:rFonts w:cs="Arial"/>
                <w:sz w:val="22"/>
                <w:szCs w:val="22"/>
                <w:lang w:eastAsia="en-GB"/>
              </w:rPr>
              <w:t>MRC CFAS II (Matthews et al, 2013)</w:t>
            </w:r>
          </w:p>
        </w:tc>
      </w:tr>
      <w:tr w:rsidR="00F15EE6" w:rsidRPr="00F15EE6" w14:paraId="2D542D3F" w14:textId="77777777" w:rsidTr="00E2418D">
        <w:trPr>
          <w:trHeight w:val="285"/>
        </w:trPr>
        <w:tc>
          <w:tcPr>
            <w:tcW w:w="4120" w:type="dxa"/>
            <w:noWrap/>
            <w:hideMark/>
          </w:tcPr>
          <w:p w14:paraId="433D9A45" w14:textId="77777777" w:rsidR="00EC7356" w:rsidRPr="00F15EE6" w:rsidRDefault="00EC7356" w:rsidP="00E2418D">
            <w:pPr>
              <w:spacing w:after="0"/>
              <w:textboxTightWrap w:val="none"/>
              <w:rPr>
                <w:rFonts w:cs="Arial"/>
                <w:sz w:val="22"/>
                <w:szCs w:val="22"/>
                <w:lang w:eastAsia="en-GB"/>
              </w:rPr>
            </w:pPr>
            <w:r w:rsidRPr="00F15EE6">
              <w:rPr>
                <w:rFonts w:cs="Arial"/>
                <w:sz w:val="22"/>
                <w:szCs w:val="22"/>
                <w:lang w:eastAsia="en-GB"/>
              </w:rPr>
              <w:t>Dementia UK (2007)</w:t>
            </w:r>
          </w:p>
        </w:tc>
      </w:tr>
      <w:tr w:rsidR="00F15EE6" w:rsidRPr="00F15EE6" w14:paraId="0FB651F2" w14:textId="77777777" w:rsidTr="00E2418D">
        <w:trPr>
          <w:trHeight w:val="285"/>
        </w:trPr>
        <w:tc>
          <w:tcPr>
            <w:tcW w:w="4120" w:type="dxa"/>
            <w:noWrap/>
            <w:hideMark/>
          </w:tcPr>
          <w:p w14:paraId="11589E1C" w14:textId="77777777" w:rsidR="00EC7356" w:rsidRPr="00F15EE6" w:rsidRDefault="00EC7356" w:rsidP="00E2418D">
            <w:pPr>
              <w:spacing w:after="0"/>
              <w:textboxTightWrap w:val="none"/>
              <w:rPr>
                <w:rFonts w:cs="Arial"/>
                <w:sz w:val="22"/>
                <w:szCs w:val="22"/>
                <w:lang w:eastAsia="en-GB"/>
              </w:rPr>
            </w:pPr>
            <w:r w:rsidRPr="00F15EE6">
              <w:rPr>
                <w:rFonts w:cs="Arial"/>
                <w:sz w:val="22"/>
                <w:szCs w:val="22"/>
                <w:lang w:eastAsia="en-GB"/>
              </w:rPr>
              <w:t>Dementia UK (2014)</w:t>
            </w:r>
          </w:p>
        </w:tc>
      </w:tr>
    </w:tbl>
    <w:p w14:paraId="013EF563" w14:textId="77777777" w:rsidR="00EC7356" w:rsidRPr="00F15EE6" w:rsidRDefault="00EC7356"/>
    <w:p w14:paraId="42AA11AB" w14:textId="77777777" w:rsidR="00EC7356" w:rsidRPr="00F15EE6" w:rsidRDefault="00EC7356"/>
    <w:tbl>
      <w:tblPr>
        <w:tblStyle w:val="TableGrid1"/>
        <w:tblW w:w="9214" w:type="dxa"/>
        <w:tblLayout w:type="fixed"/>
        <w:tblLook w:val="04A0" w:firstRow="1" w:lastRow="0" w:firstColumn="1" w:lastColumn="0" w:noHBand="0" w:noVBand="1"/>
      </w:tblPr>
      <w:tblGrid>
        <w:gridCol w:w="2552"/>
        <w:gridCol w:w="6662"/>
      </w:tblGrid>
      <w:tr w:rsidR="00EC7356" w:rsidRPr="00F15EE6" w14:paraId="7E055FD8" w14:textId="77777777" w:rsidTr="004A3F74">
        <w:tc>
          <w:tcPr>
            <w:tcW w:w="2552" w:type="dxa"/>
          </w:tcPr>
          <w:p w14:paraId="1D221357" w14:textId="77777777" w:rsidR="00EC7356" w:rsidRPr="00F15EE6" w:rsidRDefault="00EC7356" w:rsidP="00772A5C">
            <w:pPr>
              <w:spacing w:before="240"/>
              <w:ind w:left="34"/>
              <w:rPr>
                <w:b/>
                <w:sz w:val="22"/>
                <w:szCs w:val="22"/>
              </w:rPr>
            </w:pPr>
          </w:p>
        </w:tc>
        <w:tc>
          <w:tcPr>
            <w:tcW w:w="6662" w:type="dxa"/>
          </w:tcPr>
          <w:p w14:paraId="3F4CBD42" w14:textId="5A603121" w:rsidR="00EC7356" w:rsidRPr="00F15EE6" w:rsidRDefault="00EC7356" w:rsidP="00772A5C">
            <w:pPr>
              <w:spacing w:before="240"/>
            </w:pPr>
            <w:r w:rsidRPr="00F15EE6">
              <w:t>CFAS II is preferable as it has a more scientific, well documented and transparent methodology including well documented survey techniques, consideration of bias and use of confidence intervals to describe uncertainty in the data. The use of CFAS II by both NHS England and Public Health England also brings consistency and comparability of results. A disadvantage of the data is that it is only applicable to patients aged 65 and over.</w:t>
            </w:r>
          </w:p>
        </w:tc>
      </w:tr>
      <w:tr w:rsidR="00F15EE6" w:rsidRPr="00F15EE6" w14:paraId="4E0534A6" w14:textId="77777777" w:rsidTr="004A3F74">
        <w:tc>
          <w:tcPr>
            <w:tcW w:w="2552" w:type="dxa"/>
          </w:tcPr>
          <w:p w14:paraId="7DF39B30" w14:textId="62547744" w:rsidR="004A3F74" w:rsidRPr="00F15EE6" w:rsidRDefault="004A3F74" w:rsidP="00772A5C">
            <w:pPr>
              <w:spacing w:before="240"/>
              <w:ind w:left="34"/>
              <w:rPr>
                <w:b/>
                <w:sz w:val="22"/>
                <w:szCs w:val="22"/>
              </w:rPr>
            </w:pPr>
            <w:permStart w:id="1827693897" w:edGrp="everyone" w:colFirst="1" w:colLast="1"/>
            <w:permEnd w:id="1469070912"/>
            <w:r w:rsidRPr="00F15EE6">
              <w:rPr>
                <w:b/>
                <w:sz w:val="22"/>
                <w:szCs w:val="22"/>
              </w:rPr>
              <w:t>3.3 Data availability</w:t>
            </w:r>
          </w:p>
        </w:tc>
        <w:tc>
          <w:tcPr>
            <w:tcW w:w="6662" w:type="dxa"/>
          </w:tcPr>
          <w:p w14:paraId="05956DA6" w14:textId="77777777" w:rsidR="004A3F74" w:rsidRPr="00F15EE6" w:rsidRDefault="004A3F74" w:rsidP="00772A5C">
            <w:pPr>
              <w:spacing w:before="240"/>
            </w:pPr>
            <w:r w:rsidRPr="00F15EE6">
              <w:t>CFAS II reference rates remain static and are available open access here: https://www.ncbi.nlm.nih.gov/pmc/articles/PMC3906607/</w:t>
            </w:r>
          </w:p>
          <w:p w14:paraId="509C3612" w14:textId="77777777" w:rsidR="004A3F74" w:rsidRPr="00F15EE6" w:rsidRDefault="004A3F74" w:rsidP="00772A5C">
            <w:pPr>
              <w:spacing w:before="240"/>
            </w:pPr>
            <w:r w:rsidRPr="00F15EE6">
              <w:t xml:space="preserve">GPES data are extracted from GP practices via their IT supplier on the first working day after the last day of the month and is available for analysis around 5-10 working days later. The Health and Social Care Act 2012 (the Act) gives NHS Digital statutory powers, under Section 259 (1), to require data from health or social care bodies or organisations who provide health or adult social care in England. The Department of Health (DH) (on behalf of the Secretary of State or NHS England (NHSE) may direct NHS Digital to establish a data collection. When NHS Digital receives such a </w:t>
            </w:r>
            <w:proofErr w:type="gramStart"/>
            <w:r w:rsidRPr="00F15EE6">
              <w:t>direction</w:t>
            </w:r>
            <w:proofErr w:type="gramEnd"/>
            <w:r w:rsidRPr="00F15EE6">
              <w:t xml:space="preserve"> we issue a Data Provision Notice to the appropriate providers of the required data. The data, as specified by NHS Digital in this published Data Provision Notice, is required to support a direction from NHSE to NHS Digital. On 31</w:t>
            </w:r>
            <w:r w:rsidRPr="00F15EE6">
              <w:rPr>
                <w:vertAlign w:val="superscript"/>
              </w:rPr>
              <w:t>st</w:t>
            </w:r>
            <w:r w:rsidRPr="00F15EE6">
              <w:t xml:space="preserve"> July 2015 such a notice was issued for the collection of aggregated numbers of patients in England with a record of dementia diagnosis on their clinical record (</w:t>
            </w:r>
            <w:hyperlink r:id="rId11" w:history="1">
              <w:r w:rsidRPr="00F15EE6">
                <w:rPr>
                  <w:rStyle w:val="Hyperlink"/>
                  <w:rFonts w:ascii="Arial" w:hAnsi="Arial"/>
                  <w:color w:val="auto"/>
                </w:rPr>
                <w:t>https://www.gov.uk/government/uploads/system/uploads/attachment_data/file/450355/dpndementia.pdf</w:t>
              </w:r>
            </w:hyperlink>
            <w:r w:rsidRPr="00F15EE6">
              <w:t>), and an update published 20</w:t>
            </w:r>
            <w:r w:rsidRPr="00F15EE6">
              <w:rPr>
                <w:vertAlign w:val="superscript"/>
              </w:rPr>
              <w:t>th</w:t>
            </w:r>
            <w:r w:rsidRPr="00F15EE6">
              <w:t xml:space="preserve"> September 2016 (https://www.gov.uk/government/uploads/system/uploads/attachment_data/file/554043/DPN_Dementia_Data_2016-17.pdf)</w:t>
            </w:r>
          </w:p>
          <w:p w14:paraId="13D3364B" w14:textId="77777777" w:rsidR="004A3F74" w:rsidRPr="00F15EE6" w:rsidRDefault="004A3F74" w:rsidP="00772A5C">
            <w:pPr>
              <w:spacing w:before="240"/>
            </w:pPr>
            <w:r w:rsidRPr="00F15EE6">
              <w:t>Therefore, organisations in scope of the notice are legally required, under Section 259 (5) of the Act, to provide the data.</w:t>
            </w:r>
          </w:p>
          <w:p w14:paraId="28D6A859" w14:textId="77777777" w:rsidR="004A3F74" w:rsidRPr="00F15EE6" w:rsidRDefault="004A3F74" w:rsidP="00707D4E">
            <w:pPr>
              <w:spacing w:before="240"/>
            </w:pPr>
            <w:r w:rsidRPr="00F15EE6">
              <w:t>To agree to the above data collection, GP practices must explicitly opt in via their local IT system. As such, although 100 per cent participation should be the expected standard, it is possible that a given GP practice might not participate either passively by failure to opt in (due to technical and/or other error), or by actively choosing to disregard the Data Provision Notice.</w:t>
            </w:r>
          </w:p>
        </w:tc>
      </w:tr>
      <w:tr w:rsidR="00F15EE6" w:rsidRPr="00F15EE6" w14:paraId="3CAC0A0B" w14:textId="77777777" w:rsidTr="004A3F74">
        <w:tc>
          <w:tcPr>
            <w:tcW w:w="2552" w:type="dxa"/>
          </w:tcPr>
          <w:p w14:paraId="784CB28E" w14:textId="37A0FB6F" w:rsidR="004A3F74" w:rsidRPr="00F15EE6" w:rsidRDefault="004A3F74" w:rsidP="000277F8">
            <w:pPr>
              <w:spacing w:before="240"/>
              <w:ind w:left="34"/>
              <w:rPr>
                <w:b/>
                <w:sz w:val="22"/>
                <w:szCs w:val="22"/>
              </w:rPr>
            </w:pPr>
            <w:permStart w:id="1682704346" w:edGrp="everyone" w:colFirst="1" w:colLast="1"/>
            <w:permEnd w:id="1827693897"/>
            <w:r w:rsidRPr="00F15EE6">
              <w:rPr>
                <w:b/>
                <w:sz w:val="22"/>
                <w:szCs w:val="22"/>
              </w:rPr>
              <w:t>3.4 Data quality</w:t>
            </w:r>
          </w:p>
        </w:tc>
        <w:tc>
          <w:tcPr>
            <w:tcW w:w="6662" w:type="dxa"/>
          </w:tcPr>
          <w:p w14:paraId="316AFAEE" w14:textId="77777777" w:rsidR="004A3F74" w:rsidRPr="00F15EE6" w:rsidRDefault="004A3F74" w:rsidP="008E16D9">
            <w:pPr>
              <w:spacing w:before="240"/>
            </w:pPr>
            <w:r w:rsidRPr="00F15EE6">
              <w:t>Completeness - this measures the degree to which data items used to produce the indicator include all expected values:</w:t>
            </w:r>
          </w:p>
          <w:p w14:paraId="70295459" w14:textId="6B0EA5FB" w:rsidR="004A3F74" w:rsidRPr="00F15EE6" w:rsidRDefault="004A3F74" w:rsidP="008E16D9">
            <w:pPr>
              <w:spacing w:before="240"/>
            </w:pPr>
            <w:r w:rsidRPr="00F15EE6">
              <w:t>All GP data collected is complete – data is validated upon receipt to ensure that practice organisational code, dates the extract covers and all aggregated counts are populated (even if with a zero). As the data are aggregated at source, they are not affected by Type 1 or Type 2 patient opt-outs from data sharing.</w:t>
            </w:r>
          </w:p>
          <w:p w14:paraId="7C95DD01" w14:textId="1B914C02" w:rsidR="004A3F74" w:rsidRPr="00F15EE6" w:rsidRDefault="004A3F74" w:rsidP="008E16D9">
            <w:pPr>
              <w:spacing w:before="240"/>
            </w:pPr>
            <w:r w:rsidRPr="00F15EE6">
              <w:t xml:space="preserve">The only two current, possible sources of estimated dementia prevalence data are: CFAS II and the Alzheimer’s Society Dementia UK Report 2014. CFAS II is preferable as it is </w:t>
            </w:r>
            <w:proofErr w:type="gramStart"/>
            <w:r w:rsidRPr="00F15EE6">
              <w:t>has</w:t>
            </w:r>
            <w:proofErr w:type="gramEnd"/>
            <w:r w:rsidRPr="00F15EE6">
              <w:t xml:space="preserve"> a more scientific, well documented and transparent methodology including well documented survey techniques, consideration of bias and use of confidence intervals to describe uncertainty in the data. A disadvantage of the data is that it is only applicable to patients aged 65 and over.  The CFAS II study gives very wide confidence intervals around the prevalence estimates in each age group, indicating a great deal of uncertainty.  A larger, more definitive study would be preferable, but the uncertainty in the CFAS II study is fully </w:t>
            </w:r>
            <w:proofErr w:type="gramStart"/>
            <w:r w:rsidRPr="00F15EE6">
              <w:t>taken into account</w:t>
            </w:r>
            <w:proofErr w:type="gramEnd"/>
            <w:r w:rsidRPr="00F15EE6">
              <w:t xml:space="preserve"> in the confidence interval methodology for this indicator.</w:t>
            </w:r>
          </w:p>
          <w:p w14:paraId="578A18C2" w14:textId="29D1E3AD" w:rsidR="004A3F74" w:rsidRPr="00F15EE6" w:rsidRDefault="004A3F74" w:rsidP="008E16D9">
            <w:pPr>
              <w:spacing w:before="240"/>
            </w:pPr>
            <w:r w:rsidRPr="00F15EE6">
              <w:t>In light of the reduction in dementia incidence found between the first CFAS study (1989–1994) and CFAS II (2008–2011), it is important to note that as CFAS II ages it will gradually become less and less representative of the true epidemiological prevalence experienced in England. Moreover, it is important to consider that CFAS II is based on three areas of England and may not necessarily be applicable to all other areas. This is clearly noted in the guide to interpretation of the indicator.</w:t>
            </w:r>
          </w:p>
          <w:p w14:paraId="1C4C672D" w14:textId="77777777" w:rsidR="004A3F74" w:rsidRPr="00F15EE6" w:rsidRDefault="004A3F74" w:rsidP="008E16D9">
            <w:pPr>
              <w:spacing w:before="240"/>
            </w:pPr>
            <w:r w:rsidRPr="00F15EE6">
              <w:t>Coverage - this measures the degree to which data used to produce the indicator have been received from all expected data providers:</w:t>
            </w:r>
          </w:p>
          <w:p w14:paraId="3A1EEDE8" w14:textId="77777777" w:rsidR="004A3F74" w:rsidRPr="00F15EE6" w:rsidRDefault="004A3F74" w:rsidP="008E16D9">
            <w:pPr>
              <w:spacing w:before="240"/>
            </w:pPr>
            <w:r w:rsidRPr="00F15EE6">
              <w:t>GPES can currently extract from 99.0 per cent of open, active GP practices (who use one of the four main GP IT systems suppliers). Currently 96.9 per cent of practices have opted-in with more expected month on month.</w:t>
            </w:r>
          </w:p>
          <w:p w14:paraId="4F99BED6" w14:textId="77777777" w:rsidR="004A3F74" w:rsidRPr="00F15EE6" w:rsidRDefault="004A3F74" w:rsidP="008E16D9">
            <w:pPr>
              <w:spacing w:before="240"/>
            </w:pPr>
            <w:r w:rsidRPr="00F15EE6">
              <w:t>This indicator is published with a full coverage report, e.g.</w:t>
            </w:r>
          </w:p>
          <w:p w14:paraId="583B049D" w14:textId="77777777" w:rsidR="004A3F74" w:rsidRPr="00F15EE6" w:rsidRDefault="004A3F74" w:rsidP="008E16D9">
            <w:pPr>
              <w:spacing w:before="240"/>
            </w:pPr>
            <w:r w:rsidRPr="00F15EE6">
              <w:rPr>
                <w:noProof/>
                <w:lang w:eastAsia="en-GB"/>
              </w:rPr>
              <w:drawing>
                <wp:inline distT="0" distB="0" distL="0" distR="0" wp14:anchorId="5BDDA27A" wp14:editId="07C0FE3B">
                  <wp:extent cx="5943600" cy="5242560"/>
                  <wp:effectExtent l="0" t="0" r="0" b="0"/>
                  <wp:docPr id="3" name="Picture 3" descr="Table 3 showing national coverage of GPES dementia extracts for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242560"/>
                          </a:xfrm>
                          <a:prstGeom prst="rect">
                            <a:avLst/>
                          </a:prstGeom>
                        </pic:spPr>
                      </pic:pic>
                    </a:graphicData>
                  </a:graphic>
                </wp:inline>
              </w:drawing>
            </w:r>
          </w:p>
          <w:p w14:paraId="6B2CD1F3" w14:textId="77777777" w:rsidR="004A3F74" w:rsidRPr="00F15EE6" w:rsidRDefault="004A3F74" w:rsidP="008E16D9">
            <w:pPr>
              <w:spacing w:before="240"/>
            </w:pPr>
            <w:r w:rsidRPr="00F15EE6">
              <w:t xml:space="preserve">Any patient with a code of ‘dementia’ on their record is extracted. It is possible that for some people with dementia their diagnosis is only recorded in free text, a scanned letter from another health setting or is not recorded at all, which means that we cannot extract their record. </w:t>
            </w:r>
            <w:proofErr w:type="gramStart"/>
            <w:r w:rsidRPr="00F15EE6">
              <w:t>However</w:t>
            </w:r>
            <w:proofErr w:type="gramEnd"/>
            <w:r w:rsidRPr="00F15EE6">
              <w:t xml:space="preserve"> this is in fact one of the reasons that this indicator is needed: not all dementia diagnoses are committed to record.</w:t>
            </w:r>
          </w:p>
          <w:p w14:paraId="317F4C17" w14:textId="77777777" w:rsidR="004A3F74" w:rsidRPr="00F15EE6" w:rsidRDefault="004A3F74" w:rsidP="008E16D9">
            <w:pPr>
              <w:spacing w:before="240"/>
            </w:pPr>
            <w:r w:rsidRPr="00F15EE6">
              <w:t>The data extraction is subject to continuous review, to chase up non-participating practices and improve the extraction process. Data quality is therefore expected to increase over time.</w:t>
            </w:r>
          </w:p>
          <w:p w14:paraId="7B96EF16" w14:textId="77777777" w:rsidR="004A3F74" w:rsidRPr="00F15EE6" w:rsidRDefault="004A3F74" w:rsidP="008E16D9">
            <w:pPr>
              <w:spacing w:after="0"/>
            </w:pPr>
            <w:r w:rsidRPr="00F15EE6">
              <w:t>When data is not available for a GP Practice, the most recent data available for that practice would be used, either from within the monthly data collections or from the most recent annual Quality and Outcomes Framework publication.</w:t>
            </w:r>
          </w:p>
          <w:p w14:paraId="685F0BF0" w14:textId="77777777" w:rsidR="004A3F74" w:rsidRPr="00F15EE6" w:rsidRDefault="004A3F74" w:rsidP="008E16D9">
            <w:pPr>
              <w:spacing w:after="0"/>
            </w:pPr>
          </w:p>
          <w:p w14:paraId="2159D43A" w14:textId="77777777" w:rsidR="004A3F74" w:rsidRPr="00F15EE6" w:rsidRDefault="004A3F74" w:rsidP="008E16D9">
            <w:pPr>
              <w:spacing w:after="0"/>
            </w:pPr>
            <w:r w:rsidRPr="00F15EE6">
              <w:t>Validity - this measures the degree to which data items used to produce the indicator satisfy the set of standards and business rules that govern the permitted values and formats for those data items:</w:t>
            </w:r>
          </w:p>
          <w:p w14:paraId="0E2F66FA" w14:textId="77777777" w:rsidR="004A3F74" w:rsidRPr="00F15EE6" w:rsidRDefault="004A3F74" w:rsidP="008E16D9">
            <w:pPr>
              <w:spacing w:after="0"/>
              <w:rPr>
                <w:sz w:val="20"/>
              </w:rPr>
            </w:pPr>
          </w:p>
          <w:p w14:paraId="4B8E373F" w14:textId="77777777" w:rsidR="004A3F74" w:rsidRPr="00F15EE6" w:rsidRDefault="004A3F74" w:rsidP="008E16D9">
            <w:pPr>
              <w:spacing w:after="0"/>
            </w:pPr>
            <w:r w:rsidRPr="00F15EE6">
              <w:t>Data returned is aggregated counts and only records with a number are loaded as data is validated upon receipt.</w:t>
            </w:r>
          </w:p>
          <w:p w14:paraId="29EA4F18" w14:textId="77777777" w:rsidR="004A3F74" w:rsidRPr="00F15EE6" w:rsidRDefault="004A3F74" w:rsidP="008E16D9">
            <w:pPr>
              <w:spacing w:after="0"/>
            </w:pPr>
          </w:p>
          <w:p w14:paraId="1CE91214" w14:textId="77777777" w:rsidR="004A3F74" w:rsidRPr="00F15EE6" w:rsidRDefault="004A3F74" w:rsidP="008E16D9">
            <w:pPr>
              <w:spacing w:after="0"/>
            </w:pPr>
            <w:r w:rsidRPr="00F15EE6">
              <w:t>Default - this measures the degree to which the default values specified in applicable standards and business rules have been used in the data used to produce the indicator:</w:t>
            </w:r>
          </w:p>
          <w:p w14:paraId="3467523F" w14:textId="77777777" w:rsidR="004A3F74" w:rsidRPr="00F15EE6" w:rsidRDefault="004A3F74" w:rsidP="008E16D9">
            <w:pPr>
              <w:spacing w:after="0"/>
            </w:pPr>
          </w:p>
          <w:p w14:paraId="7ACB1193" w14:textId="77777777" w:rsidR="004A3F74" w:rsidRPr="00F15EE6" w:rsidRDefault="004A3F74" w:rsidP="008E16D9">
            <w:pPr>
              <w:spacing w:after="0"/>
            </w:pPr>
            <w:r w:rsidRPr="00F15EE6">
              <w:t>Not applicable because</w:t>
            </w:r>
            <w:r w:rsidRPr="00F15EE6">
              <w:rPr>
                <w:sz w:val="20"/>
              </w:rPr>
              <w:t xml:space="preserve"> </w:t>
            </w:r>
            <w:r w:rsidRPr="00F15EE6">
              <w:t>Data returned is aggregated counts and only records with a number are loaded as data is validated upon receipt.</w:t>
            </w:r>
          </w:p>
          <w:p w14:paraId="5B6E3AAC" w14:textId="77777777" w:rsidR="004A3F74" w:rsidRPr="00F15EE6" w:rsidRDefault="004A3F74" w:rsidP="008E16D9">
            <w:pPr>
              <w:spacing w:after="0"/>
            </w:pPr>
          </w:p>
          <w:p w14:paraId="2ECDC582" w14:textId="77777777" w:rsidR="004A3F74" w:rsidRPr="00F15EE6" w:rsidRDefault="004A3F74" w:rsidP="008E16D9">
            <w:pPr>
              <w:spacing w:after="0"/>
            </w:pPr>
            <w:r w:rsidRPr="00F15EE6">
              <w:t>Integrity - this measures the degree to which data satisfy the set of business rules that govern the relationships between the data items, records and data assets used to produce the indicator:</w:t>
            </w:r>
          </w:p>
          <w:p w14:paraId="271ECAB8" w14:textId="77777777" w:rsidR="004A3F74" w:rsidRPr="00F15EE6" w:rsidRDefault="004A3F74" w:rsidP="008E16D9">
            <w:pPr>
              <w:spacing w:after="0"/>
              <w:rPr>
                <w:sz w:val="20"/>
                <w:lang w:eastAsia="en-GB"/>
              </w:rPr>
            </w:pPr>
          </w:p>
          <w:p w14:paraId="6353BB0D" w14:textId="77777777" w:rsidR="004A3F74" w:rsidRPr="00F15EE6" w:rsidRDefault="004A3F74" w:rsidP="008E16D9">
            <w:pPr>
              <w:spacing w:after="0"/>
            </w:pPr>
            <w:r w:rsidRPr="00F15EE6">
              <w:t>Data is validated once received to ensure that the age/gender breakdown counts do not add up to greater than the overall dementia register count. Occasionally the age/gender breakdown counts can add up to less than the overall dementia register count where a date of birth is not recorded on the patient record.</w:t>
            </w:r>
          </w:p>
          <w:p w14:paraId="1E3BC322" w14:textId="77777777" w:rsidR="004A3F74" w:rsidRPr="00F15EE6" w:rsidRDefault="004A3F74" w:rsidP="008E16D9">
            <w:pPr>
              <w:spacing w:after="0"/>
            </w:pPr>
          </w:p>
          <w:p w14:paraId="75B9A7EB" w14:textId="77777777" w:rsidR="004A3F74" w:rsidRPr="00F15EE6" w:rsidRDefault="004A3F74" w:rsidP="008E16D9">
            <w:pPr>
              <w:spacing w:before="240"/>
            </w:pPr>
            <w:r w:rsidRPr="00F15EE6">
              <w:t>Timeliness - this measures the elapsed time between the start and/or end of the recording period for the data used to produce the indicator and the expected indicator publication date, e.g. if the indicator is published 18 months after the last item of data used to produce it was recorded, this may impact on its usability:</w:t>
            </w:r>
          </w:p>
          <w:p w14:paraId="6E6BE7E4" w14:textId="544FF86E" w:rsidR="004A3F74" w:rsidRPr="00F15EE6" w:rsidRDefault="004A3F74" w:rsidP="002D1201">
            <w:pPr>
              <w:spacing w:before="240"/>
              <w:rPr>
                <w:sz w:val="20"/>
                <w:lang w:eastAsia="en-GB"/>
              </w:rPr>
            </w:pPr>
            <w:r w:rsidRPr="00F15EE6">
              <w:t xml:space="preserve">Data is extracted, processed and published within 2 weeks of real time, e.g. data as of 31 January 2017 will be published on 10 February 2017. Use of the data within all frameworks will then </w:t>
            </w:r>
            <w:proofErr w:type="spellStart"/>
            <w:r w:rsidRPr="00F15EE6">
              <w:t>procede</w:t>
            </w:r>
            <w:proofErr w:type="spellEnd"/>
            <w:r w:rsidRPr="00F15EE6">
              <w:t xml:space="preserve"> according to each domain’s publication schedule.</w:t>
            </w:r>
          </w:p>
        </w:tc>
      </w:tr>
      <w:tr w:rsidR="00F15EE6" w:rsidRPr="00F15EE6" w14:paraId="4C232085" w14:textId="77777777" w:rsidTr="004A3F74">
        <w:tc>
          <w:tcPr>
            <w:tcW w:w="2552" w:type="dxa"/>
          </w:tcPr>
          <w:p w14:paraId="312E7285" w14:textId="06BFA77B" w:rsidR="004A3F74" w:rsidRPr="00F15EE6" w:rsidRDefault="004A3F74" w:rsidP="008D7104">
            <w:pPr>
              <w:spacing w:before="240"/>
              <w:ind w:left="34"/>
              <w:rPr>
                <w:b/>
                <w:sz w:val="22"/>
                <w:szCs w:val="22"/>
              </w:rPr>
            </w:pPr>
            <w:permStart w:id="1538656601" w:edGrp="everyone" w:colFirst="1" w:colLast="1"/>
            <w:permStart w:id="1076566856" w:edGrp="everyone" w:colFirst="2" w:colLast="2"/>
            <w:permEnd w:id="1682704346"/>
            <w:r w:rsidRPr="00F15EE6">
              <w:rPr>
                <w:b/>
                <w:sz w:val="22"/>
                <w:szCs w:val="22"/>
              </w:rPr>
              <w:t>3.5 Quality assurance</w:t>
            </w:r>
          </w:p>
        </w:tc>
        <w:tc>
          <w:tcPr>
            <w:tcW w:w="6662" w:type="dxa"/>
          </w:tcPr>
          <w:p w14:paraId="5DEC3334" w14:textId="77777777" w:rsidR="004A3F74" w:rsidRPr="00F15EE6" w:rsidRDefault="004A3F74" w:rsidP="00EF3A8C">
            <w:pPr>
              <w:spacing w:before="240"/>
            </w:pPr>
            <w:r w:rsidRPr="00F15EE6">
              <w:t xml:space="preserve">When data are loaded they are validated within the Data Management Environment (DME) ((e.g. numerator (number of people diagnosed with dementia) not larger than denominator (practice list size), data not inflated/deflated by unrealistic amount compared to previous months)). This is automated using SAS Data Integration Studio so that validations happen automatically when carrying out the processing of the data. If practices fail these </w:t>
            </w:r>
            <w:proofErr w:type="gramStart"/>
            <w:r w:rsidRPr="00F15EE6">
              <w:t>validations</w:t>
            </w:r>
            <w:proofErr w:type="gramEnd"/>
            <w:r w:rsidRPr="00F15EE6">
              <w:t xml:space="preserve"> we would contact the system supplier to ensure data extraction was correct and then we would contact the practice to verify the results. This has never happened to date.</w:t>
            </w:r>
          </w:p>
          <w:p w14:paraId="49753864" w14:textId="77777777" w:rsidR="004A3F74" w:rsidRPr="00F15EE6" w:rsidRDefault="004A3F74" w:rsidP="00EF3A8C">
            <w:pPr>
              <w:spacing w:before="240"/>
            </w:pPr>
            <w:r w:rsidRPr="00F15EE6">
              <w:t xml:space="preserve">The indicator calculation is dual run between independent processes to verify results. The simulation will produce slightly different confidence intervals from the same source data each </w:t>
            </w:r>
            <w:proofErr w:type="gramStart"/>
            <w:r w:rsidRPr="00F15EE6">
              <w:t>time, but</w:t>
            </w:r>
            <w:proofErr w:type="gramEnd"/>
            <w:r w:rsidRPr="00F15EE6">
              <w:t xml:space="preserve"> will be accepted if identical to one decimal place. </w:t>
            </w:r>
          </w:p>
          <w:p w14:paraId="310140C0" w14:textId="77777777" w:rsidR="004A3F74" w:rsidRPr="00F15EE6" w:rsidRDefault="004A3F74" w:rsidP="00946E36">
            <w:pPr>
              <w:spacing w:before="240"/>
            </w:pPr>
            <w:r w:rsidRPr="00F15EE6">
              <w:t>The data extraction is subject to continuous review, to chase up non-participating practices and improve the extraction process. Data quality is therefore expected to increase over time.</w:t>
            </w:r>
          </w:p>
          <w:p w14:paraId="181DD939" w14:textId="315E39AB" w:rsidR="004A3F74" w:rsidRPr="00F15EE6" w:rsidRDefault="004A3F74" w:rsidP="00EF3A8C">
            <w:pPr>
              <w:spacing w:before="240"/>
            </w:pPr>
            <w:r w:rsidRPr="00F15EE6">
              <w:t>Before publication data are validated for integrity and internal consistency against the XML schema and business rules, with any failures being removed from the dataset. During publication values are sense checked against long terms trends and post publication individual practices, CCGs and Area Teams regularly QA their reported figures against internally audited numbers and both practice clinical system suppliers and NHS Digital support practices in resolving discrepancies.</w:t>
            </w:r>
          </w:p>
        </w:tc>
      </w:tr>
      <w:permEnd w:id="1538656601"/>
      <w:tr w:rsidR="00F15EE6" w:rsidRPr="00F15EE6" w14:paraId="1DFB0389" w14:textId="77777777" w:rsidTr="004A3F74">
        <w:tc>
          <w:tcPr>
            <w:tcW w:w="2552" w:type="dxa"/>
          </w:tcPr>
          <w:p w14:paraId="6A8EF050" w14:textId="6BEBBBED" w:rsidR="004A3F74" w:rsidRPr="00F15EE6" w:rsidRDefault="004A3F74" w:rsidP="00772A5C">
            <w:pPr>
              <w:spacing w:before="240"/>
              <w:ind w:left="34"/>
              <w:rPr>
                <w:b/>
                <w:sz w:val="22"/>
                <w:szCs w:val="22"/>
              </w:rPr>
            </w:pPr>
            <w:r w:rsidRPr="00F15EE6">
              <w:rPr>
                <w:b/>
                <w:sz w:val="22"/>
                <w:szCs w:val="22"/>
              </w:rPr>
              <w:t xml:space="preserve">3.6 Quality improvement plan </w:t>
            </w:r>
          </w:p>
          <w:p w14:paraId="08A617B0" w14:textId="77777777" w:rsidR="004A3F74" w:rsidRPr="00F15EE6" w:rsidRDefault="004A3F74" w:rsidP="002C446A">
            <w:pPr>
              <w:ind w:left="34"/>
              <w:rPr>
                <w:sz w:val="22"/>
                <w:szCs w:val="22"/>
              </w:rPr>
            </w:pPr>
            <w:r w:rsidRPr="00F15EE6">
              <w:rPr>
                <w:sz w:val="22"/>
                <w:szCs w:val="22"/>
              </w:rPr>
              <w:t>If appropriate</w:t>
            </w:r>
          </w:p>
        </w:tc>
        <w:tc>
          <w:tcPr>
            <w:tcW w:w="6662" w:type="dxa"/>
          </w:tcPr>
          <w:p w14:paraId="66E7809E" w14:textId="77777777" w:rsidR="004A3F74" w:rsidRPr="00F15EE6" w:rsidRDefault="004A3F74" w:rsidP="005224B0">
            <w:pPr>
              <w:spacing w:before="240"/>
            </w:pPr>
            <w:r w:rsidRPr="00F15EE6">
              <w:t>A list of non-participating practices is sent to NHS England for chase-up on a weekly basis and after every publication.</w:t>
            </w:r>
          </w:p>
          <w:p w14:paraId="5A3E2AC1" w14:textId="77777777" w:rsidR="004A3F74" w:rsidRPr="00F15EE6" w:rsidRDefault="004A3F74" w:rsidP="005224B0">
            <w:pPr>
              <w:spacing w:before="240"/>
            </w:pPr>
            <w:r w:rsidRPr="00F15EE6">
              <w:t xml:space="preserve">NHS England disseminates this to regional analysts who then follow up locally. Additionally, the national team shares this information with the clinical networks so that they can also </w:t>
            </w:r>
            <w:proofErr w:type="gramStart"/>
            <w:r w:rsidRPr="00F15EE6">
              <w:t>take action</w:t>
            </w:r>
            <w:proofErr w:type="gramEnd"/>
            <w:r w:rsidRPr="00F15EE6">
              <w:t xml:space="preserve"> locally to encourage practices to sign up.  </w:t>
            </w:r>
          </w:p>
        </w:tc>
      </w:tr>
      <w:tr w:rsidR="00F15EE6" w:rsidRPr="00F15EE6" w14:paraId="6BE75634" w14:textId="77777777" w:rsidTr="004A3F74">
        <w:tc>
          <w:tcPr>
            <w:tcW w:w="2552" w:type="dxa"/>
          </w:tcPr>
          <w:p w14:paraId="7D9E87E6" w14:textId="3889A2E5" w:rsidR="004A3F74" w:rsidRPr="00F15EE6" w:rsidRDefault="004A3F74" w:rsidP="00772A5C">
            <w:pPr>
              <w:spacing w:before="240"/>
              <w:ind w:left="34"/>
              <w:rPr>
                <w:b/>
                <w:sz w:val="22"/>
                <w:szCs w:val="22"/>
              </w:rPr>
            </w:pPr>
            <w:permStart w:id="785479775" w:edGrp="everyone" w:colFirst="1" w:colLast="1"/>
            <w:permEnd w:id="1076566856"/>
            <w:r w:rsidRPr="00F15EE6">
              <w:rPr>
                <w:b/>
                <w:sz w:val="22"/>
                <w:szCs w:val="22"/>
              </w:rPr>
              <w:t>3.7 Data linkage</w:t>
            </w:r>
          </w:p>
        </w:tc>
        <w:tc>
          <w:tcPr>
            <w:tcW w:w="6662" w:type="dxa"/>
          </w:tcPr>
          <w:p w14:paraId="45D08767" w14:textId="397A5979" w:rsidR="004A3F74" w:rsidRPr="00F15EE6" w:rsidRDefault="004A3F74" w:rsidP="00FB4FFD">
            <w:pPr>
              <w:spacing w:before="240"/>
            </w:pPr>
            <w:r w:rsidRPr="00F15EE6">
              <w:t>Linkage of GPES, NHAIS and Reference data is undertaken at practice level only, by practice NACS (</w:t>
            </w:r>
            <w:r w:rsidRPr="00F15EE6">
              <w:rPr>
                <w:rStyle w:val="Emphasis"/>
                <w:b/>
                <w:bCs/>
                <w:i w:val="0"/>
                <w:iCs w:val="0"/>
                <w:shd w:val="clear" w:color="auto" w:fill="FFFFFF"/>
              </w:rPr>
              <w:t>National Administrative Codes Service)</w:t>
            </w:r>
            <w:r w:rsidRPr="00F15EE6">
              <w:t xml:space="preserve"> code. These codes are based on the prescribing cost centre assigned to the practice by NHS Business Services Authority.</w:t>
            </w:r>
          </w:p>
        </w:tc>
      </w:tr>
      <w:tr w:rsidR="00F15EE6" w:rsidRPr="00F15EE6" w14:paraId="50AC862C" w14:textId="77777777" w:rsidTr="004A3F74">
        <w:tc>
          <w:tcPr>
            <w:tcW w:w="2552" w:type="dxa"/>
          </w:tcPr>
          <w:p w14:paraId="320F2FDA" w14:textId="58D13DFD" w:rsidR="004A3F74" w:rsidRPr="00F15EE6" w:rsidRDefault="004A3F74" w:rsidP="00772A5C">
            <w:pPr>
              <w:spacing w:before="240"/>
              <w:ind w:left="34"/>
              <w:rPr>
                <w:b/>
                <w:sz w:val="22"/>
                <w:szCs w:val="22"/>
              </w:rPr>
            </w:pPr>
            <w:permStart w:id="565656870" w:edGrp="everyone" w:colFirst="1" w:colLast="1"/>
            <w:permEnd w:id="785479775"/>
            <w:r w:rsidRPr="00F15EE6">
              <w:rPr>
                <w:b/>
                <w:sz w:val="22"/>
                <w:szCs w:val="22"/>
              </w:rPr>
              <w:t>3.8 Quality of data linkage</w:t>
            </w:r>
          </w:p>
        </w:tc>
        <w:tc>
          <w:tcPr>
            <w:tcW w:w="6662" w:type="dxa"/>
          </w:tcPr>
          <w:p w14:paraId="0BAB962A" w14:textId="77777777" w:rsidR="004A3F74" w:rsidRPr="00F15EE6" w:rsidRDefault="004A3F74" w:rsidP="00772A5C">
            <w:pPr>
              <w:spacing w:before="240"/>
            </w:pPr>
            <w:r w:rsidRPr="00F15EE6">
              <w:t>All practices are always linkable to the reference data as GPES would not have extracted their data if it were not a live GP practice.</w:t>
            </w:r>
          </w:p>
        </w:tc>
      </w:tr>
      <w:tr w:rsidR="00F15EE6" w:rsidRPr="00F15EE6" w14:paraId="10951E13" w14:textId="77777777" w:rsidTr="004A3F74">
        <w:tc>
          <w:tcPr>
            <w:tcW w:w="2552" w:type="dxa"/>
          </w:tcPr>
          <w:p w14:paraId="084566B6" w14:textId="1BF930C6" w:rsidR="004A3F74" w:rsidRPr="00F15EE6" w:rsidRDefault="004A3F74" w:rsidP="00772A5C">
            <w:pPr>
              <w:spacing w:before="240"/>
              <w:ind w:left="34"/>
              <w:rPr>
                <w:b/>
                <w:sz w:val="22"/>
                <w:szCs w:val="22"/>
              </w:rPr>
            </w:pPr>
            <w:permStart w:id="1670914095" w:edGrp="everyone" w:colFirst="1" w:colLast="1"/>
            <w:permEnd w:id="565656870"/>
            <w:r w:rsidRPr="00F15EE6">
              <w:rPr>
                <w:b/>
                <w:sz w:val="22"/>
                <w:szCs w:val="22"/>
              </w:rPr>
              <w:t>3.9 Data fields</w:t>
            </w:r>
          </w:p>
        </w:tc>
        <w:tc>
          <w:tcPr>
            <w:tcW w:w="6662" w:type="dxa"/>
          </w:tcPr>
          <w:p w14:paraId="698204D2" w14:textId="77777777" w:rsidR="004A3F74" w:rsidRPr="00F15EE6" w:rsidRDefault="004A3F74" w:rsidP="00772A5C">
            <w:pPr>
              <w:spacing w:before="240"/>
              <w:rPr>
                <w:u w:val="single"/>
              </w:rPr>
            </w:pPr>
            <w:r w:rsidRPr="00F15EE6">
              <w:rPr>
                <w:u w:val="single"/>
              </w:rPr>
              <w:t>CFAS II</w:t>
            </w:r>
          </w:p>
          <w:p w14:paraId="3BFFC8AD" w14:textId="77777777" w:rsidR="004A3F74" w:rsidRPr="00F15EE6" w:rsidRDefault="004A3F74" w:rsidP="00772A5C">
            <w:pPr>
              <w:spacing w:before="240"/>
            </w:pPr>
            <w:r w:rsidRPr="00F15EE6">
              <w:t>SEX: Sex of reference rate</w:t>
            </w:r>
          </w:p>
          <w:p w14:paraId="5EC26D43" w14:textId="77777777" w:rsidR="004A3F74" w:rsidRPr="00F15EE6" w:rsidRDefault="004A3F74" w:rsidP="00772A5C">
            <w:pPr>
              <w:spacing w:before="240"/>
            </w:pPr>
            <w:r w:rsidRPr="00F15EE6">
              <w:t>AGE_BAND: Age band of reference rate</w:t>
            </w:r>
          </w:p>
          <w:p w14:paraId="63E68A11" w14:textId="77777777" w:rsidR="004A3F74" w:rsidRPr="00F15EE6" w:rsidRDefault="004A3F74" w:rsidP="00772A5C">
            <w:pPr>
              <w:spacing w:before="240"/>
            </w:pPr>
            <w:r w:rsidRPr="00F15EE6">
              <w:t>PROPORTION: Reference rate with 95% confidence intervals</w:t>
            </w:r>
          </w:p>
          <w:p w14:paraId="1E4B8924" w14:textId="77777777" w:rsidR="004A3F74" w:rsidRPr="00F15EE6" w:rsidRDefault="004A3F74" w:rsidP="00772A5C">
            <w:pPr>
              <w:spacing w:before="240"/>
              <w:rPr>
                <w:u w:val="single"/>
              </w:rPr>
            </w:pPr>
            <w:r w:rsidRPr="00F15EE6">
              <w:rPr>
                <w:u w:val="single"/>
              </w:rPr>
              <w:t>GPES</w:t>
            </w:r>
          </w:p>
          <w:p w14:paraId="52D8F12F" w14:textId="77777777" w:rsidR="004A3F74" w:rsidRPr="00F15EE6" w:rsidRDefault="004A3F74" w:rsidP="00772A5C">
            <w:pPr>
              <w:spacing w:before="240"/>
            </w:pPr>
            <w:r w:rsidRPr="00F15EE6">
              <w:t>PRACTICE-ID: GP practice identifier</w:t>
            </w:r>
          </w:p>
          <w:p w14:paraId="67A9805F" w14:textId="77777777" w:rsidR="004A3F74" w:rsidRPr="00F15EE6" w:rsidRDefault="004A3F74" w:rsidP="00772A5C">
            <w:pPr>
              <w:spacing w:before="240"/>
            </w:pPr>
            <w:r w:rsidRPr="00F15EE6">
              <w:t>ISSUE-DATE-TIME: Extract timestamp</w:t>
            </w:r>
          </w:p>
          <w:p w14:paraId="6CAEB6B8" w14:textId="77777777" w:rsidR="004A3F74" w:rsidRPr="00F15EE6" w:rsidRDefault="004A3F74" w:rsidP="00772A5C">
            <w:pPr>
              <w:spacing w:before="240"/>
            </w:pPr>
            <w:r w:rsidRPr="00F15EE6">
              <w:t>AGGREGATE-RECORD: Number of patients</w:t>
            </w:r>
          </w:p>
          <w:p w14:paraId="05A49481" w14:textId="77777777" w:rsidR="004A3F74" w:rsidRPr="00F15EE6" w:rsidRDefault="004A3F74" w:rsidP="00772A5C">
            <w:pPr>
              <w:spacing w:before="240"/>
            </w:pPr>
            <w:r w:rsidRPr="00F15EE6">
              <w:t>RID: Values denoting combinations of sex and age band of patients</w:t>
            </w:r>
          </w:p>
          <w:p w14:paraId="15E1BC75" w14:textId="77777777" w:rsidR="004A3F74" w:rsidRPr="00F15EE6" w:rsidRDefault="004A3F74" w:rsidP="00C93769">
            <w:pPr>
              <w:spacing w:before="240"/>
            </w:pPr>
            <w:r w:rsidRPr="00F15EE6">
              <w:t>DESCRIPTION: Labels for combinations of sex and age band of patients</w:t>
            </w:r>
          </w:p>
          <w:p w14:paraId="100792B3" w14:textId="301DBC6C" w:rsidR="004A3F74" w:rsidRPr="00F15EE6" w:rsidRDefault="004A3F74" w:rsidP="00C93769">
            <w:pPr>
              <w:spacing w:before="240"/>
            </w:pPr>
            <w:r w:rsidRPr="00F15EE6">
              <w:t>Patients with following clinical codes on their clinical record are counted. These codes comprise the Quality and Outcomes Framework dementia cluster, a set of clinical definitions agreed by an expert group including GPs and lay representatives.</w:t>
            </w:r>
          </w:p>
          <w:p w14:paraId="0D93875E" w14:textId="77777777" w:rsidR="004A3F74" w:rsidRPr="00F15EE6" w:rsidRDefault="004A3F74" w:rsidP="00C93769">
            <w:pPr>
              <w:spacing w:before="240"/>
            </w:pPr>
            <w:r w:rsidRPr="00F15EE6">
              <w:t>(READ v2):</w:t>
            </w:r>
          </w:p>
          <w:p w14:paraId="6FBCC64F" w14:textId="77777777" w:rsidR="004A3F74" w:rsidRPr="00F15EE6" w:rsidRDefault="004A3F74" w:rsidP="0066758F">
            <w:r w:rsidRPr="00F15EE6">
              <w:t>A4110</w:t>
            </w:r>
            <w:r w:rsidRPr="00F15EE6">
              <w:tab/>
              <w:t>Sporadic Creutzfeldt-Jakob disease</w:t>
            </w:r>
          </w:p>
          <w:p w14:paraId="3810C880" w14:textId="77777777" w:rsidR="004A3F74" w:rsidRPr="00F15EE6" w:rsidRDefault="004A3F74" w:rsidP="0066758F">
            <w:r w:rsidRPr="00F15EE6">
              <w:t>E</w:t>
            </w:r>
            <w:proofErr w:type="gramStart"/>
            <w:r w:rsidRPr="00F15EE6">
              <w:t>00..</w:t>
            </w:r>
            <w:proofErr w:type="gramEnd"/>
            <w:r w:rsidRPr="00F15EE6">
              <w:tab/>
              <w:t>Senile and presenile organic psychotic conditions</w:t>
            </w:r>
          </w:p>
          <w:p w14:paraId="76E89D74" w14:textId="77777777" w:rsidR="004A3F74" w:rsidRPr="00F15EE6" w:rsidRDefault="004A3F74" w:rsidP="0066758F">
            <w:r w:rsidRPr="00F15EE6">
              <w:t>E000.</w:t>
            </w:r>
            <w:r w:rsidRPr="00F15EE6">
              <w:tab/>
              <w:t>Uncomplicated senile dementia</w:t>
            </w:r>
          </w:p>
          <w:p w14:paraId="54ED6BDE" w14:textId="77777777" w:rsidR="004A3F74" w:rsidRPr="00F15EE6" w:rsidRDefault="004A3F74" w:rsidP="0066758F">
            <w:r w:rsidRPr="00F15EE6">
              <w:t>E001.</w:t>
            </w:r>
            <w:r w:rsidRPr="00F15EE6">
              <w:tab/>
              <w:t>Presenile dementia</w:t>
            </w:r>
          </w:p>
          <w:p w14:paraId="334FFFE3" w14:textId="77777777" w:rsidR="004A3F74" w:rsidRPr="00F15EE6" w:rsidRDefault="004A3F74" w:rsidP="0066758F">
            <w:r w:rsidRPr="00F15EE6">
              <w:t>E0010</w:t>
            </w:r>
            <w:r w:rsidRPr="00F15EE6">
              <w:tab/>
              <w:t>Uncomplicated presenile dementia</w:t>
            </w:r>
          </w:p>
          <w:p w14:paraId="1F1871F2" w14:textId="77777777" w:rsidR="004A3F74" w:rsidRPr="00F15EE6" w:rsidRDefault="004A3F74" w:rsidP="0066758F">
            <w:r w:rsidRPr="00F15EE6">
              <w:t>E0011</w:t>
            </w:r>
            <w:r w:rsidRPr="00F15EE6">
              <w:tab/>
              <w:t>Presenile dementia with delirium</w:t>
            </w:r>
          </w:p>
          <w:p w14:paraId="07D81986" w14:textId="77777777" w:rsidR="004A3F74" w:rsidRPr="00F15EE6" w:rsidRDefault="004A3F74" w:rsidP="0066758F">
            <w:r w:rsidRPr="00F15EE6">
              <w:t>E0012</w:t>
            </w:r>
            <w:r w:rsidRPr="00F15EE6">
              <w:tab/>
              <w:t>Presenile dementia with paranoia</w:t>
            </w:r>
          </w:p>
          <w:p w14:paraId="0857DD89" w14:textId="77777777" w:rsidR="004A3F74" w:rsidRPr="00F15EE6" w:rsidRDefault="004A3F74" w:rsidP="0066758F">
            <w:r w:rsidRPr="00F15EE6">
              <w:t>E0013</w:t>
            </w:r>
            <w:r w:rsidRPr="00F15EE6">
              <w:tab/>
              <w:t>Presenile dementia with depression</w:t>
            </w:r>
          </w:p>
          <w:p w14:paraId="2DDA788F" w14:textId="77777777" w:rsidR="004A3F74" w:rsidRPr="00F15EE6" w:rsidRDefault="004A3F74" w:rsidP="0066758F">
            <w:r w:rsidRPr="00F15EE6">
              <w:t>E001z</w:t>
            </w:r>
            <w:r w:rsidRPr="00F15EE6">
              <w:tab/>
              <w:t>Presenile dementia NOS</w:t>
            </w:r>
          </w:p>
          <w:p w14:paraId="314FCABC" w14:textId="77777777" w:rsidR="004A3F74" w:rsidRPr="00F15EE6" w:rsidRDefault="004A3F74" w:rsidP="0066758F">
            <w:r w:rsidRPr="00F15EE6">
              <w:t>E002.</w:t>
            </w:r>
            <w:r w:rsidRPr="00F15EE6">
              <w:tab/>
              <w:t>Senile dementia with depressive or paranoid features</w:t>
            </w:r>
          </w:p>
          <w:p w14:paraId="5D215E65" w14:textId="77777777" w:rsidR="004A3F74" w:rsidRPr="00F15EE6" w:rsidRDefault="004A3F74" w:rsidP="0066758F">
            <w:r w:rsidRPr="00F15EE6">
              <w:t>E0020</w:t>
            </w:r>
            <w:r w:rsidRPr="00F15EE6">
              <w:tab/>
              <w:t>Senile dementia with paranoia</w:t>
            </w:r>
          </w:p>
          <w:p w14:paraId="642F2932" w14:textId="77777777" w:rsidR="004A3F74" w:rsidRPr="00F15EE6" w:rsidRDefault="004A3F74" w:rsidP="0066758F">
            <w:r w:rsidRPr="00F15EE6">
              <w:t>E0021</w:t>
            </w:r>
            <w:r w:rsidRPr="00F15EE6">
              <w:tab/>
              <w:t>Senile dementia with depression</w:t>
            </w:r>
          </w:p>
          <w:p w14:paraId="004C6193" w14:textId="77777777" w:rsidR="004A3F74" w:rsidRPr="00F15EE6" w:rsidRDefault="004A3F74" w:rsidP="0066758F">
            <w:r w:rsidRPr="00F15EE6">
              <w:t>E002z</w:t>
            </w:r>
            <w:r w:rsidRPr="00F15EE6">
              <w:tab/>
              <w:t>Senile dementia with depressive or paranoid features NOS</w:t>
            </w:r>
          </w:p>
          <w:p w14:paraId="0D47E1ED" w14:textId="77777777" w:rsidR="004A3F74" w:rsidRPr="00F15EE6" w:rsidRDefault="004A3F74" w:rsidP="0066758F">
            <w:r w:rsidRPr="00F15EE6">
              <w:t>E003.</w:t>
            </w:r>
            <w:r w:rsidRPr="00F15EE6">
              <w:tab/>
              <w:t>Senile dementia with delirium</w:t>
            </w:r>
          </w:p>
          <w:p w14:paraId="19B30A4F" w14:textId="77777777" w:rsidR="004A3F74" w:rsidRPr="00F15EE6" w:rsidRDefault="004A3F74" w:rsidP="0066758F">
            <w:r w:rsidRPr="00F15EE6">
              <w:t>E004.</w:t>
            </w:r>
            <w:r w:rsidRPr="00F15EE6">
              <w:tab/>
              <w:t>Arteriosclerotic dementia</w:t>
            </w:r>
          </w:p>
          <w:p w14:paraId="049F25F3" w14:textId="77777777" w:rsidR="004A3F74" w:rsidRPr="00F15EE6" w:rsidRDefault="004A3F74" w:rsidP="0066758F">
            <w:r w:rsidRPr="00F15EE6">
              <w:t>E0040</w:t>
            </w:r>
            <w:r w:rsidRPr="00F15EE6">
              <w:tab/>
              <w:t>Uncomplicated arteriosclerotic dementia</w:t>
            </w:r>
          </w:p>
          <w:p w14:paraId="687F9AC7" w14:textId="77777777" w:rsidR="004A3F74" w:rsidRPr="00F15EE6" w:rsidRDefault="004A3F74" w:rsidP="0066758F">
            <w:r w:rsidRPr="00F15EE6">
              <w:t>E0041</w:t>
            </w:r>
            <w:r w:rsidRPr="00F15EE6">
              <w:tab/>
              <w:t>Arteriosclerotic dementia with delirium</w:t>
            </w:r>
          </w:p>
          <w:p w14:paraId="0261AF08" w14:textId="77777777" w:rsidR="004A3F74" w:rsidRPr="00F15EE6" w:rsidRDefault="004A3F74" w:rsidP="0066758F">
            <w:r w:rsidRPr="00F15EE6">
              <w:t>E0042</w:t>
            </w:r>
            <w:r w:rsidRPr="00F15EE6">
              <w:tab/>
              <w:t>Arteriosclerotic dementia with paranoia</w:t>
            </w:r>
          </w:p>
          <w:p w14:paraId="788482E5" w14:textId="77777777" w:rsidR="004A3F74" w:rsidRPr="00F15EE6" w:rsidRDefault="004A3F74" w:rsidP="0066758F">
            <w:r w:rsidRPr="00F15EE6">
              <w:t>E0043</w:t>
            </w:r>
            <w:r w:rsidRPr="00F15EE6">
              <w:tab/>
              <w:t>Arteriosclerotic dementia with depression</w:t>
            </w:r>
          </w:p>
          <w:p w14:paraId="0E9E85DB" w14:textId="77777777" w:rsidR="004A3F74" w:rsidRPr="00F15EE6" w:rsidRDefault="004A3F74" w:rsidP="0066758F">
            <w:r w:rsidRPr="00F15EE6">
              <w:t>E004z</w:t>
            </w:r>
            <w:r w:rsidRPr="00F15EE6">
              <w:tab/>
              <w:t>Arteriosclerotic dementia NOS</w:t>
            </w:r>
          </w:p>
          <w:p w14:paraId="7281D3EF" w14:textId="77777777" w:rsidR="004A3F74" w:rsidRPr="00F15EE6" w:rsidRDefault="004A3F74" w:rsidP="0066758F">
            <w:r w:rsidRPr="00F15EE6">
              <w:t>E00y.</w:t>
            </w:r>
            <w:r w:rsidRPr="00F15EE6">
              <w:tab/>
              <w:t>Other senile and presenile organic psychoses</w:t>
            </w:r>
          </w:p>
          <w:p w14:paraId="79AC6C8F" w14:textId="77777777" w:rsidR="004A3F74" w:rsidRPr="00F15EE6" w:rsidRDefault="004A3F74" w:rsidP="0066758F">
            <w:r w:rsidRPr="00F15EE6">
              <w:t>E00z.</w:t>
            </w:r>
            <w:r w:rsidRPr="00F15EE6">
              <w:tab/>
              <w:t>Senile or presenile psychoses NOS</w:t>
            </w:r>
          </w:p>
          <w:p w14:paraId="66CDAA26" w14:textId="77777777" w:rsidR="004A3F74" w:rsidRPr="00F15EE6" w:rsidRDefault="004A3F74" w:rsidP="0066758F">
            <w:r w:rsidRPr="00F15EE6">
              <w:t>E012.</w:t>
            </w:r>
            <w:r w:rsidRPr="00F15EE6">
              <w:tab/>
            </w:r>
            <w:proofErr w:type="gramStart"/>
            <w:r w:rsidRPr="00F15EE6">
              <w:t>Other</w:t>
            </w:r>
            <w:proofErr w:type="gramEnd"/>
            <w:r w:rsidRPr="00F15EE6">
              <w:t xml:space="preserve"> alcoholic dementia</w:t>
            </w:r>
          </w:p>
          <w:p w14:paraId="7B056BE9" w14:textId="77777777" w:rsidR="004A3F74" w:rsidRPr="00F15EE6" w:rsidRDefault="004A3F74" w:rsidP="0066758F">
            <w:r w:rsidRPr="00F15EE6">
              <w:t>E0120</w:t>
            </w:r>
            <w:r w:rsidRPr="00F15EE6">
              <w:tab/>
              <w:t>Chronic alcoholic brain syndrome</w:t>
            </w:r>
          </w:p>
          <w:p w14:paraId="1A09D05E" w14:textId="77777777" w:rsidR="004A3F74" w:rsidRPr="00F15EE6" w:rsidRDefault="004A3F74" w:rsidP="0066758F">
            <w:r w:rsidRPr="00F15EE6">
              <w:t>E02y1</w:t>
            </w:r>
            <w:r w:rsidRPr="00F15EE6">
              <w:tab/>
              <w:t>Drug-induced dementia</w:t>
            </w:r>
          </w:p>
          <w:p w14:paraId="058B7068" w14:textId="77777777" w:rsidR="004A3F74" w:rsidRPr="00F15EE6" w:rsidRDefault="004A3F74" w:rsidP="0066758F">
            <w:r w:rsidRPr="00F15EE6">
              <w:t>E041.</w:t>
            </w:r>
            <w:r w:rsidRPr="00F15EE6">
              <w:tab/>
              <w:t>Dementia in conditions EC</w:t>
            </w:r>
          </w:p>
          <w:p w14:paraId="5163F97B" w14:textId="77777777" w:rsidR="004A3F74" w:rsidRPr="00F15EE6" w:rsidRDefault="004A3F74" w:rsidP="0066758F">
            <w:r w:rsidRPr="00F15EE6">
              <w:t>Eu00.</w:t>
            </w:r>
            <w:r w:rsidRPr="00F15EE6">
              <w:tab/>
              <w:t>[X]Dementia in Alzheimer's disease</w:t>
            </w:r>
          </w:p>
          <w:p w14:paraId="0366CA44" w14:textId="77777777" w:rsidR="004A3F74" w:rsidRPr="00F15EE6" w:rsidRDefault="004A3F74" w:rsidP="0066758F">
            <w:r w:rsidRPr="00F15EE6">
              <w:t>Eu000</w:t>
            </w:r>
            <w:r w:rsidRPr="00F15EE6">
              <w:tab/>
              <w:t>[X]Dementia in Alzheimer's disease with early onset</w:t>
            </w:r>
          </w:p>
          <w:p w14:paraId="196A395E" w14:textId="77777777" w:rsidR="004A3F74" w:rsidRPr="00F15EE6" w:rsidRDefault="004A3F74" w:rsidP="0066758F">
            <w:r w:rsidRPr="00F15EE6">
              <w:t>Eu001</w:t>
            </w:r>
            <w:r w:rsidRPr="00F15EE6">
              <w:tab/>
              <w:t>[X]Dementia in Alzheimer's disease with late onset</w:t>
            </w:r>
          </w:p>
          <w:p w14:paraId="1B279A80" w14:textId="77777777" w:rsidR="004A3F74" w:rsidRPr="00F15EE6" w:rsidRDefault="004A3F74" w:rsidP="0066758F">
            <w:r w:rsidRPr="00F15EE6">
              <w:t>Eu002</w:t>
            </w:r>
            <w:r w:rsidRPr="00F15EE6">
              <w:tab/>
              <w:t>[X]Dementia in Alzheimer's dis, atypical or mixed type</w:t>
            </w:r>
          </w:p>
          <w:p w14:paraId="595EE1B0" w14:textId="77777777" w:rsidR="004A3F74" w:rsidRPr="00F15EE6" w:rsidRDefault="004A3F74" w:rsidP="0066758F">
            <w:r w:rsidRPr="00F15EE6">
              <w:t>Eu00z</w:t>
            </w:r>
            <w:r w:rsidRPr="00F15EE6">
              <w:tab/>
              <w:t>[X]Dementia in Alzheimer's disease, unspecified</w:t>
            </w:r>
          </w:p>
          <w:p w14:paraId="2804F7D4" w14:textId="77777777" w:rsidR="004A3F74" w:rsidRPr="00F15EE6" w:rsidRDefault="004A3F74" w:rsidP="0066758F">
            <w:r w:rsidRPr="00F15EE6">
              <w:t>Eu01.</w:t>
            </w:r>
            <w:r w:rsidRPr="00F15EE6">
              <w:tab/>
              <w:t>[X]Vascular dementia</w:t>
            </w:r>
          </w:p>
          <w:p w14:paraId="61A44027" w14:textId="77777777" w:rsidR="004A3F74" w:rsidRPr="00F15EE6" w:rsidRDefault="004A3F74" w:rsidP="0066758F">
            <w:r w:rsidRPr="00F15EE6">
              <w:t>Eu010</w:t>
            </w:r>
            <w:r w:rsidRPr="00F15EE6">
              <w:tab/>
              <w:t>[X]Vascular dementia of acute onset</w:t>
            </w:r>
          </w:p>
          <w:p w14:paraId="753E0496" w14:textId="77777777" w:rsidR="004A3F74" w:rsidRPr="00F15EE6" w:rsidRDefault="004A3F74" w:rsidP="0066758F">
            <w:r w:rsidRPr="00F15EE6">
              <w:t>Eu011</w:t>
            </w:r>
            <w:r w:rsidRPr="00F15EE6">
              <w:tab/>
              <w:t>[X]Multi-infarct dementia</w:t>
            </w:r>
          </w:p>
          <w:p w14:paraId="6742E853" w14:textId="77777777" w:rsidR="004A3F74" w:rsidRPr="00F15EE6" w:rsidRDefault="004A3F74" w:rsidP="0066758F">
            <w:r w:rsidRPr="00F15EE6">
              <w:t>Eu012</w:t>
            </w:r>
            <w:r w:rsidRPr="00F15EE6">
              <w:tab/>
              <w:t>[X]Subcortical vascular dementia</w:t>
            </w:r>
          </w:p>
          <w:p w14:paraId="0CD79F7B" w14:textId="77777777" w:rsidR="004A3F74" w:rsidRPr="00F15EE6" w:rsidRDefault="004A3F74" w:rsidP="0066758F">
            <w:r w:rsidRPr="00F15EE6">
              <w:t>Eu013</w:t>
            </w:r>
            <w:r w:rsidRPr="00F15EE6">
              <w:tab/>
              <w:t>[X]Mixed cortical and subcortical vascular dementia</w:t>
            </w:r>
          </w:p>
          <w:p w14:paraId="470DF7AB" w14:textId="77777777" w:rsidR="004A3F74" w:rsidRPr="00F15EE6" w:rsidRDefault="004A3F74" w:rsidP="0066758F">
            <w:r w:rsidRPr="00F15EE6">
              <w:t>Eu01y</w:t>
            </w:r>
            <w:r w:rsidRPr="00F15EE6">
              <w:tab/>
              <w:t>[X]</w:t>
            </w:r>
            <w:proofErr w:type="gramStart"/>
            <w:r w:rsidRPr="00F15EE6">
              <w:t>Other</w:t>
            </w:r>
            <w:proofErr w:type="gramEnd"/>
            <w:r w:rsidRPr="00F15EE6">
              <w:t xml:space="preserve"> vascular dementia</w:t>
            </w:r>
          </w:p>
          <w:p w14:paraId="7DE3279F" w14:textId="77777777" w:rsidR="004A3F74" w:rsidRPr="00F15EE6" w:rsidRDefault="004A3F74" w:rsidP="0066758F">
            <w:r w:rsidRPr="00F15EE6">
              <w:t>Eu01z</w:t>
            </w:r>
            <w:r w:rsidRPr="00F15EE6">
              <w:tab/>
              <w:t>[X]Vascular dementia, unspecified</w:t>
            </w:r>
          </w:p>
          <w:p w14:paraId="0E73EA10" w14:textId="77777777" w:rsidR="004A3F74" w:rsidRPr="00F15EE6" w:rsidRDefault="004A3F74" w:rsidP="0066758F">
            <w:r w:rsidRPr="00F15EE6">
              <w:t>Eu02.</w:t>
            </w:r>
            <w:r w:rsidRPr="00F15EE6">
              <w:tab/>
              <w:t>[X]Dementia in other diseases classified elsewhere</w:t>
            </w:r>
          </w:p>
          <w:p w14:paraId="0FE71F7D" w14:textId="77777777" w:rsidR="004A3F74" w:rsidRPr="00F15EE6" w:rsidRDefault="004A3F74" w:rsidP="0066758F">
            <w:r w:rsidRPr="00F15EE6">
              <w:t>Eu020</w:t>
            </w:r>
            <w:r w:rsidRPr="00F15EE6">
              <w:tab/>
              <w:t>[X]Dementia in Pick's disease</w:t>
            </w:r>
          </w:p>
          <w:p w14:paraId="30AFB050" w14:textId="77777777" w:rsidR="004A3F74" w:rsidRPr="00F15EE6" w:rsidRDefault="004A3F74" w:rsidP="0066758F">
            <w:r w:rsidRPr="00F15EE6">
              <w:t>Eu021</w:t>
            </w:r>
            <w:r w:rsidRPr="00F15EE6">
              <w:tab/>
              <w:t>[X]Dementia in Creutzfeldt-Jakob disease</w:t>
            </w:r>
          </w:p>
          <w:p w14:paraId="5F0BC5DA" w14:textId="77777777" w:rsidR="004A3F74" w:rsidRPr="00F15EE6" w:rsidRDefault="004A3F74" w:rsidP="0066758F">
            <w:r w:rsidRPr="00F15EE6">
              <w:t>Eu022</w:t>
            </w:r>
            <w:r w:rsidRPr="00F15EE6">
              <w:tab/>
              <w:t>[X]Dementia in Huntington's disease</w:t>
            </w:r>
          </w:p>
          <w:p w14:paraId="61B21F66" w14:textId="77777777" w:rsidR="004A3F74" w:rsidRPr="00F15EE6" w:rsidRDefault="004A3F74" w:rsidP="0066758F">
            <w:r w:rsidRPr="00F15EE6">
              <w:t>Eu023</w:t>
            </w:r>
            <w:r w:rsidRPr="00F15EE6">
              <w:tab/>
              <w:t>[X]Dementia in Parkinson's disease</w:t>
            </w:r>
          </w:p>
          <w:p w14:paraId="096B78C7" w14:textId="77777777" w:rsidR="004A3F74" w:rsidRPr="00F15EE6" w:rsidRDefault="004A3F74" w:rsidP="0066758F">
            <w:r w:rsidRPr="00F15EE6">
              <w:t>Eu024</w:t>
            </w:r>
            <w:r w:rsidRPr="00F15EE6">
              <w:tab/>
              <w:t xml:space="preserve">[X]Dementia in human </w:t>
            </w:r>
            <w:proofErr w:type="spellStart"/>
            <w:r w:rsidRPr="00F15EE6">
              <w:t>immunodef</w:t>
            </w:r>
            <w:proofErr w:type="spellEnd"/>
            <w:r w:rsidRPr="00F15EE6">
              <w:t xml:space="preserve"> virus [HIV] disease</w:t>
            </w:r>
          </w:p>
          <w:p w14:paraId="7B053345" w14:textId="77777777" w:rsidR="004A3F74" w:rsidRPr="00F15EE6" w:rsidRDefault="004A3F74" w:rsidP="0066758F">
            <w:r w:rsidRPr="00F15EE6">
              <w:t>Eu025</w:t>
            </w:r>
            <w:r w:rsidRPr="00F15EE6">
              <w:tab/>
              <w:t>[X]Lewy body dementia</w:t>
            </w:r>
          </w:p>
          <w:p w14:paraId="118CDB20" w14:textId="77777777" w:rsidR="004A3F74" w:rsidRPr="00F15EE6" w:rsidRDefault="004A3F74" w:rsidP="0066758F">
            <w:r w:rsidRPr="00F15EE6">
              <w:t>Eu02y</w:t>
            </w:r>
            <w:r w:rsidRPr="00F15EE6">
              <w:tab/>
              <w:t xml:space="preserve">[X]Dementia in other specified diseases </w:t>
            </w:r>
            <w:proofErr w:type="spellStart"/>
            <w:r w:rsidRPr="00F15EE6">
              <w:t>classif</w:t>
            </w:r>
            <w:proofErr w:type="spellEnd"/>
            <w:r w:rsidRPr="00F15EE6">
              <w:t xml:space="preserve"> elsewhere</w:t>
            </w:r>
          </w:p>
          <w:p w14:paraId="63BF143E" w14:textId="77777777" w:rsidR="004A3F74" w:rsidRPr="00F15EE6" w:rsidRDefault="004A3F74" w:rsidP="0066758F">
            <w:r w:rsidRPr="00F15EE6">
              <w:t>Eu02z</w:t>
            </w:r>
            <w:r w:rsidRPr="00F15EE6">
              <w:tab/>
              <w:t>[X] Unspecified dementia</w:t>
            </w:r>
          </w:p>
          <w:p w14:paraId="34788283" w14:textId="77777777" w:rsidR="004A3F74" w:rsidRPr="00F15EE6" w:rsidRDefault="004A3F74" w:rsidP="0066758F">
            <w:r w:rsidRPr="00F15EE6">
              <w:t>Eu041</w:t>
            </w:r>
            <w:r w:rsidRPr="00F15EE6">
              <w:tab/>
              <w:t>[X]Delirium superimposed on dementia</w:t>
            </w:r>
          </w:p>
          <w:p w14:paraId="0E33BC53" w14:textId="77777777" w:rsidR="004A3F74" w:rsidRPr="00F15EE6" w:rsidRDefault="004A3F74" w:rsidP="0066758F">
            <w:r w:rsidRPr="00F15EE6">
              <w:t>F110.</w:t>
            </w:r>
            <w:r w:rsidRPr="00F15EE6">
              <w:tab/>
              <w:t>Alzheimer's disease</w:t>
            </w:r>
          </w:p>
          <w:p w14:paraId="71CC82BB" w14:textId="77777777" w:rsidR="004A3F74" w:rsidRPr="00F15EE6" w:rsidRDefault="004A3F74" w:rsidP="0066758F">
            <w:r w:rsidRPr="00F15EE6">
              <w:t>F1100</w:t>
            </w:r>
            <w:r w:rsidRPr="00F15EE6">
              <w:tab/>
              <w:t>Alzheimer's disease with early onset</w:t>
            </w:r>
          </w:p>
          <w:p w14:paraId="4DC0442E" w14:textId="77777777" w:rsidR="004A3F74" w:rsidRPr="00F15EE6" w:rsidRDefault="004A3F74" w:rsidP="0066758F">
            <w:r w:rsidRPr="00F15EE6">
              <w:t>F1101</w:t>
            </w:r>
            <w:r w:rsidRPr="00F15EE6">
              <w:tab/>
              <w:t>Alzheimer's disease with late onset</w:t>
            </w:r>
          </w:p>
          <w:p w14:paraId="6404897A" w14:textId="77777777" w:rsidR="004A3F74" w:rsidRPr="00F15EE6" w:rsidRDefault="004A3F74" w:rsidP="0066758F">
            <w:r w:rsidRPr="00F15EE6">
              <w:t>F111.</w:t>
            </w:r>
            <w:r w:rsidRPr="00F15EE6">
              <w:tab/>
              <w:t>Pick's disease</w:t>
            </w:r>
          </w:p>
          <w:p w14:paraId="1D1AF553" w14:textId="77777777" w:rsidR="004A3F74" w:rsidRPr="00F15EE6" w:rsidRDefault="004A3F74" w:rsidP="0066758F">
            <w:r w:rsidRPr="00F15EE6">
              <w:t>F112.</w:t>
            </w:r>
            <w:r w:rsidRPr="00F15EE6">
              <w:tab/>
              <w:t>Senile degeneration of brain</w:t>
            </w:r>
          </w:p>
          <w:p w14:paraId="2E422920" w14:textId="77777777" w:rsidR="004A3F74" w:rsidRPr="00F15EE6" w:rsidRDefault="004A3F74" w:rsidP="0066758F">
            <w:r w:rsidRPr="00F15EE6">
              <w:t>F116.</w:t>
            </w:r>
            <w:r w:rsidRPr="00F15EE6">
              <w:tab/>
              <w:t>Lewy body disease</w:t>
            </w:r>
          </w:p>
          <w:p w14:paraId="3B307E67" w14:textId="77777777" w:rsidR="004A3F74" w:rsidRPr="00F15EE6" w:rsidRDefault="004A3F74" w:rsidP="0066758F">
            <w:pPr>
              <w:ind w:left="720" w:hanging="720"/>
            </w:pPr>
            <w:r w:rsidRPr="00F15EE6">
              <w:t>(CTV3)</w:t>
            </w:r>
          </w:p>
          <w:p w14:paraId="4E6DFDB9" w14:textId="77777777" w:rsidR="004A3F74" w:rsidRPr="00F15EE6" w:rsidRDefault="004A3F74" w:rsidP="0066758F">
            <w:r w:rsidRPr="00F15EE6">
              <w:t>A410.</w:t>
            </w:r>
            <w:r w:rsidRPr="00F15EE6">
              <w:tab/>
              <w:t>Kuru</w:t>
            </w:r>
          </w:p>
          <w:p w14:paraId="6CAB86E9" w14:textId="77777777" w:rsidR="004A3F74" w:rsidRPr="00F15EE6" w:rsidRDefault="004A3F74" w:rsidP="0066758F">
            <w:r w:rsidRPr="00F15EE6">
              <w:t>A411.</w:t>
            </w:r>
            <w:r w:rsidRPr="00F15EE6">
              <w:tab/>
              <w:t>Creutzfeldt-Jakob disease</w:t>
            </w:r>
          </w:p>
          <w:p w14:paraId="0B637748" w14:textId="77777777" w:rsidR="004A3F74" w:rsidRPr="00F15EE6" w:rsidRDefault="004A3F74" w:rsidP="0066758F">
            <w:r w:rsidRPr="00F15EE6">
              <w:t>E000.</w:t>
            </w:r>
            <w:r w:rsidRPr="00F15EE6">
              <w:tab/>
              <w:t>Uncomplicated senile dementia</w:t>
            </w:r>
          </w:p>
          <w:p w14:paraId="01E3C885" w14:textId="77777777" w:rsidR="004A3F74" w:rsidRPr="00F15EE6" w:rsidRDefault="004A3F74" w:rsidP="0066758F">
            <w:r w:rsidRPr="00F15EE6">
              <w:t>E001.</w:t>
            </w:r>
            <w:r w:rsidRPr="00F15EE6">
              <w:tab/>
              <w:t>Presenile dementia</w:t>
            </w:r>
          </w:p>
          <w:p w14:paraId="1A90551C" w14:textId="77777777" w:rsidR="004A3F74" w:rsidRPr="00F15EE6" w:rsidRDefault="004A3F74" w:rsidP="0066758F">
            <w:r w:rsidRPr="00F15EE6">
              <w:t>E0010</w:t>
            </w:r>
            <w:r w:rsidRPr="00F15EE6">
              <w:tab/>
              <w:t>Uncomplicated presenile dementia</w:t>
            </w:r>
          </w:p>
          <w:p w14:paraId="2E1DCEE5" w14:textId="77777777" w:rsidR="004A3F74" w:rsidRPr="00F15EE6" w:rsidRDefault="004A3F74" w:rsidP="0066758F">
            <w:r w:rsidRPr="00F15EE6">
              <w:t>E0011</w:t>
            </w:r>
            <w:r w:rsidRPr="00F15EE6">
              <w:tab/>
              <w:t>Presenile dementia with delirium</w:t>
            </w:r>
          </w:p>
          <w:p w14:paraId="4896E8C1" w14:textId="77777777" w:rsidR="004A3F74" w:rsidRPr="00F15EE6" w:rsidRDefault="004A3F74" w:rsidP="0066758F">
            <w:r w:rsidRPr="00F15EE6">
              <w:t>E0012</w:t>
            </w:r>
            <w:r w:rsidRPr="00F15EE6">
              <w:tab/>
              <w:t>Presenile dementia with paranoia</w:t>
            </w:r>
          </w:p>
          <w:p w14:paraId="606C0B7A" w14:textId="77777777" w:rsidR="004A3F74" w:rsidRPr="00F15EE6" w:rsidRDefault="004A3F74" w:rsidP="0066758F">
            <w:r w:rsidRPr="00F15EE6">
              <w:t>E0013</w:t>
            </w:r>
            <w:r w:rsidRPr="00F15EE6">
              <w:tab/>
              <w:t>Presenile dementia with depression</w:t>
            </w:r>
          </w:p>
          <w:p w14:paraId="2C013F95" w14:textId="77777777" w:rsidR="004A3F74" w:rsidRPr="00F15EE6" w:rsidRDefault="004A3F74" w:rsidP="0066758F">
            <w:r w:rsidRPr="00F15EE6">
              <w:t>E001z</w:t>
            </w:r>
            <w:r w:rsidRPr="00F15EE6">
              <w:tab/>
              <w:t>Presenile dementia NOS</w:t>
            </w:r>
          </w:p>
          <w:p w14:paraId="46F0FF0F" w14:textId="77777777" w:rsidR="004A3F74" w:rsidRPr="00F15EE6" w:rsidRDefault="004A3F74" w:rsidP="0066758F">
            <w:r w:rsidRPr="00F15EE6">
              <w:t>E002.</w:t>
            </w:r>
            <w:r w:rsidRPr="00F15EE6">
              <w:tab/>
              <w:t>Senile dementia with depressive or paranoid features</w:t>
            </w:r>
          </w:p>
          <w:p w14:paraId="2675CAAD" w14:textId="77777777" w:rsidR="004A3F74" w:rsidRPr="00F15EE6" w:rsidRDefault="004A3F74" w:rsidP="0066758F">
            <w:r w:rsidRPr="00F15EE6">
              <w:t>E0020</w:t>
            </w:r>
            <w:r w:rsidRPr="00F15EE6">
              <w:tab/>
              <w:t>Senile dementia with paranoia</w:t>
            </w:r>
          </w:p>
          <w:p w14:paraId="0FED1BBA" w14:textId="77777777" w:rsidR="004A3F74" w:rsidRPr="00F15EE6" w:rsidRDefault="004A3F74" w:rsidP="0066758F">
            <w:r w:rsidRPr="00F15EE6">
              <w:t>E0021</w:t>
            </w:r>
            <w:r w:rsidRPr="00F15EE6">
              <w:tab/>
              <w:t>Senile dementia with depression</w:t>
            </w:r>
          </w:p>
          <w:p w14:paraId="164D6FFC" w14:textId="77777777" w:rsidR="004A3F74" w:rsidRPr="00F15EE6" w:rsidRDefault="004A3F74" w:rsidP="0066758F">
            <w:r w:rsidRPr="00F15EE6">
              <w:t>E002z</w:t>
            </w:r>
            <w:r w:rsidRPr="00F15EE6">
              <w:tab/>
              <w:t>Senile dementia with depressive or paranoid features NOS</w:t>
            </w:r>
          </w:p>
          <w:p w14:paraId="33CDDFFA" w14:textId="77777777" w:rsidR="004A3F74" w:rsidRPr="00F15EE6" w:rsidRDefault="004A3F74" w:rsidP="0066758F">
            <w:r w:rsidRPr="00F15EE6">
              <w:t>E003.</w:t>
            </w:r>
            <w:r w:rsidRPr="00F15EE6">
              <w:tab/>
              <w:t>Senile dementia with delirium</w:t>
            </w:r>
          </w:p>
          <w:p w14:paraId="7C1653F5" w14:textId="77777777" w:rsidR="004A3F74" w:rsidRPr="00F15EE6" w:rsidRDefault="004A3F74" w:rsidP="0066758F">
            <w:r w:rsidRPr="00F15EE6">
              <w:t>E004.</w:t>
            </w:r>
            <w:r w:rsidRPr="00F15EE6">
              <w:tab/>
              <w:t>Arteriosclerotic dementia (including [multi infarct dement])</w:t>
            </w:r>
          </w:p>
          <w:p w14:paraId="7F9FCB8C" w14:textId="77777777" w:rsidR="004A3F74" w:rsidRPr="00F15EE6" w:rsidRDefault="004A3F74" w:rsidP="0066758F">
            <w:r w:rsidRPr="00F15EE6">
              <w:t>E0040</w:t>
            </w:r>
            <w:r w:rsidRPr="00F15EE6">
              <w:tab/>
              <w:t>Uncomplicated arteriosclerotic dementia</w:t>
            </w:r>
          </w:p>
          <w:p w14:paraId="3050A947" w14:textId="77777777" w:rsidR="004A3F74" w:rsidRPr="00F15EE6" w:rsidRDefault="004A3F74" w:rsidP="0066758F">
            <w:r w:rsidRPr="00F15EE6">
              <w:t>E0041</w:t>
            </w:r>
            <w:r w:rsidRPr="00F15EE6">
              <w:tab/>
              <w:t>Arteriosclerotic dementia with delirium</w:t>
            </w:r>
          </w:p>
          <w:p w14:paraId="217AE688" w14:textId="77777777" w:rsidR="004A3F74" w:rsidRPr="00F15EE6" w:rsidRDefault="004A3F74" w:rsidP="0066758F">
            <w:r w:rsidRPr="00F15EE6">
              <w:t>E0042</w:t>
            </w:r>
            <w:r w:rsidRPr="00F15EE6">
              <w:tab/>
              <w:t>Arteriosclerotic dementia with paranoia</w:t>
            </w:r>
          </w:p>
          <w:p w14:paraId="02EAABCD" w14:textId="77777777" w:rsidR="004A3F74" w:rsidRPr="00F15EE6" w:rsidRDefault="004A3F74" w:rsidP="0066758F">
            <w:r w:rsidRPr="00F15EE6">
              <w:t>E0043</w:t>
            </w:r>
            <w:r w:rsidRPr="00F15EE6">
              <w:tab/>
              <w:t>Arteriosclerotic dementia with depression</w:t>
            </w:r>
          </w:p>
          <w:p w14:paraId="7FCD9A61" w14:textId="77777777" w:rsidR="004A3F74" w:rsidRPr="00F15EE6" w:rsidRDefault="004A3F74" w:rsidP="0066758F">
            <w:r w:rsidRPr="00F15EE6">
              <w:t>E004z</w:t>
            </w:r>
            <w:r w:rsidRPr="00F15EE6">
              <w:tab/>
              <w:t>Arteriosclerotic dementia NOS</w:t>
            </w:r>
          </w:p>
          <w:p w14:paraId="0DA88350" w14:textId="77777777" w:rsidR="004A3F74" w:rsidRPr="00F15EE6" w:rsidRDefault="004A3F74" w:rsidP="0066758F">
            <w:r w:rsidRPr="00F15EE6">
              <w:t>E00z.</w:t>
            </w:r>
            <w:r w:rsidRPr="00F15EE6">
              <w:tab/>
              <w:t>Senile or presenile psychoses NOS</w:t>
            </w:r>
          </w:p>
          <w:p w14:paraId="14C25939" w14:textId="77777777" w:rsidR="004A3F74" w:rsidRPr="00F15EE6" w:rsidRDefault="004A3F74" w:rsidP="0066758F">
            <w:r w:rsidRPr="00F15EE6">
              <w:t>E041.</w:t>
            </w:r>
            <w:r w:rsidRPr="00F15EE6">
              <w:tab/>
              <w:t>Dementia in conditions EC</w:t>
            </w:r>
          </w:p>
          <w:p w14:paraId="7EE5AC48" w14:textId="77777777" w:rsidR="004A3F74" w:rsidRPr="00F15EE6" w:rsidRDefault="004A3F74" w:rsidP="0066758F">
            <w:r w:rsidRPr="00F15EE6">
              <w:t>Eu00.</w:t>
            </w:r>
            <w:r w:rsidRPr="00F15EE6">
              <w:tab/>
              <w:t>[X]Dementia in Alzheimer's disease</w:t>
            </w:r>
          </w:p>
          <w:p w14:paraId="4C0F386C" w14:textId="77777777" w:rsidR="004A3F74" w:rsidRPr="00F15EE6" w:rsidRDefault="004A3F74" w:rsidP="0066758F">
            <w:r w:rsidRPr="00F15EE6">
              <w:t>Eu002</w:t>
            </w:r>
            <w:r w:rsidRPr="00F15EE6">
              <w:tab/>
              <w:t>[X]Dementia in Alzheimer's dis, atypical or mixed type</w:t>
            </w:r>
          </w:p>
          <w:p w14:paraId="7EF46138" w14:textId="77777777" w:rsidR="004A3F74" w:rsidRPr="00F15EE6" w:rsidRDefault="004A3F74" w:rsidP="0066758F">
            <w:r w:rsidRPr="00F15EE6">
              <w:t>Eu00z</w:t>
            </w:r>
            <w:r w:rsidRPr="00F15EE6">
              <w:tab/>
              <w:t>[X]Dementia in Alzheimer's disease, unspecified</w:t>
            </w:r>
          </w:p>
          <w:p w14:paraId="0042A752" w14:textId="77777777" w:rsidR="004A3F74" w:rsidRPr="00F15EE6" w:rsidRDefault="004A3F74" w:rsidP="0066758F">
            <w:r w:rsidRPr="00F15EE6">
              <w:t>Eu011</w:t>
            </w:r>
            <w:r w:rsidRPr="00F15EE6">
              <w:tab/>
              <w:t>[X]Dementia: [multi-infarct] or [predominantly cortical]</w:t>
            </w:r>
          </w:p>
          <w:p w14:paraId="18199F93" w14:textId="77777777" w:rsidR="004A3F74" w:rsidRPr="00F15EE6" w:rsidRDefault="004A3F74" w:rsidP="0066758F">
            <w:r w:rsidRPr="00F15EE6">
              <w:t>Eu01y</w:t>
            </w:r>
            <w:r w:rsidRPr="00F15EE6">
              <w:tab/>
              <w:t>[X]</w:t>
            </w:r>
            <w:proofErr w:type="gramStart"/>
            <w:r w:rsidRPr="00F15EE6">
              <w:t>Other</w:t>
            </w:r>
            <w:proofErr w:type="gramEnd"/>
            <w:r w:rsidRPr="00F15EE6">
              <w:t xml:space="preserve"> vascular dementia</w:t>
            </w:r>
          </w:p>
          <w:p w14:paraId="2A0B9961" w14:textId="77777777" w:rsidR="004A3F74" w:rsidRPr="00F15EE6" w:rsidRDefault="004A3F74" w:rsidP="0066758F">
            <w:r w:rsidRPr="00F15EE6">
              <w:t>Eu01z</w:t>
            </w:r>
            <w:r w:rsidRPr="00F15EE6">
              <w:tab/>
              <w:t>[X]Vascular dementia, unspecified</w:t>
            </w:r>
          </w:p>
          <w:p w14:paraId="1A07F151" w14:textId="77777777" w:rsidR="004A3F74" w:rsidRPr="00F15EE6" w:rsidRDefault="004A3F74" w:rsidP="0066758F">
            <w:r w:rsidRPr="00F15EE6">
              <w:t>Eu02.</w:t>
            </w:r>
            <w:r w:rsidRPr="00F15EE6">
              <w:tab/>
              <w:t>[X]Dementia in other diseases classified elsewhere</w:t>
            </w:r>
          </w:p>
          <w:p w14:paraId="3DC17CA1" w14:textId="77777777" w:rsidR="004A3F74" w:rsidRPr="00F15EE6" w:rsidRDefault="004A3F74" w:rsidP="0066758F">
            <w:r w:rsidRPr="00F15EE6">
              <w:t>Eu020</w:t>
            </w:r>
            <w:r w:rsidRPr="00F15EE6">
              <w:tab/>
              <w:t>[X]Dementia in Pick's disease</w:t>
            </w:r>
          </w:p>
          <w:p w14:paraId="42D6FBEA" w14:textId="77777777" w:rsidR="004A3F74" w:rsidRPr="00F15EE6" w:rsidRDefault="004A3F74" w:rsidP="0066758F">
            <w:r w:rsidRPr="00F15EE6">
              <w:t>Eu021</w:t>
            </w:r>
            <w:r w:rsidRPr="00F15EE6">
              <w:tab/>
              <w:t>[X]Dementia in Creutzfeldt-Jakob disease</w:t>
            </w:r>
          </w:p>
          <w:p w14:paraId="4C8B082A" w14:textId="77777777" w:rsidR="004A3F74" w:rsidRPr="00F15EE6" w:rsidRDefault="004A3F74" w:rsidP="0066758F">
            <w:r w:rsidRPr="00F15EE6">
              <w:t>Eu022</w:t>
            </w:r>
            <w:r w:rsidRPr="00F15EE6">
              <w:tab/>
              <w:t>[X]Dementia in Huntington's disease</w:t>
            </w:r>
          </w:p>
          <w:p w14:paraId="0CC50A07" w14:textId="77777777" w:rsidR="004A3F74" w:rsidRPr="00F15EE6" w:rsidRDefault="004A3F74" w:rsidP="0066758F">
            <w:r w:rsidRPr="00F15EE6">
              <w:t>Eu023</w:t>
            </w:r>
            <w:r w:rsidRPr="00F15EE6">
              <w:tab/>
              <w:t>[X]Dementia in Parkinson's disease</w:t>
            </w:r>
          </w:p>
          <w:p w14:paraId="7E1E6F0E" w14:textId="77777777" w:rsidR="004A3F74" w:rsidRPr="00F15EE6" w:rsidRDefault="004A3F74" w:rsidP="0066758F">
            <w:r w:rsidRPr="00F15EE6">
              <w:t>Eu02y</w:t>
            </w:r>
            <w:r w:rsidRPr="00F15EE6">
              <w:tab/>
              <w:t xml:space="preserve">[X]Dementia in other specified diseases </w:t>
            </w:r>
            <w:proofErr w:type="spellStart"/>
            <w:r w:rsidRPr="00F15EE6">
              <w:t>classif</w:t>
            </w:r>
            <w:proofErr w:type="spellEnd"/>
            <w:r w:rsidRPr="00F15EE6">
              <w:t xml:space="preserve"> elsewhere</w:t>
            </w:r>
          </w:p>
          <w:p w14:paraId="709754FC" w14:textId="77777777" w:rsidR="004A3F74" w:rsidRPr="00F15EE6" w:rsidRDefault="004A3F74" w:rsidP="0066758F">
            <w:r w:rsidRPr="00F15EE6">
              <w:t>F110.</w:t>
            </w:r>
            <w:r w:rsidRPr="00F15EE6">
              <w:tab/>
              <w:t>Alzheimer's disease</w:t>
            </w:r>
          </w:p>
          <w:p w14:paraId="78A42CC6" w14:textId="77777777" w:rsidR="004A3F74" w:rsidRPr="00F15EE6" w:rsidRDefault="004A3F74" w:rsidP="0066758F">
            <w:r w:rsidRPr="00F15EE6">
              <w:t>F111.</w:t>
            </w:r>
            <w:r w:rsidRPr="00F15EE6">
              <w:tab/>
              <w:t>Pick's disease</w:t>
            </w:r>
          </w:p>
          <w:p w14:paraId="4D56910E" w14:textId="77777777" w:rsidR="004A3F74" w:rsidRPr="00F15EE6" w:rsidRDefault="004A3F74" w:rsidP="0066758F">
            <w:r w:rsidRPr="00F15EE6">
              <w:t>F11x7</w:t>
            </w:r>
            <w:r w:rsidRPr="00F15EE6">
              <w:tab/>
              <w:t>Cerebral degeneration due to Creutzfeldt-Jakob disease</w:t>
            </w:r>
          </w:p>
          <w:p w14:paraId="0D0799EF" w14:textId="77777777" w:rsidR="004A3F74" w:rsidRPr="00F15EE6" w:rsidRDefault="004A3F74" w:rsidP="0066758F">
            <w:r w:rsidRPr="00F15EE6">
              <w:t>F21y2</w:t>
            </w:r>
            <w:r w:rsidRPr="00F15EE6">
              <w:tab/>
              <w:t>Binswanger's disease</w:t>
            </w:r>
          </w:p>
          <w:p w14:paraId="77A9231D" w14:textId="77777777" w:rsidR="004A3F74" w:rsidRPr="00F15EE6" w:rsidRDefault="004A3F74" w:rsidP="0066758F">
            <w:r w:rsidRPr="00F15EE6">
              <w:t>Fyu30</w:t>
            </w:r>
            <w:r w:rsidRPr="00F15EE6">
              <w:tab/>
              <w:t>[X]Other Alzheimer's disease</w:t>
            </w:r>
          </w:p>
          <w:p w14:paraId="2EB4FFB4" w14:textId="77777777" w:rsidR="004A3F74" w:rsidRPr="00F15EE6" w:rsidRDefault="004A3F74" w:rsidP="0066758F">
            <w:r w:rsidRPr="00F15EE6">
              <w:t>X002w</w:t>
            </w:r>
            <w:r w:rsidRPr="00F15EE6">
              <w:tab/>
              <w:t>Dementia</w:t>
            </w:r>
          </w:p>
          <w:p w14:paraId="70C27314" w14:textId="77777777" w:rsidR="004A3F74" w:rsidRPr="00F15EE6" w:rsidRDefault="004A3F74" w:rsidP="0066758F">
            <w:r w:rsidRPr="00F15EE6">
              <w:t>X002x</w:t>
            </w:r>
            <w:r w:rsidRPr="00F15EE6">
              <w:tab/>
              <w:t>Dementia in Alzheimer's disease with early onset</w:t>
            </w:r>
          </w:p>
          <w:p w14:paraId="6EC5CC89" w14:textId="77777777" w:rsidR="004A3F74" w:rsidRPr="00F15EE6" w:rsidRDefault="004A3F74" w:rsidP="0066758F">
            <w:r w:rsidRPr="00F15EE6">
              <w:t>X002y</w:t>
            </w:r>
            <w:r w:rsidRPr="00F15EE6">
              <w:tab/>
              <w:t>Familial Alzheimer's disease of early onset</w:t>
            </w:r>
          </w:p>
          <w:p w14:paraId="354490CB" w14:textId="77777777" w:rsidR="004A3F74" w:rsidRPr="00F15EE6" w:rsidRDefault="004A3F74" w:rsidP="0066758F">
            <w:r w:rsidRPr="00F15EE6">
              <w:t>X002z</w:t>
            </w:r>
            <w:r w:rsidRPr="00F15EE6">
              <w:tab/>
              <w:t>Non-familial Alzheimer's disease of early onset</w:t>
            </w:r>
          </w:p>
          <w:p w14:paraId="22737A50" w14:textId="77777777" w:rsidR="004A3F74" w:rsidRPr="00F15EE6" w:rsidRDefault="004A3F74" w:rsidP="0066758F">
            <w:r w:rsidRPr="00F15EE6">
              <w:t>X0030</w:t>
            </w:r>
            <w:r w:rsidRPr="00F15EE6">
              <w:tab/>
              <w:t>Dementia in Alzheimer's disease with late onset</w:t>
            </w:r>
          </w:p>
          <w:p w14:paraId="43281C3D" w14:textId="77777777" w:rsidR="004A3F74" w:rsidRPr="00F15EE6" w:rsidRDefault="004A3F74" w:rsidP="0066758F">
            <w:r w:rsidRPr="00F15EE6">
              <w:t>X0031</w:t>
            </w:r>
            <w:r w:rsidRPr="00F15EE6">
              <w:tab/>
              <w:t>Familial Alzheimer's disease of late onset</w:t>
            </w:r>
          </w:p>
          <w:p w14:paraId="74D02D71" w14:textId="77777777" w:rsidR="004A3F74" w:rsidRPr="00F15EE6" w:rsidRDefault="004A3F74" w:rsidP="0066758F">
            <w:r w:rsidRPr="00F15EE6">
              <w:t>X0032</w:t>
            </w:r>
            <w:r w:rsidRPr="00F15EE6">
              <w:tab/>
              <w:t>Non-familial Alzheimer's disease of late onset</w:t>
            </w:r>
          </w:p>
          <w:p w14:paraId="716C4DB8" w14:textId="77777777" w:rsidR="004A3F74" w:rsidRPr="00F15EE6" w:rsidRDefault="004A3F74" w:rsidP="0066758F">
            <w:r w:rsidRPr="00F15EE6">
              <w:t>X0033</w:t>
            </w:r>
            <w:r w:rsidRPr="00F15EE6">
              <w:tab/>
              <w:t>Focal Alzheimer's disease</w:t>
            </w:r>
          </w:p>
          <w:p w14:paraId="62EE8DD8" w14:textId="77777777" w:rsidR="004A3F74" w:rsidRPr="00F15EE6" w:rsidRDefault="004A3F74" w:rsidP="0066758F">
            <w:r w:rsidRPr="00F15EE6">
              <w:t>X0034</w:t>
            </w:r>
            <w:r w:rsidRPr="00F15EE6">
              <w:tab/>
              <w:t>Frontotemporal dementia</w:t>
            </w:r>
          </w:p>
          <w:p w14:paraId="74C47700" w14:textId="77777777" w:rsidR="004A3F74" w:rsidRPr="00F15EE6" w:rsidRDefault="004A3F74" w:rsidP="0066758F">
            <w:r w:rsidRPr="00F15EE6">
              <w:t>X0035</w:t>
            </w:r>
            <w:r w:rsidRPr="00F15EE6">
              <w:tab/>
              <w:t>Pick's disease with Pick bodies</w:t>
            </w:r>
          </w:p>
          <w:p w14:paraId="30162B8B" w14:textId="77777777" w:rsidR="004A3F74" w:rsidRPr="00F15EE6" w:rsidRDefault="004A3F74" w:rsidP="0066758F">
            <w:r w:rsidRPr="00F15EE6">
              <w:t>X0036</w:t>
            </w:r>
            <w:r w:rsidRPr="00F15EE6">
              <w:tab/>
              <w:t>Pick's disease with Pick cells and no Pick bodies</w:t>
            </w:r>
          </w:p>
          <w:p w14:paraId="5D9146BD" w14:textId="77777777" w:rsidR="004A3F74" w:rsidRPr="00F15EE6" w:rsidRDefault="004A3F74" w:rsidP="0066758F">
            <w:r w:rsidRPr="00F15EE6">
              <w:t>X0037</w:t>
            </w:r>
            <w:r w:rsidRPr="00F15EE6">
              <w:tab/>
              <w:t>Frontotemporal degeneration</w:t>
            </w:r>
          </w:p>
          <w:p w14:paraId="2953B94C" w14:textId="77777777" w:rsidR="004A3F74" w:rsidRPr="00F15EE6" w:rsidRDefault="004A3F74" w:rsidP="0066758F">
            <w:r w:rsidRPr="00F15EE6">
              <w:t>X0039</w:t>
            </w:r>
            <w:r w:rsidRPr="00F15EE6">
              <w:tab/>
              <w:t>Frontal lobe degeneration with motor neurone disease</w:t>
            </w:r>
          </w:p>
          <w:p w14:paraId="0BF85D06" w14:textId="77777777" w:rsidR="004A3F74" w:rsidRPr="00F15EE6" w:rsidRDefault="004A3F74" w:rsidP="0066758F">
            <w:r w:rsidRPr="00F15EE6">
              <w:t>X003A</w:t>
            </w:r>
            <w:r w:rsidRPr="00F15EE6">
              <w:tab/>
              <w:t>Lewy body disease</w:t>
            </w:r>
          </w:p>
          <w:p w14:paraId="52155C70" w14:textId="77777777" w:rsidR="004A3F74" w:rsidRPr="00F15EE6" w:rsidRDefault="004A3F74" w:rsidP="0066758F">
            <w:r w:rsidRPr="00F15EE6">
              <w:t>X003G</w:t>
            </w:r>
            <w:r w:rsidRPr="00F15EE6">
              <w:tab/>
              <w:t>Progressive aphasia in Alzheimer's disease</w:t>
            </w:r>
          </w:p>
          <w:p w14:paraId="18880371" w14:textId="77777777" w:rsidR="004A3F74" w:rsidRPr="00F15EE6" w:rsidRDefault="004A3F74" w:rsidP="0066758F">
            <w:r w:rsidRPr="00F15EE6">
              <w:t>X003G</w:t>
            </w:r>
            <w:r w:rsidRPr="00F15EE6">
              <w:tab/>
              <w:t>Progressive aphasia in Alzheimer's disease</w:t>
            </w:r>
          </w:p>
          <w:p w14:paraId="34F8B5DB" w14:textId="77777777" w:rsidR="004A3F74" w:rsidRPr="00F15EE6" w:rsidRDefault="004A3F74" w:rsidP="0066758F">
            <w:r w:rsidRPr="00F15EE6">
              <w:t>X003H</w:t>
            </w:r>
            <w:r w:rsidRPr="00F15EE6">
              <w:tab/>
              <w:t>Argyrophilic brain disease</w:t>
            </w:r>
          </w:p>
          <w:p w14:paraId="4465680D" w14:textId="77777777" w:rsidR="004A3F74" w:rsidRPr="00F15EE6" w:rsidRDefault="004A3F74" w:rsidP="0066758F">
            <w:r w:rsidRPr="00F15EE6">
              <w:t>X003I</w:t>
            </w:r>
            <w:r w:rsidRPr="00F15EE6">
              <w:tab/>
              <w:t>Post-traumatic dementia</w:t>
            </w:r>
          </w:p>
          <w:p w14:paraId="01559E3B" w14:textId="77777777" w:rsidR="004A3F74" w:rsidRPr="00F15EE6" w:rsidRDefault="004A3F74" w:rsidP="0066758F">
            <w:r w:rsidRPr="00F15EE6">
              <w:t>X003J</w:t>
            </w:r>
            <w:r w:rsidRPr="00F15EE6">
              <w:tab/>
              <w:t>Punch drunk syndrome</w:t>
            </w:r>
          </w:p>
          <w:p w14:paraId="4CA3F94D" w14:textId="77777777" w:rsidR="004A3F74" w:rsidRPr="00F15EE6" w:rsidRDefault="004A3F74" w:rsidP="0066758F">
            <w:r w:rsidRPr="00F15EE6">
              <w:t>X003K</w:t>
            </w:r>
            <w:r w:rsidRPr="00F15EE6">
              <w:tab/>
              <w:t>Spongiform encephalopathy</w:t>
            </w:r>
          </w:p>
          <w:p w14:paraId="499FDDD5" w14:textId="77777777" w:rsidR="004A3F74" w:rsidRPr="00F15EE6" w:rsidRDefault="004A3F74" w:rsidP="0066758F">
            <w:r w:rsidRPr="00F15EE6">
              <w:t>X003L</w:t>
            </w:r>
            <w:r w:rsidRPr="00F15EE6">
              <w:tab/>
              <w:t>Prion protein disease</w:t>
            </w:r>
          </w:p>
          <w:p w14:paraId="150E1809" w14:textId="77777777" w:rsidR="004A3F74" w:rsidRPr="00F15EE6" w:rsidRDefault="004A3F74" w:rsidP="0066758F">
            <w:r w:rsidRPr="00F15EE6">
              <w:t>X003M</w:t>
            </w:r>
            <w:r w:rsidRPr="00F15EE6">
              <w:tab/>
            </w:r>
            <w:proofErr w:type="spellStart"/>
            <w:r w:rsidRPr="00F15EE6">
              <w:t>Gerstmann-Straussler-Scheinker</w:t>
            </w:r>
            <w:proofErr w:type="spellEnd"/>
            <w:r w:rsidRPr="00F15EE6">
              <w:t xml:space="preserve"> syndrome</w:t>
            </w:r>
          </w:p>
          <w:p w14:paraId="58BCDB13" w14:textId="77777777" w:rsidR="004A3F74" w:rsidRPr="00F15EE6" w:rsidRDefault="004A3F74" w:rsidP="0066758F">
            <w:r w:rsidRPr="00F15EE6">
              <w:t>X003N</w:t>
            </w:r>
            <w:r w:rsidRPr="00F15EE6">
              <w:tab/>
              <w:t>Familial fatal insomnia</w:t>
            </w:r>
          </w:p>
          <w:p w14:paraId="602D3E85" w14:textId="77777777" w:rsidR="004A3F74" w:rsidRPr="00F15EE6" w:rsidRDefault="004A3F74" w:rsidP="0066758F">
            <w:r w:rsidRPr="00F15EE6">
              <w:t>X003P</w:t>
            </w:r>
            <w:r w:rsidRPr="00F15EE6">
              <w:tab/>
              <w:t>Acquired immune deficiency syndrome dementia complex</w:t>
            </w:r>
          </w:p>
          <w:p w14:paraId="42C44D42" w14:textId="77777777" w:rsidR="004A3F74" w:rsidRPr="00F15EE6" w:rsidRDefault="004A3F74" w:rsidP="0066758F">
            <w:r w:rsidRPr="00F15EE6">
              <w:t>X003R</w:t>
            </w:r>
            <w:r w:rsidRPr="00F15EE6">
              <w:tab/>
              <w:t>Vascular dementia of acute onset</w:t>
            </w:r>
          </w:p>
          <w:p w14:paraId="7FD4A7C0" w14:textId="77777777" w:rsidR="004A3F74" w:rsidRPr="00F15EE6" w:rsidRDefault="004A3F74" w:rsidP="0066758F">
            <w:r w:rsidRPr="00F15EE6">
              <w:t>X003T</w:t>
            </w:r>
            <w:r w:rsidRPr="00F15EE6">
              <w:tab/>
              <w:t>Subcortical vascular dementia</w:t>
            </w:r>
          </w:p>
          <w:p w14:paraId="1C347B98" w14:textId="77777777" w:rsidR="004A3F74" w:rsidRPr="00F15EE6" w:rsidRDefault="004A3F74" w:rsidP="0066758F">
            <w:r w:rsidRPr="00F15EE6">
              <w:t>X003V</w:t>
            </w:r>
            <w:r w:rsidRPr="00F15EE6">
              <w:tab/>
              <w:t>Mixed cortical and subcortical vascular dementia</w:t>
            </w:r>
          </w:p>
          <w:p w14:paraId="24764006" w14:textId="77777777" w:rsidR="004A3F74" w:rsidRPr="00F15EE6" w:rsidRDefault="004A3F74" w:rsidP="0066758F">
            <w:r w:rsidRPr="00F15EE6">
              <w:t>X003W</w:t>
            </w:r>
            <w:r w:rsidRPr="00F15EE6">
              <w:tab/>
              <w:t>Semantic dementia</w:t>
            </w:r>
          </w:p>
          <w:p w14:paraId="6782FCCB" w14:textId="77777777" w:rsidR="004A3F74" w:rsidRPr="00F15EE6" w:rsidRDefault="004A3F74" w:rsidP="0066758F">
            <w:r w:rsidRPr="00F15EE6">
              <w:t>X003X</w:t>
            </w:r>
            <w:r w:rsidRPr="00F15EE6">
              <w:tab/>
              <w:t>Patchy dementia</w:t>
            </w:r>
          </w:p>
          <w:p w14:paraId="2728F70D" w14:textId="77777777" w:rsidR="004A3F74" w:rsidRPr="00F15EE6" w:rsidRDefault="004A3F74" w:rsidP="0066758F">
            <w:r w:rsidRPr="00F15EE6">
              <w:t>X003Y</w:t>
            </w:r>
            <w:r w:rsidRPr="00F15EE6">
              <w:tab/>
              <w:t>Epileptic dementia</w:t>
            </w:r>
          </w:p>
          <w:p w14:paraId="699A7880" w14:textId="77777777" w:rsidR="004A3F74" w:rsidRPr="00F15EE6" w:rsidRDefault="004A3F74" w:rsidP="0066758F">
            <w:r w:rsidRPr="00F15EE6">
              <w:t>X00R2</w:t>
            </w:r>
            <w:r w:rsidRPr="00F15EE6">
              <w:tab/>
              <w:t>Senile dementia</w:t>
            </w:r>
          </w:p>
          <w:p w14:paraId="660DAAFA" w14:textId="77777777" w:rsidR="004A3F74" w:rsidRPr="00F15EE6" w:rsidRDefault="004A3F74" w:rsidP="0066758F">
            <w:r w:rsidRPr="00F15EE6">
              <w:t>Xa0lH</w:t>
            </w:r>
            <w:r w:rsidRPr="00F15EE6">
              <w:tab/>
              <w:t>Multi-infarct dementia</w:t>
            </w:r>
          </w:p>
          <w:p w14:paraId="356528EA" w14:textId="77777777" w:rsidR="004A3F74" w:rsidRPr="00F15EE6" w:rsidRDefault="004A3F74" w:rsidP="0066758F">
            <w:r w:rsidRPr="00F15EE6">
              <w:t>Xa0sC</w:t>
            </w:r>
            <w:r w:rsidRPr="00F15EE6">
              <w:tab/>
              <w:t>Frontal lobe degeneration</w:t>
            </w:r>
          </w:p>
          <w:p w14:paraId="04DF68A9" w14:textId="77777777" w:rsidR="004A3F74" w:rsidRPr="00F15EE6" w:rsidRDefault="004A3F74" w:rsidP="0066758F">
            <w:r w:rsidRPr="00F15EE6">
              <w:t>Xa0sE</w:t>
            </w:r>
            <w:r w:rsidRPr="00F15EE6">
              <w:tab/>
              <w:t>Dementia of frontal lobe type</w:t>
            </w:r>
          </w:p>
          <w:p w14:paraId="09BED219" w14:textId="77777777" w:rsidR="004A3F74" w:rsidRPr="00F15EE6" w:rsidRDefault="004A3F74" w:rsidP="0066758F">
            <w:r w:rsidRPr="00F15EE6">
              <w:t>Xa1GB</w:t>
            </w:r>
            <w:r w:rsidRPr="00F15EE6">
              <w:tab/>
              <w:t>Cerebral degeneration presenting primarily with dementia</w:t>
            </w:r>
          </w:p>
          <w:p w14:paraId="788EAD1F" w14:textId="77777777" w:rsidR="004A3F74" w:rsidRPr="00F15EE6" w:rsidRDefault="004A3F74" w:rsidP="0066758F">
            <w:r w:rsidRPr="00F15EE6">
              <w:t>Xa25J</w:t>
            </w:r>
            <w:r w:rsidRPr="00F15EE6">
              <w:tab/>
              <w:t>Alcoholic dementia</w:t>
            </w:r>
          </w:p>
          <w:p w14:paraId="14946644" w14:textId="77777777" w:rsidR="004A3F74" w:rsidRPr="00F15EE6" w:rsidRDefault="004A3F74" w:rsidP="0066758F">
            <w:r w:rsidRPr="00F15EE6">
              <w:t>Xa3ez</w:t>
            </w:r>
            <w:r w:rsidRPr="00F15EE6">
              <w:tab/>
            </w:r>
            <w:proofErr w:type="gramStart"/>
            <w:r w:rsidRPr="00F15EE6">
              <w:t>Other</w:t>
            </w:r>
            <w:proofErr w:type="gramEnd"/>
            <w:r w:rsidRPr="00F15EE6">
              <w:t xml:space="preserve"> senile/presenile dementia</w:t>
            </w:r>
          </w:p>
          <w:p w14:paraId="1C23F6AD" w14:textId="77777777" w:rsidR="004A3F74" w:rsidRPr="00F15EE6" w:rsidRDefault="004A3F74" w:rsidP="0066758F">
            <w:r w:rsidRPr="00F15EE6">
              <w:t>XaA1S</w:t>
            </w:r>
            <w:r w:rsidRPr="00F15EE6">
              <w:tab/>
              <w:t>New variant of Creutzfeldt-Jakob disease</w:t>
            </w:r>
          </w:p>
          <w:p w14:paraId="2ABB18A0" w14:textId="77777777" w:rsidR="004A3F74" w:rsidRPr="00F15EE6" w:rsidRDefault="004A3F74" w:rsidP="0066758F">
            <w:proofErr w:type="spellStart"/>
            <w:r w:rsidRPr="00F15EE6">
              <w:t>XabVp</w:t>
            </w:r>
            <w:proofErr w:type="spellEnd"/>
            <w:r w:rsidRPr="00F15EE6">
              <w:tab/>
              <w:t>Sporadic Creutzfeldt-Jakob disease</w:t>
            </w:r>
          </w:p>
          <w:p w14:paraId="66AC7A6E" w14:textId="77777777" w:rsidR="004A3F74" w:rsidRPr="00F15EE6" w:rsidRDefault="004A3F74" w:rsidP="0066758F">
            <w:r w:rsidRPr="00F15EE6">
              <w:t>XaE74</w:t>
            </w:r>
            <w:r w:rsidRPr="00F15EE6">
              <w:tab/>
              <w:t>Senile dementia of the Lewy body type</w:t>
            </w:r>
          </w:p>
          <w:p w14:paraId="01E1B2AB" w14:textId="77777777" w:rsidR="004A3F74" w:rsidRPr="00F15EE6" w:rsidRDefault="004A3F74" w:rsidP="0066758F">
            <w:proofErr w:type="spellStart"/>
            <w:r w:rsidRPr="00F15EE6">
              <w:t>XaIKB</w:t>
            </w:r>
            <w:proofErr w:type="spellEnd"/>
            <w:r w:rsidRPr="00F15EE6">
              <w:tab/>
              <w:t>Alzheimer's disease with early onset</w:t>
            </w:r>
          </w:p>
          <w:p w14:paraId="4A900264" w14:textId="77777777" w:rsidR="004A3F74" w:rsidRPr="00F15EE6" w:rsidRDefault="004A3F74" w:rsidP="0066758F">
            <w:proofErr w:type="spellStart"/>
            <w:r w:rsidRPr="00F15EE6">
              <w:t>XaIKC</w:t>
            </w:r>
            <w:proofErr w:type="spellEnd"/>
            <w:r w:rsidRPr="00F15EE6">
              <w:tab/>
              <w:t>Alzheimer's disease with late onset</w:t>
            </w:r>
          </w:p>
          <w:p w14:paraId="11B89FFC" w14:textId="77777777" w:rsidR="004A3F74" w:rsidRPr="00F15EE6" w:rsidRDefault="004A3F74" w:rsidP="0066758F">
            <w:proofErr w:type="spellStart"/>
            <w:r w:rsidRPr="00F15EE6">
              <w:t>XaKyY</w:t>
            </w:r>
            <w:proofErr w:type="spellEnd"/>
            <w:r w:rsidRPr="00F15EE6">
              <w:tab/>
              <w:t>[X]Lewy body dementia</w:t>
            </w:r>
          </w:p>
          <w:p w14:paraId="72DE2F01" w14:textId="77777777" w:rsidR="004A3F74" w:rsidRPr="00F15EE6" w:rsidRDefault="004A3F74" w:rsidP="0066758F">
            <w:r w:rsidRPr="00F15EE6">
              <w:t>XE1aG</w:t>
            </w:r>
            <w:r w:rsidRPr="00F15EE6">
              <w:tab/>
              <w:t>Dementia (&amp; [presenile] or [senile])</w:t>
            </w:r>
          </w:p>
          <w:p w14:paraId="50BE3CDD" w14:textId="77777777" w:rsidR="004A3F74" w:rsidRPr="00F15EE6" w:rsidRDefault="004A3F74" w:rsidP="0066758F">
            <w:r w:rsidRPr="00F15EE6">
              <w:t>XE1Xs</w:t>
            </w:r>
            <w:r w:rsidRPr="00F15EE6">
              <w:tab/>
              <w:t>Vascular dementia</w:t>
            </w:r>
          </w:p>
          <w:p w14:paraId="2D31BBBC" w14:textId="77777777" w:rsidR="004A3F74" w:rsidRPr="00F15EE6" w:rsidRDefault="004A3F74" w:rsidP="0066758F">
            <w:r w:rsidRPr="00F15EE6">
              <w:t>XE1Xt</w:t>
            </w:r>
            <w:r w:rsidRPr="00F15EE6">
              <w:tab/>
              <w:t>Other senile and presenile organic psychoses</w:t>
            </w:r>
          </w:p>
          <w:p w14:paraId="67FBDFC7" w14:textId="77777777" w:rsidR="004A3F74" w:rsidRPr="00F15EE6" w:rsidRDefault="004A3F74" w:rsidP="0066758F">
            <w:r w:rsidRPr="00F15EE6">
              <w:t>XE1Z6</w:t>
            </w:r>
            <w:r w:rsidRPr="00F15EE6">
              <w:tab/>
              <w:t>[X]Unspecified dementia</w:t>
            </w:r>
          </w:p>
          <w:p w14:paraId="44C4D63F" w14:textId="77777777" w:rsidR="004A3F74" w:rsidRPr="00F15EE6" w:rsidRDefault="004A3F74" w:rsidP="00C93769">
            <w:pPr>
              <w:spacing w:before="240"/>
              <w:rPr>
                <w:u w:val="single"/>
              </w:rPr>
            </w:pPr>
            <w:r w:rsidRPr="00F15EE6">
              <w:rPr>
                <w:u w:val="single"/>
              </w:rPr>
              <w:t>NHAIS</w:t>
            </w:r>
          </w:p>
          <w:p w14:paraId="4E5BF984" w14:textId="77777777" w:rsidR="004A3F74" w:rsidRPr="00F15EE6" w:rsidRDefault="004A3F74" w:rsidP="00C93769">
            <w:pPr>
              <w:spacing w:before="240"/>
            </w:pPr>
            <w:r w:rsidRPr="00F15EE6">
              <w:t>PRACTICE_CODE: GP practice identifier</w:t>
            </w:r>
          </w:p>
          <w:p w14:paraId="3980137F" w14:textId="77777777" w:rsidR="004A3F74" w:rsidRPr="00F15EE6" w:rsidRDefault="004A3F74" w:rsidP="00C93769">
            <w:pPr>
              <w:spacing w:before="240"/>
            </w:pPr>
            <w:r w:rsidRPr="00F15EE6">
              <w:t>EXTRACT_DATE: Extract timestamp</w:t>
            </w:r>
          </w:p>
          <w:p w14:paraId="0178C11D" w14:textId="77777777" w:rsidR="004A3F74" w:rsidRPr="00F15EE6" w:rsidRDefault="004A3F74" w:rsidP="00C93769">
            <w:pPr>
              <w:spacing w:before="240"/>
            </w:pPr>
            <w:r w:rsidRPr="00F15EE6">
              <w:t>AGE_BAND: Age bands of list size pivoted with values below</w:t>
            </w:r>
          </w:p>
        </w:tc>
      </w:tr>
      <w:tr w:rsidR="00F15EE6" w:rsidRPr="00F15EE6" w14:paraId="580562B3" w14:textId="77777777" w:rsidTr="004A3F74">
        <w:tc>
          <w:tcPr>
            <w:tcW w:w="2552" w:type="dxa"/>
          </w:tcPr>
          <w:p w14:paraId="3E4D9EB2" w14:textId="3ED3C8ED" w:rsidR="004A3F74" w:rsidRPr="00F15EE6" w:rsidRDefault="004A3F74" w:rsidP="00772A5C">
            <w:pPr>
              <w:spacing w:before="240"/>
              <w:ind w:left="34"/>
              <w:rPr>
                <w:b/>
                <w:sz w:val="22"/>
                <w:szCs w:val="22"/>
              </w:rPr>
            </w:pPr>
            <w:permStart w:id="284458579" w:edGrp="everyone" w:colFirst="1" w:colLast="1"/>
            <w:permEnd w:id="1670914095"/>
            <w:r w:rsidRPr="00F15EE6">
              <w:rPr>
                <w:b/>
                <w:sz w:val="22"/>
                <w:szCs w:val="22"/>
              </w:rPr>
              <w:t>3.10 Data filters</w:t>
            </w:r>
          </w:p>
        </w:tc>
        <w:tc>
          <w:tcPr>
            <w:tcW w:w="6662" w:type="dxa"/>
          </w:tcPr>
          <w:p w14:paraId="42CDDF3E" w14:textId="77777777" w:rsidR="004A3F74" w:rsidRPr="00F15EE6" w:rsidRDefault="004A3F74" w:rsidP="00C93769">
            <w:pPr>
              <w:spacing w:before="240"/>
              <w:rPr>
                <w:u w:val="single"/>
              </w:rPr>
            </w:pPr>
            <w:r w:rsidRPr="00F15EE6">
              <w:rPr>
                <w:u w:val="single"/>
              </w:rPr>
              <w:t>GPES</w:t>
            </w:r>
          </w:p>
          <w:p w14:paraId="6EFA196C" w14:textId="427872B0" w:rsidR="004A3F74" w:rsidRPr="00F15EE6" w:rsidRDefault="004A3F74" w:rsidP="00C93769">
            <w:pPr>
              <w:spacing w:before="240"/>
            </w:pPr>
            <w:r w:rsidRPr="00F15EE6">
              <w:t xml:space="preserve">Only </w:t>
            </w:r>
            <w:proofErr w:type="gramStart"/>
            <w:r w:rsidRPr="00F15EE6">
              <w:t>use  data</w:t>
            </w:r>
            <w:proofErr w:type="gramEnd"/>
            <w:r w:rsidRPr="00F15EE6">
              <w:t xml:space="preserve"> for patients aged 65 and over.</w:t>
            </w:r>
          </w:p>
          <w:p w14:paraId="0BAE4484" w14:textId="77777777" w:rsidR="004A3F74" w:rsidRPr="00F15EE6" w:rsidRDefault="004A3F74" w:rsidP="00D6056C">
            <w:pPr>
              <w:spacing w:before="240"/>
            </w:pPr>
            <w:r w:rsidRPr="00F15EE6">
              <w:t>Only use PRACTICE-ID listed in reference tables as active GP practices with a total list size &gt; 0</w:t>
            </w:r>
          </w:p>
          <w:p w14:paraId="37872E3B" w14:textId="77777777" w:rsidR="004A3F74" w:rsidRPr="00F15EE6" w:rsidRDefault="004A3F74" w:rsidP="0069187E">
            <w:pPr>
              <w:spacing w:before="240"/>
            </w:pPr>
            <w:r w:rsidRPr="00F15EE6">
              <w:t>Only aggregate higher organisations from practices with both denominator and numerator data available.</w:t>
            </w:r>
          </w:p>
        </w:tc>
      </w:tr>
      <w:tr w:rsidR="00F15EE6" w:rsidRPr="00F15EE6" w14:paraId="096A0785" w14:textId="77777777" w:rsidTr="004A3F74">
        <w:tc>
          <w:tcPr>
            <w:tcW w:w="2552" w:type="dxa"/>
          </w:tcPr>
          <w:p w14:paraId="13C41582" w14:textId="77CDC984" w:rsidR="004A3F74" w:rsidRPr="00F15EE6" w:rsidRDefault="004A3F74" w:rsidP="002C446A">
            <w:pPr>
              <w:spacing w:before="240"/>
              <w:ind w:left="34"/>
              <w:rPr>
                <w:b/>
                <w:sz w:val="22"/>
                <w:szCs w:val="22"/>
              </w:rPr>
            </w:pPr>
            <w:permStart w:id="13571753" w:edGrp="everyone" w:colFirst="1" w:colLast="1"/>
            <w:permEnd w:id="284458579"/>
            <w:r w:rsidRPr="00F15EE6">
              <w:rPr>
                <w:b/>
                <w:sz w:val="22"/>
                <w:szCs w:val="22"/>
              </w:rPr>
              <w:t xml:space="preserve">3.11 Justifications of inclusions and exclusions </w:t>
            </w:r>
          </w:p>
          <w:p w14:paraId="6479D399" w14:textId="77777777" w:rsidR="004A3F74" w:rsidRPr="00F15EE6" w:rsidRDefault="004A3F74" w:rsidP="002C446A">
            <w:pPr>
              <w:ind w:left="34"/>
              <w:rPr>
                <w:sz w:val="22"/>
                <w:szCs w:val="22"/>
              </w:rPr>
            </w:pPr>
            <w:r w:rsidRPr="00F15EE6">
              <w:rPr>
                <w:sz w:val="22"/>
                <w:szCs w:val="22"/>
              </w:rPr>
              <w:t>and how these adhere to standard definitions</w:t>
            </w:r>
          </w:p>
        </w:tc>
        <w:tc>
          <w:tcPr>
            <w:tcW w:w="6662" w:type="dxa"/>
          </w:tcPr>
          <w:p w14:paraId="30B77757" w14:textId="77777777" w:rsidR="004A3F74" w:rsidRPr="00F15EE6" w:rsidRDefault="004A3F74" w:rsidP="00035FEC">
            <w:pPr>
              <w:spacing w:before="240"/>
            </w:pPr>
            <w:r w:rsidRPr="00F15EE6">
              <w:t>Reference rates are only available for ages 65 and over so only these patient data are used.</w:t>
            </w:r>
          </w:p>
        </w:tc>
      </w:tr>
      <w:tr w:rsidR="00F15EE6" w:rsidRPr="00F15EE6" w14:paraId="5A5BD1FC" w14:textId="77777777" w:rsidTr="004A3F74">
        <w:tc>
          <w:tcPr>
            <w:tcW w:w="2552" w:type="dxa"/>
          </w:tcPr>
          <w:p w14:paraId="33840BD7" w14:textId="5F00F5B0" w:rsidR="004A3F74" w:rsidRPr="00F15EE6" w:rsidRDefault="004A3F74" w:rsidP="00772A5C">
            <w:pPr>
              <w:spacing w:before="240"/>
              <w:ind w:left="34"/>
              <w:rPr>
                <w:b/>
                <w:sz w:val="22"/>
                <w:szCs w:val="22"/>
              </w:rPr>
            </w:pPr>
            <w:permStart w:id="205276090" w:edGrp="everyone" w:colFirst="1" w:colLast="1"/>
            <w:permEnd w:id="13571753"/>
            <w:r w:rsidRPr="00F15EE6">
              <w:rPr>
                <w:b/>
                <w:sz w:val="22"/>
                <w:szCs w:val="22"/>
              </w:rPr>
              <w:t>3.12 Data processing</w:t>
            </w:r>
          </w:p>
        </w:tc>
        <w:tc>
          <w:tcPr>
            <w:tcW w:w="6662" w:type="dxa"/>
          </w:tcPr>
          <w:p w14:paraId="6BC705C7" w14:textId="77777777" w:rsidR="004A3F74" w:rsidRPr="00F15EE6" w:rsidRDefault="004A3F74" w:rsidP="00772A5C">
            <w:pPr>
              <w:spacing w:before="240"/>
            </w:pPr>
            <w:r w:rsidRPr="00F15EE6">
              <w:t>Data are loaded; validated, transformed and released using DME automated and tested jobs in SAS.</w:t>
            </w:r>
          </w:p>
          <w:p w14:paraId="4D3598DB" w14:textId="77777777" w:rsidR="004A3F74" w:rsidRPr="00F15EE6" w:rsidRDefault="004A3F74" w:rsidP="00AA0F45">
            <w:pPr>
              <w:spacing w:before="240"/>
            </w:pPr>
            <w:r w:rsidRPr="00F15EE6">
              <w:t xml:space="preserve">Validated data are joined to reference tables and reference rates in SAS Enterprise Guide for calculation (as well as being </w:t>
            </w:r>
            <w:proofErr w:type="gramStart"/>
            <w:r w:rsidRPr="00F15EE6">
              <w:t>dual-run</w:t>
            </w:r>
            <w:proofErr w:type="gramEnd"/>
            <w:r w:rsidRPr="00F15EE6">
              <w:t xml:space="preserve"> in Excel for verification).</w:t>
            </w:r>
          </w:p>
          <w:p w14:paraId="1C35E340" w14:textId="709A04F6" w:rsidR="004A3F74" w:rsidRPr="00F15EE6" w:rsidRDefault="004A3F74" w:rsidP="00C16689">
            <w:pPr>
              <w:spacing w:before="240"/>
            </w:pPr>
            <w:r w:rsidRPr="00F15EE6">
              <w:t>GP practices are to be mapped to Local Authorities by postcode of the main practice site mapped to LA.</w:t>
            </w:r>
          </w:p>
        </w:tc>
      </w:tr>
    </w:tbl>
    <w:permEnd w:id="205276090"/>
    <w:p w14:paraId="7CD91328" w14:textId="64DA5F3C" w:rsidR="004A3F74" w:rsidRPr="00F15EE6" w:rsidRDefault="004A3F74">
      <w:r w:rsidRPr="00F15EE6">
        <w:t>Section 4 Construction</w:t>
      </w:r>
    </w:p>
    <w:tbl>
      <w:tblPr>
        <w:tblStyle w:val="TableGrid1"/>
        <w:tblW w:w="8930" w:type="dxa"/>
        <w:tblLayout w:type="fixed"/>
        <w:tblLook w:val="04A0" w:firstRow="1" w:lastRow="0" w:firstColumn="1" w:lastColumn="0" w:noHBand="0" w:noVBand="1"/>
      </w:tblPr>
      <w:tblGrid>
        <w:gridCol w:w="2268"/>
        <w:gridCol w:w="6662"/>
      </w:tblGrid>
      <w:tr w:rsidR="00F15EE6" w:rsidRPr="00F15EE6" w14:paraId="3E68F501" w14:textId="77777777" w:rsidTr="00EC7356">
        <w:tc>
          <w:tcPr>
            <w:tcW w:w="2268" w:type="dxa"/>
          </w:tcPr>
          <w:p w14:paraId="72C5DC9E" w14:textId="15A61A4D" w:rsidR="00EC7356" w:rsidRPr="00F15EE6" w:rsidRDefault="00EC7356" w:rsidP="00772A5C">
            <w:pPr>
              <w:spacing w:before="240"/>
              <w:ind w:left="34"/>
              <w:rPr>
                <w:b/>
                <w:sz w:val="22"/>
                <w:szCs w:val="22"/>
              </w:rPr>
            </w:pPr>
            <w:permStart w:id="1431769367" w:edGrp="everyone" w:colFirst="1" w:colLast="1"/>
            <w:r w:rsidRPr="00F15EE6">
              <w:rPr>
                <w:b/>
                <w:sz w:val="22"/>
                <w:szCs w:val="22"/>
              </w:rPr>
              <w:t>4.1 Numerator</w:t>
            </w:r>
          </w:p>
        </w:tc>
        <w:tc>
          <w:tcPr>
            <w:tcW w:w="6662" w:type="dxa"/>
          </w:tcPr>
          <w:p w14:paraId="2BAD9CE6" w14:textId="21D49FE2" w:rsidR="00EC7356" w:rsidRPr="00F15EE6" w:rsidRDefault="00EC7356" w:rsidP="00720EA1">
            <w:pPr>
              <w:spacing w:before="240"/>
            </w:pPr>
            <w:r w:rsidRPr="00F15EE6">
              <w:t>Monthly count of the number of registered patients aged 65+ with a recorded diagnosis of dementia at any point in their clinical history, as of the last day of the month.</w:t>
            </w:r>
          </w:p>
        </w:tc>
      </w:tr>
      <w:tr w:rsidR="00F15EE6" w:rsidRPr="00F15EE6" w14:paraId="42C097D4" w14:textId="77777777" w:rsidTr="00EC7356">
        <w:tc>
          <w:tcPr>
            <w:tcW w:w="2268" w:type="dxa"/>
          </w:tcPr>
          <w:p w14:paraId="21E3BE6C" w14:textId="590D1C6C" w:rsidR="00EC7356" w:rsidRPr="00F15EE6" w:rsidRDefault="00EC7356" w:rsidP="00772A5C">
            <w:pPr>
              <w:spacing w:before="240"/>
              <w:ind w:left="34"/>
              <w:rPr>
                <w:b/>
                <w:sz w:val="22"/>
                <w:szCs w:val="22"/>
              </w:rPr>
            </w:pPr>
            <w:permStart w:id="694958251" w:edGrp="everyone" w:colFirst="1" w:colLast="1"/>
            <w:permEnd w:id="1431769367"/>
            <w:r w:rsidRPr="00F15EE6">
              <w:rPr>
                <w:b/>
                <w:sz w:val="22"/>
                <w:szCs w:val="22"/>
              </w:rPr>
              <w:t>4.2 Denominator</w:t>
            </w:r>
          </w:p>
        </w:tc>
        <w:tc>
          <w:tcPr>
            <w:tcW w:w="6662" w:type="dxa"/>
          </w:tcPr>
          <w:p w14:paraId="390CFFDD" w14:textId="10DE8CCF" w:rsidR="00EC7356" w:rsidRPr="00F15EE6" w:rsidRDefault="00EC7356" w:rsidP="00FB4FFD">
            <w:pPr>
              <w:spacing w:before="240"/>
            </w:pPr>
            <w:r w:rsidRPr="00F15EE6">
              <w:t>Number of people aged 65+ estimated to have dementia, given the age and sex distribution of the registered patients and the CFAS II reference rates.</w:t>
            </w:r>
          </w:p>
        </w:tc>
      </w:tr>
      <w:tr w:rsidR="00F15EE6" w:rsidRPr="00F15EE6" w14:paraId="312EA8EE" w14:textId="77777777" w:rsidTr="00EC7356">
        <w:tc>
          <w:tcPr>
            <w:tcW w:w="2268" w:type="dxa"/>
          </w:tcPr>
          <w:p w14:paraId="5A5AC5CF" w14:textId="601DEC61" w:rsidR="00EC7356" w:rsidRPr="00F15EE6" w:rsidRDefault="00EC7356" w:rsidP="00772A5C">
            <w:pPr>
              <w:spacing w:before="240"/>
              <w:ind w:left="34"/>
              <w:rPr>
                <w:b/>
                <w:sz w:val="22"/>
                <w:szCs w:val="22"/>
              </w:rPr>
            </w:pPr>
            <w:permStart w:id="269885865" w:edGrp="everyone" w:colFirst="1" w:colLast="1"/>
            <w:permEnd w:id="694958251"/>
            <w:r w:rsidRPr="00F15EE6">
              <w:rPr>
                <w:b/>
                <w:sz w:val="22"/>
                <w:szCs w:val="22"/>
              </w:rPr>
              <w:t>4.3 Computation</w:t>
            </w:r>
          </w:p>
        </w:tc>
        <w:tc>
          <w:tcPr>
            <w:tcW w:w="6662" w:type="dxa"/>
          </w:tcPr>
          <w:p w14:paraId="67637A60" w14:textId="77777777" w:rsidR="00EC7356" w:rsidRPr="00F15EE6" w:rsidRDefault="00EC7356" w:rsidP="0066758F">
            <w:pPr>
              <w:spacing w:before="240"/>
            </w:pPr>
            <w:r w:rsidRPr="00F15EE6">
              <w:t>1. Calculate the estimated number of cases of dementia for each organisation (denominator) by applying the age and sex-specific reference rates to the age and sex structure of its population:</w:t>
            </w:r>
          </w:p>
          <w:p w14:paraId="6E5AAF75" w14:textId="50B1B1CC" w:rsidR="00EC7356" w:rsidRPr="00F15EE6" w:rsidRDefault="000E3494" w:rsidP="00684160">
            <w:pPr>
              <w:spacing w:before="240"/>
              <w:jc w:val="center"/>
            </w:pPr>
            <m:oMathPara>
              <m:oMath>
                <m:sSub>
                  <m:sSubPr>
                    <m:ctrlPr>
                      <w:rPr>
                        <w:rFonts w:ascii="Cambria Math" w:hAnsi="Cambria Math"/>
                        <w:i/>
                      </w:rPr>
                    </m:ctrlPr>
                  </m:sSubPr>
                  <m:e>
                    <m:r>
                      <w:rPr>
                        <w:rFonts w:ascii="Cambria Math"/>
                      </w:rPr>
                      <m:t>E</m:t>
                    </m:r>
                  </m:e>
                  <m:sub>
                    <m:r>
                      <w:rPr>
                        <w:rFonts w:ascii="Cambria Math"/>
                      </w:rPr>
                      <m:t>k</m:t>
                    </m:r>
                  </m:sub>
                </m:sSub>
                <m:r>
                  <w:rPr>
                    <w:rFonts w:ascii="Cambria Math"/>
                  </w:rPr>
                  <m:t>=</m:t>
                </m:r>
                <m:limLow>
                  <m:limLowPr>
                    <m:ctrlPr>
                      <w:rPr>
                        <w:rFonts w:ascii="Cambria Math" w:hAnsi="Cambria Math"/>
                        <w:i/>
                      </w:rPr>
                    </m:ctrlPr>
                  </m:limLowPr>
                  <m:e>
                    <m:nary>
                      <m:naryPr>
                        <m:chr m:val="∑"/>
                        <m:supHide m:val="1"/>
                        <m:ctrlPr>
                          <w:rPr>
                            <w:rFonts w:ascii="Cambria Math" w:hAnsi="Cambria Math"/>
                            <w:i/>
                          </w:rPr>
                        </m:ctrlPr>
                      </m:naryPr>
                      <m:sub>
                        <m:r>
                          <w:rPr>
                            <w:rFonts w:ascii="Cambria Math"/>
                          </w:rPr>
                          <m:t>ij</m:t>
                        </m:r>
                      </m:sub>
                      <m:sup/>
                      <m:e>
                        <m:sSub>
                          <m:sSubPr>
                            <m:ctrlPr>
                              <w:rPr>
                                <w:rFonts w:ascii="Cambria Math" w:hAnsi="Cambria Math"/>
                                <w:i/>
                              </w:rPr>
                            </m:ctrlPr>
                          </m:sSubPr>
                          <m:e>
                            <m:r>
                              <w:rPr>
                                <w:rFonts w:ascii="Cambria Math"/>
                              </w:rPr>
                              <m:t>N</m:t>
                            </m:r>
                          </m:e>
                          <m:sub>
                            <m:r>
                              <w:rPr>
                                <w:rFonts w:ascii="Cambria Math"/>
                              </w:rPr>
                              <m:t>ijk</m:t>
                            </m:r>
                          </m:sub>
                        </m:sSub>
                      </m:e>
                    </m:nary>
                  </m:e>
                  <m:lim/>
                </m:limLow>
                <m:r>
                  <w:rPr>
                    <w:rFonts w:ascii="Cambria Math"/>
                  </w:rPr>
                  <m:t>×</m:t>
                </m:r>
                <m:sSub>
                  <m:sSubPr>
                    <m:ctrlPr>
                      <w:rPr>
                        <w:rFonts w:ascii="Cambria Math" w:hAnsi="Cambria Math"/>
                        <w:i/>
                      </w:rPr>
                    </m:ctrlPr>
                  </m:sSubPr>
                  <m:e>
                    <m:r>
                      <w:rPr>
                        <w:rFonts w:ascii="Cambria Math"/>
                      </w:rPr>
                      <m:t>p</m:t>
                    </m:r>
                  </m:e>
                  <m:sub>
                    <m:r>
                      <w:rPr>
                        <w:rFonts w:ascii="Cambria Math"/>
                      </w:rPr>
                      <m:t>ij</m:t>
                    </m:r>
                  </m:sub>
                </m:sSub>
              </m:oMath>
            </m:oMathPara>
          </w:p>
          <w:p w14:paraId="2809FBA4" w14:textId="77777777" w:rsidR="00EC7356" w:rsidRPr="00F15EE6" w:rsidRDefault="00EC7356" w:rsidP="00E221D3">
            <w:pPr>
              <w:spacing w:before="240"/>
            </w:pPr>
            <w:r w:rsidRPr="00F15EE6">
              <w:t>Where:</w:t>
            </w:r>
          </w:p>
          <w:p w14:paraId="220777DB" w14:textId="0F05BA04" w:rsidR="00EC7356" w:rsidRPr="00F15EE6" w:rsidRDefault="000E3494" w:rsidP="00FC66FF">
            <w:pPr>
              <w:spacing w:before="240"/>
              <w:rPr>
                <w:i/>
              </w:rPr>
            </w:pPr>
            <m:oMath>
              <m:sSub>
                <m:sSubPr>
                  <m:ctrlPr>
                    <w:rPr>
                      <w:rFonts w:ascii="Cambria Math" w:hAnsi="Cambria Math"/>
                      <w:i/>
                    </w:rPr>
                  </m:ctrlPr>
                </m:sSubPr>
                <m:e>
                  <m:r>
                    <w:rPr>
                      <w:rFonts w:ascii="Cambria Math"/>
                    </w:rPr>
                    <m:t>E</m:t>
                  </m:r>
                </m:e>
                <m:sub>
                  <m:r>
                    <w:rPr>
                      <w:rFonts w:ascii="Cambria Math"/>
                    </w:rPr>
                    <m:t>k</m:t>
                  </m:r>
                </m:sub>
              </m:sSub>
            </m:oMath>
            <w:r w:rsidR="00EC7356" w:rsidRPr="00F15EE6">
              <w:t xml:space="preserve"> is the estimated value for the subject organisation </w:t>
            </w:r>
            <w:r w:rsidR="00EC7356" w:rsidRPr="00F15EE6">
              <w:rPr>
                <w:i/>
              </w:rPr>
              <w:t>k</w:t>
            </w:r>
          </w:p>
          <w:p w14:paraId="138DC5A8" w14:textId="6BD4C776" w:rsidR="00EC7356" w:rsidRPr="00F15EE6" w:rsidRDefault="000E3494" w:rsidP="008F4C36">
            <w:pPr>
              <w:spacing w:before="240"/>
              <w:rPr>
                <w:i/>
              </w:rPr>
            </w:pPr>
            <m:oMath>
              <m:sSub>
                <m:sSubPr>
                  <m:ctrlPr>
                    <w:rPr>
                      <w:rFonts w:ascii="Cambria Math" w:hAnsi="Cambria Math"/>
                      <w:i/>
                    </w:rPr>
                  </m:ctrlPr>
                </m:sSubPr>
                <m:e>
                  <m:r>
                    <w:rPr>
                      <w:rFonts w:ascii="Cambria Math"/>
                    </w:rPr>
                    <m:t>N</m:t>
                  </m:r>
                </m:e>
                <m:sub>
                  <m:r>
                    <w:rPr>
                      <w:rFonts w:ascii="Cambria Math"/>
                    </w:rPr>
                    <m:t>ijk</m:t>
                  </m:r>
                </m:sub>
              </m:sSub>
              <m:sSub>
                <m:sSubPr>
                  <m:ctrlPr>
                    <w:rPr>
                      <w:rFonts w:ascii="Cambria Math" w:hAnsi="Cambria Math"/>
                      <w:i/>
                    </w:rPr>
                  </m:ctrlPr>
                </m:sSubPr>
                <m:e>
                  <m:r>
                    <w:rPr>
                      <w:rFonts w:ascii="Cambria Math"/>
                    </w:rPr>
                    <m:t>N</m:t>
                  </m:r>
                </m:e>
                <m:sub>
                  <m:r>
                    <w:rPr>
                      <w:rFonts w:ascii="Cambria Math"/>
                    </w:rPr>
                    <m:t>ijk</m:t>
                  </m:r>
                </m:sub>
              </m:sSub>
            </m:oMath>
            <w:r w:rsidR="00AA6A31" w:rsidRPr="00F15EE6">
              <w:rPr>
                <w:rFonts w:eastAsia="Times New Roman" w:cs="Times New Roman"/>
                <w:position w:val="-14"/>
              </w:rPr>
              <w:object w:dxaOrig="420" w:dyaOrig="380" w14:anchorId="76BAF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 for the population in subject organisation" style="width:21pt;height:18.75pt" o:ole="">
                  <v:imagedata r:id="rId13" o:title=""/>
                </v:shape>
                <o:OLEObject Type="Embed" ProgID="Equation.3" ShapeID="_x0000_i1025" DrawAspect="Content" ObjectID="_1645625083" r:id="rId14"/>
              </w:object>
            </w:r>
            <w:r w:rsidR="00EC7356" w:rsidRPr="00F15EE6">
              <w:t xml:space="preserve"> is the population (65+ patient list size) for each combination of age band </w:t>
            </w:r>
            <w:proofErr w:type="spellStart"/>
            <w:r w:rsidR="00EC7356" w:rsidRPr="00F15EE6">
              <w:rPr>
                <w:i/>
              </w:rPr>
              <w:t>i</w:t>
            </w:r>
            <w:proofErr w:type="spellEnd"/>
            <w:r w:rsidR="00EC7356" w:rsidRPr="00F15EE6">
              <w:rPr>
                <w:i/>
              </w:rPr>
              <w:t xml:space="preserve"> </w:t>
            </w:r>
            <w:r w:rsidR="00EC7356" w:rsidRPr="00F15EE6">
              <w:t xml:space="preserve">and sex </w:t>
            </w:r>
            <w:r w:rsidR="00EC7356" w:rsidRPr="00F15EE6">
              <w:rPr>
                <w:i/>
              </w:rPr>
              <w:t xml:space="preserve">j </w:t>
            </w:r>
            <w:r w:rsidR="00EC7356" w:rsidRPr="00F15EE6">
              <w:t xml:space="preserve">in subject organisation </w:t>
            </w:r>
            <w:r w:rsidR="00EC7356" w:rsidRPr="00F15EE6">
              <w:rPr>
                <w:i/>
              </w:rPr>
              <w:t>k</w:t>
            </w:r>
          </w:p>
          <w:p w14:paraId="40E4813E" w14:textId="140D7AC4" w:rsidR="00EC7356" w:rsidRPr="00F15EE6" w:rsidRDefault="000E3494" w:rsidP="00FC66FF">
            <w:pPr>
              <w:spacing w:before="240"/>
            </w:pPr>
            <m:oMath>
              <m:sSub>
                <m:sSubPr>
                  <m:ctrlPr>
                    <w:rPr>
                      <w:rFonts w:ascii="Cambria Math" w:hAnsi="Cambria Math"/>
                      <w:i/>
                    </w:rPr>
                  </m:ctrlPr>
                </m:sSubPr>
                <m:e>
                  <m:r>
                    <w:rPr>
                      <w:rFonts w:ascii="Cambria Math"/>
                    </w:rPr>
                    <m:t>p</m:t>
                  </m:r>
                </m:e>
                <m:sub>
                  <m:r>
                    <w:rPr>
                      <w:rFonts w:ascii="Cambria Math"/>
                    </w:rPr>
                    <m:t>ij</m:t>
                  </m:r>
                </m:sub>
              </m:sSub>
            </m:oMath>
            <w:r w:rsidR="00EC7356" w:rsidRPr="00F15EE6">
              <w:t xml:space="preserve"> is the binomial proportion for each combination of age band </w:t>
            </w:r>
            <w:proofErr w:type="spellStart"/>
            <w:r w:rsidR="00EC7356" w:rsidRPr="00F15EE6">
              <w:rPr>
                <w:i/>
              </w:rPr>
              <w:t>i</w:t>
            </w:r>
            <w:proofErr w:type="spellEnd"/>
            <w:r w:rsidR="00EC7356" w:rsidRPr="00F15EE6">
              <w:rPr>
                <w:i/>
              </w:rPr>
              <w:t xml:space="preserve"> </w:t>
            </w:r>
            <w:r w:rsidR="00EC7356" w:rsidRPr="00F15EE6">
              <w:t xml:space="preserve">and sex </w:t>
            </w:r>
            <w:r w:rsidR="00EC7356" w:rsidRPr="00F15EE6">
              <w:rPr>
                <w:i/>
              </w:rPr>
              <w:t xml:space="preserve">j </w:t>
            </w:r>
            <w:r w:rsidR="00EC7356" w:rsidRPr="00F15EE6">
              <w:t xml:space="preserve">in the reference population (CFAS </w:t>
            </w:r>
            <w:proofErr w:type="gramStart"/>
            <w:r w:rsidR="00EC7356" w:rsidRPr="00F15EE6">
              <w:t>II)</w:t>
            </w:r>
            <w:proofErr w:type="gramEnd"/>
          </w:p>
          <w:p w14:paraId="193EFEBE" w14:textId="77777777" w:rsidR="00EC7356" w:rsidRPr="00F15EE6" w:rsidRDefault="00EC7356" w:rsidP="007316D8">
            <w:pPr>
              <w:spacing w:before="240"/>
            </w:pPr>
          </w:p>
          <w:p w14:paraId="20BF82FC" w14:textId="77777777" w:rsidR="00EC7356" w:rsidRPr="00F15EE6" w:rsidRDefault="00EC7356" w:rsidP="007316D8">
            <w:pPr>
              <w:spacing w:before="240"/>
            </w:pPr>
            <w:r w:rsidRPr="00F15EE6">
              <w:t>2. Calculate the estimated diagnosis rate for each organisation (indicator value) by dividing its observed dementia diagnoses by its estimated value and express this as a percentage:</w:t>
            </w:r>
          </w:p>
          <w:p w14:paraId="6E10CDB8" w14:textId="6EB594C1" w:rsidR="00EC7356" w:rsidRPr="00F15EE6" w:rsidRDefault="000E3494" w:rsidP="00684160">
            <w:pPr>
              <w:spacing w:before="240"/>
              <w:jc w:val="center"/>
            </w:pPr>
            <m:oMathPara>
              <m:oMath>
                <m:sSub>
                  <m:sSubPr>
                    <m:ctrlPr>
                      <w:rPr>
                        <w:rFonts w:ascii="Cambria Math" w:hAnsi="Cambria Math"/>
                        <w:i/>
                      </w:rPr>
                    </m:ctrlPr>
                  </m:sSubPr>
                  <m:e>
                    <m:r>
                      <w:rPr>
                        <w:rFonts w:ascii="Cambria Math"/>
                      </w:rPr>
                      <m:t>λ</m:t>
                    </m:r>
                  </m:e>
                  <m:sub>
                    <m:r>
                      <w:rPr>
                        <w:rFonts w:ascii="Cambria Math"/>
                      </w:rPr>
                      <m:t>k</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O</m:t>
                        </m:r>
                      </m:e>
                      <m:sub>
                        <m:r>
                          <w:rPr>
                            <w:rFonts w:ascii="Cambria Math"/>
                          </w:rPr>
                          <m:t>k</m:t>
                        </m:r>
                      </m:sub>
                    </m:sSub>
                  </m:num>
                  <m:den>
                    <m:sSub>
                      <m:sSubPr>
                        <m:ctrlPr>
                          <w:rPr>
                            <w:rFonts w:ascii="Cambria Math" w:hAnsi="Cambria Math"/>
                            <w:i/>
                          </w:rPr>
                        </m:ctrlPr>
                      </m:sSubPr>
                      <m:e>
                        <m:r>
                          <w:rPr>
                            <w:rFonts w:ascii="Cambria Math"/>
                          </w:rPr>
                          <m:t>E</m:t>
                        </m:r>
                      </m:e>
                      <m:sub>
                        <m:r>
                          <w:rPr>
                            <w:rFonts w:ascii="Cambria Math"/>
                          </w:rPr>
                          <m:t>k</m:t>
                        </m:r>
                      </m:sub>
                    </m:sSub>
                  </m:den>
                </m:f>
                <m:r>
                  <w:rPr>
                    <w:rFonts w:ascii="Cambria Math"/>
                  </w:rPr>
                  <m:t>×</m:t>
                </m:r>
                <m:r>
                  <w:rPr>
                    <w:rFonts w:ascii="Cambria Math"/>
                  </w:rPr>
                  <m:t>100</m:t>
                </m:r>
              </m:oMath>
            </m:oMathPara>
          </w:p>
          <w:p w14:paraId="15B0F353" w14:textId="77777777" w:rsidR="00EC7356" w:rsidRPr="00F15EE6" w:rsidRDefault="00EC7356" w:rsidP="007316D8">
            <w:pPr>
              <w:spacing w:before="240"/>
            </w:pPr>
            <w:r w:rsidRPr="00F15EE6">
              <w:t>Where:</w:t>
            </w:r>
          </w:p>
          <w:p w14:paraId="407364C9" w14:textId="10C5F8FA" w:rsidR="00EC7356" w:rsidRPr="00F15EE6" w:rsidRDefault="000E3494" w:rsidP="00FC66FF">
            <w:pPr>
              <w:spacing w:before="240"/>
            </w:pPr>
            <m:oMath>
              <m:sSub>
                <m:sSubPr>
                  <m:ctrlPr>
                    <w:rPr>
                      <w:rFonts w:ascii="Cambria Math" w:hAnsi="Cambria Math"/>
                      <w:i/>
                    </w:rPr>
                  </m:ctrlPr>
                </m:sSubPr>
                <m:e>
                  <m:r>
                    <w:rPr>
                      <w:rFonts w:ascii="Cambria Math"/>
                    </w:rPr>
                    <m:t>λ</m:t>
                  </m:r>
                </m:e>
                <m:sub>
                  <m:r>
                    <w:rPr>
                      <w:rFonts w:ascii="Cambria Math"/>
                    </w:rPr>
                    <m:t>k</m:t>
                  </m:r>
                </m:sub>
              </m:sSub>
            </m:oMath>
            <w:r w:rsidR="00EC7356" w:rsidRPr="00F15EE6">
              <w:t xml:space="preserve"> is the estimated diagnosis rate for the subject organisation k</w:t>
            </w:r>
          </w:p>
          <w:p w14:paraId="25EE3E40" w14:textId="711CD799" w:rsidR="00EC7356" w:rsidRPr="00F15EE6" w:rsidRDefault="000E3494" w:rsidP="00FC66FF">
            <w:pPr>
              <w:spacing w:before="240"/>
            </w:pPr>
            <m:oMath>
              <m:sSub>
                <m:sSubPr>
                  <m:ctrlPr>
                    <w:rPr>
                      <w:rFonts w:ascii="Cambria Math" w:hAnsi="Cambria Math"/>
                      <w:i/>
                    </w:rPr>
                  </m:ctrlPr>
                </m:sSubPr>
                <m:e>
                  <m:r>
                    <w:rPr>
                      <w:rFonts w:ascii="Cambria Math"/>
                    </w:rPr>
                    <m:t>O</m:t>
                  </m:r>
                </m:e>
                <m:sub>
                  <m:r>
                    <w:rPr>
                      <w:rFonts w:ascii="Cambria Math"/>
                    </w:rPr>
                    <m:t>k</m:t>
                  </m:r>
                </m:sub>
              </m:sSub>
            </m:oMath>
            <w:r w:rsidR="00EC7356" w:rsidRPr="00F15EE6">
              <w:t>is the recorded 65+ dementia diagnoses in the subject organisation k</w:t>
            </w:r>
          </w:p>
          <w:p w14:paraId="3FD6DED0" w14:textId="369119B0" w:rsidR="00EC7356" w:rsidRPr="00F15EE6" w:rsidRDefault="00EC7356" w:rsidP="00FC66FF">
            <w:pPr>
              <w:spacing w:before="240"/>
            </w:pPr>
            <w:r w:rsidRPr="00F15EE6">
              <w:t xml:space="preserve"> </w:t>
            </w:r>
            <m:oMath>
              <m:sSub>
                <m:sSubPr>
                  <m:ctrlPr>
                    <w:rPr>
                      <w:rFonts w:ascii="Cambria Math" w:hAnsi="Cambria Math"/>
                      <w:i/>
                    </w:rPr>
                  </m:ctrlPr>
                </m:sSubPr>
                <m:e>
                  <m:r>
                    <w:rPr>
                      <w:rFonts w:ascii="Cambria Math"/>
                    </w:rPr>
                    <m:t>E</m:t>
                  </m:r>
                </m:e>
                <m:sub>
                  <m:r>
                    <w:rPr>
                      <w:rFonts w:ascii="Cambria Math"/>
                    </w:rPr>
                    <m:t>k</m:t>
                  </m:r>
                </m:sub>
              </m:sSub>
            </m:oMath>
            <w:r w:rsidRPr="00F15EE6">
              <w:t xml:space="preserve"> is the estimated value for the subject organisation k</w:t>
            </w:r>
          </w:p>
        </w:tc>
      </w:tr>
      <w:tr w:rsidR="00F15EE6" w:rsidRPr="00F15EE6" w14:paraId="32751AE3" w14:textId="77777777" w:rsidTr="00EC7356">
        <w:tc>
          <w:tcPr>
            <w:tcW w:w="2268" w:type="dxa"/>
          </w:tcPr>
          <w:p w14:paraId="15C9855B" w14:textId="332A7ADD" w:rsidR="00EC7356" w:rsidRPr="00F15EE6" w:rsidRDefault="00EC7356" w:rsidP="00772A5C">
            <w:pPr>
              <w:spacing w:before="240"/>
              <w:ind w:left="34"/>
              <w:rPr>
                <w:b/>
                <w:sz w:val="22"/>
                <w:szCs w:val="22"/>
              </w:rPr>
            </w:pPr>
            <w:permStart w:id="2077245573" w:edGrp="everyone" w:colFirst="1" w:colLast="1"/>
            <w:permEnd w:id="269885865"/>
            <w:r w:rsidRPr="00F15EE6">
              <w:rPr>
                <w:b/>
                <w:sz w:val="22"/>
                <w:szCs w:val="22"/>
              </w:rPr>
              <w:t>4.4 Risk adjustment or standardisation type and methodology</w:t>
            </w:r>
          </w:p>
        </w:tc>
        <w:tc>
          <w:tcPr>
            <w:tcW w:w="6662" w:type="dxa"/>
          </w:tcPr>
          <w:p w14:paraId="6F0DB5EB" w14:textId="77777777" w:rsidR="00EC7356" w:rsidRPr="00F15EE6" w:rsidRDefault="000E3494" w:rsidP="001A0760">
            <w:pPr>
              <w:spacing w:before="240"/>
            </w:pPr>
            <w:sdt>
              <w:sdtPr>
                <w:rPr>
                  <w:b/>
                </w:rPr>
                <w:alias w:val="Risk adjustment type"/>
                <w:tag w:val="Risk adjustment type"/>
                <w:id w:val="1214319314"/>
                <w:placeholder>
                  <w:docPart w:val="0D88BB9EDC3045AF946023F998D1C715"/>
                </w:placeholde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r w:rsidR="00EC7356" w:rsidRPr="00F15EE6">
                  <w:rPr>
                    <w:b/>
                  </w:rPr>
                  <w:t>Indirect Standardisation</w:t>
                </w:r>
              </w:sdtContent>
            </w:sdt>
          </w:p>
          <w:p w14:paraId="7C08EB9C" w14:textId="77777777" w:rsidR="00EC7356" w:rsidRPr="00F15EE6" w:rsidRDefault="00EC7356" w:rsidP="001A0760">
            <w:pPr>
              <w:spacing w:before="240"/>
            </w:pPr>
            <w:r w:rsidRPr="00F15EE6">
              <w:t xml:space="preserve">Expected values are calculated by gender &amp; </w:t>
            </w:r>
            <w:proofErr w:type="gramStart"/>
            <w:r w:rsidRPr="00F15EE6">
              <w:t>five year</w:t>
            </w:r>
            <w:proofErr w:type="gramEnd"/>
            <w:r w:rsidRPr="00F15EE6">
              <w:t xml:space="preserve"> age bands (≥65), derived from the analogous stratified prevalence rates calculated in the CFAS II study applied to the actual stratified populations:</w:t>
            </w:r>
          </w:p>
          <w:p w14:paraId="7D43A798" w14:textId="77777777" w:rsidR="00EC7356" w:rsidRPr="00F15EE6" w:rsidRDefault="00EC7356" w:rsidP="00EF0B41">
            <w:pPr>
              <w:spacing w:before="240"/>
            </w:pPr>
            <w:r w:rsidRPr="00F15EE6">
              <w:t>Men</w:t>
            </w:r>
            <w:r w:rsidRPr="00F15EE6">
              <w:tab/>
            </w:r>
          </w:p>
          <w:p w14:paraId="27817006" w14:textId="77777777" w:rsidR="00EC7356" w:rsidRPr="00F15EE6" w:rsidRDefault="00EC7356" w:rsidP="00BC1C0F">
            <w:r w:rsidRPr="00F15EE6">
              <w:t>65–69 years</w:t>
            </w:r>
            <w:r w:rsidRPr="00F15EE6">
              <w:tab/>
              <w:t>1·2% (95% CI: 0·6–2·3)</w:t>
            </w:r>
          </w:p>
          <w:p w14:paraId="2BB36F1F" w14:textId="77777777" w:rsidR="00EC7356" w:rsidRPr="00F15EE6" w:rsidRDefault="00EC7356" w:rsidP="00BC1C0F">
            <w:r w:rsidRPr="00F15EE6">
              <w:t>70–74 years</w:t>
            </w:r>
            <w:r w:rsidRPr="00F15EE6">
              <w:tab/>
              <w:t>3·0% (2·0–4·4)</w:t>
            </w:r>
          </w:p>
          <w:p w14:paraId="1DBAC30B" w14:textId="77777777" w:rsidR="00EC7356" w:rsidRPr="00F15EE6" w:rsidRDefault="00EC7356" w:rsidP="00BC1C0F">
            <w:r w:rsidRPr="00F15EE6">
              <w:t>75–79 years</w:t>
            </w:r>
            <w:r w:rsidRPr="00F15EE6">
              <w:tab/>
              <w:t>5·2% (3·8–7·0)</w:t>
            </w:r>
          </w:p>
          <w:p w14:paraId="20D93B1D" w14:textId="77777777" w:rsidR="00EC7356" w:rsidRPr="00F15EE6" w:rsidRDefault="00EC7356" w:rsidP="00BC1C0F">
            <w:r w:rsidRPr="00F15EE6">
              <w:t>80–84 years</w:t>
            </w:r>
            <w:r w:rsidRPr="00F15EE6">
              <w:tab/>
              <w:t>10·6% (8·2–13·7)</w:t>
            </w:r>
          </w:p>
          <w:p w14:paraId="48BD9144" w14:textId="77777777" w:rsidR="00EC7356" w:rsidRPr="00F15EE6" w:rsidRDefault="00EC7356" w:rsidP="00BC1C0F">
            <w:r w:rsidRPr="00F15EE6">
              <w:t>85–89 years</w:t>
            </w:r>
            <w:r w:rsidRPr="00F15EE6">
              <w:tab/>
              <w:t>12·8% (9·0–18·0)</w:t>
            </w:r>
          </w:p>
          <w:p w14:paraId="2B7AAD5A" w14:textId="77777777" w:rsidR="00EC7356" w:rsidRPr="00F15EE6" w:rsidRDefault="00EC7356" w:rsidP="00BC1C0F">
            <w:r w:rsidRPr="00F15EE6">
              <w:t>≥90 years</w:t>
            </w:r>
            <w:r w:rsidRPr="00F15EE6">
              <w:tab/>
              <w:t>17·1% (10·6–26·4)</w:t>
            </w:r>
          </w:p>
          <w:p w14:paraId="1C5932C2" w14:textId="77777777" w:rsidR="00EC7356" w:rsidRPr="00F15EE6" w:rsidRDefault="00EC7356" w:rsidP="00EF0B41">
            <w:pPr>
              <w:spacing w:before="240"/>
            </w:pPr>
            <w:r w:rsidRPr="00F15EE6">
              <w:t>Women</w:t>
            </w:r>
            <w:r w:rsidRPr="00F15EE6">
              <w:tab/>
            </w:r>
          </w:p>
          <w:p w14:paraId="24FD06E2" w14:textId="77777777" w:rsidR="00EC7356" w:rsidRPr="00F15EE6" w:rsidRDefault="00EC7356" w:rsidP="00BC1C0F">
            <w:r w:rsidRPr="00F15EE6">
              <w:t>65–69 years</w:t>
            </w:r>
            <w:r w:rsidRPr="00F15EE6">
              <w:tab/>
              <w:t>1·8% (0·9–3·6)</w:t>
            </w:r>
          </w:p>
          <w:p w14:paraId="19FDCDBE" w14:textId="77777777" w:rsidR="00EC7356" w:rsidRPr="00F15EE6" w:rsidRDefault="00EC7356" w:rsidP="00BC1C0F">
            <w:r w:rsidRPr="00F15EE6">
              <w:t>70–74 years</w:t>
            </w:r>
            <w:r w:rsidRPr="00F15EE6">
              <w:tab/>
              <w:t>2·5% (1·6–3·9)</w:t>
            </w:r>
          </w:p>
          <w:p w14:paraId="38CAA9FF" w14:textId="77777777" w:rsidR="00EC7356" w:rsidRPr="00F15EE6" w:rsidRDefault="00EC7356" w:rsidP="00BC1C0F">
            <w:r w:rsidRPr="00F15EE6">
              <w:t>75–79 years</w:t>
            </w:r>
            <w:r w:rsidRPr="00F15EE6">
              <w:tab/>
              <w:t>6·2% (4·5–8·4)</w:t>
            </w:r>
          </w:p>
          <w:p w14:paraId="51E86969" w14:textId="77777777" w:rsidR="00EC7356" w:rsidRPr="00F15EE6" w:rsidRDefault="00EC7356" w:rsidP="00BC1C0F">
            <w:r w:rsidRPr="00F15EE6">
              <w:t>80–84 years</w:t>
            </w:r>
            <w:r w:rsidRPr="00F15EE6">
              <w:tab/>
              <w:t>9·5% (7·3–12·3)</w:t>
            </w:r>
          </w:p>
          <w:p w14:paraId="5C20CFD0" w14:textId="77777777" w:rsidR="00EC7356" w:rsidRPr="00F15EE6" w:rsidRDefault="00EC7356" w:rsidP="00BC1C0F">
            <w:r w:rsidRPr="00F15EE6">
              <w:t>85–89 years</w:t>
            </w:r>
            <w:r w:rsidRPr="00F15EE6">
              <w:tab/>
              <w:t>18·1% (14·5–22·2)</w:t>
            </w:r>
          </w:p>
          <w:p w14:paraId="71D14343" w14:textId="77777777" w:rsidR="00EC7356" w:rsidRPr="00F15EE6" w:rsidRDefault="00EC7356" w:rsidP="00BC1C0F">
            <w:r w:rsidRPr="00F15EE6">
              <w:t>≥90 years</w:t>
            </w:r>
            <w:r w:rsidRPr="00F15EE6">
              <w:tab/>
              <w:t xml:space="preserve">35·0% (28·4–42·3) </w:t>
            </w:r>
          </w:p>
          <w:p w14:paraId="7E91C6FE" w14:textId="32FA4A83" w:rsidR="00EC7356" w:rsidRPr="00F15EE6" w:rsidRDefault="00EC7356" w:rsidP="001A0760">
            <w:pPr>
              <w:spacing w:before="240"/>
            </w:pPr>
            <w:r w:rsidRPr="00F15EE6">
              <w:t>(Matthews FE, Arthur A, Barnes LE, et al. A two-decade comparison of prevalence of dementia in individuals aged 65 years and older from three geographical areas of England: results of the Cognitive Function and Ageing Study I and II. Lancet. 2013;382(9902):1405-1412. doi:10.1016/S0140-6736(13)61570-6.)</w:t>
            </w:r>
          </w:p>
          <w:p w14:paraId="040E6657" w14:textId="77777777" w:rsidR="00EC7356" w:rsidRPr="00F15EE6" w:rsidRDefault="00EC7356" w:rsidP="001A0760">
            <w:pPr>
              <w:spacing w:before="240"/>
            </w:pPr>
            <w:r w:rsidRPr="00F15EE6">
              <w:t>All sub-populations (</w:t>
            </w:r>
            <w:proofErr w:type="gramStart"/>
            <w:r w:rsidRPr="00F15EE6">
              <w:t>five year</w:t>
            </w:r>
            <w:proofErr w:type="gramEnd"/>
            <w:r w:rsidRPr="00F15EE6">
              <w:t xml:space="preserve"> age bands by gender) are non-overlapping.</w:t>
            </w:r>
          </w:p>
          <w:p w14:paraId="3778DAF8" w14:textId="77777777" w:rsidR="00EC7356" w:rsidRPr="00F15EE6" w:rsidRDefault="00EC7356" w:rsidP="00EF0B41">
            <w:pPr>
              <w:spacing w:before="240"/>
            </w:pPr>
            <w:r w:rsidRPr="00F15EE6">
              <w:t>After summing over age and sex, the ratio of recorded dementia diagnoses to expected gives an indirectly standardised diagnosis rate.</w:t>
            </w:r>
          </w:p>
        </w:tc>
      </w:tr>
      <w:tr w:rsidR="00F15EE6" w:rsidRPr="00F15EE6" w14:paraId="66B80E0A" w14:textId="77777777" w:rsidTr="00EC7356">
        <w:tc>
          <w:tcPr>
            <w:tcW w:w="2268" w:type="dxa"/>
          </w:tcPr>
          <w:p w14:paraId="63B305FF" w14:textId="18136206" w:rsidR="00EC7356" w:rsidRPr="00F15EE6" w:rsidRDefault="00EC7356" w:rsidP="002C446A">
            <w:pPr>
              <w:spacing w:before="240"/>
              <w:ind w:left="34"/>
              <w:rPr>
                <w:b/>
                <w:sz w:val="22"/>
                <w:szCs w:val="22"/>
              </w:rPr>
            </w:pPr>
            <w:permStart w:id="324155125" w:edGrp="everyone" w:colFirst="1" w:colLast="1"/>
            <w:permEnd w:id="2077245573"/>
            <w:r w:rsidRPr="00F15EE6">
              <w:rPr>
                <w:b/>
                <w:sz w:val="22"/>
                <w:szCs w:val="22"/>
              </w:rPr>
              <w:t>4.5 Justification of risk adjustment type and variables</w:t>
            </w:r>
          </w:p>
          <w:p w14:paraId="65F9E811" w14:textId="77777777" w:rsidR="00EC7356" w:rsidRPr="00F15EE6" w:rsidRDefault="00EC7356" w:rsidP="002C446A">
            <w:pPr>
              <w:ind w:left="34"/>
              <w:rPr>
                <w:sz w:val="22"/>
                <w:szCs w:val="22"/>
              </w:rPr>
            </w:pPr>
            <w:r w:rsidRPr="00F15EE6">
              <w:rPr>
                <w:sz w:val="22"/>
                <w:szCs w:val="22"/>
              </w:rPr>
              <w:t>or why risk adjustment is not used</w:t>
            </w:r>
          </w:p>
        </w:tc>
        <w:tc>
          <w:tcPr>
            <w:tcW w:w="6662" w:type="dxa"/>
          </w:tcPr>
          <w:p w14:paraId="4679D98E" w14:textId="4BF0D1D7" w:rsidR="00EC7356" w:rsidRPr="00F15EE6" w:rsidRDefault="00EC7356" w:rsidP="005722B4">
            <w:pPr>
              <w:spacing w:before="240"/>
            </w:pPr>
            <w:r w:rsidRPr="00F15EE6">
              <w:t xml:space="preserve">A diagnosis rate measures how many patients with a condition have been given a formal diagnosis for the condition. By definition, </w:t>
            </w:r>
            <w:proofErr w:type="gramStart"/>
            <w:r w:rsidRPr="00F15EE6">
              <w:t>however,  the</w:t>
            </w:r>
            <w:proofErr w:type="gramEnd"/>
            <w:r w:rsidRPr="00F15EE6">
              <w:t xml:space="preserve"> actual number of patients with the condition is not known, as they do not all have a formal diagnosis. Indirect standardisation allows an estimate to be made of the actual number, by applying standard age and sex specific prevalence rates (the CFAS II prevalence rates) to the age and sex structure of a subject organisation, to give the estimated number of patients one would expect to have the condition if the subject organisation experienced the same age and sex specific rates as those in the CFAS II study.</w:t>
            </w:r>
          </w:p>
          <w:p w14:paraId="7DDF4E26" w14:textId="6E746B3B" w:rsidR="00EC7356" w:rsidRPr="00F15EE6" w:rsidRDefault="00EC7356" w:rsidP="00D610F7">
            <w:pPr>
              <w:spacing w:before="240"/>
            </w:pPr>
            <w:r w:rsidRPr="00F15EE6">
              <w:t>The same calculation would not be possible using direct standardisation, where a subject organisation’s age and sex specific recorded prevalence rates are applied to the age and sex structure of a standard population, to give the number of recorded diagnoses that would be observed if the standard population experienced the same age and sex specific recorded prevalence as the subject population. As this calculation does not make an estimate of the actual number of patients with the condition, it cannot produce a diagnosis rate.</w:t>
            </w:r>
          </w:p>
          <w:p w14:paraId="3F48CB9D" w14:textId="595F60DE" w:rsidR="00EC7356" w:rsidRPr="00F15EE6" w:rsidRDefault="00EC7356" w:rsidP="00D610F7">
            <w:pPr>
              <w:spacing w:before="240"/>
            </w:pPr>
            <w:r w:rsidRPr="00F15EE6">
              <w:t>Direct standardisation is often preferable as it allows comparisons to be made between subject populations, however here it is not possible and indirect standardisation is used with the caveat that no comparisons should be made between subject organisations.</w:t>
            </w:r>
          </w:p>
        </w:tc>
      </w:tr>
      <w:tr w:rsidR="00F15EE6" w:rsidRPr="00F15EE6" w14:paraId="79408BA4" w14:textId="77777777" w:rsidTr="00EC7356">
        <w:tc>
          <w:tcPr>
            <w:tcW w:w="2268" w:type="dxa"/>
          </w:tcPr>
          <w:p w14:paraId="0E9781C6" w14:textId="7794E0CB" w:rsidR="00EC7356" w:rsidRPr="00F15EE6" w:rsidRDefault="00EC7356" w:rsidP="00772A5C">
            <w:pPr>
              <w:spacing w:before="240"/>
              <w:ind w:left="34"/>
              <w:rPr>
                <w:b/>
                <w:sz w:val="22"/>
                <w:szCs w:val="22"/>
              </w:rPr>
            </w:pPr>
            <w:permStart w:id="1539338326" w:edGrp="everyone" w:colFirst="1" w:colLast="1"/>
            <w:permEnd w:id="324155125"/>
            <w:r w:rsidRPr="00F15EE6">
              <w:rPr>
                <w:b/>
                <w:sz w:val="22"/>
                <w:szCs w:val="22"/>
              </w:rPr>
              <w:t>4.6 Confidence interval / control limit use and methodology</w:t>
            </w:r>
          </w:p>
        </w:tc>
        <w:tc>
          <w:tcPr>
            <w:tcW w:w="6662" w:type="dxa"/>
          </w:tcPr>
          <w:sdt>
            <w:sdtPr>
              <w:alias w:val="Confidence Interval/control limit use"/>
              <w:tag w:val="Confidence Interval/control limit use"/>
              <w:id w:val="1287858884"/>
              <w:placeholder>
                <w:docPart w:val="2908A8C59444453383C72CC52984AB0B"/>
              </w:placeholder>
              <w:dropDownList>
                <w:listItem w:value="Choose an item."/>
                <w:listItem w:displayText="Confidence Intervals" w:value="Confidence Intervals"/>
                <w:listItem w:displayText="Control Limits" w:value="Control Limits"/>
                <w:listItem w:displayText="None" w:value="None"/>
              </w:dropDownList>
            </w:sdtPr>
            <w:sdtEndPr/>
            <w:sdtContent>
              <w:p w14:paraId="655A4AB7" w14:textId="77777777" w:rsidR="00EC7356" w:rsidRPr="00F15EE6" w:rsidRDefault="00EC7356" w:rsidP="001A0760">
                <w:pPr>
                  <w:spacing w:before="240"/>
                </w:pPr>
                <w:r w:rsidRPr="00F15EE6">
                  <w:t>Confidence Intervals</w:t>
                </w:r>
              </w:p>
            </w:sdtContent>
          </w:sdt>
          <w:p w14:paraId="53F13AC0" w14:textId="77777777" w:rsidR="00EC7356" w:rsidRPr="00F15EE6" w:rsidRDefault="00EC7356" w:rsidP="009E543C">
            <w:pPr>
              <w:spacing w:before="240"/>
            </w:pPr>
            <w:r w:rsidRPr="00F15EE6">
              <w:t>Estimated by simulation.  The observed counts are subject to the usual stochastic (random) variation assumptions and are assumed to be observations from an underlying Poisson distribution.</w:t>
            </w:r>
          </w:p>
          <w:p w14:paraId="6867C3A5" w14:textId="2D5A2BCE" w:rsidR="00EC7356" w:rsidRPr="00F15EE6" w:rsidRDefault="00EC7356" w:rsidP="009E543C">
            <w:pPr>
              <w:spacing w:before="240"/>
            </w:pPr>
            <w:r w:rsidRPr="00F15EE6">
              <w:t>The expected number of cases is calculated as a sum of age-specific expected numbers, each of which is calculated by applying CFAS II published prevalence proportions to the local age-sex specific population.  The published proportions have confidence intervals, and these need to be reflected in the confidence intervals for the overall proportion.</w:t>
            </w:r>
          </w:p>
          <w:p w14:paraId="6FC9805B" w14:textId="77777777" w:rsidR="00EC7356" w:rsidRPr="00F15EE6" w:rsidRDefault="00EC7356" w:rsidP="009E543C">
            <w:pPr>
              <w:spacing w:before="240"/>
            </w:pPr>
            <w:r w:rsidRPr="00F15EE6">
              <w:t>Simulation allows us to capture all these separate elements and calculate approximate confidence intervals for the overall indicator: the indicator is calculated 100,000 times.  On each repetition, each of the age-specific expected (binomial) distributions, and the observed (Poisson) count distribution, are randomly sampled and the indicator is calculated based on those sampled values. Hence a distribution of 100,000 random samples from the overall indicator distribution is obtained.  From this distribution we can take the 2500th smallest and the 2500th largest values as robust estimates of the 95% lower and upper confidence limits respectively.</w:t>
            </w:r>
          </w:p>
          <w:p w14:paraId="204E2716" w14:textId="77777777" w:rsidR="00EC7356" w:rsidRPr="00F15EE6" w:rsidRDefault="00EC7356" w:rsidP="009E543C">
            <w:pPr>
              <w:spacing w:before="240"/>
            </w:pPr>
            <w:r w:rsidRPr="00F15EE6">
              <w:t>This is repeated for every organisation in the indicator, every time the indicator is produced.</w:t>
            </w:r>
          </w:p>
          <w:p w14:paraId="466EA90E" w14:textId="77777777" w:rsidR="00EC7356" w:rsidRPr="00F15EE6" w:rsidRDefault="00EC7356" w:rsidP="009E543C">
            <w:pPr>
              <w:spacing w:before="240"/>
            </w:pPr>
            <w:r w:rsidRPr="00F15EE6">
              <w:t xml:space="preserve">100,000 repetitions </w:t>
            </w:r>
            <w:proofErr w:type="gramStart"/>
            <w:r w:rsidRPr="00F15EE6">
              <w:t>is</w:t>
            </w:r>
            <w:proofErr w:type="gramEnd"/>
            <w:r w:rsidRPr="00F15EE6">
              <w:t xml:space="preserve"> sufficient to ensure that, to one decimal place, the estimates of the upper and lower confidence limits are robust and replicable.</w:t>
            </w:r>
          </w:p>
          <w:p w14:paraId="713E2C90" w14:textId="4B47A05C" w:rsidR="00EC7356" w:rsidRPr="00F15EE6" w:rsidRDefault="00EC7356" w:rsidP="00733AA1">
            <w:pPr>
              <w:spacing w:before="240"/>
            </w:pPr>
            <w:r w:rsidRPr="00F15EE6">
              <w:t>Please see FILE Dementia Indicator CI MT Macro for a template calculation.</w:t>
            </w:r>
          </w:p>
        </w:tc>
      </w:tr>
      <w:tr w:rsidR="00F15EE6" w:rsidRPr="00F15EE6" w14:paraId="10B7C1C7" w14:textId="77777777" w:rsidTr="00EC7356">
        <w:tc>
          <w:tcPr>
            <w:tcW w:w="2268" w:type="dxa"/>
          </w:tcPr>
          <w:p w14:paraId="1AD85571" w14:textId="41D494B4" w:rsidR="00EC7356" w:rsidRPr="00F15EE6" w:rsidRDefault="00EC7356" w:rsidP="00772A5C">
            <w:pPr>
              <w:spacing w:before="240"/>
              <w:ind w:left="34"/>
              <w:rPr>
                <w:b/>
                <w:sz w:val="22"/>
                <w:szCs w:val="22"/>
              </w:rPr>
            </w:pPr>
            <w:permStart w:id="1807682396" w:edGrp="everyone" w:colFirst="1" w:colLast="1"/>
            <w:permEnd w:id="1539338326"/>
            <w:r w:rsidRPr="00F15EE6">
              <w:rPr>
                <w:b/>
                <w:sz w:val="22"/>
                <w:szCs w:val="22"/>
              </w:rPr>
              <w:t>4.7 Justification of confidence intervals / control limits used</w:t>
            </w:r>
          </w:p>
        </w:tc>
        <w:tc>
          <w:tcPr>
            <w:tcW w:w="6662" w:type="dxa"/>
          </w:tcPr>
          <w:p w14:paraId="2086EE59" w14:textId="47802E6A" w:rsidR="00EC7356" w:rsidRPr="00F15EE6" w:rsidRDefault="00EC7356" w:rsidP="00B4060A">
            <w:pPr>
              <w:rPr>
                <w:sz w:val="22"/>
                <w:szCs w:val="22"/>
                <w:lang w:eastAsia="en-GB"/>
              </w:rPr>
            </w:pPr>
            <w:r w:rsidRPr="00F15EE6">
              <w:rPr>
                <w:sz w:val="20"/>
                <w:szCs w:val="20"/>
              </w:rPr>
              <w:t xml:space="preserve"> </w:t>
            </w:r>
            <w:r w:rsidRPr="00F15EE6">
              <w:rPr>
                <w:sz w:val="22"/>
                <w:szCs w:val="22"/>
                <w:lang w:eastAsia="en-GB"/>
              </w:rPr>
              <w:t>Conventionally, the uncertainty in an indirectly standardised rate is summarised based on the number of observations alone, as the expected values are usually based on such a large population that any uncertainty is considered negligible.</w:t>
            </w:r>
            <w:r w:rsidRPr="00F15EE6">
              <w:rPr>
                <w:sz w:val="22"/>
                <w:szCs w:val="22"/>
                <w:lang w:eastAsia="en-GB"/>
              </w:rPr>
              <w:br/>
              <w:t>Here this is not the case, as the expected values are derived from a relatively small sample (the CFAS II study), comprising 12 reference rates, each with a confidence interval reflecting the uncertainty in the study results. These 12 elements of uncertainty in the denominator, plus one element of uncertainty around the observed count of dementia diagnoses (the numerator), combine to make the statistical distribution underlying the indicator itself (the ratio of observed to expected) too complex to define in a static formula.</w:t>
            </w:r>
            <w:r w:rsidRPr="00F15EE6">
              <w:rPr>
                <w:sz w:val="22"/>
                <w:szCs w:val="22"/>
                <w:lang w:eastAsia="en-GB"/>
              </w:rPr>
              <w:br/>
            </w:r>
          </w:p>
          <w:p w14:paraId="0E4BEC2A" w14:textId="7372820E" w:rsidR="00EC7356" w:rsidRPr="00F15EE6" w:rsidRDefault="00EC7356" w:rsidP="00B4060A">
            <w:pPr>
              <w:rPr>
                <w:sz w:val="22"/>
                <w:szCs w:val="22"/>
                <w:lang w:eastAsia="en-GB"/>
              </w:rPr>
            </w:pPr>
            <w:r w:rsidRPr="00F15EE6">
              <w:rPr>
                <w:sz w:val="22"/>
                <w:szCs w:val="22"/>
                <w:lang w:eastAsia="en-GB"/>
              </w:rPr>
              <w:t>By creating theoretical distributions for each of the 13 variables, the indicator can be simulated by repeating the calculation 100,000, each time randomly sampling the variables from their possible distributions of values, such that the overall distribution of the indicator value is closely approximated and can itself be sampled and/or summarised to give the confidence intervals to a limited but defined level of precision.</w:t>
            </w:r>
          </w:p>
          <w:p w14:paraId="785284A6" w14:textId="210B5766" w:rsidR="00EC7356" w:rsidRPr="00F15EE6" w:rsidRDefault="00EC7356" w:rsidP="006E06ED">
            <w:pPr>
              <w:spacing w:before="240"/>
            </w:pPr>
          </w:p>
        </w:tc>
      </w:tr>
    </w:tbl>
    <w:p w14:paraId="2884679A" w14:textId="75ECD741" w:rsidR="004A3F74" w:rsidRPr="00F15EE6" w:rsidRDefault="00EC7356" w:rsidP="00EC7356">
      <w:pPr>
        <w:pStyle w:val="ListParagraph"/>
        <w:ind w:left="360" w:firstLine="0"/>
      </w:pPr>
      <w:r w:rsidRPr="00F15EE6">
        <w:t>Section 5. Presentation and Interpretation</w:t>
      </w:r>
    </w:p>
    <w:p w14:paraId="1A0ABCA5" w14:textId="1C833D1E" w:rsidR="00EC7356" w:rsidRPr="00F15EE6" w:rsidRDefault="00EC7356" w:rsidP="00EC7356">
      <w:pPr>
        <w:pStyle w:val="ListParagraph"/>
        <w:ind w:left="360" w:firstLine="0"/>
      </w:pPr>
      <w:r w:rsidRPr="00F15EE6">
        <w:t>Presentation</w:t>
      </w:r>
    </w:p>
    <w:tbl>
      <w:tblPr>
        <w:tblStyle w:val="TableGrid1"/>
        <w:tblW w:w="8136" w:type="dxa"/>
        <w:tblInd w:w="5" w:type="dxa"/>
        <w:tblLayout w:type="fixed"/>
        <w:tblLook w:val="04A0" w:firstRow="1" w:lastRow="0" w:firstColumn="1" w:lastColumn="0" w:noHBand="0" w:noVBand="1"/>
      </w:tblPr>
      <w:tblGrid>
        <w:gridCol w:w="2077"/>
        <w:gridCol w:w="6059"/>
      </w:tblGrid>
      <w:tr w:rsidR="00F15EE6" w:rsidRPr="00F15EE6" w14:paraId="08253413" w14:textId="77777777" w:rsidTr="00EC7356">
        <w:tc>
          <w:tcPr>
            <w:tcW w:w="2077" w:type="dxa"/>
          </w:tcPr>
          <w:p w14:paraId="401D053C" w14:textId="7153557B" w:rsidR="00EC7356" w:rsidRPr="00F15EE6" w:rsidRDefault="00EC7356" w:rsidP="008D7104">
            <w:pPr>
              <w:spacing w:before="240"/>
              <w:ind w:left="34"/>
              <w:rPr>
                <w:b/>
                <w:sz w:val="22"/>
                <w:szCs w:val="22"/>
              </w:rPr>
            </w:pPr>
            <w:permStart w:id="1492927330" w:edGrp="everyone" w:colFirst="1" w:colLast="1"/>
            <w:permStart w:id="352286868" w:edGrp="everyone" w:colFirst="2" w:colLast="2"/>
            <w:permEnd w:id="1807682396"/>
            <w:r w:rsidRPr="00F15EE6">
              <w:rPr>
                <w:b/>
                <w:sz w:val="22"/>
                <w:szCs w:val="22"/>
              </w:rPr>
              <w:t>5.1 Presentation of indicator</w:t>
            </w:r>
          </w:p>
        </w:tc>
        <w:tc>
          <w:tcPr>
            <w:tcW w:w="6059" w:type="dxa"/>
          </w:tcPr>
          <w:p w14:paraId="345E9B73" w14:textId="77777777" w:rsidR="00EC7356" w:rsidRPr="00F15EE6" w:rsidRDefault="00EC7356" w:rsidP="00262C72">
            <w:pPr>
              <w:spacing w:before="240"/>
              <w:rPr>
                <w:sz w:val="22"/>
                <w:szCs w:val="22"/>
              </w:rPr>
            </w:pPr>
            <w:r w:rsidRPr="00F15EE6">
              <w:rPr>
                <w:sz w:val="22"/>
                <w:szCs w:val="22"/>
              </w:rPr>
              <w:t>a)</w:t>
            </w:r>
          </w:p>
          <w:p w14:paraId="2C7E5DA6" w14:textId="77777777" w:rsidR="00EC7356" w:rsidRPr="00F15EE6" w:rsidRDefault="00EC7356" w:rsidP="00262C72">
            <w:pPr>
              <w:spacing w:before="240"/>
              <w:rPr>
                <w:sz w:val="22"/>
                <w:szCs w:val="22"/>
              </w:rPr>
            </w:pPr>
            <w:r w:rsidRPr="00F15EE6">
              <w:rPr>
                <w:sz w:val="22"/>
                <w:szCs w:val="22"/>
              </w:rPr>
              <w:t>Values are given at all organisational levels as follows:</w:t>
            </w:r>
          </w:p>
          <w:p w14:paraId="06DB7F1A" w14:textId="77777777" w:rsidR="00EC7356" w:rsidRPr="00F15EE6" w:rsidRDefault="00EC7356" w:rsidP="00262C72">
            <w:pPr>
              <w:spacing w:before="240"/>
              <w:rPr>
                <w:noProof/>
                <w:sz w:val="22"/>
                <w:szCs w:val="22"/>
                <w:lang w:eastAsia="en-GB"/>
              </w:rPr>
            </w:pPr>
            <w:r w:rsidRPr="00F15EE6">
              <w:rPr>
                <w:noProof/>
                <w:sz w:val="22"/>
                <w:szCs w:val="22"/>
                <w:lang w:eastAsia="en-GB"/>
              </w:rPr>
              <w:drawing>
                <wp:inline distT="0" distB="0" distL="0" distR="0" wp14:anchorId="6CA82431" wp14:editId="696CBA43">
                  <wp:extent cx="4178300" cy="1392555"/>
                  <wp:effectExtent l="0" t="0" r="0" b="0"/>
                  <wp:docPr id="1" name="Picture 1" descr="table showing number of people with deme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8300" cy="1392555"/>
                          </a:xfrm>
                          <a:prstGeom prst="rect">
                            <a:avLst/>
                          </a:prstGeom>
                          <a:noFill/>
                          <a:ln>
                            <a:noFill/>
                          </a:ln>
                        </pic:spPr>
                      </pic:pic>
                    </a:graphicData>
                  </a:graphic>
                </wp:inline>
              </w:drawing>
            </w:r>
          </w:p>
          <w:p w14:paraId="2DA7BB19" w14:textId="77777777" w:rsidR="00EC7356" w:rsidRPr="00F15EE6" w:rsidRDefault="00EC7356" w:rsidP="00262C72">
            <w:pPr>
              <w:spacing w:before="240"/>
              <w:rPr>
                <w:noProof/>
                <w:sz w:val="22"/>
                <w:szCs w:val="22"/>
                <w:lang w:eastAsia="en-GB"/>
              </w:rPr>
            </w:pPr>
            <w:r w:rsidRPr="00F15EE6">
              <w:rPr>
                <w:noProof/>
                <w:sz w:val="22"/>
                <w:szCs w:val="22"/>
                <w:lang w:eastAsia="en-GB"/>
              </w:rPr>
              <w:t>b)</w:t>
            </w:r>
          </w:p>
          <w:p w14:paraId="16C17FD5" w14:textId="77777777" w:rsidR="00EC7356" w:rsidRPr="00F15EE6" w:rsidRDefault="00EC7356" w:rsidP="008B2F46">
            <w:pPr>
              <w:spacing w:before="240"/>
              <w:rPr>
                <w:noProof/>
                <w:sz w:val="22"/>
                <w:szCs w:val="22"/>
                <w:lang w:eastAsia="en-GB"/>
              </w:rPr>
            </w:pPr>
            <w:r w:rsidRPr="00F15EE6">
              <w:rPr>
                <w:noProof/>
                <w:sz w:val="22"/>
                <w:szCs w:val="22"/>
                <w:lang w:eastAsia="en-GB"/>
              </w:rPr>
              <w:t xml:space="preserve">For the </w:t>
            </w:r>
            <w:hyperlink r:id="rId16" w:history="1">
              <w:r w:rsidRPr="00F15EE6">
                <w:rPr>
                  <w:rStyle w:val="Hyperlink"/>
                  <w:rFonts w:ascii="Arial" w:hAnsi="Arial"/>
                  <w:noProof/>
                  <w:color w:val="auto"/>
                  <w:sz w:val="22"/>
                  <w:szCs w:val="22"/>
                  <w:lang w:eastAsia="en-GB"/>
                </w:rPr>
                <w:t>PHOF</w:t>
              </w:r>
            </w:hyperlink>
            <w:r w:rsidRPr="00F15EE6">
              <w:rPr>
                <w:noProof/>
                <w:sz w:val="22"/>
                <w:szCs w:val="22"/>
                <w:lang w:eastAsia="en-GB"/>
              </w:rPr>
              <w:t xml:space="preserve"> and </w:t>
            </w:r>
            <w:hyperlink r:id="rId17" w:history="1">
              <w:r w:rsidRPr="00F15EE6">
                <w:rPr>
                  <w:rStyle w:val="Hyperlink"/>
                  <w:rFonts w:ascii="Arial" w:hAnsi="Arial"/>
                  <w:noProof/>
                  <w:color w:val="auto"/>
                  <w:sz w:val="22"/>
                  <w:szCs w:val="22"/>
                  <w:lang w:eastAsia="en-GB"/>
                </w:rPr>
                <w:t>Dementia Profiles</w:t>
              </w:r>
            </w:hyperlink>
            <w:r w:rsidRPr="00F15EE6">
              <w:rPr>
                <w:noProof/>
                <w:sz w:val="22"/>
                <w:szCs w:val="22"/>
                <w:lang w:eastAsia="en-GB"/>
              </w:rPr>
              <w:t>, the indicator will be presented using the Fingertips platform, with the same range of presentations as current indicators in those collections. However, because of the indirect standardisation, RAG ratings cannot be applied to comparisons with benchmarks.</w:t>
            </w:r>
          </w:p>
          <w:p w14:paraId="1851C860" w14:textId="77777777" w:rsidR="00EC7356" w:rsidRPr="00F15EE6" w:rsidRDefault="000E3494" w:rsidP="008B2F46">
            <w:pPr>
              <w:spacing w:before="240"/>
              <w:rPr>
                <w:noProof/>
                <w:sz w:val="22"/>
                <w:szCs w:val="22"/>
                <w:lang w:eastAsia="en-GB"/>
              </w:rPr>
            </w:pPr>
            <w:hyperlink r:id="rId18" w:history="1">
              <w:r w:rsidR="00EC7356" w:rsidRPr="00F15EE6">
                <w:rPr>
                  <w:rStyle w:val="Hyperlink"/>
                  <w:rFonts w:ascii="Arial" w:hAnsi="Arial"/>
                  <w:noProof/>
                  <w:color w:val="auto"/>
                  <w:sz w:val="22"/>
                  <w:szCs w:val="22"/>
                  <w:lang w:eastAsia="en-GB"/>
                </w:rPr>
                <w:t>http://www.phoutcomes.info/</w:t>
              </w:r>
            </w:hyperlink>
            <w:r w:rsidR="00EC7356" w:rsidRPr="00F15EE6">
              <w:rPr>
                <w:noProof/>
                <w:sz w:val="22"/>
                <w:szCs w:val="22"/>
                <w:lang w:eastAsia="en-GB"/>
              </w:rPr>
              <w:t xml:space="preserve"> and </w:t>
            </w:r>
            <w:hyperlink r:id="rId19" w:history="1">
              <w:r w:rsidR="00EC7356" w:rsidRPr="00F15EE6">
                <w:rPr>
                  <w:rStyle w:val="Hyperlink"/>
                  <w:rFonts w:ascii="Arial" w:hAnsi="Arial"/>
                  <w:noProof/>
                  <w:color w:val="auto"/>
                  <w:sz w:val="22"/>
                  <w:szCs w:val="22"/>
                  <w:lang w:eastAsia="en-GB"/>
                </w:rPr>
                <w:t>https://fingertips.phe.org.uk/profile-group/mental-health/profile/dementia</w:t>
              </w:r>
            </w:hyperlink>
          </w:p>
          <w:p w14:paraId="1480D4FB" w14:textId="77777777" w:rsidR="00EC7356" w:rsidRPr="00F15EE6" w:rsidRDefault="00EC7356" w:rsidP="008B2F46">
            <w:pPr>
              <w:spacing w:before="240"/>
              <w:rPr>
                <w:noProof/>
                <w:sz w:val="22"/>
                <w:szCs w:val="22"/>
                <w:lang w:eastAsia="en-GB"/>
              </w:rPr>
            </w:pPr>
            <w:r w:rsidRPr="00F15EE6">
              <w:rPr>
                <w:noProof/>
                <w:sz w:val="22"/>
                <w:szCs w:val="22"/>
                <w:lang w:eastAsia="en-GB"/>
              </w:rPr>
              <w:t>c)</w:t>
            </w:r>
          </w:p>
          <w:p w14:paraId="2D776D50" w14:textId="77777777" w:rsidR="00EC7356" w:rsidRPr="00F15EE6" w:rsidRDefault="00EC7356" w:rsidP="006B07CF">
            <w:pPr>
              <w:spacing w:before="240"/>
              <w:rPr>
                <w:noProof/>
                <w:sz w:val="22"/>
                <w:szCs w:val="22"/>
                <w:lang w:eastAsia="en-GB"/>
              </w:rPr>
            </w:pPr>
            <w:r w:rsidRPr="00F15EE6">
              <w:rPr>
                <w:noProof/>
                <w:sz w:val="22"/>
                <w:szCs w:val="22"/>
                <w:lang w:eastAsia="en-GB"/>
              </w:rPr>
              <w:t>CCGOIS: CCG OIS would likely signpost to more regularly published data.</w:t>
            </w:r>
          </w:p>
          <w:p w14:paraId="59A95E84" w14:textId="77777777" w:rsidR="00EC7356" w:rsidRPr="00F15EE6" w:rsidRDefault="00EC7356" w:rsidP="008B2F46">
            <w:pPr>
              <w:spacing w:before="240"/>
              <w:rPr>
                <w:noProof/>
                <w:sz w:val="22"/>
                <w:szCs w:val="22"/>
                <w:lang w:eastAsia="en-GB"/>
              </w:rPr>
            </w:pPr>
            <w:r w:rsidRPr="00F15EE6">
              <w:rPr>
                <w:noProof/>
                <w:sz w:val="22"/>
                <w:szCs w:val="22"/>
                <w:lang w:eastAsia="en-GB"/>
              </w:rPr>
              <w:t>d)</w:t>
            </w:r>
          </w:p>
          <w:p w14:paraId="519BE098" w14:textId="77777777" w:rsidR="00EC7356" w:rsidRPr="00F15EE6" w:rsidRDefault="00EC7356" w:rsidP="008B2F46">
            <w:pPr>
              <w:spacing w:before="240"/>
              <w:rPr>
                <w:noProof/>
                <w:sz w:val="22"/>
                <w:szCs w:val="22"/>
                <w:lang w:eastAsia="en-GB"/>
              </w:rPr>
            </w:pPr>
            <w:r w:rsidRPr="00F15EE6">
              <w:rPr>
                <w:noProof/>
                <w:sz w:val="22"/>
                <w:szCs w:val="22"/>
                <w:lang w:eastAsia="en-GB"/>
              </w:rPr>
              <w:t>In the following format on My NHS:</w:t>
            </w:r>
          </w:p>
          <w:p w14:paraId="6403FD9C" w14:textId="77777777" w:rsidR="00EC7356" w:rsidRPr="00F15EE6" w:rsidRDefault="00EC7356" w:rsidP="008B2F46">
            <w:pPr>
              <w:spacing w:before="240"/>
              <w:rPr>
                <w:noProof/>
                <w:sz w:val="22"/>
                <w:szCs w:val="22"/>
                <w:lang w:eastAsia="en-GB"/>
              </w:rPr>
            </w:pPr>
            <w:r w:rsidRPr="00F15EE6">
              <w:rPr>
                <w:noProof/>
                <w:sz w:val="22"/>
                <w:szCs w:val="22"/>
                <w:lang w:eastAsia="en-GB"/>
              </w:rPr>
              <w:t>https://www.nhs.uk/service-search/scorecard/results/1173?metricGroupId=612&amp;radiusInMile=0&amp;recordsPerPage=10</w:t>
            </w:r>
          </w:p>
        </w:tc>
      </w:tr>
      <w:permEnd w:id="1492927330"/>
      <w:tr w:rsidR="00F15EE6" w:rsidRPr="00F15EE6" w14:paraId="03F9CC29" w14:textId="77777777" w:rsidTr="00EC7356">
        <w:tc>
          <w:tcPr>
            <w:tcW w:w="2077" w:type="dxa"/>
          </w:tcPr>
          <w:p w14:paraId="66BB8F90" w14:textId="75A87605" w:rsidR="00EC7356" w:rsidRPr="00F15EE6" w:rsidRDefault="00EC7356" w:rsidP="00772A5C">
            <w:pPr>
              <w:spacing w:before="240"/>
              <w:ind w:left="34"/>
              <w:rPr>
                <w:b/>
                <w:sz w:val="22"/>
                <w:szCs w:val="22"/>
              </w:rPr>
            </w:pPr>
            <w:r w:rsidRPr="00F15EE6">
              <w:rPr>
                <w:b/>
                <w:sz w:val="22"/>
                <w:szCs w:val="22"/>
              </w:rPr>
              <w:t>5.2 Contextual information provided alongside indicator</w:t>
            </w:r>
          </w:p>
          <w:p w14:paraId="447F81F8" w14:textId="77777777" w:rsidR="00EC7356" w:rsidRPr="00F15EE6" w:rsidRDefault="00EC7356" w:rsidP="00E60E30">
            <w:pPr>
              <w:ind w:left="34"/>
              <w:rPr>
                <w:sz w:val="22"/>
                <w:szCs w:val="22"/>
              </w:rPr>
            </w:pPr>
            <w:r w:rsidRPr="00F15EE6">
              <w:rPr>
                <w:sz w:val="22"/>
                <w:szCs w:val="22"/>
              </w:rPr>
              <w:t>with justification</w:t>
            </w:r>
          </w:p>
        </w:tc>
        <w:tc>
          <w:tcPr>
            <w:tcW w:w="6059" w:type="dxa"/>
          </w:tcPr>
          <w:p w14:paraId="6AA9EE31" w14:textId="77777777" w:rsidR="00EC7356" w:rsidRPr="00F15EE6" w:rsidRDefault="00EC7356" w:rsidP="00363ED2">
            <w:pPr>
              <w:spacing w:before="240"/>
            </w:pPr>
            <w:r w:rsidRPr="00F15EE6">
              <w:t>Alongside the indicator value (the rate) is given the number of people on dementia register (numerator) and estimated number of people with dementia (denominator).</w:t>
            </w:r>
          </w:p>
          <w:p w14:paraId="1423CB9C" w14:textId="77777777" w:rsidR="00EC7356" w:rsidRPr="00F15EE6" w:rsidRDefault="00EC7356" w:rsidP="00363ED2">
            <w:pPr>
              <w:spacing w:before="240"/>
            </w:pPr>
            <w:r w:rsidRPr="00F15EE6">
              <w:t xml:space="preserve">A time series of preceding months’ indicator values shows rate of change. </w:t>
            </w:r>
          </w:p>
          <w:p w14:paraId="3C46D22D" w14:textId="77777777" w:rsidR="00EC7356" w:rsidRPr="00F15EE6" w:rsidRDefault="00EC7356" w:rsidP="00363ED2">
            <w:pPr>
              <w:spacing w:before="240"/>
            </w:pPr>
            <w:r w:rsidRPr="00F15EE6">
              <w:t>Figures for patient and practice coverage are also given as explained in section 3.4</w:t>
            </w:r>
          </w:p>
        </w:tc>
      </w:tr>
      <w:tr w:rsidR="00F15EE6" w:rsidRPr="00F15EE6" w14:paraId="64D4945B" w14:textId="77777777" w:rsidTr="00EC7356">
        <w:tc>
          <w:tcPr>
            <w:tcW w:w="2077" w:type="dxa"/>
          </w:tcPr>
          <w:p w14:paraId="7DF6F8B4" w14:textId="4E4DB1A3" w:rsidR="00EC7356" w:rsidRPr="00F15EE6" w:rsidRDefault="00EC7356" w:rsidP="00772A5C">
            <w:pPr>
              <w:spacing w:before="240"/>
              <w:ind w:left="34"/>
              <w:rPr>
                <w:b/>
                <w:sz w:val="22"/>
                <w:szCs w:val="22"/>
              </w:rPr>
            </w:pPr>
            <w:permStart w:id="536815415" w:edGrp="everyone" w:colFirst="1" w:colLast="1"/>
            <w:permEnd w:id="352286868"/>
            <w:r w:rsidRPr="00F15EE6">
              <w:rPr>
                <w:b/>
                <w:sz w:val="22"/>
                <w:szCs w:val="22"/>
              </w:rPr>
              <w:t>5.3 Calculation and data source of contextual information</w:t>
            </w:r>
          </w:p>
        </w:tc>
        <w:tc>
          <w:tcPr>
            <w:tcW w:w="6059" w:type="dxa"/>
          </w:tcPr>
          <w:p w14:paraId="06B00AEE" w14:textId="77777777" w:rsidR="00EC7356" w:rsidRPr="00F15EE6" w:rsidRDefault="00EC7356" w:rsidP="003F0B61">
            <w:pPr>
              <w:spacing w:before="240"/>
            </w:pPr>
            <w:r w:rsidRPr="00F15EE6">
              <w:t>Coverage is calculated from the TRUD data on open and active GP practices, the Exeter registered patient list sizes, and the data contained in the GPES extract used in the indicator as follows:</w:t>
            </w:r>
          </w:p>
          <w:p w14:paraId="2A9FF18D" w14:textId="77777777" w:rsidR="00EC7356" w:rsidRPr="00F15EE6" w:rsidRDefault="00EC7356" w:rsidP="003F0B61">
            <w:pPr>
              <w:spacing w:before="240"/>
            </w:pPr>
            <w:r w:rsidRPr="00F15EE6">
              <w:t>Extracted practices / active practices</w:t>
            </w:r>
          </w:p>
          <w:p w14:paraId="550284B0" w14:textId="77777777" w:rsidR="00EC7356" w:rsidRPr="00F15EE6" w:rsidRDefault="00EC7356" w:rsidP="003F0B61">
            <w:pPr>
              <w:spacing w:before="240"/>
            </w:pPr>
            <w:r w:rsidRPr="00F15EE6">
              <w:t>Patients registered to extracted practices / patients registered to active practices</w:t>
            </w:r>
          </w:p>
          <w:p w14:paraId="5CA9454D" w14:textId="77777777" w:rsidR="00EC7356" w:rsidRPr="00F15EE6" w:rsidRDefault="00EC7356" w:rsidP="003F0B61">
            <w:pPr>
              <w:spacing w:before="240"/>
            </w:pPr>
            <w:r w:rsidRPr="00F15EE6">
              <w:t>Estimated dementia cases in extracted practices / estimated dementia cases in active practices</w:t>
            </w:r>
          </w:p>
        </w:tc>
      </w:tr>
      <w:tr w:rsidR="00F15EE6" w:rsidRPr="00F15EE6" w14:paraId="0163C10E" w14:textId="77777777" w:rsidTr="00EC7356">
        <w:tc>
          <w:tcPr>
            <w:tcW w:w="2077" w:type="dxa"/>
          </w:tcPr>
          <w:p w14:paraId="6BDDF827" w14:textId="4623AB73" w:rsidR="00EC7356" w:rsidRPr="00F15EE6" w:rsidRDefault="00EC7356" w:rsidP="00772A5C">
            <w:pPr>
              <w:spacing w:before="240"/>
              <w:ind w:left="34"/>
              <w:rPr>
                <w:b/>
                <w:sz w:val="22"/>
                <w:szCs w:val="22"/>
              </w:rPr>
            </w:pPr>
            <w:permStart w:id="152976764" w:edGrp="everyone" w:colFirst="1" w:colLast="1"/>
            <w:permEnd w:id="536815415"/>
            <w:r w:rsidRPr="00F15EE6">
              <w:rPr>
                <w:b/>
                <w:sz w:val="22"/>
                <w:szCs w:val="22"/>
              </w:rPr>
              <w:t>5.4 Use of bandings, benchmarks or targets</w:t>
            </w:r>
          </w:p>
          <w:p w14:paraId="3D85E907" w14:textId="77777777" w:rsidR="00EC7356" w:rsidRPr="00F15EE6" w:rsidRDefault="00EC7356" w:rsidP="00E60E30">
            <w:pPr>
              <w:ind w:left="34"/>
              <w:rPr>
                <w:sz w:val="22"/>
                <w:szCs w:val="22"/>
              </w:rPr>
            </w:pPr>
            <w:r w:rsidRPr="00F15EE6">
              <w:rPr>
                <w:sz w:val="22"/>
                <w:szCs w:val="22"/>
              </w:rPr>
              <w:t>with justification</w:t>
            </w:r>
          </w:p>
        </w:tc>
        <w:tc>
          <w:tcPr>
            <w:tcW w:w="6059" w:type="dxa"/>
          </w:tcPr>
          <w:p w14:paraId="55498AEE" w14:textId="77777777" w:rsidR="00EC7356" w:rsidRPr="00F15EE6" w:rsidRDefault="00EC7356" w:rsidP="002436E1">
            <w:pPr>
              <w:spacing w:before="240"/>
            </w:pPr>
            <w:r w:rsidRPr="00F15EE6">
              <w:t>Indicator values with robust 95% confidence intervals allow comparison with the benchmark set by NHS England of 66.7%</w:t>
            </w:r>
          </w:p>
        </w:tc>
      </w:tr>
      <w:tr w:rsidR="00F15EE6" w:rsidRPr="00F15EE6" w14:paraId="278BCBE0" w14:textId="77777777" w:rsidTr="00EC7356">
        <w:tc>
          <w:tcPr>
            <w:tcW w:w="2077" w:type="dxa"/>
          </w:tcPr>
          <w:p w14:paraId="5B7DA34C" w14:textId="0F74821A" w:rsidR="00EC7356" w:rsidRPr="00F15EE6" w:rsidRDefault="00EC7356" w:rsidP="008022CE">
            <w:pPr>
              <w:spacing w:before="240"/>
              <w:ind w:left="34"/>
              <w:rPr>
                <w:b/>
                <w:sz w:val="22"/>
                <w:szCs w:val="22"/>
              </w:rPr>
            </w:pPr>
            <w:permStart w:id="1045718267" w:edGrp="everyone" w:colFirst="1" w:colLast="1"/>
            <w:permEnd w:id="152976764"/>
            <w:r w:rsidRPr="00F15EE6">
              <w:rPr>
                <w:b/>
                <w:sz w:val="22"/>
                <w:szCs w:val="22"/>
              </w:rPr>
              <w:t>5.5 Banding, benchmark or target methodology</w:t>
            </w:r>
          </w:p>
          <w:p w14:paraId="7DEE8707" w14:textId="77777777" w:rsidR="00EC7356" w:rsidRPr="00F15EE6" w:rsidRDefault="00EC7356" w:rsidP="008022CE">
            <w:pPr>
              <w:spacing w:before="240"/>
              <w:ind w:left="34"/>
              <w:rPr>
                <w:sz w:val="22"/>
                <w:szCs w:val="22"/>
              </w:rPr>
            </w:pPr>
            <w:r w:rsidRPr="00F15EE6">
              <w:rPr>
                <w:sz w:val="22"/>
                <w:szCs w:val="22"/>
              </w:rPr>
              <w:t>if appropriate</w:t>
            </w:r>
          </w:p>
        </w:tc>
        <w:tc>
          <w:tcPr>
            <w:tcW w:w="6059" w:type="dxa"/>
          </w:tcPr>
          <w:p w14:paraId="42BF1160" w14:textId="77777777" w:rsidR="00EC7356" w:rsidRPr="00F15EE6" w:rsidRDefault="00EC7356" w:rsidP="006E73F6">
            <w:pPr>
              <w:spacing w:before="240"/>
            </w:pPr>
            <w:r w:rsidRPr="00F15EE6">
              <w:t>Significance is determined using confidence intervals</w:t>
            </w:r>
          </w:p>
          <w:p w14:paraId="370A7734" w14:textId="4B24AD09" w:rsidR="00EC7356" w:rsidRPr="00F15EE6" w:rsidRDefault="00EC7356" w:rsidP="006B2187">
            <w:pPr>
              <w:spacing w:before="240"/>
            </w:pPr>
            <w:r w:rsidRPr="00F15EE6">
              <w:t>As this indicator is indirectly standardised, comparisons between values for different areas/organisations cannot be made.  Data will be presented in the context of other organisations but won’t be presented as significantly ‘better’ or ‘worse’ than each other.</w:t>
            </w:r>
          </w:p>
        </w:tc>
      </w:tr>
    </w:tbl>
    <w:permEnd w:id="1045718267"/>
    <w:p w14:paraId="10F30A01" w14:textId="1CE8D495" w:rsidR="004A3F74" w:rsidRPr="00F15EE6" w:rsidRDefault="00EC7356">
      <w:r w:rsidRPr="00F15EE6">
        <w:t>Interpretation</w:t>
      </w:r>
    </w:p>
    <w:tbl>
      <w:tblPr>
        <w:tblStyle w:val="TableGrid1"/>
        <w:tblW w:w="8930" w:type="dxa"/>
        <w:tblLayout w:type="fixed"/>
        <w:tblLook w:val="04A0" w:firstRow="1" w:lastRow="0" w:firstColumn="1" w:lastColumn="0" w:noHBand="0" w:noVBand="1"/>
      </w:tblPr>
      <w:tblGrid>
        <w:gridCol w:w="2268"/>
        <w:gridCol w:w="6662"/>
      </w:tblGrid>
      <w:tr w:rsidR="00F15EE6" w:rsidRPr="00F15EE6" w14:paraId="4A416CE8" w14:textId="77777777" w:rsidTr="00EC7356">
        <w:tc>
          <w:tcPr>
            <w:tcW w:w="2268" w:type="dxa"/>
          </w:tcPr>
          <w:p w14:paraId="30EB4295" w14:textId="69719685" w:rsidR="00EC7356" w:rsidRPr="00F15EE6" w:rsidRDefault="00EC7356" w:rsidP="008D7104">
            <w:pPr>
              <w:spacing w:before="240"/>
              <w:ind w:left="34"/>
              <w:rPr>
                <w:b/>
                <w:sz w:val="22"/>
                <w:szCs w:val="22"/>
              </w:rPr>
            </w:pPr>
            <w:permStart w:id="1865180296" w:edGrp="everyone" w:colFirst="1" w:colLast="1"/>
            <w:permStart w:id="259029991" w:edGrp="everyone" w:colFirst="2" w:colLast="2"/>
            <w:r w:rsidRPr="00F15EE6">
              <w:rPr>
                <w:b/>
                <w:sz w:val="22"/>
                <w:szCs w:val="22"/>
              </w:rPr>
              <w:t>5.6 Interpretation guidelines</w:t>
            </w:r>
          </w:p>
        </w:tc>
        <w:tc>
          <w:tcPr>
            <w:tcW w:w="6662" w:type="dxa"/>
          </w:tcPr>
          <w:p w14:paraId="4C6626EB" w14:textId="77777777" w:rsidR="00EC7356" w:rsidRPr="00F15EE6" w:rsidRDefault="00EC7356" w:rsidP="00B2202D">
            <w:pPr>
              <w:shd w:val="clear" w:color="auto" w:fill="FFFFFF"/>
              <w:rPr>
                <w:rFonts w:eastAsia="Times New Roman"/>
                <w:strike/>
              </w:rPr>
            </w:pPr>
            <w:r w:rsidRPr="00F15EE6">
              <w:rPr>
                <w:rFonts w:eastAsia="Times New Roman"/>
              </w:rPr>
              <w:t>The indicator gives the ratio of the actual to estimated number of dementia diagnoses, expressed as a percentage.</w:t>
            </w:r>
          </w:p>
          <w:p w14:paraId="05EFE894" w14:textId="77777777" w:rsidR="00EC7356" w:rsidRPr="00F15EE6" w:rsidRDefault="00EC7356" w:rsidP="00B2202D">
            <w:pPr>
              <w:shd w:val="clear" w:color="auto" w:fill="FFFFFF"/>
              <w:rPr>
                <w:rFonts w:eastAsia="Times New Roman"/>
              </w:rPr>
            </w:pPr>
            <w:r w:rsidRPr="00F15EE6">
              <w:rPr>
                <w:rFonts w:eastAsia="Times New Roman"/>
              </w:rPr>
              <w:t>Values close to 100 per cent are desirable as they indicate that the observed value is close to the estimated value, indicating by proxy that most people who have dementia have also received a diagnosis.</w:t>
            </w:r>
          </w:p>
          <w:p w14:paraId="5FBA3C1F" w14:textId="77777777" w:rsidR="00EC7356" w:rsidRPr="00F15EE6" w:rsidRDefault="00EC7356" w:rsidP="00B2202D">
            <w:pPr>
              <w:shd w:val="clear" w:color="auto" w:fill="FFFFFF"/>
              <w:rPr>
                <w:rFonts w:eastAsia="Times New Roman"/>
              </w:rPr>
            </w:pPr>
            <w:r w:rsidRPr="00F15EE6">
              <w:rPr>
                <w:rFonts w:eastAsia="Times New Roman"/>
              </w:rPr>
              <w:t>Indicator values significantly lower than 100 per cent indicate the possible under-diagnosis of dementia whilst values over 100 per cent indicate possible over-diagnosis.</w:t>
            </w:r>
          </w:p>
          <w:p w14:paraId="06A1609C" w14:textId="77777777" w:rsidR="00EC7356" w:rsidRPr="00F15EE6" w:rsidRDefault="00EC7356" w:rsidP="00B2202D">
            <w:pPr>
              <w:shd w:val="clear" w:color="auto" w:fill="FFFFFF"/>
              <w:rPr>
                <w:rFonts w:eastAsia="Times New Roman"/>
              </w:rPr>
            </w:pPr>
            <w:r w:rsidRPr="00F15EE6">
              <w:rPr>
                <w:rFonts w:eastAsia="Times New Roman"/>
              </w:rPr>
              <w:t>Significance is defined with reference to confidence intervals as follows:</w:t>
            </w:r>
          </w:p>
          <w:p w14:paraId="66BA1EDF" w14:textId="590F08F6" w:rsidR="00EC7356" w:rsidRPr="00F15EE6" w:rsidRDefault="00EC7356" w:rsidP="00E317F2">
            <w:pPr>
              <w:spacing w:after="0"/>
              <w:textboxTightWrap w:val="none"/>
              <w:rPr>
                <w:sz w:val="22"/>
                <w:szCs w:val="22"/>
                <w:lang w:eastAsia="en-GB"/>
              </w:rPr>
            </w:pPr>
            <w:r w:rsidRPr="00F15EE6">
              <w:rPr>
                <w:sz w:val="22"/>
                <w:szCs w:val="22"/>
                <w:lang w:eastAsia="en-GB"/>
              </w:rPr>
              <w:t>If the confidence interval for an organisation’s rate does not overlap the benchmark, the difference between the two rates is considered to be statistically significant. If the confidence interval for an organisation’s rate does overlap the benchmark, the significance of the difference between the rates is not determined. However, organisation’s’ rates cannot be compared with one another as indirect standardisation does not necessarily preserve the consistency of the populations under comparison.</w:t>
            </w:r>
          </w:p>
          <w:p w14:paraId="7803F0FF" w14:textId="3DAFF075" w:rsidR="00EC7356" w:rsidRPr="00F15EE6" w:rsidRDefault="00EC7356" w:rsidP="00733AA1">
            <w:pPr>
              <w:shd w:val="clear" w:color="auto" w:fill="FFFFFF"/>
              <w:rPr>
                <w:rFonts w:eastAsia="Times New Roman"/>
              </w:rPr>
            </w:pPr>
          </w:p>
        </w:tc>
      </w:tr>
      <w:tr w:rsidR="00F15EE6" w:rsidRPr="00F15EE6" w14:paraId="4F158F43" w14:textId="77777777" w:rsidTr="00EC7356">
        <w:tc>
          <w:tcPr>
            <w:tcW w:w="2268" w:type="dxa"/>
          </w:tcPr>
          <w:p w14:paraId="3DCB87D4" w14:textId="10AC6C4D" w:rsidR="00EC7356" w:rsidRPr="00F15EE6" w:rsidRDefault="00EC7356" w:rsidP="008D7104">
            <w:pPr>
              <w:spacing w:before="240"/>
              <w:ind w:left="34"/>
              <w:rPr>
                <w:b/>
                <w:sz w:val="22"/>
                <w:szCs w:val="22"/>
              </w:rPr>
            </w:pPr>
            <w:permStart w:id="946162440" w:edGrp="everyone" w:colFirst="1" w:colLast="1"/>
            <w:permEnd w:id="1865180296"/>
            <w:r w:rsidRPr="00F15EE6">
              <w:rPr>
                <w:b/>
                <w:sz w:val="22"/>
                <w:szCs w:val="22"/>
              </w:rPr>
              <w:t>5.7 Limitations and potential bias</w:t>
            </w:r>
          </w:p>
        </w:tc>
        <w:tc>
          <w:tcPr>
            <w:tcW w:w="6662" w:type="dxa"/>
          </w:tcPr>
          <w:p w14:paraId="44269639" w14:textId="7A8F54EF" w:rsidR="00EC7356" w:rsidRPr="00F15EE6" w:rsidRDefault="00EC7356" w:rsidP="00786446">
            <w:pPr>
              <w:spacing w:before="240"/>
            </w:pPr>
            <w:r w:rsidRPr="00F15EE6">
              <w:t xml:space="preserve">The indicator is intended to identify areas with a diagnosis rate falling outside of a given range warranting closer investigation. There are many factors that affect the true prevalence and the recorded prevalence of dementia which cannot be factored into the calculation, meaning areas fall into a spectrum of greater or lesser </w:t>
            </w:r>
            <w:proofErr w:type="spellStart"/>
            <w:r w:rsidRPr="00F15EE6">
              <w:t>compatability</w:t>
            </w:r>
            <w:proofErr w:type="spellEnd"/>
            <w:r w:rsidRPr="00F15EE6">
              <w:t xml:space="preserve"> with the CFAS II study findings, themselves based on a limited sample from three areas scaled up to England level. This may be the cause of the sharp increase and decrease at either end of the rate distribution shown in section 5.9. It is important to interpret the indicator  accordingly, and also note that the 66.7% benchmark is a national target, which is also  monitored at lower </w:t>
            </w:r>
            <w:proofErr w:type="spellStart"/>
            <w:r w:rsidRPr="00F15EE6">
              <w:t>levels.The</w:t>
            </w:r>
            <w:proofErr w:type="spellEnd"/>
            <w:r w:rsidRPr="00F15EE6">
              <w:t xml:space="preserve"> indicator can only report on people aged 65 and over because reference rates are only available for these ages in the CFAS II reference population. CFAS II reference rates are given with confidence intervals expressing the levels of uncertainty involved.</w:t>
            </w:r>
          </w:p>
          <w:p w14:paraId="175DEA1E" w14:textId="77777777" w:rsidR="00EC7356" w:rsidRPr="00F15EE6" w:rsidRDefault="00EC7356" w:rsidP="00786446">
            <w:pPr>
              <w:spacing w:before="240"/>
            </w:pPr>
            <w:r w:rsidRPr="00F15EE6">
              <w:t>GPES extracts data for practices that were open on the relevant date, that being the last day of the month being reported upon. The GPES extract is not instantaneous; it runs over a number of days known as the “extract window”. Depending on the length of this window, GPES may not manage to collect data for all potential practices. There is, therefore, limited potential for the misreporting of dementia diagnoses. However, the extent of any such problem will be indirectly quantified by the inclusion of the coverage figures (see section 3.4)</w:t>
            </w:r>
          </w:p>
          <w:p w14:paraId="08EB3979" w14:textId="77777777" w:rsidR="00EC7356" w:rsidRPr="00F15EE6" w:rsidRDefault="00EC7356" w:rsidP="00786446">
            <w:pPr>
              <w:spacing w:before="240"/>
            </w:pPr>
            <w:r w:rsidRPr="00F15EE6">
              <w:t>The extract only includes practices that are defined as a ‘GP Practice’ in the organisational reference data (TRUD). Practices defined as walk-in centres, out of hours clinics, or prison prescribing cost centres are excluded. As are ‘shared’ and ‘dormant’ GP practices.</w:t>
            </w:r>
          </w:p>
          <w:p w14:paraId="43088FC1" w14:textId="77777777" w:rsidR="00EC7356" w:rsidRPr="00F15EE6" w:rsidRDefault="00EC7356" w:rsidP="00786446">
            <w:pPr>
              <w:spacing w:before="240"/>
            </w:pPr>
            <w:r w:rsidRPr="00F15EE6">
              <w:t xml:space="preserve">Data are only extracted where the diagnosis of dementia is ‘coded’, i.e. a Read/CVT3 code is on the patient record. Some patients may be considered by their GP as having </w:t>
            </w:r>
            <w:proofErr w:type="gramStart"/>
            <w:r w:rsidRPr="00F15EE6">
              <w:t>dementia</w:t>
            </w:r>
            <w:proofErr w:type="gramEnd"/>
            <w:r w:rsidRPr="00F15EE6">
              <w:t xml:space="preserve"> but it could be recorded in free text or could be a scanned letter from an outpatient clinic, for example. This is however one reason why the indicator is needed – not all diagnoses of dementia are formally recorded.</w:t>
            </w:r>
          </w:p>
          <w:p w14:paraId="3A7FACD1" w14:textId="77777777" w:rsidR="00EC7356" w:rsidRPr="00F15EE6" w:rsidRDefault="00EC7356" w:rsidP="009E543C">
            <w:pPr>
              <w:spacing w:after="120"/>
              <w:jc w:val="both"/>
            </w:pPr>
            <w:r w:rsidRPr="00F15EE6">
              <w:t>The data for the denominator which is from CFAS II is research based on just 3 areas (each with two sites) in England (Cambridge, Newcastle and Nottingham). However, once adjusted for age, sex education and social class, CFAS finds no heterogeneity between the six sites, implying that although the results can be scaled up to larger populations, there is no implication that the results can be scaled down to smaller areas. In fact, the significant associations listed above would imply this should not be done. The original cohort consisted of 7,796 people. The smallest organisation in the indicator is larger than this.</w:t>
            </w:r>
          </w:p>
        </w:tc>
      </w:tr>
      <w:tr w:rsidR="00F15EE6" w:rsidRPr="00F15EE6" w14:paraId="2A8F080E" w14:textId="77777777" w:rsidTr="00EC7356">
        <w:tc>
          <w:tcPr>
            <w:tcW w:w="2268" w:type="dxa"/>
          </w:tcPr>
          <w:p w14:paraId="0DFBB785" w14:textId="6F212B9E" w:rsidR="00EC7356" w:rsidRPr="00F15EE6" w:rsidRDefault="00EC7356" w:rsidP="008D7104">
            <w:pPr>
              <w:spacing w:before="240"/>
              <w:ind w:left="34"/>
              <w:rPr>
                <w:b/>
                <w:sz w:val="22"/>
                <w:szCs w:val="22"/>
              </w:rPr>
            </w:pPr>
            <w:permStart w:id="50671311" w:edGrp="everyone" w:colFirst="1" w:colLast="1"/>
            <w:permEnd w:id="946162440"/>
            <w:r w:rsidRPr="00F15EE6">
              <w:rPr>
                <w:b/>
                <w:sz w:val="22"/>
                <w:szCs w:val="22"/>
              </w:rPr>
              <w:t>5.8 Improvement actions</w:t>
            </w:r>
          </w:p>
        </w:tc>
        <w:tc>
          <w:tcPr>
            <w:tcW w:w="6662" w:type="dxa"/>
          </w:tcPr>
          <w:p w14:paraId="0CBC3021" w14:textId="77777777" w:rsidR="00EC7356" w:rsidRPr="00F15EE6" w:rsidRDefault="00EC7356" w:rsidP="009E543C">
            <w:pPr>
              <w:spacing w:before="240"/>
            </w:pPr>
            <w:r w:rsidRPr="00F15EE6">
              <w:t xml:space="preserve">Practices can increase their diagnosis rate by converting existing informal diagnoses into clinically coded recorded diagnoses, and by identifying patients at risk of dementia with the dementia toolkit: </w:t>
            </w:r>
            <w:hyperlink r:id="rId20" w:history="1">
              <w:r w:rsidRPr="00F15EE6">
                <w:rPr>
                  <w:rStyle w:val="Hyperlink"/>
                  <w:rFonts w:ascii="Arial" w:hAnsi="Arial"/>
                  <w:color w:val="auto"/>
                </w:rPr>
                <w:t>https://toolkit.modem-dementia.org.uk/</w:t>
              </w:r>
            </w:hyperlink>
          </w:p>
        </w:tc>
      </w:tr>
      <w:permEnd w:id="50671311"/>
      <w:tr w:rsidR="00F15EE6" w:rsidRPr="00F15EE6" w14:paraId="05F76FEC" w14:textId="77777777" w:rsidTr="00EC7356">
        <w:tc>
          <w:tcPr>
            <w:tcW w:w="2268" w:type="dxa"/>
          </w:tcPr>
          <w:p w14:paraId="1E9237E2" w14:textId="3D5F2D33" w:rsidR="00EC7356" w:rsidRPr="00F15EE6" w:rsidRDefault="00EC7356" w:rsidP="00772A5C">
            <w:pPr>
              <w:spacing w:before="240"/>
              <w:ind w:left="34"/>
              <w:rPr>
                <w:b/>
                <w:sz w:val="22"/>
                <w:szCs w:val="22"/>
              </w:rPr>
            </w:pPr>
            <w:r w:rsidRPr="00F15EE6">
              <w:rPr>
                <w:b/>
                <w:sz w:val="22"/>
                <w:szCs w:val="22"/>
              </w:rPr>
              <w:t>5.9 Evidence of variability</w:t>
            </w:r>
          </w:p>
        </w:tc>
        <w:tc>
          <w:tcPr>
            <w:tcW w:w="6662" w:type="dxa"/>
          </w:tcPr>
          <w:p w14:paraId="6A768AA0" w14:textId="77777777" w:rsidR="00EC7356" w:rsidRPr="00F15EE6" w:rsidRDefault="00EC7356" w:rsidP="00B7302E">
            <w:pPr>
              <w:spacing w:before="240"/>
            </w:pPr>
            <w:r w:rsidRPr="00F15EE6">
              <w:t>The indicator values for December 2016 shows 47 CCGs significantly higher than the target rate of 66.7% and 21 significantly lower:</w:t>
            </w:r>
          </w:p>
          <w:p w14:paraId="60B11ECC" w14:textId="77777777" w:rsidR="00EC7356" w:rsidRPr="00F15EE6" w:rsidRDefault="00EC7356" w:rsidP="00B7302E">
            <w:pPr>
              <w:spacing w:before="240"/>
            </w:pPr>
            <w:r w:rsidRPr="00F15EE6">
              <w:rPr>
                <w:noProof/>
                <w:lang w:eastAsia="en-GB"/>
              </w:rPr>
              <w:drawing>
                <wp:inline distT="0" distB="0" distL="0" distR="0" wp14:anchorId="42395538" wp14:editId="7ABA60BA">
                  <wp:extent cx="4086225" cy="3028950"/>
                  <wp:effectExtent l="0" t="0" r="0" b="0"/>
                  <wp:docPr id="9" name="Picture 9" descr="Graph showing variability of diagnosis rate for CC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86225" cy="3028950"/>
                          </a:xfrm>
                          <a:prstGeom prst="rect">
                            <a:avLst/>
                          </a:prstGeom>
                          <a:noFill/>
                          <a:ln>
                            <a:noFill/>
                          </a:ln>
                        </pic:spPr>
                      </pic:pic>
                    </a:graphicData>
                  </a:graphic>
                </wp:inline>
              </w:drawing>
            </w:r>
          </w:p>
        </w:tc>
      </w:tr>
    </w:tbl>
    <w:permEnd w:id="259029991"/>
    <w:p w14:paraId="6375D368" w14:textId="2CCC4160" w:rsidR="004A3F74" w:rsidRPr="00F15EE6" w:rsidRDefault="004A3F74">
      <w:r w:rsidRPr="00F15EE6">
        <w:t>Section 6. Risks</w:t>
      </w:r>
    </w:p>
    <w:tbl>
      <w:tblPr>
        <w:tblStyle w:val="TableGrid1"/>
        <w:tblW w:w="8930" w:type="dxa"/>
        <w:tblLayout w:type="fixed"/>
        <w:tblLook w:val="04A0" w:firstRow="1" w:lastRow="0" w:firstColumn="1" w:lastColumn="0" w:noHBand="0" w:noVBand="1"/>
      </w:tblPr>
      <w:tblGrid>
        <w:gridCol w:w="2268"/>
        <w:gridCol w:w="6662"/>
      </w:tblGrid>
      <w:tr w:rsidR="00F15EE6" w:rsidRPr="00F15EE6" w14:paraId="4F1E039A" w14:textId="77777777" w:rsidTr="00EC7356">
        <w:tc>
          <w:tcPr>
            <w:tcW w:w="2268" w:type="dxa"/>
          </w:tcPr>
          <w:p w14:paraId="5C678A25" w14:textId="1C896AF7" w:rsidR="00EC7356" w:rsidRPr="00F15EE6" w:rsidRDefault="00EC7356" w:rsidP="000277F8">
            <w:pPr>
              <w:spacing w:before="240"/>
              <w:ind w:left="34"/>
              <w:rPr>
                <w:b/>
                <w:sz w:val="22"/>
                <w:szCs w:val="22"/>
              </w:rPr>
            </w:pPr>
            <w:permStart w:id="1621850239" w:edGrp="everyone" w:colFirst="1" w:colLast="1"/>
            <w:r w:rsidRPr="00F15EE6">
              <w:rPr>
                <w:b/>
                <w:sz w:val="22"/>
                <w:szCs w:val="22"/>
              </w:rPr>
              <w:t>6.1 Similar existing indicators</w:t>
            </w:r>
          </w:p>
        </w:tc>
        <w:tc>
          <w:tcPr>
            <w:tcW w:w="6662" w:type="dxa"/>
          </w:tcPr>
          <w:p w14:paraId="4C4EA44C" w14:textId="5903CFDD" w:rsidR="00EC7356" w:rsidRPr="00F15EE6" w:rsidRDefault="00EC7356" w:rsidP="009A685D">
            <w:pPr>
              <w:spacing w:before="240"/>
            </w:pPr>
            <w:r w:rsidRPr="00F15EE6">
              <w:t xml:space="preserve">E.A.S.1: Estimated diagnosis rate for people with dementia and the CCG IAF indicator are currently published using a different methodology, however these will be replaced by the new indicator. This is likely to report </w:t>
            </w:r>
            <w:proofErr w:type="gramStart"/>
            <w:r w:rsidRPr="00F15EE6">
              <w:t>changes  to</w:t>
            </w:r>
            <w:proofErr w:type="gramEnd"/>
            <w:r w:rsidRPr="00F15EE6">
              <w:t xml:space="preserve"> the diagnosis rates for two reasons:</w:t>
            </w:r>
          </w:p>
          <w:p w14:paraId="0357127F" w14:textId="61D47691" w:rsidR="00EC7356" w:rsidRPr="00F15EE6" w:rsidRDefault="00EC7356" w:rsidP="009A685D">
            <w:pPr>
              <w:spacing w:before="240"/>
            </w:pPr>
            <w:r w:rsidRPr="00F15EE6">
              <w:t xml:space="preserve">1. Not everyone registered to a GP lives near to it, and not everyone living near a GP is </w:t>
            </w:r>
            <w:proofErr w:type="spellStart"/>
            <w:r w:rsidRPr="00F15EE6">
              <w:t>registerd</w:t>
            </w:r>
            <w:proofErr w:type="spellEnd"/>
            <w:r w:rsidRPr="00F15EE6">
              <w:t xml:space="preserve"> to it. The change will therefore have different effects on areas with different registration characteristics, for example university towns or areas with high emigration rates. This effect is nevertheless reduced by the focus on ages 65+ and serves to ensure the numerator and denominator are taken from the same population.</w:t>
            </w:r>
          </w:p>
          <w:p w14:paraId="0B2B9DC3" w14:textId="73DDCB5A" w:rsidR="00EC7356" w:rsidRPr="00F15EE6" w:rsidRDefault="00EC7356" w:rsidP="009A685D">
            <w:pPr>
              <w:spacing w:before="240"/>
            </w:pPr>
            <w:r w:rsidRPr="00F15EE6">
              <w:t xml:space="preserve">2. Expected numbers of people with dementia will not </w:t>
            </w:r>
            <w:proofErr w:type="gramStart"/>
            <w:r w:rsidRPr="00F15EE6">
              <w:t>take into account</w:t>
            </w:r>
            <w:proofErr w:type="gramEnd"/>
            <w:r w:rsidRPr="00F15EE6">
              <w:t xml:space="preserve"> people registered to practices for which no diagnostic data are received. This will mitigate the deflation of diagnosis rates caused by dividing an incomplete numerator by a complete residence-based denominator.</w:t>
            </w:r>
          </w:p>
          <w:p w14:paraId="23500008" w14:textId="77777777" w:rsidR="00EC7356" w:rsidRPr="00F15EE6" w:rsidRDefault="00EC7356" w:rsidP="009A685D">
            <w:pPr>
              <w:spacing w:before="240"/>
            </w:pPr>
            <w:r w:rsidRPr="00F15EE6">
              <w:t xml:space="preserve">NHS Outcomes Framework 2.6.i Estimated diagnosis rate for people with dementia also used a different methodology, </w:t>
            </w:r>
            <w:proofErr w:type="gramStart"/>
            <w:r w:rsidRPr="00F15EE6">
              <w:t>however</w:t>
            </w:r>
            <w:proofErr w:type="gramEnd"/>
            <w:r w:rsidRPr="00F15EE6">
              <w:t xml:space="preserve"> is not currently being updated. The methodology will be reviewed pending the outcome of assurance.</w:t>
            </w:r>
          </w:p>
        </w:tc>
      </w:tr>
      <w:tr w:rsidR="00F15EE6" w:rsidRPr="00F15EE6" w14:paraId="7B74E40D" w14:textId="77777777" w:rsidTr="00EC7356">
        <w:tc>
          <w:tcPr>
            <w:tcW w:w="2268" w:type="dxa"/>
          </w:tcPr>
          <w:p w14:paraId="53C81B2D" w14:textId="384DCB71" w:rsidR="00EC7356" w:rsidRPr="00F15EE6" w:rsidRDefault="00EC7356" w:rsidP="00772A5C">
            <w:pPr>
              <w:spacing w:before="240"/>
              <w:ind w:left="34"/>
              <w:rPr>
                <w:b/>
                <w:sz w:val="22"/>
                <w:szCs w:val="22"/>
              </w:rPr>
            </w:pPr>
            <w:permStart w:id="1878216681" w:edGrp="everyone" w:colFirst="1" w:colLast="1"/>
            <w:permEnd w:id="1621850239"/>
            <w:r w:rsidRPr="00F15EE6">
              <w:rPr>
                <w:b/>
                <w:sz w:val="22"/>
                <w:szCs w:val="22"/>
              </w:rPr>
              <w:t>6.2 Coherence and comparability</w:t>
            </w:r>
          </w:p>
        </w:tc>
        <w:tc>
          <w:tcPr>
            <w:tcW w:w="6662" w:type="dxa"/>
          </w:tcPr>
          <w:p w14:paraId="3EC77A98" w14:textId="77777777" w:rsidR="00EC7356" w:rsidRPr="00F15EE6" w:rsidRDefault="00EC7356" w:rsidP="00123D38">
            <w:pPr>
              <w:spacing w:before="240"/>
            </w:pPr>
            <w:r w:rsidRPr="00F15EE6">
              <w:t>NHS Outcomes Framework 2.6.i Estimated diagnosis rate for people with dementia used annual QOF data as the numerator (total number of people diagnosed with dementia according to GP records) and the Dementia UK 2007 report estimated diagnosis (total number of people estimated to have dementia) as the denominator.</w:t>
            </w:r>
          </w:p>
          <w:p w14:paraId="05B6EC9E" w14:textId="1ECF38AE" w:rsidR="00EC7356" w:rsidRPr="00F15EE6" w:rsidRDefault="00EC7356" w:rsidP="00115569">
            <w:pPr>
              <w:spacing w:before="240"/>
            </w:pPr>
            <w:r w:rsidRPr="00F15EE6">
              <w:t>CFAS II is the best available research to base the indicator on as has the most scientific, well documented and transparent methodology including well documented survey techniques, consideration of bias and use of confidence intervals to describe uncertainty in the data.</w:t>
            </w:r>
          </w:p>
          <w:p w14:paraId="55A0233E" w14:textId="77777777" w:rsidR="00EC7356" w:rsidRPr="00F15EE6" w:rsidRDefault="00EC7356" w:rsidP="00115569">
            <w:pPr>
              <w:spacing w:before="240"/>
            </w:pPr>
            <w:r w:rsidRPr="00F15EE6">
              <w:t>The use of CFAS II by NHS England and Public Health England also brings consistency and comparability of results and CFAS II support use of their prevalence data in local planning (as stated in their research).</w:t>
            </w:r>
          </w:p>
        </w:tc>
      </w:tr>
      <w:tr w:rsidR="00F15EE6" w:rsidRPr="00F15EE6" w14:paraId="1E8C3B5C" w14:textId="77777777" w:rsidTr="00EC7356">
        <w:tc>
          <w:tcPr>
            <w:tcW w:w="2268" w:type="dxa"/>
          </w:tcPr>
          <w:p w14:paraId="7DD36D5B" w14:textId="7C3319D6" w:rsidR="00EC7356" w:rsidRPr="00F15EE6" w:rsidRDefault="00EC7356" w:rsidP="00772A5C">
            <w:pPr>
              <w:spacing w:before="240"/>
              <w:ind w:left="34"/>
              <w:rPr>
                <w:b/>
                <w:sz w:val="22"/>
                <w:szCs w:val="22"/>
              </w:rPr>
            </w:pPr>
            <w:permStart w:id="971772029" w:edGrp="everyone" w:colFirst="1" w:colLast="1"/>
            <w:permEnd w:id="1878216681"/>
            <w:r w:rsidRPr="00F15EE6">
              <w:rPr>
                <w:b/>
                <w:sz w:val="22"/>
                <w:szCs w:val="22"/>
              </w:rPr>
              <w:t>6.3 Undesired behaviours and/or gaming</w:t>
            </w:r>
          </w:p>
        </w:tc>
        <w:tc>
          <w:tcPr>
            <w:tcW w:w="6662" w:type="dxa"/>
          </w:tcPr>
          <w:p w14:paraId="331743AE" w14:textId="108EDE31" w:rsidR="00EC7356" w:rsidRPr="00F15EE6" w:rsidRDefault="00EC7356" w:rsidP="0071594D">
            <w:pPr>
              <w:spacing w:before="240"/>
            </w:pPr>
            <w:r w:rsidRPr="00F15EE6">
              <w:t>Until recently, a financial incentive was paid to GPs for each new diagnosis of dementia. The cessation of these payments now makes gaming less likely; however it could be argued that over-diagnosis of marginal cases could occur in order for the expected prevalence rate to be met, especially if political pressure is put on GPs via NHS England; or vice versa to under-diagnose where a benchmarked rate is already attained. It is also possible that any over-diagnosis that occurred during the incentive period has a residual effect due to this indicator being based on recorded prevalence, not incidence, of dementia.</w:t>
            </w:r>
          </w:p>
        </w:tc>
      </w:tr>
      <w:tr w:rsidR="00F15EE6" w:rsidRPr="00F15EE6" w14:paraId="3F778182" w14:textId="77777777" w:rsidTr="00EC7356">
        <w:tc>
          <w:tcPr>
            <w:tcW w:w="2268" w:type="dxa"/>
          </w:tcPr>
          <w:p w14:paraId="6EFE98C3" w14:textId="37112DDE" w:rsidR="00EC7356" w:rsidRPr="00F15EE6" w:rsidRDefault="00EC7356" w:rsidP="00772A5C">
            <w:pPr>
              <w:spacing w:before="240"/>
              <w:ind w:left="34"/>
              <w:rPr>
                <w:b/>
                <w:sz w:val="22"/>
                <w:szCs w:val="22"/>
              </w:rPr>
            </w:pPr>
            <w:permStart w:id="839732863" w:edGrp="everyone" w:colFirst="1" w:colLast="1"/>
            <w:permEnd w:id="971772029"/>
            <w:r w:rsidRPr="00F15EE6">
              <w:rPr>
                <w:b/>
                <w:sz w:val="22"/>
                <w:szCs w:val="22"/>
              </w:rPr>
              <w:t>6.4 Approach to indicator review</w:t>
            </w:r>
          </w:p>
        </w:tc>
        <w:tc>
          <w:tcPr>
            <w:tcW w:w="6662" w:type="dxa"/>
          </w:tcPr>
          <w:p w14:paraId="38376055" w14:textId="77777777" w:rsidR="00EC7356" w:rsidRPr="00F15EE6" w:rsidRDefault="00EC7356" w:rsidP="00D732C0">
            <w:pPr>
              <w:spacing w:before="240"/>
            </w:pPr>
            <w:r w:rsidRPr="00F15EE6">
              <w:t>Indicator will be reviewed annually by NHS Digital coinciding with each potential recommissioning of the data collection underpinning to consider whether the methodology is still appropriate to any changes in policy.</w:t>
            </w:r>
          </w:p>
        </w:tc>
      </w:tr>
      <w:tr w:rsidR="00F15EE6" w:rsidRPr="00F15EE6" w14:paraId="2F19680E" w14:textId="77777777" w:rsidTr="00EC7356">
        <w:tc>
          <w:tcPr>
            <w:tcW w:w="2268" w:type="dxa"/>
          </w:tcPr>
          <w:p w14:paraId="102A2B9A" w14:textId="0EC49CA4" w:rsidR="00EC7356" w:rsidRPr="00F15EE6" w:rsidRDefault="00EC7356" w:rsidP="00772A5C">
            <w:pPr>
              <w:spacing w:before="240"/>
              <w:ind w:left="34"/>
              <w:rPr>
                <w:b/>
                <w:sz w:val="22"/>
                <w:szCs w:val="22"/>
              </w:rPr>
            </w:pPr>
            <w:permStart w:id="1121011924" w:edGrp="everyone" w:colFirst="1" w:colLast="1"/>
            <w:permEnd w:id="839732863"/>
            <w:r w:rsidRPr="00F15EE6">
              <w:rPr>
                <w:b/>
                <w:sz w:val="22"/>
                <w:szCs w:val="22"/>
              </w:rPr>
              <w:t>6.5 Disclosure control</w:t>
            </w:r>
          </w:p>
        </w:tc>
        <w:tc>
          <w:tcPr>
            <w:tcW w:w="6662" w:type="dxa"/>
          </w:tcPr>
          <w:p w14:paraId="3CD76A65" w14:textId="77777777" w:rsidR="00EC7356" w:rsidRPr="00F15EE6" w:rsidRDefault="00EC7356" w:rsidP="0074317C">
            <w:pPr>
              <w:spacing w:before="240"/>
            </w:pPr>
            <w:r w:rsidRPr="00F15EE6">
              <w:t>All raw data are publicly available at GP practice level, no further disclosure risk is added in the creation of the indicator.</w:t>
            </w:r>
          </w:p>
        </w:tc>
      </w:tr>
      <w:tr w:rsidR="00F15EE6" w:rsidRPr="00F15EE6" w14:paraId="4FC4DAD0" w14:textId="77777777" w:rsidTr="00EC7356">
        <w:tc>
          <w:tcPr>
            <w:tcW w:w="2268" w:type="dxa"/>
          </w:tcPr>
          <w:p w14:paraId="78373674" w14:textId="21FD9F81" w:rsidR="00EC7356" w:rsidRPr="00F15EE6" w:rsidRDefault="00EC7356" w:rsidP="00772A5C">
            <w:pPr>
              <w:spacing w:before="240"/>
              <w:ind w:left="34"/>
              <w:rPr>
                <w:b/>
                <w:sz w:val="22"/>
                <w:szCs w:val="22"/>
              </w:rPr>
            </w:pPr>
            <w:permStart w:id="792004982" w:edGrp="everyone" w:colFirst="1" w:colLast="1"/>
            <w:permEnd w:id="1121011924"/>
            <w:r w:rsidRPr="00F15EE6">
              <w:rPr>
                <w:b/>
                <w:sz w:val="22"/>
                <w:szCs w:val="22"/>
              </w:rPr>
              <w:t>6.6 Copyright</w:t>
            </w:r>
          </w:p>
        </w:tc>
        <w:tc>
          <w:tcPr>
            <w:tcW w:w="6662" w:type="dxa"/>
          </w:tcPr>
          <w:p w14:paraId="7930F780" w14:textId="77777777" w:rsidR="00EC7356" w:rsidRPr="00F15EE6" w:rsidRDefault="00EC7356" w:rsidP="0074317C">
            <w:pPr>
              <w:spacing w:before="240"/>
            </w:pPr>
            <w:r w:rsidRPr="00F15EE6">
              <w:t>Copyright ©2017 Health and Social Care Information Centre</w:t>
            </w:r>
          </w:p>
          <w:p w14:paraId="5FFA0B6E" w14:textId="77777777" w:rsidR="00EC7356" w:rsidRPr="00F15EE6" w:rsidRDefault="00EC7356" w:rsidP="0074317C">
            <w:pPr>
              <w:spacing w:before="240"/>
            </w:pPr>
            <w:r w:rsidRPr="00F15EE6">
              <w:t>The Health and Social Care Information Centre is a non-departmental body created by statute, also known as NHS Digital.</w:t>
            </w:r>
          </w:p>
          <w:p w14:paraId="4731B256" w14:textId="1C7D04B3" w:rsidR="00EC7356" w:rsidRPr="00F15EE6" w:rsidRDefault="00EC7356" w:rsidP="0074317C">
            <w:pPr>
              <w:spacing w:before="240"/>
            </w:pPr>
          </w:p>
          <w:p w14:paraId="6693D0F9" w14:textId="006A06C1" w:rsidR="00EC7356" w:rsidRPr="00F15EE6" w:rsidRDefault="00EC7356" w:rsidP="0074317C">
            <w:pPr>
              <w:spacing w:before="240"/>
            </w:pPr>
            <w:r w:rsidRPr="00F15EE6">
              <w:t>© 2013 MRC CFAS</w:t>
            </w:r>
          </w:p>
        </w:tc>
      </w:tr>
      <w:permEnd w:id="792004982"/>
    </w:tbl>
    <w:p w14:paraId="4E0B4F27" w14:textId="5949728C" w:rsidR="00D82B64" w:rsidRPr="00F15EE6" w:rsidRDefault="00D82B64" w:rsidP="001D243C">
      <w:pPr>
        <w:rPr>
          <w:rFonts w:cs="Arial"/>
        </w:rPr>
      </w:pPr>
    </w:p>
    <w:p w14:paraId="71BC4716" w14:textId="77777777" w:rsidR="00D82B64" w:rsidRPr="00F15EE6" w:rsidRDefault="00D82B64">
      <w:pPr>
        <w:spacing w:after="0"/>
        <w:textboxTightWrap w:val="none"/>
        <w:rPr>
          <w:rFonts w:cs="Arial"/>
        </w:rPr>
      </w:pPr>
      <w:r w:rsidRPr="00F15EE6">
        <w:rPr>
          <w:rFonts w:cs="Arial"/>
        </w:rPr>
        <w:br w:type="page"/>
      </w:r>
    </w:p>
    <w:sdt>
      <w:sdtPr>
        <w:rPr>
          <w:rFonts w:ascii="Arial" w:eastAsiaTheme="majorEastAsia" w:hAnsi="Arial" w:cs="Arial"/>
          <w:caps/>
          <w:sz w:val="24"/>
          <w:szCs w:val="24"/>
          <w:lang w:val="en-GB" w:eastAsia="en-US"/>
        </w:rPr>
        <w:id w:val="-28027844"/>
        <w:docPartObj>
          <w:docPartGallery w:val="Cover Pages"/>
          <w:docPartUnique/>
        </w:docPartObj>
      </w:sdtPr>
      <w:sdtEndPr>
        <w:rPr>
          <w:rFonts w:eastAsia="+mn-ea"/>
          <w:b/>
          <w:caps w:val="0"/>
          <w:position w:val="1"/>
          <w:sz w:val="26"/>
          <w:szCs w:val="26"/>
        </w:rPr>
      </w:sdtEndPr>
      <w:sdtContent>
        <w:tbl>
          <w:tblPr>
            <w:tblStyle w:val="TableGrid"/>
            <w:tblW w:w="5000" w:type="pct"/>
            <w:tblLook w:val="04A0" w:firstRow="1" w:lastRow="0" w:firstColumn="1" w:lastColumn="0" w:noHBand="0" w:noVBand="1"/>
          </w:tblPr>
          <w:tblGrid>
            <w:gridCol w:w="9854"/>
          </w:tblGrid>
          <w:tr w:rsidR="00F15EE6" w:rsidRPr="00F15EE6" w14:paraId="01C8CBBF" w14:textId="77777777" w:rsidTr="004A3F74">
            <w:trPr>
              <w:trHeight w:val="2880"/>
            </w:trPr>
            <w:tc>
              <w:tcPr>
                <w:tcW w:w="5000" w:type="pct"/>
              </w:tcPr>
              <w:p w14:paraId="05636979" w14:textId="77777777" w:rsidR="00D82B64" w:rsidRPr="00F15EE6" w:rsidRDefault="00D82B64" w:rsidP="003052D6">
                <w:pPr>
                  <w:pStyle w:val="NoSpacing"/>
                  <w:jc w:val="center"/>
                  <w:rPr>
                    <w:rFonts w:ascii="Arial" w:eastAsiaTheme="majorEastAsia" w:hAnsi="Arial" w:cs="Arial"/>
                    <w:caps/>
                  </w:rPr>
                </w:pPr>
              </w:p>
              <w:p w14:paraId="51D209A4" w14:textId="77777777" w:rsidR="00D82B64" w:rsidRPr="00F15EE6" w:rsidRDefault="00D82B64" w:rsidP="003052D6">
                <w:pPr>
                  <w:pStyle w:val="NoSpacing"/>
                  <w:jc w:val="center"/>
                  <w:rPr>
                    <w:rFonts w:ascii="Arial" w:eastAsiaTheme="majorEastAsia" w:hAnsi="Arial" w:cs="Arial"/>
                    <w:caps/>
                  </w:rPr>
                </w:pPr>
                <w:r w:rsidRPr="00F15EE6">
                  <w:rPr>
                    <w:rFonts w:ascii="Arial" w:eastAsiaTheme="majorEastAsia" w:hAnsi="Arial" w:cs="Arial"/>
                    <w:caps/>
                    <w:noProof/>
                    <w:lang w:val="en-GB" w:eastAsia="en-GB"/>
                  </w:rPr>
                  <w:drawing>
                    <wp:inline distT="0" distB="0" distL="0" distR="0" wp14:anchorId="7969D244" wp14:editId="168525B2">
                      <wp:extent cx="2705100" cy="1262380"/>
                      <wp:effectExtent l="0" t="0" r="0" b="0"/>
                      <wp:docPr id="7" name="Picture 7" descr="Symbol for Indicator Governanc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2">
                                <a:extLst>
                                  <a:ext uri="{28A0092B-C50C-407E-A947-70E740481C1C}">
                                    <a14:useLocalDpi xmlns:a14="http://schemas.microsoft.com/office/drawing/2010/main" val="0"/>
                                  </a:ext>
                                </a:extLst>
                              </a:blip>
                              <a:stretch>
                                <a:fillRect/>
                              </a:stretch>
                            </pic:blipFill>
                            <pic:spPr>
                              <a:xfrm>
                                <a:off x="0" y="0"/>
                                <a:ext cx="2705100" cy="1262380"/>
                              </a:xfrm>
                              <a:prstGeom prst="rect">
                                <a:avLst/>
                              </a:prstGeom>
                            </pic:spPr>
                          </pic:pic>
                        </a:graphicData>
                      </a:graphic>
                    </wp:inline>
                  </w:drawing>
                </w:r>
              </w:p>
            </w:tc>
          </w:tr>
          <w:tr w:rsidR="00F15EE6" w:rsidRPr="00F15EE6" w14:paraId="2C5F08E0" w14:textId="77777777" w:rsidTr="004A3F74">
            <w:trPr>
              <w:trHeight w:val="1440"/>
            </w:trPr>
            <w:tc>
              <w:tcPr>
                <w:tcW w:w="5000" w:type="pct"/>
              </w:tcPr>
              <w:p w14:paraId="0F3D18D6" w14:textId="77777777" w:rsidR="00D82B64" w:rsidRPr="00F15EE6" w:rsidRDefault="00D82B64">
                <w:pPr>
                  <w:pStyle w:val="NoSpacing"/>
                  <w:jc w:val="center"/>
                  <w:rPr>
                    <w:rFonts w:ascii="Arial" w:eastAsiaTheme="majorEastAsia" w:hAnsi="Arial" w:cs="Arial"/>
                    <w:sz w:val="72"/>
                    <w:szCs w:val="80"/>
                  </w:rPr>
                </w:pPr>
              </w:p>
              <w:p w14:paraId="35EE70EF" w14:textId="77777777" w:rsidR="00D82B64" w:rsidRPr="00F15EE6" w:rsidRDefault="00D82B64">
                <w:pPr>
                  <w:pStyle w:val="NoSpacing"/>
                  <w:jc w:val="center"/>
                  <w:rPr>
                    <w:rFonts w:ascii="Arial" w:eastAsiaTheme="majorEastAsia" w:hAnsi="Arial" w:cs="Arial"/>
                    <w:sz w:val="72"/>
                    <w:szCs w:val="80"/>
                  </w:rPr>
                </w:pPr>
              </w:p>
              <w:p w14:paraId="176F4B3B" w14:textId="77777777" w:rsidR="00D82B64" w:rsidRPr="00F15EE6" w:rsidRDefault="00D82B64">
                <w:pPr>
                  <w:pStyle w:val="NoSpacing"/>
                  <w:jc w:val="center"/>
                  <w:rPr>
                    <w:rFonts w:ascii="Arial" w:eastAsiaTheme="majorEastAsia" w:hAnsi="Arial" w:cs="Arial"/>
                    <w:sz w:val="72"/>
                    <w:szCs w:val="80"/>
                  </w:rPr>
                </w:pPr>
              </w:p>
              <w:p w14:paraId="23A5D813" w14:textId="77777777" w:rsidR="00D82B64" w:rsidRPr="00F15EE6" w:rsidRDefault="00D82B64">
                <w:pPr>
                  <w:pStyle w:val="NoSpacing"/>
                  <w:jc w:val="center"/>
                  <w:rPr>
                    <w:rFonts w:ascii="Arial" w:eastAsiaTheme="majorEastAsia" w:hAnsi="Arial" w:cs="Arial"/>
                    <w:sz w:val="72"/>
                    <w:szCs w:val="80"/>
                  </w:rPr>
                </w:pPr>
                <w:r w:rsidRPr="00F15EE6">
                  <w:rPr>
                    <w:rFonts w:ascii="Arial" w:eastAsiaTheme="majorEastAsia" w:hAnsi="Arial" w:cs="Arial"/>
                    <w:sz w:val="72"/>
                    <w:szCs w:val="80"/>
                  </w:rPr>
                  <w:t>Indicator Assurance Report</w:t>
                </w:r>
              </w:p>
            </w:tc>
          </w:tr>
          <w:tr w:rsidR="00F15EE6" w:rsidRPr="00F15EE6" w14:paraId="5D49E5A9" w14:textId="77777777" w:rsidTr="004A3F74">
            <w:trPr>
              <w:trHeight w:val="360"/>
            </w:trPr>
            <w:tc>
              <w:tcPr>
                <w:tcW w:w="5000" w:type="pct"/>
              </w:tcPr>
              <w:p w14:paraId="54E44726" w14:textId="77777777" w:rsidR="00D82B64" w:rsidRPr="00F15EE6" w:rsidRDefault="00D82B64" w:rsidP="003052D6">
                <w:pPr>
                  <w:pStyle w:val="NormalWeb"/>
                  <w:spacing w:before="0" w:beforeAutospacing="0" w:after="0" w:afterAutospacing="0"/>
                  <w:jc w:val="center"/>
                  <w:rPr>
                    <w:rFonts w:ascii="Arial" w:eastAsia="+mn-ea" w:hAnsi="Arial" w:cs="Arial"/>
                    <w:b/>
                    <w:position w:val="1"/>
                    <w:sz w:val="36"/>
                    <w:szCs w:val="36"/>
                  </w:rPr>
                </w:pPr>
              </w:p>
              <w:p w14:paraId="548A6B79" w14:textId="7C851AAD" w:rsidR="00D82B64" w:rsidRPr="00F15EE6" w:rsidRDefault="004A3F74" w:rsidP="003052D6">
                <w:pPr>
                  <w:pStyle w:val="NormalWeb"/>
                  <w:spacing w:before="0" w:beforeAutospacing="0" w:after="0" w:afterAutospacing="0"/>
                  <w:jc w:val="center"/>
                  <w:rPr>
                    <w:rFonts w:ascii="Arial" w:hAnsi="Arial" w:cs="Arial"/>
                    <w:sz w:val="36"/>
                    <w:szCs w:val="36"/>
                  </w:rPr>
                </w:pPr>
                <w:r w:rsidRPr="00F15EE6">
                  <w:rPr>
                    <w:rFonts w:ascii="Arial" w:eastAsia="+mn-ea" w:hAnsi="Arial" w:cs="Arial"/>
                    <w:b/>
                    <w:position w:val="1"/>
                    <w:sz w:val="36"/>
                    <w:szCs w:val="36"/>
                  </w:rPr>
                  <w:t>Dementia: 65+ Estimated Diagnosis Rate</w:t>
                </w:r>
              </w:p>
            </w:tc>
          </w:tr>
          <w:tr w:rsidR="00F15EE6" w:rsidRPr="00F15EE6" w14:paraId="4B6FED31" w14:textId="77777777" w:rsidTr="004A3F74">
            <w:trPr>
              <w:trHeight w:val="360"/>
            </w:trPr>
            <w:tc>
              <w:tcPr>
                <w:tcW w:w="5000" w:type="pct"/>
              </w:tcPr>
              <w:p w14:paraId="76FC6307" w14:textId="77777777" w:rsidR="00D82B64" w:rsidRPr="00F15EE6" w:rsidRDefault="00D82B64">
                <w:pPr>
                  <w:pStyle w:val="NoSpacing"/>
                  <w:jc w:val="center"/>
                  <w:rPr>
                    <w:rFonts w:ascii="Arial" w:hAnsi="Arial" w:cs="Arial"/>
                    <w:b/>
                    <w:bCs/>
                    <w:sz w:val="28"/>
                    <w:szCs w:val="28"/>
                  </w:rPr>
                </w:pPr>
                <w:r w:rsidRPr="00F15EE6">
                  <w:rPr>
                    <w:rFonts w:ascii="Arial" w:hAnsi="Arial" w:cs="Arial"/>
                    <w:b/>
                    <w:bCs/>
                    <w:sz w:val="28"/>
                    <w:szCs w:val="28"/>
                  </w:rPr>
                  <w:t>IAP00427</w:t>
                </w:r>
              </w:p>
            </w:tc>
          </w:tr>
        </w:tbl>
        <w:p w14:paraId="1FEB4F23" w14:textId="77777777" w:rsidR="00D82B64" w:rsidRPr="00F15EE6" w:rsidRDefault="00D82B64" w:rsidP="003052D6">
          <w:pPr>
            <w:jc w:val="center"/>
            <w:rPr>
              <w:rFonts w:cs="Arial"/>
            </w:rPr>
          </w:pPr>
        </w:p>
        <w:p w14:paraId="2147BF7E" w14:textId="77777777" w:rsidR="00D82B64" w:rsidRPr="00F15EE6" w:rsidRDefault="00D82B64">
          <w:pPr>
            <w:rPr>
              <w:rFonts w:cs="Arial"/>
            </w:rPr>
          </w:pPr>
        </w:p>
        <w:p w14:paraId="588A0D14" w14:textId="77777777" w:rsidR="00D82B64" w:rsidRPr="00F15EE6" w:rsidRDefault="00D82B64">
          <w:pPr>
            <w:rPr>
              <w:rFonts w:cs="Arial"/>
            </w:rPr>
          </w:pPr>
        </w:p>
        <w:p w14:paraId="43249CF8" w14:textId="77777777" w:rsidR="00D82B64" w:rsidRPr="00F15EE6" w:rsidRDefault="00D82B64">
          <w:pPr>
            <w:rPr>
              <w:rFonts w:eastAsia="+mn-ea" w:cs="Arial"/>
              <w:b/>
              <w:position w:val="1"/>
              <w:sz w:val="26"/>
              <w:szCs w:val="26"/>
              <w:lang w:eastAsia="en-GB"/>
            </w:rPr>
          </w:pPr>
          <w:r w:rsidRPr="00F15EE6">
            <w:rPr>
              <w:rFonts w:cs="Arial"/>
              <w:noProof/>
              <w:lang w:eastAsia="en-GB"/>
            </w:rPr>
            <w:drawing>
              <wp:inline distT="0" distB="0" distL="0" distR="0" wp14:anchorId="07997410" wp14:editId="5EDB0A8C">
                <wp:extent cx="6452870" cy="1495425"/>
                <wp:effectExtent l="0" t="0" r="5080" b="9525"/>
                <wp:docPr id="6" name="Picture 6" descr="Logos for supporting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6452870" cy="1495425"/>
                        </a:xfrm>
                        <a:prstGeom prst="rect">
                          <a:avLst/>
                        </a:prstGeom>
                        <a:noFill/>
                      </pic:spPr>
                    </pic:pic>
                  </a:graphicData>
                </a:graphic>
              </wp:inline>
            </w:drawing>
          </w:r>
          <w:r w:rsidRPr="00F15EE6">
            <w:rPr>
              <w:rFonts w:eastAsia="+mn-ea" w:cs="Arial"/>
              <w:b/>
              <w:position w:val="1"/>
              <w:sz w:val="26"/>
              <w:szCs w:val="26"/>
            </w:rPr>
            <w:br w:type="page"/>
          </w:r>
        </w:p>
      </w:sdtContent>
    </w:sdt>
    <w:p w14:paraId="6EA6B4BA" w14:textId="77777777" w:rsidR="00D82B64" w:rsidRPr="00F15EE6" w:rsidRDefault="00D82B64" w:rsidP="003052D6">
      <w:pPr>
        <w:pStyle w:val="NormalWeb"/>
        <w:spacing w:before="0" w:beforeAutospacing="0" w:after="0" w:afterAutospacing="0"/>
        <w:rPr>
          <w:rFonts w:ascii="Arial" w:eastAsia="+mn-ea" w:hAnsi="Arial" w:cs="Arial"/>
          <w:position w:val="1"/>
          <w:sz w:val="22"/>
          <w:szCs w:val="22"/>
        </w:rPr>
      </w:pPr>
    </w:p>
    <w:p w14:paraId="0C702D39" w14:textId="77777777" w:rsidR="00D82B64" w:rsidRPr="00F15EE6" w:rsidRDefault="00D82B64" w:rsidP="003052D6">
      <w:pPr>
        <w:pStyle w:val="NormalWeb"/>
        <w:spacing w:before="0" w:beforeAutospacing="0" w:after="0" w:afterAutospacing="0"/>
        <w:rPr>
          <w:rFonts w:ascii="Arial" w:eastAsia="+mn-ea" w:hAnsi="Arial" w:cs="Arial"/>
          <w:b/>
          <w:position w:val="1"/>
          <w:sz w:val="32"/>
          <w:szCs w:val="26"/>
        </w:rPr>
      </w:pPr>
      <w:r w:rsidRPr="00F15EE6">
        <w:rPr>
          <w:rFonts w:ascii="Arial" w:eastAsia="+mn-ea" w:hAnsi="Arial" w:cs="Arial"/>
          <w:b/>
          <w:position w:val="1"/>
          <w:sz w:val="32"/>
          <w:szCs w:val="26"/>
        </w:rPr>
        <w:t xml:space="preserve">Final Assurance Rating from the Indicator Governance Board - </w:t>
      </w:r>
      <w:sdt>
        <w:sdtPr>
          <w:rPr>
            <w:rFonts w:ascii="Arial" w:eastAsia="+mn-ea" w:hAnsi="Arial" w:cs="Arial"/>
            <w:b/>
            <w:position w:val="1"/>
            <w:sz w:val="32"/>
            <w:szCs w:val="32"/>
          </w:rPr>
          <w:id w:val="-436680183"/>
          <w:date>
            <w:dateFormat w:val="dd/MM/yyyy"/>
            <w:lid w:val="en-GB"/>
            <w:storeMappedDataAs w:val="dateTime"/>
            <w:calendar w:val="gregorian"/>
          </w:date>
        </w:sdtPr>
        <w:sdtEndPr/>
        <w:sdtContent>
          <w:r w:rsidRPr="00F15EE6">
            <w:rPr>
              <w:rFonts w:ascii="Arial" w:eastAsia="+mn-ea" w:hAnsi="Arial" w:cs="Arial"/>
              <w:b/>
              <w:position w:val="1"/>
              <w:sz w:val="32"/>
              <w:szCs w:val="32"/>
            </w:rPr>
            <w:t>Click here to enter date</w:t>
          </w:r>
        </w:sdtContent>
      </w:sdt>
    </w:p>
    <w:p w14:paraId="46839BAE" w14:textId="77777777" w:rsidR="00D82B64" w:rsidRPr="00F15EE6" w:rsidRDefault="00D82B64" w:rsidP="003052D6">
      <w:pPr>
        <w:pStyle w:val="NormalWeb"/>
        <w:spacing w:before="0" w:beforeAutospacing="0" w:after="0" w:afterAutospacing="0"/>
        <w:rPr>
          <w:rFonts w:ascii="Arial" w:eastAsia="+mn-ea" w:hAnsi="Arial" w:cs="Arial"/>
          <w:b/>
          <w:position w:val="1"/>
          <w:sz w:val="26"/>
          <w:szCs w:val="26"/>
        </w:rPr>
      </w:pPr>
    </w:p>
    <w:tbl>
      <w:tblPr>
        <w:tblStyle w:val="TableGrid"/>
        <w:tblW w:w="10314" w:type="dxa"/>
        <w:tblLook w:val="04A0" w:firstRow="1" w:lastRow="0" w:firstColumn="1" w:lastColumn="0" w:noHBand="0" w:noVBand="1"/>
      </w:tblPr>
      <w:tblGrid>
        <w:gridCol w:w="4644"/>
        <w:gridCol w:w="5670"/>
      </w:tblGrid>
      <w:tr w:rsidR="00D82B64" w:rsidRPr="00F15EE6" w14:paraId="1A7BB3B0" w14:textId="77777777" w:rsidTr="003052D6">
        <w:trPr>
          <w:trHeight w:val="359"/>
        </w:trPr>
        <w:tc>
          <w:tcPr>
            <w:tcW w:w="4644" w:type="dxa"/>
            <w:tcBorders>
              <w:top w:val="nil"/>
              <w:left w:val="nil"/>
              <w:bottom w:val="nil"/>
              <w:right w:val="nil"/>
            </w:tcBorders>
            <w:shd w:val="clear" w:color="auto" w:fill="ACD7FF" w:themeFill="accent1" w:themeFillTint="33"/>
          </w:tcPr>
          <w:p w14:paraId="41F82FFD" w14:textId="77777777" w:rsidR="00D82B64" w:rsidRPr="00F15EE6" w:rsidRDefault="00D82B64" w:rsidP="003052D6">
            <w:pPr>
              <w:pStyle w:val="NormalWeb"/>
              <w:spacing w:beforeLines="60" w:before="144" w:beforeAutospacing="0" w:afterLines="60" w:after="144" w:afterAutospacing="0"/>
              <w:rPr>
                <w:rFonts w:ascii="Arial" w:eastAsia="+mn-ea" w:hAnsi="Arial" w:cs="Arial"/>
                <w:position w:val="1"/>
                <w:sz w:val="22"/>
                <w:szCs w:val="22"/>
              </w:rPr>
            </w:pPr>
            <w:r w:rsidRPr="00F15EE6">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86105164"/>
            <w:showingPlcHdr/>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5670" w:type="dxa"/>
                <w:tcBorders>
                  <w:top w:val="nil"/>
                  <w:left w:val="nil"/>
                  <w:bottom w:val="nil"/>
                  <w:right w:val="nil"/>
                </w:tcBorders>
              </w:tcPr>
              <w:p w14:paraId="6955C537" w14:textId="77777777" w:rsidR="00D82B64" w:rsidRPr="00F15EE6" w:rsidRDefault="00D82B64" w:rsidP="003052D6">
                <w:pPr>
                  <w:pStyle w:val="NormalWeb"/>
                  <w:spacing w:beforeLines="60" w:before="144" w:beforeAutospacing="0" w:afterLines="60" w:after="144" w:afterAutospacing="0"/>
                  <w:rPr>
                    <w:rFonts w:ascii="Arial" w:eastAsia="+mn-ea" w:hAnsi="Arial" w:cs="Arial"/>
                    <w:position w:val="1"/>
                    <w:sz w:val="22"/>
                    <w:szCs w:val="22"/>
                  </w:rPr>
                </w:pPr>
                <w:r w:rsidRPr="00F15EE6">
                  <w:rPr>
                    <w:rFonts w:ascii="Arial" w:eastAsia="+mn-ea" w:hAnsi="Arial" w:cs="Arial"/>
                    <w:position w:val="1"/>
                    <w:sz w:val="22"/>
                    <w:szCs w:val="22"/>
                  </w:rPr>
                  <w:t xml:space="preserve">     </w:t>
                </w:r>
              </w:p>
            </w:tc>
          </w:sdtContent>
        </w:sdt>
      </w:tr>
      <w:tr w:rsidR="00D82B64" w:rsidRPr="00F15EE6" w14:paraId="51CB051A" w14:textId="77777777" w:rsidTr="003052D6">
        <w:trPr>
          <w:trHeight w:val="557"/>
        </w:trPr>
        <w:tc>
          <w:tcPr>
            <w:tcW w:w="4644" w:type="dxa"/>
            <w:tcBorders>
              <w:top w:val="nil"/>
              <w:left w:val="nil"/>
              <w:bottom w:val="nil"/>
              <w:right w:val="nil"/>
            </w:tcBorders>
            <w:shd w:val="clear" w:color="auto" w:fill="ACD7FF" w:themeFill="accent1" w:themeFillTint="33"/>
          </w:tcPr>
          <w:p w14:paraId="16A91F36" w14:textId="77777777" w:rsidR="00D82B64" w:rsidRPr="00F15EE6" w:rsidRDefault="00D82B64" w:rsidP="003052D6">
            <w:pPr>
              <w:pStyle w:val="NormalWeb"/>
              <w:spacing w:beforeLines="60" w:before="144" w:beforeAutospacing="0" w:afterLines="60" w:after="144" w:afterAutospacing="0"/>
              <w:rPr>
                <w:rFonts w:ascii="Arial" w:eastAsia="+mn-ea" w:hAnsi="Arial" w:cs="Arial"/>
                <w:position w:val="1"/>
                <w:sz w:val="22"/>
                <w:szCs w:val="22"/>
              </w:rPr>
            </w:pPr>
            <w:r w:rsidRPr="00F15EE6">
              <w:rPr>
                <w:rFonts w:ascii="Arial" w:eastAsia="+mn-ea" w:hAnsi="Arial" w:cs="Arial"/>
                <w:b/>
                <w:position w:val="1"/>
                <w:sz w:val="22"/>
                <w:szCs w:val="22"/>
              </w:rPr>
              <w:t>Iteration</w:t>
            </w:r>
          </w:p>
        </w:tc>
        <w:sdt>
          <w:sdtPr>
            <w:rPr>
              <w:rFonts w:ascii="Arial" w:eastAsia="+mn-ea" w:hAnsi="Arial" w:cs="Arial"/>
              <w:position w:val="1"/>
              <w:sz w:val="22"/>
              <w:szCs w:val="22"/>
            </w:rPr>
            <w:id w:val="-859353040"/>
            <w:showingPlcHdr/>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EndPr/>
          <w:sdtContent>
            <w:tc>
              <w:tcPr>
                <w:tcW w:w="5670" w:type="dxa"/>
                <w:tcBorders>
                  <w:top w:val="nil"/>
                  <w:left w:val="nil"/>
                  <w:bottom w:val="nil"/>
                  <w:right w:val="nil"/>
                </w:tcBorders>
              </w:tcPr>
              <w:p w14:paraId="711F1DE6" w14:textId="77777777" w:rsidR="00D82B64" w:rsidRPr="00F15EE6" w:rsidRDefault="00D82B64" w:rsidP="003052D6">
                <w:pPr>
                  <w:pStyle w:val="NormalWeb"/>
                  <w:spacing w:beforeLines="60" w:before="144" w:beforeAutospacing="0" w:afterLines="60" w:after="144" w:afterAutospacing="0"/>
                  <w:rPr>
                    <w:rFonts w:ascii="Arial" w:eastAsia="+mn-ea" w:hAnsi="Arial" w:cs="Arial"/>
                    <w:position w:val="1"/>
                    <w:sz w:val="22"/>
                    <w:szCs w:val="22"/>
                  </w:rPr>
                </w:pPr>
                <w:r w:rsidRPr="00F15EE6">
                  <w:rPr>
                    <w:rFonts w:ascii="Arial" w:eastAsia="+mn-ea" w:hAnsi="Arial" w:cs="Arial"/>
                    <w:position w:val="1"/>
                    <w:sz w:val="22"/>
                    <w:szCs w:val="22"/>
                  </w:rPr>
                  <w:t xml:space="preserve">     </w:t>
                </w:r>
              </w:p>
            </w:tc>
          </w:sdtContent>
        </w:sdt>
      </w:tr>
    </w:tbl>
    <w:p w14:paraId="748F9CB8" w14:textId="77777777" w:rsidR="00D82B64" w:rsidRPr="00F15EE6" w:rsidRDefault="00D82B64" w:rsidP="003052D6">
      <w:pPr>
        <w:rPr>
          <w:rFonts w:cs="Arial"/>
        </w:rPr>
      </w:pPr>
    </w:p>
    <w:p w14:paraId="447C3CB9" w14:textId="77777777" w:rsidR="00D82B64" w:rsidRPr="00F15EE6" w:rsidRDefault="000E3494" w:rsidP="003052D6">
      <w:pPr>
        <w:spacing w:after="0"/>
        <w:jc w:val="center"/>
        <w:rPr>
          <w:rFonts w:eastAsia="+mn-ea" w:cs="Arial"/>
          <w:b/>
          <w:position w:val="1"/>
          <w:sz w:val="26"/>
          <w:szCs w:val="26"/>
          <w:lang w:eastAsia="en-GB"/>
        </w:rPr>
      </w:pPr>
      <w:r>
        <w:rPr>
          <w:rFonts w:eastAsia="+mn-ea" w:cs="Arial"/>
          <w:b/>
          <w:position w:val="1"/>
          <w:sz w:val="26"/>
          <w:szCs w:val="26"/>
          <w:lang w:eastAsia="en-GB"/>
        </w:rPr>
        <w:pict w14:anchorId="1D14250E">
          <v:rect id="_x0000_i1026" style="width:503.2pt;height:1.5pt" o:hralign="center" o:hrstd="t" o:hr="t" fillcolor="#a0a0a0" stroked="f"/>
        </w:pict>
      </w:r>
    </w:p>
    <w:tbl>
      <w:tblPr>
        <w:tblStyle w:val="TableGrid1"/>
        <w:tblW w:w="0" w:type="auto"/>
        <w:tblLook w:val="04A0" w:firstRow="1" w:lastRow="0" w:firstColumn="1" w:lastColumn="0" w:noHBand="0" w:noVBand="1"/>
      </w:tblPr>
      <w:tblGrid>
        <w:gridCol w:w="3936"/>
        <w:gridCol w:w="2150"/>
      </w:tblGrid>
      <w:tr w:rsidR="00EC7356" w:rsidRPr="00F15EE6" w14:paraId="7F566C1B" w14:textId="77777777" w:rsidTr="00EC7356">
        <w:tc>
          <w:tcPr>
            <w:tcW w:w="3936" w:type="dxa"/>
          </w:tcPr>
          <w:p w14:paraId="0F53FDA2" w14:textId="77777777" w:rsidR="00EC7356" w:rsidRPr="00F15EE6" w:rsidRDefault="00EC7356" w:rsidP="00EC7356">
            <w:pPr>
              <w:spacing w:before="120"/>
              <w:rPr>
                <w:rFonts w:eastAsia="+mn-ea"/>
                <w:b/>
                <w:position w:val="1"/>
                <w:sz w:val="26"/>
                <w:szCs w:val="26"/>
              </w:rPr>
            </w:pPr>
            <w:r w:rsidRPr="00F15EE6">
              <w:rPr>
                <w:rFonts w:eastAsia="+mn-ea"/>
                <w:b/>
                <w:position w:val="1"/>
                <w:sz w:val="26"/>
                <w:szCs w:val="26"/>
              </w:rPr>
              <w:t>Ratings Against Assessment Criteria</w:t>
            </w:r>
          </w:p>
          <w:p w14:paraId="28F03E28" w14:textId="77777777" w:rsidR="00EC7356" w:rsidRPr="00F15EE6" w:rsidRDefault="00EC7356" w:rsidP="003052D6">
            <w:pPr>
              <w:spacing w:line="360" w:lineRule="auto"/>
              <w:rPr>
                <w:rFonts w:eastAsia="+mn-ea"/>
                <w:position w:val="1"/>
                <w:szCs w:val="40"/>
              </w:rPr>
            </w:pPr>
          </w:p>
        </w:tc>
        <w:tc>
          <w:tcPr>
            <w:tcW w:w="2150" w:type="dxa"/>
          </w:tcPr>
          <w:p w14:paraId="238D5083" w14:textId="77777777" w:rsidR="00EC7356" w:rsidRPr="00F15EE6" w:rsidRDefault="00EC7356" w:rsidP="003052D6">
            <w:pPr>
              <w:spacing w:line="360" w:lineRule="auto"/>
              <w:jc w:val="center"/>
              <w:rPr>
                <w:rFonts w:eastAsia="+mn-ea"/>
                <w:b/>
                <w:position w:val="1"/>
                <w:sz w:val="26"/>
                <w:szCs w:val="26"/>
              </w:rPr>
            </w:pPr>
          </w:p>
        </w:tc>
      </w:tr>
      <w:tr w:rsidR="00F15EE6" w:rsidRPr="00F15EE6" w14:paraId="630635DE" w14:textId="77777777" w:rsidTr="00EC7356">
        <w:tc>
          <w:tcPr>
            <w:tcW w:w="3936" w:type="dxa"/>
            <w:hideMark/>
          </w:tcPr>
          <w:p w14:paraId="52194884" w14:textId="77777777" w:rsidR="00EC7356" w:rsidRPr="00F15EE6" w:rsidRDefault="00EC7356" w:rsidP="003052D6">
            <w:pPr>
              <w:spacing w:line="360" w:lineRule="auto"/>
              <w:rPr>
                <w:rFonts w:eastAsia="+mn-ea"/>
                <w:position w:val="1"/>
                <w:sz w:val="26"/>
                <w:szCs w:val="26"/>
              </w:rPr>
            </w:pPr>
            <w:r w:rsidRPr="00F15EE6">
              <w:rPr>
                <w:rFonts w:eastAsia="+mn-ea"/>
                <w:position w:val="1"/>
                <w:szCs w:val="40"/>
              </w:rPr>
              <w:t>Clarity</w:t>
            </w:r>
          </w:p>
        </w:tc>
        <w:tc>
          <w:tcPr>
            <w:tcW w:w="2150" w:type="dxa"/>
            <w:hideMark/>
          </w:tcPr>
          <w:p w14:paraId="2EFFC752" w14:textId="77777777" w:rsidR="00EC7356" w:rsidRPr="00F15EE6" w:rsidRDefault="00EC7356" w:rsidP="003052D6">
            <w:pPr>
              <w:spacing w:line="360" w:lineRule="auto"/>
              <w:jc w:val="center"/>
              <w:rPr>
                <w:rFonts w:eastAsia="+mn-ea"/>
                <w:b/>
                <w:position w:val="1"/>
                <w:sz w:val="26"/>
                <w:szCs w:val="26"/>
              </w:rPr>
            </w:pPr>
          </w:p>
        </w:tc>
      </w:tr>
      <w:tr w:rsidR="00F15EE6" w:rsidRPr="00F15EE6" w14:paraId="538CF65C" w14:textId="77777777" w:rsidTr="00EC7356">
        <w:tc>
          <w:tcPr>
            <w:tcW w:w="3936" w:type="dxa"/>
            <w:hideMark/>
          </w:tcPr>
          <w:p w14:paraId="004D6DE1" w14:textId="77777777" w:rsidR="00EC7356" w:rsidRPr="00F15EE6" w:rsidRDefault="00EC7356" w:rsidP="003052D6">
            <w:pPr>
              <w:spacing w:line="360" w:lineRule="auto"/>
              <w:rPr>
                <w:rFonts w:eastAsia="+mn-ea"/>
                <w:position w:val="1"/>
                <w:sz w:val="26"/>
                <w:szCs w:val="26"/>
              </w:rPr>
            </w:pPr>
            <w:r w:rsidRPr="00F15EE6">
              <w:rPr>
                <w:rFonts w:eastAsia="+mn-ea"/>
                <w:position w:val="1"/>
                <w:szCs w:val="40"/>
              </w:rPr>
              <w:t>Rationale</w:t>
            </w:r>
          </w:p>
        </w:tc>
        <w:tc>
          <w:tcPr>
            <w:tcW w:w="2150" w:type="dxa"/>
            <w:hideMark/>
          </w:tcPr>
          <w:p w14:paraId="357CF741" w14:textId="77777777" w:rsidR="00EC7356" w:rsidRPr="00F15EE6" w:rsidRDefault="00EC7356" w:rsidP="003052D6">
            <w:pPr>
              <w:spacing w:line="360" w:lineRule="auto"/>
              <w:jc w:val="center"/>
              <w:rPr>
                <w:rFonts w:eastAsia="+mn-ea"/>
                <w:b/>
                <w:position w:val="1"/>
                <w:sz w:val="26"/>
                <w:szCs w:val="26"/>
              </w:rPr>
            </w:pPr>
          </w:p>
        </w:tc>
      </w:tr>
      <w:tr w:rsidR="00F15EE6" w:rsidRPr="00F15EE6" w14:paraId="48A3CDBE" w14:textId="77777777" w:rsidTr="00EC7356">
        <w:tc>
          <w:tcPr>
            <w:tcW w:w="3936" w:type="dxa"/>
            <w:hideMark/>
          </w:tcPr>
          <w:p w14:paraId="61D3FCC3" w14:textId="77777777" w:rsidR="00EC7356" w:rsidRPr="00F15EE6" w:rsidRDefault="00EC7356" w:rsidP="003052D6">
            <w:pPr>
              <w:spacing w:line="360" w:lineRule="auto"/>
              <w:rPr>
                <w:rFonts w:eastAsia="+mn-ea"/>
                <w:position w:val="1"/>
                <w:sz w:val="26"/>
                <w:szCs w:val="26"/>
              </w:rPr>
            </w:pPr>
            <w:r w:rsidRPr="00F15EE6">
              <w:rPr>
                <w:rFonts w:eastAsia="+mn-ea"/>
                <w:position w:val="1"/>
                <w:szCs w:val="40"/>
              </w:rPr>
              <w:t>Data</w:t>
            </w:r>
          </w:p>
        </w:tc>
        <w:tc>
          <w:tcPr>
            <w:tcW w:w="2150" w:type="dxa"/>
            <w:hideMark/>
          </w:tcPr>
          <w:p w14:paraId="1C94C0C6" w14:textId="77777777" w:rsidR="00EC7356" w:rsidRPr="00F15EE6" w:rsidRDefault="00EC7356" w:rsidP="003052D6">
            <w:pPr>
              <w:spacing w:line="360" w:lineRule="auto"/>
              <w:jc w:val="center"/>
              <w:rPr>
                <w:rFonts w:eastAsia="+mn-ea"/>
                <w:b/>
                <w:position w:val="1"/>
                <w:sz w:val="26"/>
                <w:szCs w:val="26"/>
              </w:rPr>
            </w:pPr>
          </w:p>
        </w:tc>
      </w:tr>
      <w:tr w:rsidR="00F15EE6" w:rsidRPr="00F15EE6" w14:paraId="118B6D85" w14:textId="77777777" w:rsidTr="00EC7356">
        <w:tc>
          <w:tcPr>
            <w:tcW w:w="3936" w:type="dxa"/>
            <w:hideMark/>
          </w:tcPr>
          <w:p w14:paraId="4F18D142" w14:textId="77777777" w:rsidR="00EC7356" w:rsidRPr="00F15EE6" w:rsidRDefault="00EC7356" w:rsidP="003052D6">
            <w:pPr>
              <w:spacing w:line="360" w:lineRule="auto"/>
              <w:rPr>
                <w:rFonts w:eastAsia="+mn-ea"/>
                <w:position w:val="1"/>
                <w:sz w:val="26"/>
                <w:szCs w:val="26"/>
              </w:rPr>
            </w:pPr>
            <w:r w:rsidRPr="00F15EE6">
              <w:rPr>
                <w:rFonts w:eastAsia="+mn-ea"/>
                <w:position w:val="1"/>
                <w:szCs w:val="40"/>
              </w:rPr>
              <w:t>Construction</w:t>
            </w:r>
          </w:p>
        </w:tc>
        <w:tc>
          <w:tcPr>
            <w:tcW w:w="2150" w:type="dxa"/>
            <w:hideMark/>
          </w:tcPr>
          <w:p w14:paraId="0620A5A6" w14:textId="77777777" w:rsidR="00EC7356" w:rsidRPr="00F15EE6" w:rsidRDefault="00EC7356" w:rsidP="003052D6">
            <w:pPr>
              <w:spacing w:line="360" w:lineRule="auto"/>
              <w:jc w:val="center"/>
              <w:rPr>
                <w:rFonts w:eastAsia="+mn-ea"/>
                <w:b/>
                <w:position w:val="1"/>
                <w:sz w:val="26"/>
                <w:szCs w:val="26"/>
              </w:rPr>
            </w:pPr>
          </w:p>
        </w:tc>
      </w:tr>
      <w:tr w:rsidR="00F15EE6" w:rsidRPr="00F15EE6" w14:paraId="6DCABBFF" w14:textId="77777777" w:rsidTr="00EC7356">
        <w:tc>
          <w:tcPr>
            <w:tcW w:w="3936" w:type="dxa"/>
            <w:hideMark/>
          </w:tcPr>
          <w:p w14:paraId="2CF53BB1" w14:textId="77777777" w:rsidR="00EC7356" w:rsidRPr="00F15EE6" w:rsidRDefault="00EC7356" w:rsidP="003052D6">
            <w:pPr>
              <w:spacing w:line="360" w:lineRule="auto"/>
              <w:rPr>
                <w:rFonts w:eastAsia="+mn-ea"/>
                <w:position w:val="1"/>
                <w:sz w:val="26"/>
                <w:szCs w:val="26"/>
              </w:rPr>
            </w:pPr>
            <w:r w:rsidRPr="00F15EE6">
              <w:rPr>
                <w:rFonts w:eastAsia="+mn-ea"/>
                <w:position w:val="1"/>
                <w:szCs w:val="40"/>
              </w:rPr>
              <w:t>Presentation and Interpretation</w:t>
            </w:r>
          </w:p>
        </w:tc>
        <w:tc>
          <w:tcPr>
            <w:tcW w:w="2150" w:type="dxa"/>
            <w:hideMark/>
          </w:tcPr>
          <w:p w14:paraId="56FFCDDD" w14:textId="77777777" w:rsidR="00EC7356" w:rsidRPr="00F15EE6" w:rsidRDefault="00EC7356" w:rsidP="003052D6">
            <w:pPr>
              <w:spacing w:line="360" w:lineRule="auto"/>
              <w:jc w:val="center"/>
              <w:rPr>
                <w:rFonts w:eastAsia="+mn-ea"/>
                <w:b/>
                <w:position w:val="1"/>
                <w:sz w:val="26"/>
                <w:szCs w:val="26"/>
              </w:rPr>
            </w:pPr>
          </w:p>
        </w:tc>
      </w:tr>
      <w:tr w:rsidR="00F15EE6" w:rsidRPr="00F15EE6" w14:paraId="12B52A2E" w14:textId="77777777" w:rsidTr="00EC7356">
        <w:tc>
          <w:tcPr>
            <w:tcW w:w="3936" w:type="dxa"/>
            <w:hideMark/>
          </w:tcPr>
          <w:p w14:paraId="159B13DC" w14:textId="77777777" w:rsidR="00EC7356" w:rsidRPr="00F15EE6" w:rsidRDefault="00EC7356" w:rsidP="003052D6">
            <w:pPr>
              <w:spacing w:line="360" w:lineRule="auto"/>
              <w:rPr>
                <w:rFonts w:eastAsia="+mn-ea"/>
                <w:position w:val="1"/>
                <w:sz w:val="26"/>
                <w:szCs w:val="26"/>
              </w:rPr>
            </w:pPr>
            <w:r w:rsidRPr="00F15EE6">
              <w:rPr>
                <w:rFonts w:eastAsia="+mn-ea"/>
                <w:position w:val="1"/>
                <w:szCs w:val="40"/>
              </w:rPr>
              <w:t>Risks and Usefulness</w:t>
            </w:r>
          </w:p>
        </w:tc>
        <w:tc>
          <w:tcPr>
            <w:tcW w:w="2150" w:type="dxa"/>
            <w:hideMark/>
          </w:tcPr>
          <w:p w14:paraId="795599E3" w14:textId="77777777" w:rsidR="00EC7356" w:rsidRPr="00F15EE6" w:rsidRDefault="00EC7356" w:rsidP="003052D6">
            <w:pPr>
              <w:spacing w:line="360" w:lineRule="auto"/>
              <w:jc w:val="center"/>
              <w:rPr>
                <w:rFonts w:eastAsia="+mn-ea"/>
                <w:b/>
                <w:position w:val="1"/>
                <w:sz w:val="26"/>
                <w:szCs w:val="26"/>
              </w:rPr>
            </w:pPr>
          </w:p>
        </w:tc>
      </w:tr>
      <w:tr w:rsidR="00F15EE6" w:rsidRPr="00F15EE6" w14:paraId="4A5D9414" w14:textId="77777777" w:rsidTr="00EC7356">
        <w:tc>
          <w:tcPr>
            <w:tcW w:w="3936" w:type="dxa"/>
          </w:tcPr>
          <w:p w14:paraId="420ED292" w14:textId="77777777" w:rsidR="00EC7356" w:rsidRPr="00F15EE6" w:rsidRDefault="00EC7356" w:rsidP="00EC7356">
            <w:pPr>
              <w:spacing w:before="120"/>
              <w:jc w:val="center"/>
              <w:rPr>
                <w:rFonts w:eastAsia="+mn-ea"/>
                <w:b/>
                <w:position w:val="1"/>
                <w:sz w:val="26"/>
                <w:szCs w:val="26"/>
              </w:rPr>
            </w:pPr>
            <w:r w:rsidRPr="00F15EE6">
              <w:rPr>
                <w:rFonts w:eastAsia="+mn-ea"/>
                <w:b/>
                <w:position w:val="1"/>
                <w:sz w:val="26"/>
                <w:szCs w:val="26"/>
              </w:rPr>
              <w:t>Overall Rating</w:t>
            </w:r>
          </w:p>
          <w:p w14:paraId="68DD60E1" w14:textId="77777777" w:rsidR="00EC7356" w:rsidRPr="00F15EE6" w:rsidRDefault="00EC7356" w:rsidP="00EC7356">
            <w:pPr>
              <w:spacing w:line="360" w:lineRule="auto"/>
              <w:rPr>
                <w:rFonts w:eastAsia="+mn-ea"/>
                <w:position w:val="1"/>
                <w:szCs w:val="40"/>
              </w:rPr>
            </w:pPr>
          </w:p>
        </w:tc>
        <w:tc>
          <w:tcPr>
            <w:tcW w:w="2150" w:type="dxa"/>
          </w:tcPr>
          <w:sdt>
            <w:sdtPr>
              <w:rPr>
                <w:rFonts w:eastAsia="+mn-ea"/>
                <w:b/>
                <w:position w:val="1"/>
                <w:sz w:val="26"/>
                <w:szCs w:val="26"/>
              </w:rPr>
              <w:alias w:val="IGB rating"/>
              <w:tag w:val="IGB rating"/>
              <w:id w:val="-1666158861"/>
              <w:showingPlcHdr/>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0FDA9279" w14:textId="2548F123" w:rsidR="00EC7356" w:rsidRPr="00F15EE6" w:rsidRDefault="00EC7356" w:rsidP="00EC7356">
                <w:pPr>
                  <w:spacing w:line="360" w:lineRule="auto"/>
                  <w:jc w:val="center"/>
                  <w:rPr>
                    <w:rFonts w:eastAsia="+mn-ea"/>
                    <w:b/>
                    <w:position w:val="1"/>
                    <w:sz w:val="26"/>
                    <w:szCs w:val="26"/>
                  </w:rPr>
                </w:pPr>
                <w:r w:rsidRPr="00F15EE6">
                  <w:rPr>
                    <w:rStyle w:val="PlaceholderText"/>
                    <w:color w:val="auto"/>
                  </w:rPr>
                  <w:t>Choose an item.</w:t>
                </w:r>
              </w:p>
            </w:sdtContent>
          </w:sdt>
        </w:tc>
      </w:tr>
    </w:tbl>
    <w:p w14:paraId="4B1FDB9C" w14:textId="77777777" w:rsidR="00D82B64" w:rsidRPr="00F15EE6" w:rsidRDefault="00D82B64" w:rsidP="003052D6">
      <w:pPr>
        <w:pStyle w:val="NormalWeb"/>
        <w:spacing w:before="0" w:beforeAutospacing="0" w:after="0" w:afterAutospacing="0"/>
        <w:rPr>
          <w:rFonts w:ascii="Arial" w:eastAsia="+mn-ea" w:hAnsi="Arial" w:cs="Arial"/>
          <w:b/>
          <w:position w:val="1"/>
          <w:sz w:val="26"/>
          <w:szCs w:val="26"/>
        </w:rPr>
      </w:pPr>
    </w:p>
    <w:p w14:paraId="2038D2A8" w14:textId="77777777" w:rsidR="00D82B64" w:rsidRPr="00F15EE6" w:rsidRDefault="00D82B64" w:rsidP="003052D6">
      <w:pPr>
        <w:pStyle w:val="NormalWeb"/>
        <w:spacing w:before="0" w:beforeAutospacing="0" w:after="0" w:afterAutospacing="0"/>
        <w:rPr>
          <w:rFonts w:ascii="Arial" w:eastAsia="+mn-ea" w:hAnsi="Arial" w:cs="Arial"/>
          <w:b/>
          <w:position w:val="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608"/>
      </w:tblGrid>
      <w:tr w:rsidR="00F15EE6" w:rsidRPr="00F15EE6" w14:paraId="220EBBE6" w14:textId="77777777" w:rsidTr="003052D6">
        <w:tc>
          <w:tcPr>
            <w:tcW w:w="3369" w:type="dxa"/>
            <w:shd w:val="clear" w:color="auto" w:fill="ACD7FF" w:themeFill="accent1" w:themeFillTint="33"/>
            <w:vAlign w:val="center"/>
          </w:tcPr>
          <w:p w14:paraId="3EF6287C" w14:textId="77777777" w:rsidR="00D82B64" w:rsidRPr="00F15EE6" w:rsidRDefault="00D82B64" w:rsidP="003052D6">
            <w:pPr>
              <w:pStyle w:val="NormalWeb"/>
              <w:spacing w:before="0" w:beforeAutospacing="0" w:after="0" w:afterAutospacing="0"/>
              <w:rPr>
                <w:rFonts w:ascii="Arial" w:eastAsia="+mn-ea" w:hAnsi="Arial" w:cs="Arial"/>
                <w:b/>
                <w:position w:val="1"/>
                <w:sz w:val="22"/>
                <w:szCs w:val="22"/>
              </w:rPr>
            </w:pPr>
            <w:r w:rsidRPr="00F15EE6">
              <w:rPr>
                <w:rFonts w:ascii="Arial" w:eastAsia="+mn-ea" w:hAnsi="Arial" w:cs="Arial"/>
                <w:b/>
                <w:position w:val="1"/>
                <w:sz w:val="22"/>
                <w:szCs w:val="22"/>
              </w:rPr>
              <w:t>Outcome</w:t>
            </w:r>
          </w:p>
        </w:tc>
        <w:sdt>
          <w:sdtPr>
            <w:rPr>
              <w:rFonts w:ascii="Arial" w:eastAsia="+mn-ea" w:hAnsi="Arial" w:cs="Arial"/>
              <w:b/>
              <w:position w:val="1"/>
              <w:sz w:val="22"/>
              <w:szCs w:val="22"/>
            </w:rPr>
            <w:alias w:val="Outcome"/>
            <w:tag w:val="Outcome"/>
            <w:id w:val="1075713746"/>
            <w:showingPlcHdr/>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ity Assured Indicators" w:value="This indicator has not been approved for inclusion in the National Library of Quality Assured Indicators"/>
              <w:listItem w:displayText="This indicator is pending sign-off from the IGB Chair" w:value="This indicator is pending sign-off from the IGB Chair"/>
              <w:listItem w:displayText="This indicator has been referred back to MRG following IGB assessment" w:value="This indicator has been referred back to MRG following IGB assessment"/>
            </w:dropDownList>
          </w:sdtPr>
          <w:sdtEndPr/>
          <w:sdtContent>
            <w:tc>
              <w:tcPr>
                <w:tcW w:w="6911" w:type="dxa"/>
              </w:tcPr>
              <w:p w14:paraId="047BF265" w14:textId="77777777" w:rsidR="00D82B64" w:rsidRPr="00F15EE6" w:rsidRDefault="00D82B64" w:rsidP="003052D6">
                <w:pPr>
                  <w:pStyle w:val="NormalWeb"/>
                  <w:spacing w:before="0" w:beforeAutospacing="0" w:after="0" w:afterAutospacing="0"/>
                  <w:rPr>
                    <w:rFonts w:ascii="Arial" w:eastAsia="+mn-ea" w:hAnsi="Arial" w:cs="Arial"/>
                    <w:b/>
                    <w:position w:val="1"/>
                    <w:sz w:val="26"/>
                    <w:szCs w:val="26"/>
                  </w:rPr>
                </w:pPr>
                <w:r w:rsidRPr="00F15EE6">
                  <w:rPr>
                    <w:rStyle w:val="PlaceholderText"/>
                    <w:rFonts w:ascii="Arial" w:hAnsi="Arial" w:cs="Arial"/>
                    <w:color w:val="auto"/>
                  </w:rPr>
                  <w:t>Choose an item.</w:t>
                </w:r>
              </w:p>
            </w:tc>
          </w:sdtContent>
        </w:sdt>
      </w:tr>
    </w:tbl>
    <w:p w14:paraId="2A4B2AAB" w14:textId="77777777" w:rsidR="00D82B64" w:rsidRPr="00F15EE6" w:rsidRDefault="00D82B64" w:rsidP="003052D6">
      <w:pPr>
        <w:pStyle w:val="NormalWeb"/>
        <w:spacing w:before="0" w:beforeAutospacing="0" w:after="0" w:afterAutospacing="0"/>
        <w:rPr>
          <w:rFonts w:ascii="Arial" w:eastAsia="+mn-ea" w:hAnsi="Arial" w:cs="Arial"/>
          <w:b/>
          <w:position w:val="1"/>
          <w:sz w:val="26"/>
          <w:szCs w:val="26"/>
        </w:rPr>
      </w:pPr>
    </w:p>
    <w:p w14:paraId="20B099DF" w14:textId="77777777" w:rsidR="00D82B64" w:rsidRPr="00F15EE6" w:rsidRDefault="00D82B64" w:rsidP="003052D6">
      <w:pPr>
        <w:pStyle w:val="NormalWeb"/>
        <w:spacing w:before="0" w:beforeAutospacing="0" w:after="0" w:afterAutospacing="0"/>
        <w:rPr>
          <w:rFonts w:ascii="Arial" w:eastAsia="+mn-ea" w:hAnsi="Arial" w:cs="Arial"/>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D82B64" w:rsidRPr="00F15EE6" w14:paraId="06C08AC6" w14:textId="77777777" w:rsidTr="003052D6">
        <w:tc>
          <w:tcPr>
            <w:tcW w:w="10280" w:type="dxa"/>
            <w:shd w:val="clear" w:color="auto" w:fill="ACD7FF" w:themeFill="accent1" w:themeFillTint="33"/>
          </w:tcPr>
          <w:p w14:paraId="320BB8E2" w14:textId="77777777" w:rsidR="00D82B64" w:rsidRPr="00F15EE6" w:rsidRDefault="00D82B64" w:rsidP="003052D6">
            <w:pPr>
              <w:pStyle w:val="NormalWeb"/>
              <w:spacing w:before="0" w:beforeAutospacing="0" w:after="0" w:afterAutospacing="0"/>
              <w:rPr>
                <w:rFonts w:ascii="Arial" w:eastAsia="+mn-ea" w:hAnsi="Arial" w:cs="Arial"/>
                <w:b/>
                <w:position w:val="1"/>
                <w:sz w:val="26"/>
                <w:szCs w:val="26"/>
              </w:rPr>
            </w:pPr>
            <w:r w:rsidRPr="00F15EE6">
              <w:rPr>
                <w:rFonts w:ascii="Arial" w:eastAsia="+mn-ea" w:hAnsi="Arial" w:cs="Arial"/>
                <w:b/>
                <w:position w:val="1"/>
                <w:sz w:val="26"/>
                <w:szCs w:val="26"/>
              </w:rPr>
              <w:t>Key findings from Assurance</w:t>
            </w:r>
          </w:p>
        </w:tc>
      </w:tr>
      <w:tr w:rsidR="00D82B64" w:rsidRPr="00F15EE6" w14:paraId="62B9BCFD" w14:textId="77777777" w:rsidTr="003052D6">
        <w:tc>
          <w:tcPr>
            <w:tcW w:w="10280" w:type="dxa"/>
          </w:tcPr>
          <w:p w14:paraId="23988B26" w14:textId="77777777" w:rsidR="00D82B64" w:rsidRPr="00F15EE6" w:rsidRDefault="00D82B64" w:rsidP="00D82B64">
            <w:pPr>
              <w:pStyle w:val="NormalWeb"/>
              <w:numPr>
                <w:ilvl w:val="0"/>
                <w:numId w:val="17"/>
              </w:numPr>
              <w:spacing w:before="240" w:beforeAutospacing="0" w:after="0" w:afterAutospacing="0"/>
              <w:rPr>
                <w:rFonts w:ascii="Arial" w:eastAsia="+mn-ea" w:hAnsi="Arial" w:cs="Arial"/>
                <w:position w:val="1"/>
                <w:sz w:val="22"/>
                <w:szCs w:val="22"/>
              </w:rPr>
            </w:pPr>
            <w:r w:rsidRPr="00F15EE6">
              <w:rPr>
                <w:rFonts w:ascii="Arial" w:eastAsia="+mn-ea" w:hAnsi="Arial" w:cs="Arial"/>
                <w:position w:val="1"/>
                <w:sz w:val="22"/>
                <w:szCs w:val="22"/>
              </w:rPr>
              <w:t>Key finding 1</w:t>
            </w:r>
          </w:p>
          <w:p w14:paraId="2E1EF3A4" w14:textId="77777777" w:rsidR="00D82B64" w:rsidRPr="00F15EE6" w:rsidRDefault="00D82B64" w:rsidP="00D82B64">
            <w:pPr>
              <w:pStyle w:val="NormalWeb"/>
              <w:numPr>
                <w:ilvl w:val="0"/>
                <w:numId w:val="17"/>
              </w:numPr>
              <w:spacing w:before="240" w:beforeAutospacing="0" w:after="0" w:afterAutospacing="0"/>
              <w:rPr>
                <w:rFonts w:ascii="Arial" w:eastAsia="+mn-ea" w:hAnsi="Arial" w:cs="Arial"/>
                <w:position w:val="1"/>
                <w:sz w:val="22"/>
                <w:szCs w:val="22"/>
              </w:rPr>
            </w:pPr>
            <w:r w:rsidRPr="00F15EE6">
              <w:rPr>
                <w:rFonts w:ascii="Arial" w:eastAsia="+mn-ea" w:hAnsi="Arial" w:cs="Arial"/>
                <w:position w:val="1"/>
                <w:sz w:val="22"/>
                <w:szCs w:val="22"/>
              </w:rPr>
              <w:t>Key finding 2</w:t>
            </w:r>
          </w:p>
          <w:p w14:paraId="7475B550" w14:textId="77777777" w:rsidR="00D82B64" w:rsidRPr="00F15EE6" w:rsidRDefault="00D82B64" w:rsidP="00D82B64">
            <w:pPr>
              <w:pStyle w:val="NormalWeb"/>
              <w:numPr>
                <w:ilvl w:val="0"/>
                <w:numId w:val="17"/>
              </w:numPr>
              <w:spacing w:before="240" w:beforeAutospacing="0" w:after="0" w:afterAutospacing="0"/>
              <w:rPr>
                <w:rFonts w:ascii="Arial" w:eastAsia="+mn-ea" w:hAnsi="Arial" w:cs="Arial"/>
                <w:position w:val="1"/>
                <w:sz w:val="22"/>
                <w:szCs w:val="22"/>
              </w:rPr>
            </w:pPr>
            <w:r w:rsidRPr="00F15EE6">
              <w:rPr>
                <w:rFonts w:ascii="Arial" w:eastAsia="+mn-ea" w:hAnsi="Arial" w:cs="Arial"/>
                <w:position w:val="1"/>
                <w:sz w:val="22"/>
                <w:szCs w:val="22"/>
              </w:rPr>
              <w:t>Key finding 3</w:t>
            </w:r>
          </w:p>
        </w:tc>
      </w:tr>
    </w:tbl>
    <w:p w14:paraId="0A942ABA" w14:textId="77777777" w:rsidR="00D82B64" w:rsidRPr="00F15EE6" w:rsidRDefault="00D82B64" w:rsidP="003052D6">
      <w:pPr>
        <w:pStyle w:val="NormalWeb"/>
        <w:spacing w:before="0" w:beforeAutospacing="0" w:after="0" w:afterAutospacing="0"/>
        <w:rPr>
          <w:rFonts w:ascii="Arial" w:eastAsia="+mn-ea" w:hAnsi="Arial" w:cs="Arial"/>
          <w:position w:val="1"/>
          <w:sz w:val="22"/>
          <w:szCs w:val="22"/>
        </w:rPr>
      </w:pPr>
    </w:p>
    <w:p w14:paraId="7137DBDD" w14:textId="77777777" w:rsidR="00D82B64" w:rsidRPr="00F15EE6" w:rsidRDefault="00D82B64" w:rsidP="003052D6">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D82B64" w:rsidRPr="00F15EE6" w14:paraId="7FBD2727" w14:textId="77777777" w:rsidTr="003052D6">
        <w:tc>
          <w:tcPr>
            <w:tcW w:w="3369" w:type="dxa"/>
            <w:shd w:val="clear" w:color="auto" w:fill="ACD7FF" w:themeFill="accent1" w:themeFillTint="33"/>
          </w:tcPr>
          <w:p w14:paraId="06FA9344" w14:textId="77777777" w:rsidR="00D82B64" w:rsidRPr="00F15EE6" w:rsidRDefault="00D82B64" w:rsidP="003052D6">
            <w:pPr>
              <w:pStyle w:val="NormalWeb"/>
              <w:spacing w:before="60" w:beforeAutospacing="0" w:after="60" w:afterAutospacing="0"/>
              <w:rPr>
                <w:rFonts w:ascii="Arial" w:eastAsia="+mn-ea" w:hAnsi="Arial" w:cs="Arial"/>
                <w:b/>
                <w:position w:val="1"/>
                <w:sz w:val="22"/>
                <w:szCs w:val="22"/>
              </w:rPr>
            </w:pPr>
            <w:r w:rsidRPr="00F15EE6">
              <w:rPr>
                <w:rFonts w:ascii="Arial" w:eastAsia="+mn-ea" w:hAnsi="Arial" w:cs="Arial"/>
                <w:b/>
                <w:position w:val="1"/>
                <w:sz w:val="22"/>
                <w:szCs w:val="22"/>
              </w:rPr>
              <w:t>Approval date</w:t>
            </w:r>
          </w:p>
        </w:tc>
        <w:sdt>
          <w:sdtPr>
            <w:rPr>
              <w:rFonts w:ascii="Arial" w:eastAsia="+mn-ea" w:hAnsi="Arial" w:cs="Arial"/>
              <w:position w:val="1"/>
              <w:sz w:val="22"/>
              <w:szCs w:val="22"/>
            </w:rPr>
            <w:id w:val="1802733087"/>
            <w:showingPlcHdr/>
            <w:date>
              <w:dateFormat w:val="dd/MM/yyyy"/>
              <w:lid w:val="en-GB"/>
              <w:storeMappedDataAs w:val="dateTime"/>
              <w:calendar w:val="gregorian"/>
            </w:date>
          </w:sdtPr>
          <w:sdtEndPr/>
          <w:sdtContent>
            <w:tc>
              <w:tcPr>
                <w:tcW w:w="6945" w:type="dxa"/>
              </w:tcPr>
              <w:p w14:paraId="55F0536C" w14:textId="77777777" w:rsidR="00D82B64" w:rsidRPr="00F15EE6" w:rsidRDefault="00D82B64" w:rsidP="003052D6">
                <w:pPr>
                  <w:pStyle w:val="NormalWeb"/>
                  <w:spacing w:before="60" w:beforeAutospacing="0" w:after="60" w:afterAutospacing="0"/>
                  <w:rPr>
                    <w:rFonts w:ascii="Arial" w:eastAsia="+mn-ea" w:hAnsi="Arial" w:cs="Arial"/>
                    <w:position w:val="1"/>
                    <w:sz w:val="22"/>
                    <w:szCs w:val="22"/>
                  </w:rPr>
                </w:pPr>
                <w:r w:rsidRPr="00F15EE6">
                  <w:rPr>
                    <w:rFonts w:ascii="Arial" w:eastAsia="+mn-ea" w:hAnsi="Arial" w:cs="Arial"/>
                    <w:position w:val="1"/>
                    <w:sz w:val="22"/>
                    <w:szCs w:val="22"/>
                  </w:rPr>
                  <w:t>Click here to enter a date.</w:t>
                </w:r>
              </w:p>
            </w:tc>
          </w:sdtContent>
        </w:sdt>
      </w:tr>
      <w:tr w:rsidR="00D82B64" w:rsidRPr="00F15EE6" w14:paraId="1DA09BB7" w14:textId="77777777" w:rsidTr="003052D6">
        <w:tc>
          <w:tcPr>
            <w:tcW w:w="3369" w:type="dxa"/>
            <w:shd w:val="clear" w:color="auto" w:fill="ACD7FF" w:themeFill="accent1" w:themeFillTint="33"/>
          </w:tcPr>
          <w:p w14:paraId="169409F8" w14:textId="77777777" w:rsidR="00D82B64" w:rsidRPr="00F15EE6" w:rsidRDefault="00D82B64" w:rsidP="003052D6">
            <w:pPr>
              <w:pStyle w:val="NormalWeb"/>
              <w:spacing w:before="60" w:beforeAutospacing="0" w:after="60" w:afterAutospacing="0"/>
              <w:rPr>
                <w:rFonts w:ascii="Arial" w:eastAsia="+mn-ea" w:hAnsi="Arial" w:cs="Arial"/>
                <w:b/>
                <w:position w:val="1"/>
                <w:sz w:val="22"/>
                <w:szCs w:val="22"/>
              </w:rPr>
            </w:pPr>
            <w:r w:rsidRPr="00F15EE6">
              <w:rPr>
                <w:rFonts w:ascii="Arial" w:eastAsia="+mn-ea" w:hAnsi="Arial" w:cs="Arial"/>
                <w:b/>
                <w:position w:val="1"/>
                <w:sz w:val="22"/>
                <w:szCs w:val="22"/>
              </w:rPr>
              <w:t>Review date</w:t>
            </w:r>
          </w:p>
        </w:tc>
        <w:sdt>
          <w:sdtPr>
            <w:rPr>
              <w:rFonts w:ascii="Arial" w:eastAsia="+mn-ea" w:hAnsi="Arial" w:cs="Arial"/>
              <w:position w:val="1"/>
              <w:sz w:val="22"/>
              <w:szCs w:val="22"/>
            </w:rPr>
            <w:id w:val="969868933"/>
            <w:showingPlcHdr/>
            <w:date>
              <w:dateFormat w:val="dd/MM/yyyy"/>
              <w:lid w:val="en-GB"/>
              <w:storeMappedDataAs w:val="dateTime"/>
              <w:calendar w:val="gregorian"/>
            </w:date>
          </w:sdtPr>
          <w:sdtEndPr/>
          <w:sdtContent>
            <w:tc>
              <w:tcPr>
                <w:tcW w:w="6945" w:type="dxa"/>
              </w:tcPr>
              <w:p w14:paraId="484F19E1" w14:textId="77777777" w:rsidR="00D82B64" w:rsidRPr="00F15EE6" w:rsidRDefault="00D82B64" w:rsidP="003052D6">
                <w:pPr>
                  <w:pStyle w:val="NormalWeb"/>
                  <w:spacing w:before="60" w:beforeAutospacing="0" w:after="60" w:afterAutospacing="0"/>
                  <w:rPr>
                    <w:rFonts w:ascii="Arial" w:eastAsia="+mn-ea" w:hAnsi="Arial" w:cs="Arial"/>
                    <w:position w:val="1"/>
                    <w:sz w:val="22"/>
                    <w:szCs w:val="22"/>
                  </w:rPr>
                </w:pPr>
                <w:r w:rsidRPr="00F15EE6">
                  <w:rPr>
                    <w:rFonts w:ascii="Arial" w:eastAsia="+mn-ea" w:hAnsi="Arial" w:cs="Arial"/>
                    <w:position w:val="1"/>
                    <w:sz w:val="22"/>
                    <w:szCs w:val="22"/>
                  </w:rPr>
                  <w:t>Click here to enter a date.</w:t>
                </w:r>
              </w:p>
            </w:tc>
          </w:sdtContent>
        </w:sdt>
      </w:tr>
    </w:tbl>
    <w:p w14:paraId="35828031" w14:textId="77777777" w:rsidR="00D82B64" w:rsidRPr="00F15EE6" w:rsidRDefault="00D82B64" w:rsidP="003052D6">
      <w:pPr>
        <w:pStyle w:val="NormalWeb"/>
        <w:spacing w:before="0" w:beforeAutospacing="0" w:after="0" w:afterAutospacing="0"/>
        <w:rPr>
          <w:rFonts w:ascii="Arial" w:eastAsia="+mn-ea" w:hAnsi="Arial" w:cs="Arial"/>
          <w:position w:val="1"/>
          <w:sz w:val="22"/>
          <w:szCs w:val="22"/>
        </w:rPr>
      </w:pPr>
    </w:p>
    <w:p w14:paraId="6A7CA0EE" w14:textId="77777777" w:rsidR="00D82B64" w:rsidRPr="00F15EE6" w:rsidRDefault="00D82B64" w:rsidP="003052D6">
      <w:pPr>
        <w:pStyle w:val="NormalWeb"/>
        <w:spacing w:before="0" w:beforeAutospacing="0" w:after="0" w:afterAutospacing="0"/>
        <w:ind w:left="142" w:hanging="142"/>
        <w:rPr>
          <w:rFonts w:ascii="Arial" w:eastAsia="+mn-ea" w:hAnsi="Arial" w:cs="Arial"/>
          <w:position w:val="1"/>
          <w:sz w:val="22"/>
          <w:szCs w:val="22"/>
        </w:rPr>
      </w:pPr>
    </w:p>
    <w:p w14:paraId="4A36AF17" w14:textId="77777777" w:rsidR="00D82B64" w:rsidRPr="00F15EE6" w:rsidRDefault="00D82B64">
      <w:pPr>
        <w:rPr>
          <w:rFonts w:cs="Arial"/>
        </w:rPr>
      </w:pPr>
      <w:r w:rsidRPr="00F15EE6">
        <w:rPr>
          <w:rFonts w:cs="Arial"/>
        </w:rPr>
        <w:br w:type="page"/>
      </w:r>
    </w:p>
    <w:p w14:paraId="2EE7DD06" w14:textId="77777777" w:rsidR="00D82B64" w:rsidRPr="00F15EE6" w:rsidRDefault="00D82B64" w:rsidP="003052D6">
      <w:pPr>
        <w:pStyle w:val="NormalWeb"/>
        <w:tabs>
          <w:tab w:val="right" w:pos="10064"/>
        </w:tabs>
        <w:spacing w:before="0" w:beforeAutospacing="0" w:after="0" w:afterAutospacing="0"/>
        <w:rPr>
          <w:rFonts w:ascii="Arial" w:eastAsia="+mn-ea" w:hAnsi="Arial" w:cs="Arial"/>
          <w:b/>
          <w:position w:val="1"/>
          <w:sz w:val="32"/>
          <w:szCs w:val="32"/>
        </w:rPr>
      </w:pPr>
      <w:r w:rsidRPr="00F15EE6">
        <w:rPr>
          <w:rFonts w:ascii="Arial" w:eastAsia="+mn-ea" w:hAnsi="Arial" w:cs="Arial"/>
          <w:b/>
          <w:position w:val="1"/>
          <w:sz w:val="32"/>
          <w:szCs w:val="32"/>
        </w:rPr>
        <w:t xml:space="preserve">Details of Methodology Appraisal – </w:t>
      </w:r>
      <w:sdt>
        <w:sdtPr>
          <w:rPr>
            <w:rFonts w:ascii="Arial" w:eastAsia="+mn-ea" w:hAnsi="Arial" w:cs="Arial"/>
            <w:b/>
            <w:position w:val="1"/>
            <w:sz w:val="32"/>
            <w:szCs w:val="32"/>
          </w:rPr>
          <w:id w:val="1730420586"/>
          <w:date w:fullDate="2017-01-26T00:00:00Z">
            <w:dateFormat w:val="dd/MM/yyyy"/>
            <w:lid w:val="en-GB"/>
            <w:storeMappedDataAs w:val="dateTime"/>
            <w:calendar w:val="gregorian"/>
          </w:date>
        </w:sdtPr>
        <w:sdtEndPr/>
        <w:sdtContent>
          <w:r w:rsidRPr="00F15EE6">
            <w:rPr>
              <w:rFonts w:ascii="Arial" w:eastAsia="+mn-ea" w:hAnsi="Arial" w:cs="Arial"/>
              <w:b/>
              <w:position w:val="1"/>
              <w:sz w:val="32"/>
              <w:szCs w:val="32"/>
            </w:rPr>
            <w:t>26/01/2017</w:t>
          </w:r>
        </w:sdtContent>
      </w:sdt>
      <w:r w:rsidRPr="00F15EE6">
        <w:rPr>
          <w:rFonts w:ascii="Arial" w:eastAsia="+mn-ea" w:hAnsi="Arial" w:cs="Arial"/>
          <w:b/>
          <w:position w:val="1"/>
          <w:sz w:val="32"/>
          <w:szCs w:val="32"/>
        </w:rPr>
        <w:tab/>
      </w:r>
    </w:p>
    <w:p w14:paraId="1016F697" w14:textId="77777777" w:rsidR="00D82B64" w:rsidRPr="00F15EE6" w:rsidRDefault="00D82B64" w:rsidP="003052D6">
      <w:pPr>
        <w:pStyle w:val="NormalWeb"/>
        <w:spacing w:before="0" w:beforeAutospacing="0" w:after="0" w:afterAutospacing="0"/>
        <w:rPr>
          <w:rFonts w:ascii="Arial" w:eastAsia="+mn-ea" w:hAnsi="Arial" w:cs="Arial"/>
          <w:b/>
          <w:position w:val="1"/>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D82B64" w:rsidRPr="00F15EE6" w14:paraId="25763ED2" w14:textId="77777777" w:rsidTr="003052D6">
        <w:tc>
          <w:tcPr>
            <w:tcW w:w="3369" w:type="dxa"/>
            <w:shd w:val="clear" w:color="auto" w:fill="ACD7FF" w:themeFill="accent1" w:themeFillTint="33"/>
          </w:tcPr>
          <w:p w14:paraId="5BFEB64D" w14:textId="77777777" w:rsidR="00D82B64" w:rsidRPr="00F15EE6" w:rsidRDefault="00D82B64" w:rsidP="003052D6">
            <w:pPr>
              <w:pStyle w:val="NormalWeb"/>
              <w:spacing w:beforeLines="60" w:before="144" w:beforeAutospacing="0" w:afterLines="60" w:after="144" w:afterAutospacing="0"/>
              <w:rPr>
                <w:rFonts w:ascii="Arial" w:eastAsia="+mn-ea" w:hAnsi="Arial" w:cs="Arial"/>
                <w:b/>
                <w:position w:val="1"/>
                <w:sz w:val="22"/>
                <w:szCs w:val="22"/>
              </w:rPr>
            </w:pPr>
            <w:r w:rsidRPr="00F15EE6">
              <w:rPr>
                <w:rFonts w:ascii="Arial" w:eastAsia="+mn-ea" w:hAnsi="Arial" w:cs="Arial"/>
                <w:b/>
                <w:position w:val="1"/>
                <w:sz w:val="22"/>
                <w:szCs w:val="22"/>
              </w:rPr>
              <w:t>Methodology appraisal body</w:t>
            </w:r>
          </w:p>
        </w:tc>
        <w:tc>
          <w:tcPr>
            <w:tcW w:w="6945" w:type="dxa"/>
          </w:tcPr>
          <w:p w14:paraId="55A491B2" w14:textId="77777777" w:rsidR="00D82B64" w:rsidRPr="00F15EE6" w:rsidRDefault="00D82B64" w:rsidP="003052D6">
            <w:pPr>
              <w:pStyle w:val="NormalWeb"/>
              <w:spacing w:beforeLines="60" w:before="144" w:beforeAutospacing="0" w:afterLines="60" w:after="144" w:afterAutospacing="0"/>
              <w:rPr>
                <w:rFonts w:ascii="Arial" w:eastAsia="+mn-ea" w:hAnsi="Arial" w:cs="Arial"/>
                <w:position w:val="1"/>
                <w:sz w:val="22"/>
                <w:szCs w:val="22"/>
              </w:rPr>
            </w:pPr>
            <w:r w:rsidRPr="00F15EE6">
              <w:rPr>
                <w:rFonts w:ascii="Arial" w:eastAsia="+mn-ea" w:hAnsi="Arial" w:cs="Arial"/>
                <w:position w:val="1"/>
                <w:sz w:val="22"/>
                <w:szCs w:val="22"/>
              </w:rPr>
              <w:t>Indicator &amp; Methodology Assurance Service</w:t>
            </w:r>
          </w:p>
        </w:tc>
      </w:tr>
      <w:tr w:rsidR="00D82B64" w:rsidRPr="00F15EE6" w14:paraId="5B0F53BC" w14:textId="77777777" w:rsidTr="00305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ACD7FF" w:themeFill="accent1" w:themeFillTint="33"/>
          </w:tcPr>
          <w:p w14:paraId="4454BA02" w14:textId="77777777" w:rsidR="00D82B64" w:rsidRPr="00F15EE6" w:rsidRDefault="00D82B64" w:rsidP="003052D6">
            <w:pPr>
              <w:pStyle w:val="NormalWeb"/>
              <w:spacing w:beforeLines="60" w:before="144" w:beforeAutospacing="0" w:afterLines="60" w:after="144" w:afterAutospacing="0"/>
              <w:rPr>
                <w:rFonts w:ascii="Arial" w:eastAsia="+mn-ea" w:hAnsi="Arial" w:cs="Arial"/>
                <w:position w:val="1"/>
                <w:sz w:val="22"/>
                <w:szCs w:val="22"/>
              </w:rPr>
            </w:pPr>
            <w:r w:rsidRPr="00F15EE6">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0170AFA7" w14:textId="77777777" w:rsidR="00D82B64" w:rsidRPr="00F15EE6" w:rsidRDefault="00D82B64" w:rsidP="003052D6">
                <w:pPr>
                  <w:pStyle w:val="NormalWeb"/>
                  <w:spacing w:beforeLines="60" w:before="144" w:beforeAutospacing="0" w:afterLines="60" w:after="144" w:afterAutospacing="0"/>
                  <w:rPr>
                    <w:rFonts w:ascii="Arial" w:eastAsia="+mn-ea" w:hAnsi="Arial" w:cs="Arial"/>
                    <w:position w:val="1"/>
                    <w:sz w:val="22"/>
                    <w:szCs w:val="22"/>
                  </w:rPr>
                </w:pPr>
                <w:r w:rsidRPr="00F15EE6">
                  <w:rPr>
                    <w:rFonts w:ascii="Arial" w:eastAsia="+mn-ea" w:hAnsi="Arial" w:cs="Arial"/>
                    <w:position w:val="1"/>
                    <w:sz w:val="22"/>
                    <w:szCs w:val="22"/>
                  </w:rPr>
                  <w:t>Initial assurance</w:t>
                </w:r>
              </w:p>
            </w:tc>
          </w:sdtContent>
        </w:sdt>
      </w:tr>
      <w:tr w:rsidR="00D82B64" w:rsidRPr="00F15EE6" w14:paraId="07310388" w14:textId="77777777" w:rsidTr="00305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ACD7FF" w:themeFill="accent1" w:themeFillTint="33"/>
          </w:tcPr>
          <w:p w14:paraId="760C4ABB" w14:textId="77777777" w:rsidR="00D82B64" w:rsidRPr="00F15EE6" w:rsidRDefault="00D82B64" w:rsidP="003052D6">
            <w:pPr>
              <w:pStyle w:val="NormalWeb"/>
              <w:spacing w:beforeLines="60" w:before="144" w:beforeAutospacing="0" w:afterLines="60" w:after="144" w:afterAutospacing="0"/>
              <w:rPr>
                <w:rFonts w:ascii="Arial" w:eastAsia="+mn-ea" w:hAnsi="Arial" w:cs="Arial"/>
                <w:position w:val="1"/>
                <w:sz w:val="22"/>
                <w:szCs w:val="22"/>
              </w:rPr>
            </w:pPr>
            <w:r w:rsidRPr="00F15EE6">
              <w:rPr>
                <w:rFonts w:ascii="Arial" w:eastAsia="+mn-ea" w:hAnsi="Arial" w:cs="Arial"/>
                <w:b/>
                <w:position w:val="1"/>
                <w:sz w:val="22"/>
                <w:szCs w:val="22"/>
              </w:rPr>
              <w:t>Iteration</w:t>
            </w:r>
          </w:p>
        </w:tc>
        <w:tc>
          <w:tcPr>
            <w:tcW w:w="6945" w:type="dxa"/>
            <w:tcBorders>
              <w:top w:val="nil"/>
              <w:left w:val="nil"/>
              <w:bottom w:val="nil"/>
              <w:right w:val="nil"/>
            </w:tcBorders>
          </w:tcPr>
          <w:p w14:paraId="509BE1C4" w14:textId="77777777" w:rsidR="00D82B64" w:rsidRPr="00F15EE6" w:rsidRDefault="00D82B64" w:rsidP="003052D6">
            <w:pPr>
              <w:pStyle w:val="NormalWeb"/>
              <w:spacing w:beforeLines="60" w:before="144" w:beforeAutospacing="0" w:afterLines="60" w:after="144" w:afterAutospacing="0"/>
              <w:rPr>
                <w:rFonts w:ascii="Arial" w:eastAsia="+mn-ea" w:hAnsi="Arial" w:cs="Arial"/>
                <w:position w:val="1"/>
                <w:sz w:val="22"/>
                <w:szCs w:val="22"/>
              </w:rPr>
            </w:pPr>
            <w:r w:rsidRPr="00F15EE6">
              <w:rPr>
                <w:rFonts w:ascii="Arial" w:eastAsia="+mn-ea" w:hAnsi="Arial" w:cs="Arial"/>
                <w:position w:val="1"/>
                <w:sz w:val="22"/>
                <w:szCs w:val="22"/>
              </w:rPr>
              <w:t>3rd MRG meeting*</w:t>
            </w:r>
          </w:p>
        </w:tc>
      </w:tr>
    </w:tbl>
    <w:p w14:paraId="7E613E63" w14:textId="77777777" w:rsidR="00D82B64" w:rsidRPr="00F15EE6" w:rsidRDefault="00D82B64" w:rsidP="003052D6">
      <w:pPr>
        <w:rPr>
          <w:rFonts w:cs="Arial"/>
          <w:sz w:val="6"/>
        </w:rPr>
      </w:pPr>
    </w:p>
    <w:p w14:paraId="73A34ED4" w14:textId="77777777" w:rsidR="00D82B64" w:rsidRPr="00F15EE6" w:rsidRDefault="00D82B64" w:rsidP="003052D6">
      <w:pPr>
        <w:rPr>
          <w:rFonts w:cs="Arial"/>
        </w:rPr>
      </w:pPr>
      <w:r w:rsidRPr="00F15EE6">
        <w:rPr>
          <w:rFonts w:cs="Arial"/>
        </w:rPr>
        <w:t>*This indicator was previously discussed at MRG in 2015 – records of these discussions can be found in the repository.</w:t>
      </w:r>
    </w:p>
    <w:p w14:paraId="5B140663" w14:textId="77777777" w:rsidR="00D82B64" w:rsidRPr="00F15EE6" w:rsidRDefault="00D82B64" w:rsidP="003052D6">
      <w:pPr>
        <w:spacing w:after="0"/>
        <w:rPr>
          <w:rFonts w:eastAsia="+mn-ea" w:cs="Arial"/>
          <w:b/>
          <w:i/>
          <w:position w:val="1"/>
          <w:sz w:val="26"/>
          <w:szCs w:val="26"/>
          <w:lang w:eastAsia="en-GB"/>
        </w:rPr>
      </w:pPr>
      <w:r w:rsidRPr="00F15EE6">
        <w:rPr>
          <w:rFonts w:eastAsia="+mn-ea" w:cs="Arial"/>
          <w:b/>
          <w:i/>
          <w:position w:val="1"/>
          <w:sz w:val="26"/>
          <w:szCs w:val="26"/>
          <w:lang w:eastAsia="en-GB"/>
        </w:rPr>
        <w:t>Suggested Assurance Rating by Methodology Appraisal Body</w:t>
      </w:r>
    </w:p>
    <w:p w14:paraId="2A45E90B" w14:textId="77777777" w:rsidR="00D82B64" w:rsidRPr="00F15EE6" w:rsidRDefault="000E3494" w:rsidP="003052D6">
      <w:pPr>
        <w:spacing w:after="0"/>
        <w:jc w:val="center"/>
        <w:rPr>
          <w:rFonts w:eastAsia="+mn-ea" w:cs="Arial"/>
          <w:b/>
          <w:position w:val="1"/>
          <w:sz w:val="26"/>
          <w:szCs w:val="26"/>
          <w:lang w:eastAsia="en-GB"/>
        </w:rPr>
      </w:pPr>
      <w:r>
        <w:rPr>
          <w:rFonts w:eastAsia="+mn-ea" w:cs="Arial"/>
          <w:b/>
          <w:position w:val="1"/>
          <w:sz w:val="26"/>
          <w:szCs w:val="26"/>
          <w:lang w:eastAsia="en-GB"/>
        </w:rPr>
        <w:pict w14:anchorId="475B4FEF">
          <v:rect id="_x0000_i1027" style="width:503.2pt;height:1.5pt" o:hralign="center" o:hrstd="t" o:hr="t" fillcolor="#a0a0a0" stroked="f"/>
        </w:pict>
      </w:r>
    </w:p>
    <w:tbl>
      <w:tblPr>
        <w:tblStyle w:val="TableGrid1"/>
        <w:tblW w:w="0" w:type="auto"/>
        <w:tblLook w:val="04A0" w:firstRow="1" w:lastRow="0" w:firstColumn="1" w:lastColumn="0" w:noHBand="0" w:noVBand="1"/>
      </w:tblPr>
      <w:tblGrid>
        <w:gridCol w:w="3899"/>
        <w:gridCol w:w="2162"/>
      </w:tblGrid>
      <w:tr w:rsidR="00EC7356" w:rsidRPr="00F15EE6" w14:paraId="69C64CB2" w14:textId="77777777" w:rsidTr="00EC7356">
        <w:tc>
          <w:tcPr>
            <w:tcW w:w="3899" w:type="dxa"/>
          </w:tcPr>
          <w:p w14:paraId="1DCB3017" w14:textId="77777777" w:rsidR="00EC7356" w:rsidRPr="00F15EE6" w:rsidRDefault="00EC7356" w:rsidP="00EC7356">
            <w:pPr>
              <w:spacing w:before="120"/>
              <w:rPr>
                <w:rFonts w:eastAsia="+mn-ea"/>
                <w:b/>
                <w:position w:val="1"/>
                <w:sz w:val="26"/>
                <w:szCs w:val="26"/>
              </w:rPr>
            </w:pPr>
            <w:r w:rsidRPr="00F15EE6">
              <w:rPr>
                <w:rFonts w:eastAsia="+mn-ea"/>
                <w:b/>
                <w:position w:val="1"/>
                <w:sz w:val="26"/>
                <w:szCs w:val="26"/>
              </w:rPr>
              <w:t>Ratings Against Assessment Criteria</w:t>
            </w:r>
          </w:p>
          <w:p w14:paraId="2C6B99FA" w14:textId="77777777" w:rsidR="00EC7356" w:rsidRPr="00F15EE6" w:rsidRDefault="00EC7356" w:rsidP="003052D6">
            <w:pPr>
              <w:spacing w:line="360" w:lineRule="auto"/>
              <w:rPr>
                <w:rFonts w:eastAsia="+mn-ea"/>
                <w:position w:val="1"/>
                <w:szCs w:val="40"/>
              </w:rPr>
            </w:pPr>
          </w:p>
        </w:tc>
        <w:tc>
          <w:tcPr>
            <w:tcW w:w="2162" w:type="dxa"/>
          </w:tcPr>
          <w:p w14:paraId="36FED88C" w14:textId="77777777" w:rsidR="00EC7356" w:rsidRPr="00F15EE6" w:rsidRDefault="00EC7356" w:rsidP="003052D6">
            <w:pPr>
              <w:spacing w:line="360" w:lineRule="auto"/>
              <w:jc w:val="center"/>
              <w:rPr>
                <w:b/>
                <w:noProof/>
                <w:lang w:eastAsia="en-GB"/>
              </w:rPr>
            </w:pPr>
          </w:p>
        </w:tc>
      </w:tr>
      <w:tr w:rsidR="00F15EE6" w:rsidRPr="00F15EE6" w14:paraId="1111C194" w14:textId="77777777" w:rsidTr="00EC7356">
        <w:tc>
          <w:tcPr>
            <w:tcW w:w="3899" w:type="dxa"/>
            <w:hideMark/>
          </w:tcPr>
          <w:p w14:paraId="130BA889" w14:textId="77777777" w:rsidR="00EC7356" w:rsidRPr="00F15EE6" w:rsidRDefault="00EC7356" w:rsidP="003052D6">
            <w:pPr>
              <w:spacing w:line="360" w:lineRule="auto"/>
              <w:rPr>
                <w:rFonts w:eastAsia="+mn-ea"/>
                <w:position w:val="1"/>
                <w:sz w:val="26"/>
                <w:szCs w:val="26"/>
              </w:rPr>
            </w:pPr>
            <w:r w:rsidRPr="00F15EE6">
              <w:rPr>
                <w:rFonts w:eastAsia="+mn-ea"/>
                <w:position w:val="1"/>
                <w:szCs w:val="40"/>
              </w:rPr>
              <w:t>Clarity</w:t>
            </w:r>
          </w:p>
        </w:tc>
        <w:tc>
          <w:tcPr>
            <w:tcW w:w="2162" w:type="dxa"/>
            <w:hideMark/>
          </w:tcPr>
          <w:p w14:paraId="414D43C5" w14:textId="409B2E88" w:rsidR="00EC7356" w:rsidRPr="00F15EE6" w:rsidRDefault="00EC7356" w:rsidP="003052D6">
            <w:pPr>
              <w:spacing w:line="360" w:lineRule="auto"/>
              <w:jc w:val="center"/>
              <w:rPr>
                <w:rFonts w:eastAsia="+mn-ea"/>
                <w:b/>
                <w:position w:val="1"/>
                <w:sz w:val="26"/>
                <w:szCs w:val="26"/>
              </w:rPr>
            </w:pPr>
            <w:r w:rsidRPr="00F15EE6">
              <w:rPr>
                <w:rFonts w:eastAsia="+mn-ea"/>
                <w:b/>
                <w:position w:val="1"/>
                <w:sz w:val="26"/>
                <w:szCs w:val="26"/>
              </w:rPr>
              <w:t>Fit for use</w:t>
            </w:r>
          </w:p>
        </w:tc>
      </w:tr>
      <w:tr w:rsidR="00F15EE6" w:rsidRPr="00F15EE6" w14:paraId="5453CA38" w14:textId="77777777" w:rsidTr="00EC7356">
        <w:tc>
          <w:tcPr>
            <w:tcW w:w="3899" w:type="dxa"/>
            <w:hideMark/>
          </w:tcPr>
          <w:p w14:paraId="713BF53F" w14:textId="77777777" w:rsidR="00EC7356" w:rsidRPr="00F15EE6" w:rsidRDefault="00EC7356" w:rsidP="003052D6">
            <w:pPr>
              <w:spacing w:line="360" w:lineRule="auto"/>
              <w:rPr>
                <w:rFonts w:eastAsia="+mn-ea"/>
                <w:position w:val="1"/>
                <w:sz w:val="26"/>
                <w:szCs w:val="26"/>
              </w:rPr>
            </w:pPr>
            <w:r w:rsidRPr="00F15EE6">
              <w:rPr>
                <w:rFonts w:eastAsia="+mn-ea"/>
                <w:position w:val="1"/>
                <w:szCs w:val="40"/>
              </w:rPr>
              <w:t>Rationale</w:t>
            </w:r>
          </w:p>
        </w:tc>
        <w:tc>
          <w:tcPr>
            <w:tcW w:w="2162" w:type="dxa"/>
            <w:hideMark/>
          </w:tcPr>
          <w:p w14:paraId="243C71B7" w14:textId="1C54F61E" w:rsidR="00EC7356" w:rsidRPr="00F15EE6" w:rsidRDefault="00EC7356" w:rsidP="003052D6">
            <w:pPr>
              <w:spacing w:line="360" w:lineRule="auto"/>
              <w:jc w:val="center"/>
              <w:rPr>
                <w:rFonts w:eastAsia="+mn-ea"/>
                <w:b/>
                <w:position w:val="1"/>
                <w:sz w:val="26"/>
                <w:szCs w:val="26"/>
              </w:rPr>
            </w:pPr>
            <w:r w:rsidRPr="00F15EE6">
              <w:rPr>
                <w:rFonts w:eastAsia="+mn-ea"/>
                <w:b/>
                <w:position w:val="1"/>
                <w:sz w:val="26"/>
                <w:szCs w:val="26"/>
              </w:rPr>
              <w:t xml:space="preserve"> Fit for use</w:t>
            </w:r>
          </w:p>
        </w:tc>
      </w:tr>
      <w:tr w:rsidR="00F15EE6" w:rsidRPr="00F15EE6" w14:paraId="15C4A189" w14:textId="77777777" w:rsidTr="00EC7356">
        <w:tc>
          <w:tcPr>
            <w:tcW w:w="3899" w:type="dxa"/>
            <w:hideMark/>
          </w:tcPr>
          <w:p w14:paraId="2D81B0D1" w14:textId="77777777" w:rsidR="00EC7356" w:rsidRPr="00F15EE6" w:rsidRDefault="00EC7356" w:rsidP="003052D6">
            <w:pPr>
              <w:spacing w:line="360" w:lineRule="auto"/>
              <w:rPr>
                <w:rFonts w:eastAsia="+mn-ea"/>
                <w:position w:val="1"/>
                <w:sz w:val="26"/>
                <w:szCs w:val="26"/>
              </w:rPr>
            </w:pPr>
            <w:r w:rsidRPr="00F15EE6">
              <w:rPr>
                <w:rFonts w:eastAsia="+mn-ea"/>
                <w:position w:val="1"/>
                <w:szCs w:val="40"/>
              </w:rPr>
              <w:t>Data</w:t>
            </w:r>
          </w:p>
        </w:tc>
        <w:tc>
          <w:tcPr>
            <w:tcW w:w="2162" w:type="dxa"/>
            <w:hideMark/>
          </w:tcPr>
          <w:p w14:paraId="63692009" w14:textId="0272A728" w:rsidR="00EC7356" w:rsidRPr="00F15EE6" w:rsidRDefault="00EC7356" w:rsidP="003052D6">
            <w:pPr>
              <w:spacing w:line="360" w:lineRule="auto"/>
              <w:jc w:val="center"/>
              <w:rPr>
                <w:rFonts w:eastAsia="+mn-ea"/>
                <w:b/>
                <w:position w:val="1"/>
                <w:sz w:val="26"/>
                <w:szCs w:val="26"/>
              </w:rPr>
            </w:pPr>
            <w:r w:rsidRPr="00F15EE6">
              <w:rPr>
                <w:rFonts w:eastAsia="+mn-ea"/>
                <w:b/>
                <w:position w:val="1"/>
                <w:sz w:val="26"/>
                <w:szCs w:val="26"/>
              </w:rPr>
              <w:t xml:space="preserve"> Fit for use with caveats</w:t>
            </w:r>
          </w:p>
        </w:tc>
      </w:tr>
      <w:tr w:rsidR="00F15EE6" w:rsidRPr="00F15EE6" w14:paraId="4C18C731" w14:textId="77777777" w:rsidTr="00EC7356">
        <w:tc>
          <w:tcPr>
            <w:tcW w:w="3899" w:type="dxa"/>
            <w:hideMark/>
          </w:tcPr>
          <w:p w14:paraId="3375C1FD" w14:textId="77777777" w:rsidR="00EC7356" w:rsidRPr="00F15EE6" w:rsidRDefault="00EC7356" w:rsidP="003052D6">
            <w:pPr>
              <w:spacing w:line="360" w:lineRule="auto"/>
              <w:rPr>
                <w:rFonts w:eastAsia="+mn-ea"/>
                <w:position w:val="1"/>
                <w:sz w:val="26"/>
                <w:szCs w:val="26"/>
              </w:rPr>
            </w:pPr>
            <w:r w:rsidRPr="00F15EE6">
              <w:rPr>
                <w:rFonts w:eastAsia="+mn-ea"/>
                <w:position w:val="1"/>
                <w:szCs w:val="40"/>
              </w:rPr>
              <w:t>Construction</w:t>
            </w:r>
          </w:p>
        </w:tc>
        <w:tc>
          <w:tcPr>
            <w:tcW w:w="2162" w:type="dxa"/>
            <w:hideMark/>
          </w:tcPr>
          <w:p w14:paraId="479FC9BF" w14:textId="03835D3C" w:rsidR="00EC7356" w:rsidRPr="00F15EE6" w:rsidRDefault="00EC7356" w:rsidP="003052D6">
            <w:pPr>
              <w:spacing w:line="360" w:lineRule="auto"/>
              <w:jc w:val="center"/>
              <w:rPr>
                <w:rFonts w:eastAsia="+mn-ea"/>
                <w:b/>
                <w:position w:val="1"/>
                <w:sz w:val="26"/>
                <w:szCs w:val="26"/>
              </w:rPr>
            </w:pPr>
            <w:r w:rsidRPr="00F15EE6">
              <w:rPr>
                <w:rFonts w:eastAsia="+mn-ea"/>
                <w:b/>
                <w:position w:val="1"/>
                <w:sz w:val="26"/>
                <w:szCs w:val="26"/>
              </w:rPr>
              <w:t xml:space="preserve"> Fit for use</w:t>
            </w:r>
          </w:p>
        </w:tc>
      </w:tr>
      <w:tr w:rsidR="00F15EE6" w:rsidRPr="00F15EE6" w14:paraId="3AE98BA7" w14:textId="77777777" w:rsidTr="00EC7356">
        <w:tc>
          <w:tcPr>
            <w:tcW w:w="3899" w:type="dxa"/>
            <w:hideMark/>
          </w:tcPr>
          <w:p w14:paraId="6D9E7119" w14:textId="77777777" w:rsidR="00EC7356" w:rsidRPr="00F15EE6" w:rsidRDefault="00EC7356" w:rsidP="003052D6">
            <w:pPr>
              <w:spacing w:line="360" w:lineRule="auto"/>
              <w:rPr>
                <w:rFonts w:eastAsia="+mn-ea"/>
                <w:position w:val="1"/>
                <w:sz w:val="26"/>
                <w:szCs w:val="26"/>
              </w:rPr>
            </w:pPr>
            <w:r w:rsidRPr="00F15EE6">
              <w:rPr>
                <w:rFonts w:eastAsia="+mn-ea"/>
                <w:position w:val="1"/>
                <w:szCs w:val="40"/>
              </w:rPr>
              <w:t>Presentation and Interpretation</w:t>
            </w:r>
          </w:p>
        </w:tc>
        <w:tc>
          <w:tcPr>
            <w:tcW w:w="2162" w:type="dxa"/>
            <w:hideMark/>
          </w:tcPr>
          <w:p w14:paraId="7265C52A" w14:textId="619C8703" w:rsidR="00EC7356" w:rsidRPr="00F15EE6" w:rsidRDefault="00EC7356" w:rsidP="003052D6">
            <w:pPr>
              <w:spacing w:line="360" w:lineRule="auto"/>
              <w:jc w:val="center"/>
              <w:rPr>
                <w:rFonts w:eastAsia="+mn-ea"/>
                <w:b/>
                <w:position w:val="1"/>
                <w:sz w:val="26"/>
                <w:szCs w:val="26"/>
              </w:rPr>
            </w:pPr>
            <w:r w:rsidRPr="00F15EE6">
              <w:rPr>
                <w:rFonts w:eastAsia="+mn-ea"/>
                <w:b/>
                <w:position w:val="1"/>
                <w:sz w:val="26"/>
                <w:szCs w:val="26"/>
              </w:rPr>
              <w:t xml:space="preserve"> Fit for use</w:t>
            </w:r>
          </w:p>
        </w:tc>
      </w:tr>
      <w:tr w:rsidR="00F15EE6" w:rsidRPr="00F15EE6" w14:paraId="3599D412" w14:textId="77777777" w:rsidTr="00EC7356">
        <w:tc>
          <w:tcPr>
            <w:tcW w:w="3899" w:type="dxa"/>
            <w:hideMark/>
          </w:tcPr>
          <w:p w14:paraId="2C9F5DA3" w14:textId="77777777" w:rsidR="00EC7356" w:rsidRPr="00F15EE6" w:rsidRDefault="00EC7356" w:rsidP="003052D6">
            <w:pPr>
              <w:spacing w:line="360" w:lineRule="auto"/>
              <w:rPr>
                <w:rFonts w:eastAsia="+mn-ea"/>
                <w:position w:val="1"/>
                <w:sz w:val="26"/>
                <w:szCs w:val="26"/>
              </w:rPr>
            </w:pPr>
            <w:r w:rsidRPr="00F15EE6">
              <w:rPr>
                <w:rFonts w:eastAsia="+mn-ea"/>
                <w:position w:val="1"/>
                <w:szCs w:val="40"/>
              </w:rPr>
              <w:t>Risks and Usefulness</w:t>
            </w:r>
          </w:p>
        </w:tc>
        <w:tc>
          <w:tcPr>
            <w:tcW w:w="2162" w:type="dxa"/>
            <w:hideMark/>
          </w:tcPr>
          <w:p w14:paraId="78D7F321" w14:textId="4CF4621C" w:rsidR="00EC7356" w:rsidRPr="00F15EE6" w:rsidRDefault="00EC7356" w:rsidP="003052D6">
            <w:pPr>
              <w:spacing w:line="360" w:lineRule="auto"/>
              <w:jc w:val="center"/>
              <w:rPr>
                <w:rFonts w:eastAsia="+mn-ea"/>
                <w:b/>
                <w:position w:val="1"/>
                <w:sz w:val="26"/>
                <w:szCs w:val="26"/>
              </w:rPr>
            </w:pPr>
            <w:r w:rsidRPr="00F15EE6">
              <w:rPr>
                <w:rFonts w:eastAsia="+mn-ea"/>
                <w:b/>
                <w:position w:val="1"/>
                <w:sz w:val="26"/>
                <w:szCs w:val="26"/>
              </w:rPr>
              <w:t xml:space="preserve"> Fit for use with caveats</w:t>
            </w:r>
          </w:p>
        </w:tc>
      </w:tr>
      <w:tr w:rsidR="00F15EE6" w:rsidRPr="00F15EE6" w14:paraId="7CE07473" w14:textId="77777777" w:rsidTr="00EC7356">
        <w:tc>
          <w:tcPr>
            <w:tcW w:w="3899" w:type="dxa"/>
          </w:tcPr>
          <w:p w14:paraId="793A2728" w14:textId="77777777" w:rsidR="00EC7356" w:rsidRPr="00F15EE6" w:rsidRDefault="00EC7356" w:rsidP="00EC7356">
            <w:pPr>
              <w:spacing w:before="120"/>
              <w:jc w:val="center"/>
              <w:rPr>
                <w:rFonts w:eastAsia="+mn-ea"/>
                <w:b/>
                <w:position w:val="1"/>
                <w:sz w:val="26"/>
                <w:szCs w:val="26"/>
              </w:rPr>
            </w:pPr>
            <w:r w:rsidRPr="00F15EE6">
              <w:rPr>
                <w:rFonts w:eastAsia="+mn-ea"/>
                <w:b/>
                <w:position w:val="1"/>
                <w:sz w:val="26"/>
                <w:szCs w:val="26"/>
              </w:rPr>
              <w:t>Overall Rating</w:t>
            </w:r>
          </w:p>
          <w:p w14:paraId="0FAE58F3" w14:textId="77777777" w:rsidR="00EC7356" w:rsidRPr="00F15EE6" w:rsidRDefault="00EC7356" w:rsidP="00EC7356">
            <w:pPr>
              <w:spacing w:line="360" w:lineRule="auto"/>
              <w:rPr>
                <w:rFonts w:eastAsia="+mn-ea"/>
                <w:position w:val="1"/>
                <w:szCs w:val="40"/>
              </w:rPr>
            </w:pPr>
          </w:p>
        </w:tc>
        <w:tc>
          <w:tcPr>
            <w:tcW w:w="2162" w:type="dxa"/>
          </w:tcPr>
          <w:sdt>
            <w:sdtPr>
              <w:rPr>
                <w:rFonts w:eastAsia="+mn-ea"/>
                <w:b/>
                <w:position w:val="1"/>
                <w:sz w:val="26"/>
                <w:szCs w:val="26"/>
              </w:rPr>
              <w:alias w:val="MRG rating"/>
              <w:tag w:val="MRG rating"/>
              <w:id w:val="-768004364"/>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2E972A49" w14:textId="118ED1FD" w:rsidR="00EC7356" w:rsidRPr="00F15EE6" w:rsidRDefault="00EC7356" w:rsidP="00EC7356">
                <w:pPr>
                  <w:spacing w:line="360" w:lineRule="auto"/>
                  <w:jc w:val="center"/>
                  <w:rPr>
                    <w:b/>
                    <w:noProof/>
                    <w:lang w:eastAsia="en-GB"/>
                  </w:rPr>
                </w:pPr>
                <w:r w:rsidRPr="00F15EE6">
                  <w:rPr>
                    <w:rFonts w:eastAsia="+mn-ea"/>
                    <w:b/>
                    <w:position w:val="1"/>
                    <w:sz w:val="26"/>
                    <w:szCs w:val="26"/>
                  </w:rPr>
                  <w:t>Fit for use with caveats</w:t>
                </w:r>
              </w:p>
            </w:sdtContent>
          </w:sdt>
        </w:tc>
      </w:tr>
    </w:tbl>
    <w:p w14:paraId="69698D9B" w14:textId="77777777" w:rsidR="00D82B64" w:rsidRPr="00F15EE6" w:rsidRDefault="00D82B64" w:rsidP="003052D6">
      <w:pPr>
        <w:spacing w:before="240"/>
        <w:rPr>
          <w:rFonts w:eastAsia="+mn-ea" w:cs="Arial"/>
          <w:b/>
          <w:position w:val="1"/>
          <w:szCs w:val="40"/>
        </w:rPr>
      </w:pPr>
      <w:r w:rsidRPr="00F15EE6">
        <w:rPr>
          <w:rFonts w:eastAsia="+mn-ea" w:cs="Arial"/>
          <w:b/>
          <w:position w:val="1"/>
          <w:szCs w:val="40"/>
        </w:rPr>
        <w:t>Summary Recommendation to Applicant:</w:t>
      </w:r>
    </w:p>
    <w:p w14:paraId="116A4FB3" w14:textId="77777777" w:rsidR="00D82B64" w:rsidRPr="00F15EE6" w:rsidRDefault="00D82B64" w:rsidP="003052D6">
      <w:pPr>
        <w:rPr>
          <w:rFonts w:cs="Arial"/>
        </w:rPr>
      </w:pPr>
      <w:r w:rsidRPr="00F15EE6">
        <w:rPr>
          <w:rFonts w:cs="Arial"/>
        </w:rPr>
        <w:t>MRG would like to thank the applicants for submitting a good quality application to the group for consideration. On the basis that updates are made to the paperwork to ensure all the methodology is transparent and justified fully, the group are pleased to give the indicator a rating of “Fit for use with caveats” and recommend to IGB that it is included in the National Library of Quality Assured Indicators. They are assuring the indicator based on the following:</w:t>
      </w:r>
    </w:p>
    <w:p w14:paraId="36803815" w14:textId="77777777" w:rsidR="00D82B64" w:rsidRPr="00F15EE6" w:rsidRDefault="00D82B64" w:rsidP="00D82B64">
      <w:pPr>
        <w:pStyle w:val="ListParagraph"/>
        <w:numPr>
          <w:ilvl w:val="0"/>
          <w:numId w:val="18"/>
        </w:numPr>
        <w:spacing w:after="200" w:line="276" w:lineRule="auto"/>
        <w:contextualSpacing/>
        <w:textboxTightWrap w:val="none"/>
        <w:rPr>
          <w:rFonts w:cs="Arial"/>
        </w:rPr>
      </w:pPr>
      <w:r w:rsidRPr="00F15EE6">
        <w:rPr>
          <w:rFonts w:cs="Arial"/>
        </w:rPr>
        <w:t>That it is not used for performance management purposes, including financial incentives. The indicator should rather be used as a flag for further investigation and improvements.</w:t>
      </w:r>
    </w:p>
    <w:p w14:paraId="6FF43DFD" w14:textId="77777777" w:rsidR="00D82B64" w:rsidRPr="00F15EE6" w:rsidRDefault="00D82B64" w:rsidP="00D82B64">
      <w:pPr>
        <w:pStyle w:val="ListParagraph"/>
        <w:numPr>
          <w:ilvl w:val="0"/>
          <w:numId w:val="18"/>
        </w:numPr>
        <w:spacing w:after="200" w:line="276" w:lineRule="auto"/>
        <w:contextualSpacing/>
        <w:textboxTightWrap w:val="none"/>
        <w:rPr>
          <w:rFonts w:cs="Arial"/>
        </w:rPr>
      </w:pPr>
      <w:r w:rsidRPr="00F15EE6">
        <w:rPr>
          <w:rFonts w:cs="Arial"/>
        </w:rPr>
        <w:t>That it is not reported at any lower level than CCG, including GP practice level.</w:t>
      </w:r>
    </w:p>
    <w:p w14:paraId="07FB143D" w14:textId="77777777" w:rsidR="00D82B64" w:rsidRPr="00F15EE6" w:rsidRDefault="00D82B64" w:rsidP="00D82B64">
      <w:pPr>
        <w:pStyle w:val="ListParagraph"/>
        <w:numPr>
          <w:ilvl w:val="0"/>
          <w:numId w:val="18"/>
        </w:numPr>
        <w:spacing w:after="200" w:line="276" w:lineRule="auto"/>
        <w:contextualSpacing/>
        <w:textboxTightWrap w:val="none"/>
        <w:rPr>
          <w:rFonts w:cs="Arial"/>
        </w:rPr>
      </w:pPr>
      <w:r w:rsidRPr="00F15EE6">
        <w:rPr>
          <w:rFonts w:cs="Arial"/>
        </w:rPr>
        <w:t>Any framework already publishing an indicator value make it clear to users that the figures produced by the old methodology are not comparable with the new methodology figures.</w:t>
      </w:r>
    </w:p>
    <w:p w14:paraId="46442F6B" w14:textId="77777777" w:rsidR="00D82B64" w:rsidRPr="00F15EE6" w:rsidRDefault="00D82B64">
      <w:pPr>
        <w:rPr>
          <w:rFonts w:eastAsia="+mn-ea" w:cs="Arial"/>
          <w:b/>
          <w:position w:val="1"/>
          <w:szCs w:val="40"/>
        </w:rPr>
      </w:pPr>
      <w:r w:rsidRPr="00F15EE6">
        <w:rPr>
          <w:rFonts w:eastAsia="+mn-ea" w:cs="Arial"/>
          <w:b/>
          <w:position w:val="1"/>
          <w:szCs w:val="40"/>
        </w:rPr>
        <w:br w:type="page"/>
      </w:r>
    </w:p>
    <w:p w14:paraId="40DBEBBF" w14:textId="77777777" w:rsidR="00D82B64" w:rsidRPr="00F15EE6" w:rsidRDefault="00D82B64" w:rsidP="003052D6">
      <w:pPr>
        <w:tabs>
          <w:tab w:val="left" w:pos="5928"/>
        </w:tabs>
        <w:spacing w:before="240"/>
        <w:rPr>
          <w:rFonts w:eastAsia="+mn-ea" w:cs="Arial"/>
          <w:b/>
          <w:position w:val="1"/>
          <w:szCs w:val="40"/>
        </w:rPr>
      </w:pPr>
      <w:r w:rsidRPr="00F15EE6">
        <w:rPr>
          <w:rFonts w:eastAsia="+mn-ea" w:cs="Arial"/>
          <w:b/>
          <w:position w:val="1"/>
          <w:szCs w:val="40"/>
        </w:rPr>
        <w:t>Summary Recommendation to IGB:</w:t>
      </w:r>
    </w:p>
    <w:p w14:paraId="4FEFC9FD" w14:textId="77777777" w:rsidR="00D82B64" w:rsidRPr="00F15EE6" w:rsidRDefault="00D82B64" w:rsidP="003052D6">
      <w:pPr>
        <w:rPr>
          <w:rFonts w:cs="Arial"/>
        </w:rPr>
      </w:pPr>
      <w:r w:rsidRPr="00F15EE6">
        <w:rPr>
          <w:rFonts w:cs="Arial"/>
        </w:rPr>
        <w:t>MRG would like to recommend that the indicator is included in the Library of Quality Assured Indicators with the rating “Fit for use with caveats”. These caveats being:</w:t>
      </w:r>
    </w:p>
    <w:p w14:paraId="3D24D351" w14:textId="77777777" w:rsidR="00D82B64" w:rsidRPr="00F15EE6" w:rsidRDefault="00D82B64" w:rsidP="00D82B64">
      <w:pPr>
        <w:pStyle w:val="ListParagraph"/>
        <w:numPr>
          <w:ilvl w:val="0"/>
          <w:numId w:val="19"/>
        </w:numPr>
        <w:spacing w:after="200" w:line="276" w:lineRule="auto"/>
        <w:ind w:left="709" w:hanging="283"/>
        <w:contextualSpacing/>
        <w:textboxTightWrap w:val="none"/>
        <w:rPr>
          <w:rFonts w:cs="Arial"/>
        </w:rPr>
      </w:pPr>
      <w:r w:rsidRPr="00F15EE6">
        <w:rPr>
          <w:rFonts w:cs="Arial"/>
        </w:rPr>
        <w:t>The estimated dementia prevalence is based on the CFAS II study which has a small sample size. It is acknowledged that this is currently the best prevalence estimates available, however the indicator should be interpreted with caution given that these prevalence estimates from three areas of England have been used to estimate prevalence for all areas in England.</w:t>
      </w:r>
    </w:p>
    <w:p w14:paraId="48CB8D30" w14:textId="77777777" w:rsidR="00D82B64" w:rsidRPr="00F15EE6" w:rsidRDefault="00D82B64" w:rsidP="00D82B64">
      <w:pPr>
        <w:pStyle w:val="ListParagraph"/>
        <w:numPr>
          <w:ilvl w:val="0"/>
          <w:numId w:val="19"/>
        </w:numPr>
        <w:spacing w:after="200" w:line="276" w:lineRule="auto"/>
        <w:ind w:left="709" w:hanging="283"/>
        <w:contextualSpacing/>
        <w:textboxTightWrap w:val="none"/>
        <w:rPr>
          <w:rFonts w:cs="Arial"/>
        </w:rPr>
      </w:pPr>
      <w:r w:rsidRPr="00F15EE6">
        <w:rPr>
          <w:rFonts w:cs="Arial"/>
        </w:rPr>
        <w:t>That CFAS II measured the prevalence of dementia in a set point in time and will increasingly become out of date.</w:t>
      </w:r>
    </w:p>
    <w:p w14:paraId="43F43E35" w14:textId="77777777" w:rsidR="00D82B64" w:rsidRPr="00F15EE6" w:rsidRDefault="00D82B64" w:rsidP="003052D6">
      <w:pPr>
        <w:rPr>
          <w:rFonts w:cs="Arial"/>
        </w:rPr>
      </w:pPr>
      <w:r w:rsidRPr="00F15EE6">
        <w:rPr>
          <w:rFonts w:cs="Arial"/>
        </w:rPr>
        <w:t>MRG are providing this provisional assurance rating also based on the following:</w:t>
      </w:r>
    </w:p>
    <w:p w14:paraId="0C0353F2" w14:textId="77777777" w:rsidR="00D82B64" w:rsidRPr="00F15EE6" w:rsidRDefault="00D82B64" w:rsidP="00D82B64">
      <w:pPr>
        <w:pStyle w:val="ListParagraph"/>
        <w:numPr>
          <w:ilvl w:val="0"/>
          <w:numId w:val="18"/>
        </w:numPr>
        <w:spacing w:after="200" w:line="276" w:lineRule="auto"/>
        <w:contextualSpacing/>
        <w:textboxTightWrap w:val="none"/>
        <w:rPr>
          <w:rFonts w:cs="Arial"/>
        </w:rPr>
      </w:pPr>
      <w:r w:rsidRPr="00F15EE6">
        <w:rPr>
          <w:rFonts w:cs="Arial"/>
        </w:rPr>
        <w:t>That this indicator is not used for performance management purposes, including financial incentives. The indicator should rather be used as a flag for further investigation and improvements.</w:t>
      </w:r>
    </w:p>
    <w:p w14:paraId="76B81279" w14:textId="77777777" w:rsidR="00D82B64" w:rsidRPr="00F15EE6" w:rsidRDefault="00D82B64" w:rsidP="00D82B64">
      <w:pPr>
        <w:pStyle w:val="ListParagraph"/>
        <w:numPr>
          <w:ilvl w:val="0"/>
          <w:numId w:val="18"/>
        </w:numPr>
        <w:spacing w:after="200" w:line="276" w:lineRule="auto"/>
        <w:contextualSpacing/>
        <w:textboxTightWrap w:val="none"/>
        <w:rPr>
          <w:rFonts w:cs="Arial"/>
        </w:rPr>
      </w:pPr>
      <w:r w:rsidRPr="00F15EE6">
        <w:rPr>
          <w:rFonts w:cs="Arial"/>
        </w:rPr>
        <w:t>That it is not reported at any lower level than CCG, including GP practice level.</w:t>
      </w:r>
    </w:p>
    <w:p w14:paraId="0EA9A891" w14:textId="77777777" w:rsidR="00D82B64" w:rsidRPr="00F15EE6" w:rsidRDefault="00D82B64" w:rsidP="00D82B64">
      <w:pPr>
        <w:pStyle w:val="ListParagraph"/>
        <w:numPr>
          <w:ilvl w:val="0"/>
          <w:numId w:val="18"/>
        </w:numPr>
        <w:spacing w:after="200" w:line="276" w:lineRule="auto"/>
        <w:contextualSpacing/>
        <w:textboxTightWrap w:val="none"/>
        <w:rPr>
          <w:rFonts w:cs="Arial"/>
        </w:rPr>
      </w:pPr>
      <w:r w:rsidRPr="00F15EE6">
        <w:rPr>
          <w:rFonts w:cs="Arial"/>
        </w:rPr>
        <w:t>Any framework already publishing an indicator value make it clear to users that the figures produced by the old methodology are not comparable with the new methodology figures.</w:t>
      </w:r>
    </w:p>
    <w:p w14:paraId="1DB478DA" w14:textId="77777777" w:rsidR="00D82B64" w:rsidRPr="00F15EE6" w:rsidRDefault="00D82B64" w:rsidP="003052D6">
      <w:pPr>
        <w:rPr>
          <w:rFonts w:cs="Arial"/>
          <w:b/>
          <w:spacing w:val="5"/>
          <w:kern w:val="28"/>
          <w:szCs w:val="52"/>
        </w:rPr>
      </w:pPr>
      <w:r w:rsidRPr="00F15EE6">
        <w:rPr>
          <w:rFonts w:cs="Arial"/>
          <w:b/>
        </w:rPr>
        <w:t>Please find a detailed description of recommendations and actions in the appraisal log at the end of the document.</w:t>
      </w:r>
    </w:p>
    <w:p w14:paraId="2F8D032F" w14:textId="77777777" w:rsidR="00D82B64" w:rsidRPr="00F15EE6" w:rsidRDefault="00D82B64">
      <w:pPr>
        <w:rPr>
          <w:rFonts w:eastAsia="+mn-ea" w:cs="Arial"/>
          <w:sz w:val="40"/>
        </w:rPr>
      </w:pPr>
      <w:r w:rsidRPr="00F15EE6">
        <w:rPr>
          <w:rFonts w:eastAsia="+mn-ea" w:cs="Arial"/>
          <w:sz w:val="40"/>
        </w:rPr>
        <w:br w:type="page"/>
      </w:r>
    </w:p>
    <w:p w14:paraId="4FC0008F" w14:textId="77777777" w:rsidR="00D82B64" w:rsidRPr="00F15EE6" w:rsidRDefault="00D82B64" w:rsidP="003052D6">
      <w:pPr>
        <w:pStyle w:val="NormalWeb"/>
        <w:spacing w:before="0" w:beforeAutospacing="0" w:after="0" w:afterAutospacing="0"/>
        <w:rPr>
          <w:rFonts w:ascii="Arial" w:eastAsia="+mn-ea" w:hAnsi="Arial" w:cs="Arial"/>
          <w:b/>
          <w:position w:val="1"/>
          <w:sz w:val="32"/>
          <w:szCs w:val="32"/>
        </w:rPr>
      </w:pPr>
      <w:r w:rsidRPr="00F15EE6">
        <w:rPr>
          <w:rFonts w:ascii="Arial" w:eastAsia="+mn-ea" w:hAnsi="Arial" w:cs="Arial"/>
          <w:b/>
          <w:position w:val="1"/>
          <w:sz w:val="32"/>
          <w:szCs w:val="32"/>
        </w:rPr>
        <w:t>What do the Assurance Ratings mean?</w:t>
      </w:r>
    </w:p>
    <w:p w14:paraId="13E249AA" w14:textId="77777777" w:rsidR="00D82B64" w:rsidRPr="00F15EE6" w:rsidRDefault="00D82B64" w:rsidP="003052D6">
      <w:pPr>
        <w:rPr>
          <w:rFonts w:cs="Arial"/>
        </w:rPr>
      </w:pPr>
    </w:p>
    <w:tbl>
      <w:tblPr>
        <w:tblStyle w:val="TableGrid1"/>
        <w:tblW w:w="0" w:type="auto"/>
        <w:tblLook w:val="04A0" w:firstRow="1" w:lastRow="0" w:firstColumn="1" w:lastColumn="0" w:noHBand="0" w:noVBand="1"/>
      </w:tblPr>
      <w:tblGrid>
        <w:gridCol w:w="2685"/>
        <w:gridCol w:w="6068"/>
      </w:tblGrid>
      <w:tr w:rsidR="00F15EE6" w:rsidRPr="00F15EE6" w14:paraId="49592B54" w14:textId="77777777" w:rsidTr="00EC7356">
        <w:tc>
          <w:tcPr>
            <w:tcW w:w="2685" w:type="dxa"/>
          </w:tcPr>
          <w:p w14:paraId="19A632D7" w14:textId="729C7E9F" w:rsidR="00EC7356" w:rsidRPr="00F15EE6" w:rsidRDefault="00EC7356" w:rsidP="003052D6">
            <w:pPr>
              <w:spacing w:before="120" w:after="120"/>
              <w:rPr>
                <w:b/>
              </w:rPr>
            </w:pPr>
            <w:r w:rsidRPr="00F15EE6">
              <w:rPr>
                <w:b/>
                <w:sz w:val="28"/>
                <w:szCs w:val="28"/>
              </w:rPr>
              <w:t>Rating</w:t>
            </w:r>
          </w:p>
        </w:tc>
        <w:tc>
          <w:tcPr>
            <w:tcW w:w="6068" w:type="dxa"/>
          </w:tcPr>
          <w:p w14:paraId="17F912F6" w14:textId="201F8C82" w:rsidR="00EC7356" w:rsidRPr="00F15EE6" w:rsidRDefault="00EC7356" w:rsidP="003052D6">
            <w:pPr>
              <w:spacing w:before="120" w:after="120"/>
            </w:pPr>
            <w:r w:rsidRPr="00F15EE6">
              <w:rPr>
                <w:b/>
                <w:sz w:val="28"/>
                <w:szCs w:val="28"/>
              </w:rPr>
              <w:t>Description</w:t>
            </w:r>
          </w:p>
        </w:tc>
      </w:tr>
      <w:tr w:rsidR="00F15EE6" w:rsidRPr="00F15EE6" w14:paraId="4CFDCCB9" w14:textId="77777777" w:rsidTr="00EC7356">
        <w:tc>
          <w:tcPr>
            <w:tcW w:w="2685" w:type="dxa"/>
          </w:tcPr>
          <w:p w14:paraId="76661F9A" w14:textId="77777777" w:rsidR="00EC7356" w:rsidRPr="00F15EE6" w:rsidRDefault="00EC7356" w:rsidP="003052D6">
            <w:pPr>
              <w:spacing w:before="120" w:after="120"/>
              <w:rPr>
                <w:b/>
              </w:rPr>
            </w:pPr>
            <w:r w:rsidRPr="00F15EE6">
              <w:rPr>
                <w:b/>
              </w:rPr>
              <w:t>Fit for use</w:t>
            </w:r>
          </w:p>
        </w:tc>
        <w:tc>
          <w:tcPr>
            <w:tcW w:w="6068" w:type="dxa"/>
          </w:tcPr>
          <w:p w14:paraId="46D74EFB" w14:textId="77777777" w:rsidR="00EC7356" w:rsidRPr="00F15EE6" w:rsidRDefault="00EC7356" w:rsidP="003052D6">
            <w:pPr>
              <w:spacing w:before="120" w:after="120"/>
            </w:pPr>
            <w:r w:rsidRPr="00F15EE6">
              <w:t>This indicator can be used with confidence that it is constructed in a sound manner that is fit for purpose.</w:t>
            </w:r>
          </w:p>
        </w:tc>
      </w:tr>
      <w:tr w:rsidR="00F15EE6" w:rsidRPr="00F15EE6" w14:paraId="3242BD1F" w14:textId="77777777" w:rsidTr="00EC7356">
        <w:tc>
          <w:tcPr>
            <w:tcW w:w="2685" w:type="dxa"/>
          </w:tcPr>
          <w:p w14:paraId="05D84D07" w14:textId="77777777" w:rsidR="00EC7356" w:rsidRPr="00F15EE6" w:rsidRDefault="00EC7356" w:rsidP="003052D6">
            <w:pPr>
              <w:spacing w:before="120" w:after="120"/>
              <w:rPr>
                <w:b/>
              </w:rPr>
            </w:pPr>
            <w:r w:rsidRPr="00F15EE6">
              <w:rPr>
                <w:b/>
              </w:rPr>
              <w:t>Fit for use with caveats</w:t>
            </w:r>
          </w:p>
        </w:tc>
        <w:tc>
          <w:tcPr>
            <w:tcW w:w="6068" w:type="dxa"/>
          </w:tcPr>
          <w:p w14:paraId="560FABE8" w14:textId="77777777" w:rsidR="00EC7356" w:rsidRPr="00F15EE6" w:rsidRDefault="00EC7356" w:rsidP="003052D6">
            <w:pPr>
              <w:spacing w:before="120" w:after="120"/>
            </w:pPr>
            <w:r w:rsidRPr="00F15EE6">
              <w:t xml:space="preserve">The indicator is fit for </w:t>
            </w:r>
            <w:proofErr w:type="gramStart"/>
            <w:r w:rsidRPr="00F15EE6">
              <w:t>use,</w:t>
            </w:r>
            <w:proofErr w:type="gramEnd"/>
            <w:r w:rsidRPr="00F15EE6">
              <w:t xml:space="preserve"> however users should be aware of caveats and/or recommendations for improvement that have been identified during the assurance process.</w:t>
            </w:r>
          </w:p>
        </w:tc>
      </w:tr>
      <w:tr w:rsidR="00F15EE6" w:rsidRPr="00F15EE6" w14:paraId="1E482E02" w14:textId="77777777" w:rsidTr="00EC7356">
        <w:tc>
          <w:tcPr>
            <w:tcW w:w="2685" w:type="dxa"/>
          </w:tcPr>
          <w:p w14:paraId="46FBED37" w14:textId="77777777" w:rsidR="00EC7356" w:rsidRPr="00F15EE6" w:rsidRDefault="00EC7356" w:rsidP="003052D6">
            <w:pPr>
              <w:spacing w:before="120" w:after="120"/>
              <w:rPr>
                <w:b/>
              </w:rPr>
            </w:pPr>
            <w:r w:rsidRPr="00F15EE6">
              <w:rPr>
                <w:b/>
              </w:rPr>
              <w:t>Use with caution – data quality issue</w:t>
            </w:r>
          </w:p>
        </w:tc>
        <w:tc>
          <w:tcPr>
            <w:tcW w:w="6068" w:type="dxa"/>
          </w:tcPr>
          <w:p w14:paraId="49C82535" w14:textId="77777777" w:rsidR="00EC7356" w:rsidRPr="00F15EE6" w:rsidRDefault="00EC7356" w:rsidP="003052D6">
            <w:pPr>
              <w:spacing w:before="120" w:after="120"/>
            </w:pPr>
            <w:r w:rsidRPr="00F15EE6">
              <w:t>The indicator is based on a sound methodology for which the assurance process endorse the use, however issues have been identified with the national data source which have implications for its use as an indicator.</w:t>
            </w:r>
          </w:p>
        </w:tc>
      </w:tr>
      <w:tr w:rsidR="00F15EE6" w:rsidRPr="00F15EE6" w14:paraId="5A5CDCEB" w14:textId="77777777" w:rsidTr="00EC7356">
        <w:tc>
          <w:tcPr>
            <w:tcW w:w="2685" w:type="dxa"/>
          </w:tcPr>
          <w:p w14:paraId="431BB046" w14:textId="77777777" w:rsidR="00EC7356" w:rsidRPr="00F15EE6" w:rsidRDefault="00EC7356" w:rsidP="003052D6">
            <w:pPr>
              <w:spacing w:before="120" w:after="120"/>
              <w:rPr>
                <w:b/>
              </w:rPr>
            </w:pPr>
            <w:r w:rsidRPr="00F15EE6">
              <w:rPr>
                <w:b/>
              </w:rPr>
              <w:t>Not fit for use</w:t>
            </w:r>
          </w:p>
        </w:tc>
        <w:tc>
          <w:tcPr>
            <w:tcW w:w="6068" w:type="dxa"/>
          </w:tcPr>
          <w:p w14:paraId="184641F4" w14:textId="77777777" w:rsidR="00EC7356" w:rsidRPr="00F15EE6" w:rsidRDefault="00EC7356" w:rsidP="003052D6">
            <w:pPr>
              <w:spacing w:before="120" w:after="120"/>
            </w:pPr>
            <w:r w:rsidRPr="00F15EE6">
              <w:t>Issues have been identified with the indicator which have resulted in the assurance process currently not endorsing its use as a quality indicator.</w:t>
            </w:r>
          </w:p>
        </w:tc>
      </w:tr>
      <w:tr w:rsidR="00F15EE6" w:rsidRPr="00F15EE6" w14:paraId="544C0D86" w14:textId="77777777" w:rsidTr="00EC7356">
        <w:tc>
          <w:tcPr>
            <w:tcW w:w="2685" w:type="dxa"/>
          </w:tcPr>
          <w:p w14:paraId="46EF498D" w14:textId="77777777" w:rsidR="00EC7356" w:rsidRPr="00F15EE6" w:rsidRDefault="00EC7356" w:rsidP="003052D6">
            <w:pPr>
              <w:spacing w:before="120" w:after="120"/>
              <w:rPr>
                <w:b/>
              </w:rPr>
            </w:pPr>
            <w:r w:rsidRPr="00F15EE6">
              <w:rPr>
                <w:b/>
              </w:rPr>
              <w:t>Not enough information provided</w:t>
            </w:r>
          </w:p>
        </w:tc>
        <w:tc>
          <w:tcPr>
            <w:tcW w:w="6068" w:type="dxa"/>
          </w:tcPr>
          <w:p w14:paraId="64E585D4" w14:textId="77777777" w:rsidR="00EC7356" w:rsidRPr="00F15EE6" w:rsidRDefault="00EC7356" w:rsidP="003052D6">
            <w:pPr>
              <w:spacing w:before="120" w:after="120"/>
            </w:pPr>
            <w:r w:rsidRPr="00F15EE6">
              <w:t>There has not been enough information supplied to the assurance process to be able to accurately give the indicator a level of assurance.</w:t>
            </w:r>
          </w:p>
        </w:tc>
      </w:tr>
    </w:tbl>
    <w:p w14:paraId="04AFC305" w14:textId="77777777" w:rsidR="00D82B64" w:rsidRPr="00F15EE6" w:rsidRDefault="00D82B64" w:rsidP="003052D6">
      <w:pPr>
        <w:pStyle w:val="NormalWeb"/>
        <w:spacing w:before="0" w:beforeAutospacing="0" w:after="0" w:afterAutospacing="0"/>
        <w:rPr>
          <w:rFonts w:ascii="Arial" w:eastAsia="+mn-ea" w:hAnsi="Arial" w:cs="Arial"/>
          <w:sz w:val="40"/>
        </w:rPr>
      </w:pPr>
      <w:r w:rsidRPr="00F15EE6">
        <w:rPr>
          <w:rFonts w:ascii="Arial" w:eastAsia="+mn-ea" w:hAnsi="Arial" w:cs="Arial"/>
          <w:sz w:val="40"/>
        </w:rPr>
        <w:br w:type="page"/>
      </w:r>
    </w:p>
    <w:p w14:paraId="65D95B86" w14:textId="77777777" w:rsidR="00D82B64" w:rsidRPr="00F15EE6" w:rsidRDefault="00D82B64" w:rsidP="003052D6">
      <w:pPr>
        <w:spacing w:before="240"/>
        <w:rPr>
          <w:rFonts w:eastAsia="+mn-ea" w:cs="Arial"/>
          <w:b/>
          <w:position w:val="1"/>
          <w:sz w:val="32"/>
          <w:szCs w:val="40"/>
          <w:lang w:eastAsia="en-GB"/>
        </w:rPr>
        <w:sectPr w:rsidR="00D82B64" w:rsidRPr="00F15EE6" w:rsidSect="003052D6">
          <w:headerReference w:type="default" r:id="rId24"/>
          <w:footerReference w:type="default" r:id="rId25"/>
          <w:headerReference w:type="first" r:id="rId26"/>
          <w:footerReference w:type="first" r:id="rId27"/>
          <w:pgSz w:w="11906" w:h="16838"/>
          <w:pgMar w:top="1021" w:right="1021" w:bottom="1021" w:left="1021" w:header="454" w:footer="680" w:gutter="0"/>
          <w:cols w:space="708"/>
          <w:docGrid w:linePitch="360"/>
        </w:sectPr>
      </w:pPr>
    </w:p>
    <w:p w14:paraId="5E99132C" w14:textId="77777777" w:rsidR="00D82B64" w:rsidRPr="00F15EE6" w:rsidRDefault="00D82B64" w:rsidP="003052D6">
      <w:pPr>
        <w:pStyle w:val="NormalWeb"/>
        <w:spacing w:before="0" w:beforeAutospacing="0" w:after="0" w:afterAutospacing="0"/>
        <w:rPr>
          <w:rFonts w:ascii="Arial" w:eastAsia="+mn-ea" w:hAnsi="Arial" w:cs="Arial"/>
          <w:b/>
          <w:position w:val="1"/>
          <w:sz w:val="32"/>
          <w:szCs w:val="26"/>
        </w:rPr>
      </w:pPr>
      <w:r w:rsidRPr="00F15EE6">
        <w:rPr>
          <w:rFonts w:ascii="Arial" w:eastAsia="+mn-ea" w:hAnsi="Arial" w:cs="Arial"/>
          <w:b/>
          <w:position w:val="1"/>
          <w:sz w:val="32"/>
          <w:szCs w:val="26"/>
        </w:rPr>
        <w:t xml:space="preserve">Appraisal Log </w:t>
      </w:r>
    </w:p>
    <w:p w14:paraId="3181639D" w14:textId="77777777" w:rsidR="00D82B64" w:rsidRPr="00F15EE6" w:rsidRDefault="00D82B64" w:rsidP="003052D6">
      <w:pPr>
        <w:pStyle w:val="NormalWeb"/>
        <w:spacing w:before="0" w:beforeAutospacing="0" w:after="0" w:afterAutospacing="0"/>
        <w:rPr>
          <w:rFonts w:ascii="Arial" w:eastAsia="+mn-ea" w:hAnsi="Arial" w:cs="Arial"/>
          <w:b/>
          <w:position w:val="1"/>
          <w:sz w:val="32"/>
          <w:szCs w:val="26"/>
        </w:rPr>
      </w:pPr>
    </w:p>
    <w:tbl>
      <w:tblPr>
        <w:tblStyle w:val="TableGrid1"/>
        <w:tblW w:w="5000" w:type="pct"/>
        <w:tblLook w:val="04A0" w:firstRow="1" w:lastRow="0" w:firstColumn="1" w:lastColumn="0" w:noHBand="0" w:noVBand="1"/>
      </w:tblPr>
      <w:tblGrid>
        <w:gridCol w:w="14568"/>
      </w:tblGrid>
      <w:tr w:rsidR="00F15EE6" w:rsidRPr="00F15EE6" w14:paraId="1EFFA1CD" w14:textId="77777777" w:rsidTr="00EC7356">
        <w:tc>
          <w:tcPr>
            <w:tcW w:w="5000" w:type="pct"/>
          </w:tcPr>
          <w:p w14:paraId="4BD755B3" w14:textId="77777777" w:rsidR="00D82B64" w:rsidRPr="00F15EE6" w:rsidRDefault="00D82B64" w:rsidP="003052D6">
            <w:pPr>
              <w:rPr>
                <w:b/>
                <w:sz w:val="28"/>
                <w:szCs w:val="28"/>
              </w:rPr>
            </w:pPr>
            <w:r w:rsidRPr="00F15EE6">
              <w:rPr>
                <w:b/>
                <w:sz w:val="28"/>
                <w:szCs w:val="28"/>
              </w:rPr>
              <w:t>Clarity</w:t>
            </w:r>
          </w:p>
        </w:tc>
      </w:tr>
    </w:tbl>
    <w:p w14:paraId="648EFF32" w14:textId="77777777" w:rsidR="00EC7356" w:rsidRPr="00F15EE6" w:rsidRDefault="00EC7356"/>
    <w:tbl>
      <w:tblPr>
        <w:tblStyle w:val="TableGrid1"/>
        <w:tblW w:w="5000" w:type="pct"/>
        <w:tblLook w:val="04A0" w:firstRow="1" w:lastRow="0" w:firstColumn="1" w:lastColumn="0" w:noHBand="0" w:noVBand="1"/>
      </w:tblPr>
      <w:tblGrid>
        <w:gridCol w:w="832"/>
        <w:gridCol w:w="4216"/>
        <w:gridCol w:w="1145"/>
        <w:gridCol w:w="4496"/>
        <w:gridCol w:w="1364"/>
        <w:gridCol w:w="1285"/>
        <w:gridCol w:w="1230"/>
      </w:tblGrid>
      <w:tr w:rsidR="00F15EE6" w:rsidRPr="00F15EE6" w14:paraId="112B1344" w14:textId="77777777" w:rsidTr="00EC7356">
        <w:tc>
          <w:tcPr>
            <w:tcW w:w="286" w:type="pct"/>
          </w:tcPr>
          <w:p w14:paraId="4FEEECEB" w14:textId="77777777" w:rsidR="00D82B64" w:rsidRPr="00F15EE6" w:rsidRDefault="00D82B64" w:rsidP="003052D6">
            <w:pPr>
              <w:rPr>
                <w:b/>
                <w:i/>
              </w:rPr>
            </w:pPr>
            <w:r w:rsidRPr="00F15EE6">
              <w:rPr>
                <w:b/>
                <w:i/>
              </w:rPr>
              <w:t>Rec. no</w:t>
            </w:r>
          </w:p>
        </w:tc>
        <w:tc>
          <w:tcPr>
            <w:tcW w:w="1447" w:type="pct"/>
          </w:tcPr>
          <w:p w14:paraId="1C03DD19" w14:textId="77777777" w:rsidR="00D82B64" w:rsidRPr="00F15EE6" w:rsidRDefault="00D82B64" w:rsidP="003052D6">
            <w:pPr>
              <w:rPr>
                <w:b/>
                <w:i/>
              </w:rPr>
            </w:pPr>
            <w:r w:rsidRPr="00F15EE6">
              <w:rPr>
                <w:b/>
                <w:i/>
              </w:rPr>
              <w:t>Issue or recommendation</w:t>
            </w:r>
          </w:p>
        </w:tc>
        <w:tc>
          <w:tcPr>
            <w:tcW w:w="393" w:type="pct"/>
          </w:tcPr>
          <w:p w14:paraId="5B45C6DF" w14:textId="77777777" w:rsidR="00D82B64" w:rsidRPr="00F15EE6" w:rsidRDefault="00D82B64" w:rsidP="003052D6">
            <w:pPr>
              <w:rPr>
                <w:b/>
                <w:i/>
              </w:rPr>
            </w:pPr>
            <w:r w:rsidRPr="00F15EE6">
              <w:rPr>
                <w:b/>
                <w:i/>
              </w:rPr>
              <w:t>Raised by / Date</w:t>
            </w:r>
          </w:p>
        </w:tc>
        <w:tc>
          <w:tcPr>
            <w:tcW w:w="1543" w:type="pct"/>
          </w:tcPr>
          <w:p w14:paraId="1EEB3B18" w14:textId="77777777" w:rsidR="00D82B64" w:rsidRPr="00F15EE6" w:rsidRDefault="00D82B64" w:rsidP="003052D6">
            <w:pPr>
              <w:rPr>
                <w:b/>
                <w:i/>
              </w:rPr>
            </w:pPr>
            <w:r w:rsidRPr="00F15EE6">
              <w:rPr>
                <w:b/>
                <w:i/>
              </w:rPr>
              <w:t>Response or Action taken by applicant</w:t>
            </w:r>
          </w:p>
        </w:tc>
        <w:tc>
          <w:tcPr>
            <w:tcW w:w="468" w:type="pct"/>
          </w:tcPr>
          <w:p w14:paraId="4146D8A4" w14:textId="77777777" w:rsidR="00D82B64" w:rsidRPr="00F15EE6" w:rsidRDefault="00D82B64" w:rsidP="003052D6">
            <w:pPr>
              <w:rPr>
                <w:b/>
                <w:i/>
              </w:rPr>
            </w:pPr>
            <w:r w:rsidRPr="00F15EE6">
              <w:rPr>
                <w:b/>
                <w:i/>
              </w:rPr>
              <w:t>Response date</w:t>
            </w:r>
          </w:p>
        </w:tc>
        <w:tc>
          <w:tcPr>
            <w:tcW w:w="441" w:type="pct"/>
          </w:tcPr>
          <w:p w14:paraId="55F1EC03" w14:textId="77777777" w:rsidR="00D82B64" w:rsidRPr="00F15EE6" w:rsidRDefault="00D82B64" w:rsidP="003052D6">
            <w:pPr>
              <w:rPr>
                <w:b/>
                <w:i/>
              </w:rPr>
            </w:pPr>
            <w:r w:rsidRPr="00F15EE6">
              <w:rPr>
                <w:b/>
                <w:i/>
              </w:rPr>
              <w:t>Resolved</w:t>
            </w:r>
          </w:p>
        </w:tc>
        <w:tc>
          <w:tcPr>
            <w:tcW w:w="422" w:type="pct"/>
          </w:tcPr>
          <w:p w14:paraId="3CF8002A" w14:textId="77777777" w:rsidR="00D82B64" w:rsidRPr="00F15EE6" w:rsidRDefault="00D82B64" w:rsidP="003052D6">
            <w:pPr>
              <w:rPr>
                <w:b/>
                <w:i/>
              </w:rPr>
            </w:pPr>
            <w:r w:rsidRPr="00F15EE6">
              <w:rPr>
                <w:b/>
                <w:i/>
              </w:rPr>
              <w:t>Sign off by / Date</w:t>
            </w:r>
          </w:p>
        </w:tc>
      </w:tr>
    </w:tbl>
    <w:p w14:paraId="3657E23D" w14:textId="77777777" w:rsidR="00EC7356" w:rsidRPr="00F15EE6" w:rsidRDefault="00EC7356"/>
    <w:tbl>
      <w:tblPr>
        <w:tblStyle w:val="TableGrid1"/>
        <w:tblW w:w="5000" w:type="pct"/>
        <w:tblLook w:val="04A0" w:firstRow="1" w:lastRow="0" w:firstColumn="1" w:lastColumn="0" w:noHBand="0" w:noVBand="1"/>
      </w:tblPr>
      <w:tblGrid>
        <w:gridCol w:w="14568"/>
      </w:tblGrid>
      <w:tr w:rsidR="00F15EE6" w:rsidRPr="00F15EE6" w14:paraId="5048B086" w14:textId="77777777" w:rsidTr="00EC7356">
        <w:tc>
          <w:tcPr>
            <w:tcW w:w="5000" w:type="pct"/>
          </w:tcPr>
          <w:p w14:paraId="3C8EE089" w14:textId="77777777" w:rsidR="00D82B64" w:rsidRPr="00F15EE6" w:rsidRDefault="00D82B64" w:rsidP="003052D6">
            <w:r w:rsidRPr="00F15EE6">
              <w:t>No issues or recommendations to date.</w:t>
            </w:r>
          </w:p>
        </w:tc>
      </w:tr>
    </w:tbl>
    <w:p w14:paraId="0FA8ECD5" w14:textId="77777777" w:rsidR="00D82B64" w:rsidRPr="00F15EE6" w:rsidRDefault="00D82B64" w:rsidP="003052D6">
      <w:pPr>
        <w:rPr>
          <w:rFonts w:cs="Arial"/>
        </w:rPr>
      </w:pPr>
    </w:p>
    <w:p w14:paraId="34D08FDC" w14:textId="66A4CC09" w:rsidR="00EC7356" w:rsidRPr="00F15EE6" w:rsidRDefault="00EC7356">
      <w:r w:rsidRPr="00F15EE6">
        <w:t>Rationale</w:t>
      </w:r>
    </w:p>
    <w:tbl>
      <w:tblPr>
        <w:tblStyle w:val="TableGrid1"/>
        <w:tblW w:w="5000" w:type="pct"/>
        <w:tblLook w:val="04A0" w:firstRow="1" w:lastRow="0" w:firstColumn="1" w:lastColumn="0" w:noHBand="0" w:noVBand="1"/>
      </w:tblPr>
      <w:tblGrid>
        <w:gridCol w:w="752"/>
        <w:gridCol w:w="4134"/>
        <w:gridCol w:w="1419"/>
        <w:gridCol w:w="4414"/>
        <w:gridCol w:w="1419"/>
        <w:gridCol w:w="1285"/>
        <w:gridCol w:w="1145"/>
      </w:tblGrid>
      <w:tr w:rsidR="00F15EE6" w:rsidRPr="00F15EE6" w14:paraId="05663690" w14:textId="77777777" w:rsidTr="00EC7356">
        <w:tc>
          <w:tcPr>
            <w:tcW w:w="258" w:type="pct"/>
          </w:tcPr>
          <w:p w14:paraId="2BE052ED" w14:textId="77777777" w:rsidR="00D82B64" w:rsidRPr="00F15EE6" w:rsidRDefault="00D82B64" w:rsidP="003052D6">
            <w:pPr>
              <w:rPr>
                <w:b/>
                <w:i/>
              </w:rPr>
            </w:pPr>
            <w:r w:rsidRPr="00F15EE6">
              <w:rPr>
                <w:b/>
                <w:i/>
              </w:rPr>
              <w:t>Rec. no</w:t>
            </w:r>
          </w:p>
        </w:tc>
        <w:tc>
          <w:tcPr>
            <w:tcW w:w="1419" w:type="pct"/>
          </w:tcPr>
          <w:p w14:paraId="57DA2BC2" w14:textId="77777777" w:rsidR="00D82B64" w:rsidRPr="00F15EE6" w:rsidRDefault="00D82B64" w:rsidP="003052D6">
            <w:pPr>
              <w:rPr>
                <w:b/>
                <w:i/>
              </w:rPr>
            </w:pPr>
            <w:r w:rsidRPr="00F15EE6">
              <w:rPr>
                <w:b/>
                <w:i/>
              </w:rPr>
              <w:t>Issue or recommendation</w:t>
            </w:r>
          </w:p>
        </w:tc>
        <w:tc>
          <w:tcPr>
            <w:tcW w:w="487" w:type="pct"/>
          </w:tcPr>
          <w:p w14:paraId="67CD8D43" w14:textId="77777777" w:rsidR="00D82B64" w:rsidRPr="00F15EE6" w:rsidRDefault="00D82B64" w:rsidP="003052D6">
            <w:pPr>
              <w:rPr>
                <w:b/>
                <w:i/>
              </w:rPr>
            </w:pPr>
            <w:r w:rsidRPr="00F15EE6">
              <w:rPr>
                <w:b/>
                <w:i/>
              </w:rPr>
              <w:t>Raised by / Date</w:t>
            </w:r>
          </w:p>
        </w:tc>
        <w:tc>
          <w:tcPr>
            <w:tcW w:w="1515" w:type="pct"/>
          </w:tcPr>
          <w:p w14:paraId="53B130BC" w14:textId="77777777" w:rsidR="00D82B64" w:rsidRPr="00F15EE6" w:rsidRDefault="00D82B64" w:rsidP="003052D6">
            <w:pPr>
              <w:rPr>
                <w:b/>
                <w:i/>
              </w:rPr>
            </w:pPr>
            <w:r w:rsidRPr="00F15EE6">
              <w:rPr>
                <w:b/>
                <w:i/>
              </w:rPr>
              <w:t>Response or Action taken by applicant</w:t>
            </w:r>
          </w:p>
        </w:tc>
        <w:tc>
          <w:tcPr>
            <w:tcW w:w="487" w:type="pct"/>
          </w:tcPr>
          <w:p w14:paraId="4FA77DA1" w14:textId="77777777" w:rsidR="00D82B64" w:rsidRPr="00F15EE6" w:rsidRDefault="00D82B64" w:rsidP="003052D6">
            <w:pPr>
              <w:rPr>
                <w:b/>
                <w:i/>
              </w:rPr>
            </w:pPr>
            <w:r w:rsidRPr="00F15EE6">
              <w:rPr>
                <w:b/>
                <w:i/>
              </w:rPr>
              <w:t>Response date</w:t>
            </w:r>
          </w:p>
        </w:tc>
        <w:tc>
          <w:tcPr>
            <w:tcW w:w="441" w:type="pct"/>
          </w:tcPr>
          <w:p w14:paraId="678B6174" w14:textId="77777777" w:rsidR="00D82B64" w:rsidRPr="00F15EE6" w:rsidRDefault="00D82B64" w:rsidP="003052D6">
            <w:pPr>
              <w:rPr>
                <w:b/>
                <w:i/>
              </w:rPr>
            </w:pPr>
            <w:r w:rsidRPr="00F15EE6">
              <w:rPr>
                <w:b/>
                <w:i/>
              </w:rPr>
              <w:t>Resolved</w:t>
            </w:r>
          </w:p>
        </w:tc>
        <w:tc>
          <w:tcPr>
            <w:tcW w:w="393" w:type="pct"/>
          </w:tcPr>
          <w:p w14:paraId="6926826B" w14:textId="77777777" w:rsidR="00D82B64" w:rsidRPr="00F15EE6" w:rsidRDefault="00D82B64" w:rsidP="003052D6">
            <w:pPr>
              <w:rPr>
                <w:b/>
                <w:i/>
              </w:rPr>
            </w:pPr>
            <w:r w:rsidRPr="00F15EE6">
              <w:rPr>
                <w:b/>
                <w:i/>
              </w:rPr>
              <w:t>Sign off by / Date</w:t>
            </w:r>
          </w:p>
        </w:tc>
      </w:tr>
      <w:tr w:rsidR="00F15EE6" w:rsidRPr="00F15EE6" w14:paraId="55F41336" w14:textId="77777777" w:rsidTr="00EC7356">
        <w:trPr>
          <w:trHeight w:val="1884"/>
        </w:trPr>
        <w:tc>
          <w:tcPr>
            <w:tcW w:w="258" w:type="pct"/>
          </w:tcPr>
          <w:p w14:paraId="3D47F72C" w14:textId="77777777" w:rsidR="00D82B64" w:rsidRPr="00F15EE6" w:rsidRDefault="00D82B64" w:rsidP="003052D6">
            <w:r w:rsidRPr="00F15EE6">
              <w:t>2a</w:t>
            </w:r>
          </w:p>
        </w:tc>
        <w:tc>
          <w:tcPr>
            <w:tcW w:w="1419" w:type="pct"/>
          </w:tcPr>
          <w:p w14:paraId="0CE22A0E" w14:textId="77777777" w:rsidR="00D82B64" w:rsidRPr="00F15EE6" w:rsidRDefault="00D82B64" w:rsidP="003052D6">
            <w:r w:rsidRPr="00F15EE6">
              <w:t>MRG are of the opinion that this indicator is not robust enough for the purpose of performance management. Therefore, it is recommended that NHS England reconsider the wording of their purpose (for EAS 1) to ensure it is only used for improving dementia diagnosis rates.</w:t>
            </w:r>
          </w:p>
        </w:tc>
        <w:tc>
          <w:tcPr>
            <w:tcW w:w="487" w:type="pct"/>
          </w:tcPr>
          <w:p w14:paraId="5B74111C" w14:textId="77777777" w:rsidR="00D82B64" w:rsidRPr="00F15EE6" w:rsidRDefault="00D82B64" w:rsidP="003052D6">
            <w:r w:rsidRPr="00F15EE6">
              <w:t>26/01/2017</w:t>
            </w:r>
          </w:p>
        </w:tc>
        <w:tc>
          <w:tcPr>
            <w:tcW w:w="1515" w:type="pct"/>
          </w:tcPr>
          <w:p w14:paraId="0EC13797" w14:textId="77777777" w:rsidR="00D82B64" w:rsidRPr="00F15EE6" w:rsidRDefault="00D82B64" w:rsidP="003052D6">
            <w:r w:rsidRPr="00F15EE6">
              <w:t>Amended as per recommendation</w:t>
            </w:r>
          </w:p>
        </w:tc>
        <w:tc>
          <w:tcPr>
            <w:tcW w:w="487" w:type="pct"/>
          </w:tcPr>
          <w:p w14:paraId="257E5C39" w14:textId="77777777" w:rsidR="00D82B64" w:rsidRPr="00F15EE6" w:rsidRDefault="00D82B64" w:rsidP="003052D6">
            <w:r w:rsidRPr="00F15EE6">
              <w:t>30/01/2017</w:t>
            </w:r>
          </w:p>
        </w:tc>
        <w:sdt>
          <w:sdtPr>
            <w:id w:val="1733420856"/>
            <w14:checkbox>
              <w14:checked w14:val="0"/>
              <w14:checkedState w14:val="2612" w14:font="MS Gothic"/>
              <w14:uncheckedState w14:val="2610" w14:font="MS Gothic"/>
            </w14:checkbox>
          </w:sdtPr>
          <w:sdtEndPr/>
          <w:sdtContent>
            <w:tc>
              <w:tcPr>
                <w:tcW w:w="441" w:type="pct"/>
              </w:tcPr>
              <w:p w14:paraId="7BA4AB4E"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774CBCCE" w14:textId="77777777" w:rsidR="00D82B64" w:rsidRPr="00F15EE6" w:rsidRDefault="00D82B64" w:rsidP="003052D6"/>
        </w:tc>
      </w:tr>
      <w:tr w:rsidR="00F15EE6" w:rsidRPr="00F15EE6" w14:paraId="350E7EEE" w14:textId="77777777" w:rsidTr="00EC7356">
        <w:tc>
          <w:tcPr>
            <w:tcW w:w="258" w:type="pct"/>
          </w:tcPr>
          <w:p w14:paraId="0F91D982" w14:textId="77777777" w:rsidR="00D82B64" w:rsidRPr="00F15EE6" w:rsidRDefault="00D82B64" w:rsidP="003052D6">
            <w:r w:rsidRPr="00F15EE6">
              <w:t>2b</w:t>
            </w:r>
          </w:p>
        </w:tc>
        <w:tc>
          <w:tcPr>
            <w:tcW w:w="1419" w:type="pct"/>
          </w:tcPr>
          <w:p w14:paraId="6952105D" w14:textId="77777777" w:rsidR="00D82B64" w:rsidRPr="00F15EE6" w:rsidRDefault="00D82B64" w:rsidP="003052D6">
            <w:r w:rsidRPr="00F15EE6">
              <w:t xml:space="preserve">In section 2.4 second paragraph: the increase should be </w:t>
            </w:r>
            <w:r w:rsidRPr="00F15EE6">
              <w:rPr>
                <w:i/>
              </w:rPr>
              <w:t>to</w:t>
            </w:r>
            <w:r w:rsidRPr="00F15EE6">
              <w:t xml:space="preserve"> two-thirds, rather than </w:t>
            </w:r>
            <w:r w:rsidRPr="00F15EE6">
              <w:rPr>
                <w:i/>
              </w:rPr>
              <w:t xml:space="preserve">by </w:t>
            </w:r>
            <w:r w:rsidRPr="00F15EE6">
              <w:t>two-thirds.</w:t>
            </w:r>
          </w:p>
        </w:tc>
        <w:tc>
          <w:tcPr>
            <w:tcW w:w="487" w:type="pct"/>
          </w:tcPr>
          <w:p w14:paraId="0C4AAC36" w14:textId="77777777" w:rsidR="00D82B64" w:rsidRPr="00F15EE6" w:rsidRDefault="00D82B64" w:rsidP="003052D6">
            <w:r w:rsidRPr="00F15EE6">
              <w:t>26/01/2017</w:t>
            </w:r>
          </w:p>
        </w:tc>
        <w:tc>
          <w:tcPr>
            <w:tcW w:w="1515" w:type="pct"/>
          </w:tcPr>
          <w:p w14:paraId="27BD40BA" w14:textId="77777777" w:rsidR="00D82B64" w:rsidRPr="00F15EE6" w:rsidRDefault="00D82B64" w:rsidP="003052D6">
            <w:r w:rsidRPr="00F15EE6">
              <w:t>Corrected as per recommendation</w:t>
            </w:r>
          </w:p>
        </w:tc>
        <w:tc>
          <w:tcPr>
            <w:tcW w:w="487" w:type="pct"/>
          </w:tcPr>
          <w:p w14:paraId="2268E063" w14:textId="77777777" w:rsidR="00D82B64" w:rsidRPr="00F15EE6" w:rsidRDefault="00D82B64" w:rsidP="003052D6">
            <w:r w:rsidRPr="00F15EE6">
              <w:t>30/01/2017</w:t>
            </w:r>
          </w:p>
        </w:tc>
        <w:sdt>
          <w:sdtPr>
            <w:id w:val="-1551839668"/>
            <w14:checkbox>
              <w14:checked w14:val="0"/>
              <w14:checkedState w14:val="2612" w14:font="MS Gothic"/>
              <w14:uncheckedState w14:val="2610" w14:font="MS Gothic"/>
            </w14:checkbox>
          </w:sdtPr>
          <w:sdtEndPr/>
          <w:sdtContent>
            <w:tc>
              <w:tcPr>
                <w:tcW w:w="441" w:type="pct"/>
              </w:tcPr>
              <w:p w14:paraId="2C74EE03"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1CDBBDD6" w14:textId="77777777" w:rsidR="00D82B64" w:rsidRPr="00F15EE6" w:rsidRDefault="00D82B64" w:rsidP="003052D6"/>
        </w:tc>
      </w:tr>
      <w:tr w:rsidR="00F15EE6" w:rsidRPr="00F15EE6" w14:paraId="521A22F7" w14:textId="77777777" w:rsidTr="00EC7356">
        <w:tc>
          <w:tcPr>
            <w:tcW w:w="258" w:type="pct"/>
          </w:tcPr>
          <w:p w14:paraId="08282F2E" w14:textId="77777777" w:rsidR="00D82B64" w:rsidRPr="00F15EE6" w:rsidRDefault="00D82B64" w:rsidP="003052D6">
            <w:r w:rsidRPr="00F15EE6">
              <w:t>2c</w:t>
            </w:r>
          </w:p>
        </w:tc>
        <w:tc>
          <w:tcPr>
            <w:tcW w:w="1419" w:type="pct"/>
          </w:tcPr>
          <w:p w14:paraId="08A6AC77" w14:textId="77777777" w:rsidR="00D82B64" w:rsidRPr="00F15EE6" w:rsidRDefault="00D82B64" w:rsidP="003052D6">
            <w:r w:rsidRPr="00F15EE6">
              <w:t>Please reconsider the wording around the graph presented in the purpose (section 2.1) as it is unclear as to whether this drop in dementia prevalence can be attributed to the cessation of monitoring.</w:t>
            </w:r>
          </w:p>
        </w:tc>
        <w:tc>
          <w:tcPr>
            <w:tcW w:w="487" w:type="pct"/>
          </w:tcPr>
          <w:p w14:paraId="7D32FFE8" w14:textId="77777777" w:rsidR="00D82B64" w:rsidRPr="00F15EE6" w:rsidRDefault="00D82B64" w:rsidP="003052D6">
            <w:r w:rsidRPr="00F15EE6">
              <w:t>26/01/2017</w:t>
            </w:r>
          </w:p>
        </w:tc>
        <w:tc>
          <w:tcPr>
            <w:tcW w:w="1515" w:type="pct"/>
          </w:tcPr>
          <w:p w14:paraId="28906DB4" w14:textId="77777777" w:rsidR="00D82B64" w:rsidRPr="00F15EE6" w:rsidRDefault="00D82B64" w:rsidP="003052D6">
            <w:r w:rsidRPr="00F15EE6">
              <w:t>Graph and wording removed</w:t>
            </w:r>
          </w:p>
        </w:tc>
        <w:tc>
          <w:tcPr>
            <w:tcW w:w="487" w:type="pct"/>
          </w:tcPr>
          <w:p w14:paraId="47CD6722" w14:textId="77777777" w:rsidR="00D82B64" w:rsidRPr="00F15EE6" w:rsidRDefault="00D82B64" w:rsidP="003052D6">
            <w:r w:rsidRPr="00F15EE6">
              <w:t>30/01/2017</w:t>
            </w:r>
          </w:p>
        </w:tc>
        <w:sdt>
          <w:sdtPr>
            <w:id w:val="668370629"/>
            <w14:checkbox>
              <w14:checked w14:val="0"/>
              <w14:checkedState w14:val="2612" w14:font="MS Gothic"/>
              <w14:uncheckedState w14:val="2610" w14:font="MS Gothic"/>
            </w14:checkbox>
          </w:sdtPr>
          <w:sdtEndPr/>
          <w:sdtContent>
            <w:tc>
              <w:tcPr>
                <w:tcW w:w="441" w:type="pct"/>
              </w:tcPr>
              <w:p w14:paraId="2DFA6DE7"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7B56F5A1" w14:textId="77777777" w:rsidR="00D82B64" w:rsidRPr="00F15EE6" w:rsidRDefault="00D82B64" w:rsidP="003052D6"/>
        </w:tc>
      </w:tr>
    </w:tbl>
    <w:p w14:paraId="4FBC32C6" w14:textId="77777777" w:rsidR="00D82B64" w:rsidRPr="00F15EE6" w:rsidRDefault="00D82B64" w:rsidP="003052D6">
      <w:pPr>
        <w:rPr>
          <w:rFonts w:cs="Arial"/>
        </w:rPr>
      </w:pPr>
    </w:p>
    <w:p w14:paraId="01F4B5FE" w14:textId="77777777" w:rsidR="00D82B64" w:rsidRPr="00F15EE6" w:rsidRDefault="00D82B64">
      <w:pPr>
        <w:rPr>
          <w:rFonts w:cs="Arial"/>
        </w:rPr>
      </w:pPr>
      <w:r w:rsidRPr="00F15EE6">
        <w:rPr>
          <w:rFonts w:cs="Arial"/>
        </w:rPr>
        <w:br w:type="page"/>
      </w:r>
    </w:p>
    <w:p w14:paraId="2F891290" w14:textId="3407FF44" w:rsidR="00AA6A31" w:rsidRPr="00F15EE6" w:rsidRDefault="00AA6A31">
      <w:r w:rsidRPr="00F15EE6">
        <w:t>Data</w:t>
      </w:r>
    </w:p>
    <w:tbl>
      <w:tblPr>
        <w:tblStyle w:val="TableGrid1"/>
        <w:tblW w:w="5000" w:type="pct"/>
        <w:tblLook w:val="04A0" w:firstRow="1" w:lastRow="0" w:firstColumn="1" w:lastColumn="0" w:noHBand="0" w:noVBand="1"/>
      </w:tblPr>
      <w:tblGrid>
        <w:gridCol w:w="749"/>
        <w:gridCol w:w="4134"/>
        <w:gridCol w:w="1419"/>
        <w:gridCol w:w="4414"/>
        <w:gridCol w:w="1419"/>
        <w:gridCol w:w="1285"/>
        <w:gridCol w:w="1148"/>
      </w:tblGrid>
      <w:tr w:rsidR="00F15EE6" w:rsidRPr="00F15EE6" w14:paraId="56419C8A" w14:textId="77777777" w:rsidTr="00AA6A31">
        <w:tc>
          <w:tcPr>
            <w:tcW w:w="257" w:type="pct"/>
          </w:tcPr>
          <w:p w14:paraId="3663AA48" w14:textId="77777777" w:rsidR="00D82B64" w:rsidRPr="00F15EE6" w:rsidRDefault="00D82B64" w:rsidP="003052D6">
            <w:pPr>
              <w:rPr>
                <w:b/>
                <w:i/>
              </w:rPr>
            </w:pPr>
            <w:r w:rsidRPr="00F15EE6">
              <w:rPr>
                <w:b/>
                <w:i/>
              </w:rPr>
              <w:t>Rec. no</w:t>
            </w:r>
          </w:p>
        </w:tc>
        <w:tc>
          <w:tcPr>
            <w:tcW w:w="1419" w:type="pct"/>
          </w:tcPr>
          <w:p w14:paraId="28885D75" w14:textId="77777777" w:rsidR="00D82B64" w:rsidRPr="00F15EE6" w:rsidRDefault="00D82B64" w:rsidP="003052D6">
            <w:pPr>
              <w:rPr>
                <w:b/>
                <w:i/>
              </w:rPr>
            </w:pPr>
            <w:r w:rsidRPr="00F15EE6">
              <w:rPr>
                <w:b/>
                <w:i/>
              </w:rPr>
              <w:t>Issue or recommendation</w:t>
            </w:r>
          </w:p>
        </w:tc>
        <w:tc>
          <w:tcPr>
            <w:tcW w:w="487" w:type="pct"/>
          </w:tcPr>
          <w:p w14:paraId="1276080E" w14:textId="77777777" w:rsidR="00D82B64" w:rsidRPr="00F15EE6" w:rsidRDefault="00D82B64" w:rsidP="003052D6">
            <w:pPr>
              <w:rPr>
                <w:b/>
                <w:i/>
              </w:rPr>
            </w:pPr>
            <w:r w:rsidRPr="00F15EE6">
              <w:rPr>
                <w:b/>
                <w:i/>
              </w:rPr>
              <w:t>Raised by / Date</w:t>
            </w:r>
          </w:p>
        </w:tc>
        <w:tc>
          <w:tcPr>
            <w:tcW w:w="1515" w:type="pct"/>
          </w:tcPr>
          <w:p w14:paraId="551FBD8D" w14:textId="77777777" w:rsidR="00D82B64" w:rsidRPr="00F15EE6" w:rsidRDefault="00D82B64" w:rsidP="003052D6">
            <w:pPr>
              <w:rPr>
                <w:b/>
                <w:i/>
              </w:rPr>
            </w:pPr>
            <w:r w:rsidRPr="00F15EE6">
              <w:rPr>
                <w:b/>
                <w:i/>
              </w:rPr>
              <w:t>Response or Action taken by applicant</w:t>
            </w:r>
          </w:p>
        </w:tc>
        <w:tc>
          <w:tcPr>
            <w:tcW w:w="487" w:type="pct"/>
          </w:tcPr>
          <w:p w14:paraId="3DB7BA77" w14:textId="77777777" w:rsidR="00D82B64" w:rsidRPr="00F15EE6" w:rsidRDefault="00D82B64" w:rsidP="003052D6">
            <w:pPr>
              <w:rPr>
                <w:b/>
                <w:i/>
              </w:rPr>
            </w:pPr>
            <w:r w:rsidRPr="00F15EE6">
              <w:rPr>
                <w:b/>
                <w:i/>
              </w:rPr>
              <w:t>Response date</w:t>
            </w:r>
          </w:p>
        </w:tc>
        <w:tc>
          <w:tcPr>
            <w:tcW w:w="441" w:type="pct"/>
          </w:tcPr>
          <w:p w14:paraId="4C7944D1" w14:textId="77777777" w:rsidR="00D82B64" w:rsidRPr="00F15EE6" w:rsidRDefault="00D82B64" w:rsidP="003052D6">
            <w:pPr>
              <w:rPr>
                <w:b/>
                <w:i/>
              </w:rPr>
            </w:pPr>
            <w:r w:rsidRPr="00F15EE6">
              <w:rPr>
                <w:b/>
                <w:i/>
              </w:rPr>
              <w:t>Resolved</w:t>
            </w:r>
          </w:p>
        </w:tc>
        <w:tc>
          <w:tcPr>
            <w:tcW w:w="394" w:type="pct"/>
          </w:tcPr>
          <w:p w14:paraId="6351DABE" w14:textId="77777777" w:rsidR="00D82B64" w:rsidRPr="00F15EE6" w:rsidRDefault="00D82B64" w:rsidP="003052D6">
            <w:pPr>
              <w:rPr>
                <w:b/>
                <w:i/>
              </w:rPr>
            </w:pPr>
            <w:r w:rsidRPr="00F15EE6">
              <w:rPr>
                <w:b/>
                <w:i/>
              </w:rPr>
              <w:t>Sign off by / Date</w:t>
            </w:r>
          </w:p>
        </w:tc>
      </w:tr>
      <w:tr w:rsidR="00F15EE6" w:rsidRPr="00F15EE6" w14:paraId="7BDA7386" w14:textId="77777777" w:rsidTr="00AA6A31">
        <w:tc>
          <w:tcPr>
            <w:tcW w:w="257" w:type="pct"/>
          </w:tcPr>
          <w:p w14:paraId="2E1F3B17" w14:textId="77777777" w:rsidR="00D82B64" w:rsidRPr="00F15EE6" w:rsidRDefault="00D82B64" w:rsidP="003052D6">
            <w:r w:rsidRPr="00F15EE6">
              <w:t>3a</w:t>
            </w:r>
          </w:p>
        </w:tc>
        <w:tc>
          <w:tcPr>
            <w:tcW w:w="1419" w:type="pct"/>
          </w:tcPr>
          <w:p w14:paraId="7F2ABCD7" w14:textId="77777777" w:rsidR="00D82B64" w:rsidRPr="00F15EE6" w:rsidRDefault="00D82B64" w:rsidP="003052D6">
            <w:r w:rsidRPr="00F15EE6">
              <w:t>The main caveat associated with this indicator is that the estimated dementia prevalence is based on the CFAS II study which has a small sample size. It is acknowledged that this is currently the best prevalence estimate available, however the indicator should be interpreted with caution given three areas of England have been used to estimate prevalence for all areas in England.</w:t>
            </w:r>
          </w:p>
        </w:tc>
        <w:tc>
          <w:tcPr>
            <w:tcW w:w="487" w:type="pct"/>
          </w:tcPr>
          <w:p w14:paraId="259B7BFE" w14:textId="77777777" w:rsidR="00D82B64" w:rsidRPr="00F15EE6" w:rsidRDefault="00D82B64" w:rsidP="003052D6">
            <w:r w:rsidRPr="00F15EE6">
              <w:t>26/01/2017</w:t>
            </w:r>
          </w:p>
        </w:tc>
        <w:tc>
          <w:tcPr>
            <w:tcW w:w="1515" w:type="pct"/>
          </w:tcPr>
          <w:p w14:paraId="58F08ABA" w14:textId="77777777" w:rsidR="00D82B64" w:rsidRPr="00F15EE6" w:rsidRDefault="00D82B64" w:rsidP="003052D6">
            <w:r w:rsidRPr="00F15EE6">
              <w:t>Added in section 5.7 Limitations and Potential bias</w:t>
            </w:r>
          </w:p>
        </w:tc>
        <w:tc>
          <w:tcPr>
            <w:tcW w:w="487" w:type="pct"/>
          </w:tcPr>
          <w:p w14:paraId="1F06D80A" w14:textId="77777777" w:rsidR="00D82B64" w:rsidRPr="00F15EE6" w:rsidRDefault="00D82B64" w:rsidP="003052D6">
            <w:r w:rsidRPr="00F15EE6">
              <w:t>30/01/2017</w:t>
            </w:r>
          </w:p>
        </w:tc>
        <w:sdt>
          <w:sdtPr>
            <w:id w:val="127370526"/>
            <w14:checkbox>
              <w14:checked w14:val="0"/>
              <w14:checkedState w14:val="2612" w14:font="MS Gothic"/>
              <w14:uncheckedState w14:val="2610" w14:font="MS Gothic"/>
            </w14:checkbox>
          </w:sdtPr>
          <w:sdtEndPr/>
          <w:sdtContent>
            <w:tc>
              <w:tcPr>
                <w:tcW w:w="441" w:type="pct"/>
              </w:tcPr>
              <w:p w14:paraId="649AC2A2"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4" w:type="pct"/>
          </w:tcPr>
          <w:p w14:paraId="2029BA3D" w14:textId="77777777" w:rsidR="00D82B64" w:rsidRPr="00F15EE6" w:rsidRDefault="00D82B64" w:rsidP="003052D6"/>
        </w:tc>
      </w:tr>
      <w:tr w:rsidR="00F15EE6" w:rsidRPr="00F15EE6" w14:paraId="1846996F" w14:textId="77777777" w:rsidTr="00AA6A31">
        <w:tc>
          <w:tcPr>
            <w:tcW w:w="257" w:type="pct"/>
          </w:tcPr>
          <w:p w14:paraId="068ED2D2" w14:textId="77777777" w:rsidR="00D82B64" w:rsidRPr="00F15EE6" w:rsidRDefault="00D82B64" w:rsidP="003052D6">
            <w:r w:rsidRPr="00F15EE6">
              <w:t>3b</w:t>
            </w:r>
          </w:p>
        </w:tc>
        <w:tc>
          <w:tcPr>
            <w:tcW w:w="1419" w:type="pct"/>
          </w:tcPr>
          <w:p w14:paraId="303A6E93" w14:textId="77777777" w:rsidR="00D82B64" w:rsidRPr="00F15EE6" w:rsidRDefault="00D82B64" w:rsidP="003052D6">
            <w:r w:rsidRPr="00F15EE6">
              <w:t>In section 3.4 (Data Quality) it should be acknowledged that CFAS II measured the prevalence of dementia in a set point in time and will increasingly become out of date. Any plans to update the prevalence estimates should be documented.</w:t>
            </w:r>
          </w:p>
        </w:tc>
        <w:tc>
          <w:tcPr>
            <w:tcW w:w="487" w:type="pct"/>
          </w:tcPr>
          <w:p w14:paraId="4CB0BE4A" w14:textId="77777777" w:rsidR="00D82B64" w:rsidRPr="00F15EE6" w:rsidRDefault="00D82B64" w:rsidP="003052D6">
            <w:r w:rsidRPr="00F15EE6">
              <w:t>26/01/2017</w:t>
            </w:r>
          </w:p>
        </w:tc>
        <w:tc>
          <w:tcPr>
            <w:tcW w:w="1515" w:type="pct"/>
          </w:tcPr>
          <w:p w14:paraId="33810243" w14:textId="77777777" w:rsidR="00D82B64" w:rsidRPr="00F15EE6" w:rsidRDefault="00D82B64" w:rsidP="003052D6">
            <w:r w:rsidRPr="00F15EE6">
              <w:t>Added as per recommendation</w:t>
            </w:r>
          </w:p>
        </w:tc>
        <w:tc>
          <w:tcPr>
            <w:tcW w:w="487" w:type="pct"/>
          </w:tcPr>
          <w:p w14:paraId="774094F6" w14:textId="77777777" w:rsidR="00D82B64" w:rsidRPr="00F15EE6" w:rsidRDefault="00D82B64" w:rsidP="003052D6">
            <w:r w:rsidRPr="00F15EE6">
              <w:t>30/01/2017</w:t>
            </w:r>
          </w:p>
        </w:tc>
        <w:sdt>
          <w:sdtPr>
            <w:id w:val="-1880613190"/>
            <w14:checkbox>
              <w14:checked w14:val="0"/>
              <w14:checkedState w14:val="2612" w14:font="MS Gothic"/>
              <w14:uncheckedState w14:val="2610" w14:font="MS Gothic"/>
            </w14:checkbox>
          </w:sdtPr>
          <w:sdtEndPr/>
          <w:sdtContent>
            <w:tc>
              <w:tcPr>
                <w:tcW w:w="441" w:type="pct"/>
              </w:tcPr>
              <w:p w14:paraId="039F8C4B"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4" w:type="pct"/>
          </w:tcPr>
          <w:p w14:paraId="1AD5D484" w14:textId="77777777" w:rsidR="00D82B64" w:rsidRPr="00F15EE6" w:rsidRDefault="00D82B64" w:rsidP="003052D6"/>
        </w:tc>
      </w:tr>
      <w:tr w:rsidR="00F15EE6" w:rsidRPr="00F15EE6" w14:paraId="530F3473" w14:textId="77777777" w:rsidTr="00AA6A31">
        <w:tc>
          <w:tcPr>
            <w:tcW w:w="257" w:type="pct"/>
          </w:tcPr>
          <w:p w14:paraId="6778E3C1" w14:textId="77777777" w:rsidR="00D82B64" w:rsidRPr="00F15EE6" w:rsidRDefault="00D82B64" w:rsidP="003052D6">
            <w:r w:rsidRPr="00F15EE6">
              <w:t>3c</w:t>
            </w:r>
          </w:p>
        </w:tc>
        <w:tc>
          <w:tcPr>
            <w:tcW w:w="1419" w:type="pct"/>
          </w:tcPr>
          <w:p w14:paraId="23C6584E" w14:textId="77777777" w:rsidR="00D82B64" w:rsidRPr="00F15EE6" w:rsidRDefault="00D82B64" w:rsidP="003052D6">
            <w:r w:rsidRPr="00F15EE6">
              <w:t xml:space="preserve">Please supply a comprehensive list of estimations of dementia prevalence in section 3.2 as there are more available than the two currently stated. </w:t>
            </w:r>
          </w:p>
        </w:tc>
        <w:tc>
          <w:tcPr>
            <w:tcW w:w="487" w:type="pct"/>
          </w:tcPr>
          <w:p w14:paraId="0B365F1D" w14:textId="77777777" w:rsidR="00D82B64" w:rsidRPr="00F15EE6" w:rsidRDefault="00D82B64" w:rsidP="003052D6">
            <w:r w:rsidRPr="00F15EE6">
              <w:t>26/01/2017</w:t>
            </w:r>
          </w:p>
        </w:tc>
        <w:tc>
          <w:tcPr>
            <w:tcW w:w="1515" w:type="pct"/>
          </w:tcPr>
          <w:p w14:paraId="3FEB868B" w14:textId="77777777" w:rsidR="00D82B64" w:rsidRPr="00F15EE6" w:rsidRDefault="00D82B64" w:rsidP="003052D6">
            <w:r w:rsidRPr="00F15EE6">
              <w:t>Added as per recommendation</w:t>
            </w:r>
          </w:p>
        </w:tc>
        <w:tc>
          <w:tcPr>
            <w:tcW w:w="487" w:type="pct"/>
          </w:tcPr>
          <w:p w14:paraId="49956660" w14:textId="77777777" w:rsidR="00D82B64" w:rsidRPr="00F15EE6" w:rsidRDefault="00D82B64" w:rsidP="003052D6">
            <w:r w:rsidRPr="00F15EE6">
              <w:t>30/01/2017</w:t>
            </w:r>
          </w:p>
        </w:tc>
        <w:sdt>
          <w:sdtPr>
            <w:id w:val="2146690384"/>
            <w14:checkbox>
              <w14:checked w14:val="0"/>
              <w14:checkedState w14:val="2612" w14:font="MS Gothic"/>
              <w14:uncheckedState w14:val="2610" w14:font="MS Gothic"/>
            </w14:checkbox>
          </w:sdtPr>
          <w:sdtEndPr/>
          <w:sdtContent>
            <w:tc>
              <w:tcPr>
                <w:tcW w:w="441" w:type="pct"/>
              </w:tcPr>
              <w:p w14:paraId="03854F97"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4" w:type="pct"/>
          </w:tcPr>
          <w:p w14:paraId="2C4AF7BF" w14:textId="77777777" w:rsidR="00D82B64" w:rsidRPr="00F15EE6" w:rsidRDefault="00D82B64" w:rsidP="003052D6"/>
        </w:tc>
      </w:tr>
      <w:tr w:rsidR="00F15EE6" w:rsidRPr="00F15EE6" w14:paraId="03218A4C" w14:textId="77777777" w:rsidTr="00AA6A31">
        <w:tc>
          <w:tcPr>
            <w:tcW w:w="257" w:type="pct"/>
          </w:tcPr>
          <w:p w14:paraId="095C065C" w14:textId="77777777" w:rsidR="00D82B64" w:rsidRPr="00F15EE6" w:rsidRDefault="00D82B64" w:rsidP="003052D6">
            <w:r w:rsidRPr="00F15EE6">
              <w:t>3d</w:t>
            </w:r>
          </w:p>
        </w:tc>
        <w:tc>
          <w:tcPr>
            <w:tcW w:w="1419" w:type="pct"/>
          </w:tcPr>
          <w:p w14:paraId="2A6C9E16" w14:textId="77777777" w:rsidR="00D82B64" w:rsidRPr="00F15EE6" w:rsidRDefault="00D82B64" w:rsidP="003052D6">
            <w:r w:rsidRPr="00F15EE6">
              <w:t>Sections 3.2 and 3.4 both refer to the Alzheimer’s Society Dementia UK report, but 3.2 refers to one in 2007 while 3.4 refers to one in 2014. For consistency both should refer to the same year. If 2014, then the listed benefit of the CFAS II prevalence estimates being more recent should be removed.</w:t>
            </w:r>
          </w:p>
          <w:p w14:paraId="23F98158" w14:textId="77777777" w:rsidR="00D82B64" w:rsidRPr="00F15EE6" w:rsidRDefault="00D82B64" w:rsidP="003052D6"/>
        </w:tc>
        <w:tc>
          <w:tcPr>
            <w:tcW w:w="487" w:type="pct"/>
          </w:tcPr>
          <w:p w14:paraId="35E3CE28" w14:textId="77777777" w:rsidR="00D82B64" w:rsidRPr="00F15EE6" w:rsidRDefault="00D82B64" w:rsidP="003052D6">
            <w:r w:rsidRPr="00F15EE6">
              <w:t>26/01/2017</w:t>
            </w:r>
          </w:p>
        </w:tc>
        <w:tc>
          <w:tcPr>
            <w:tcW w:w="1515" w:type="pct"/>
          </w:tcPr>
          <w:p w14:paraId="7F68AF6A" w14:textId="77777777" w:rsidR="00D82B64" w:rsidRPr="00F15EE6" w:rsidRDefault="00D82B64" w:rsidP="003052D6">
            <w:r w:rsidRPr="00F15EE6">
              <w:t>Amended as per recommendation</w:t>
            </w:r>
          </w:p>
        </w:tc>
        <w:tc>
          <w:tcPr>
            <w:tcW w:w="487" w:type="pct"/>
          </w:tcPr>
          <w:p w14:paraId="6E1E825F" w14:textId="77777777" w:rsidR="00D82B64" w:rsidRPr="00F15EE6" w:rsidRDefault="00D82B64" w:rsidP="003052D6">
            <w:r w:rsidRPr="00F15EE6">
              <w:t>30/01/2017</w:t>
            </w:r>
          </w:p>
        </w:tc>
        <w:sdt>
          <w:sdtPr>
            <w:id w:val="-2111190096"/>
            <w14:checkbox>
              <w14:checked w14:val="0"/>
              <w14:checkedState w14:val="2612" w14:font="MS Gothic"/>
              <w14:uncheckedState w14:val="2610" w14:font="MS Gothic"/>
            </w14:checkbox>
          </w:sdtPr>
          <w:sdtEndPr/>
          <w:sdtContent>
            <w:tc>
              <w:tcPr>
                <w:tcW w:w="441" w:type="pct"/>
              </w:tcPr>
              <w:p w14:paraId="237C62EF"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4" w:type="pct"/>
          </w:tcPr>
          <w:p w14:paraId="75EC3E5E" w14:textId="77777777" w:rsidR="00D82B64" w:rsidRPr="00F15EE6" w:rsidRDefault="00D82B64" w:rsidP="003052D6"/>
        </w:tc>
      </w:tr>
      <w:tr w:rsidR="00F15EE6" w:rsidRPr="00F15EE6" w14:paraId="7FFD9A12" w14:textId="77777777" w:rsidTr="00AA6A31">
        <w:tc>
          <w:tcPr>
            <w:tcW w:w="257" w:type="pct"/>
          </w:tcPr>
          <w:p w14:paraId="38C339AF" w14:textId="77777777" w:rsidR="00D82B64" w:rsidRPr="00F15EE6" w:rsidRDefault="00D82B64" w:rsidP="003052D6">
            <w:r w:rsidRPr="00F15EE6">
              <w:t>3e</w:t>
            </w:r>
          </w:p>
        </w:tc>
        <w:tc>
          <w:tcPr>
            <w:tcW w:w="1419" w:type="pct"/>
          </w:tcPr>
          <w:p w14:paraId="3488D1A2" w14:textId="77777777" w:rsidR="00D82B64" w:rsidRPr="00F15EE6" w:rsidRDefault="00D82B64" w:rsidP="003052D6">
            <w:r w:rsidRPr="00F15EE6">
              <w:t>Please ensure that all acronyms used in the application form are defined. For example, RID in section 3.10 and NIACS in section 3.7.</w:t>
            </w:r>
          </w:p>
        </w:tc>
        <w:tc>
          <w:tcPr>
            <w:tcW w:w="487" w:type="pct"/>
          </w:tcPr>
          <w:p w14:paraId="7FDF0346" w14:textId="77777777" w:rsidR="00D82B64" w:rsidRPr="00F15EE6" w:rsidRDefault="00D82B64" w:rsidP="003052D6">
            <w:r w:rsidRPr="00F15EE6">
              <w:t>26/01/2017</w:t>
            </w:r>
          </w:p>
        </w:tc>
        <w:tc>
          <w:tcPr>
            <w:tcW w:w="1515" w:type="pct"/>
          </w:tcPr>
          <w:p w14:paraId="298D82F3" w14:textId="77777777" w:rsidR="00D82B64" w:rsidRPr="00F15EE6" w:rsidRDefault="00D82B64" w:rsidP="003052D6">
            <w:r w:rsidRPr="00F15EE6">
              <w:t>Amended as per recommendation</w:t>
            </w:r>
          </w:p>
        </w:tc>
        <w:tc>
          <w:tcPr>
            <w:tcW w:w="487" w:type="pct"/>
          </w:tcPr>
          <w:p w14:paraId="34E57B1F" w14:textId="77777777" w:rsidR="00D82B64" w:rsidRPr="00F15EE6" w:rsidRDefault="00D82B64" w:rsidP="003052D6">
            <w:r w:rsidRPr="00F15EE6">
              <w:t>30/01/2017</w:t>
            </w:r>
          </w:p>
        </w:tc>
        <w:sdt>
          <w:sdtPr>
            <w:id w:val="-1023932915"/>
            <w14:checkbox>
              <w14:checked w14:val="0"/>
              <w14:checkedState w14:val="2612" w14:font="MS Gothic"/>
              <w14:uncheckedState w14:val="2610" w14:font="MS Gothic"/>
            </w14:checkbox>
          </w:sdtPr>
          <w:sdtEndPr/>
          <w:sdtContent>
            <w:tc>
              <w:tcPr>
                <w:tcW w:w="441" w:type="pct"/>
              </w:tcPr>
              <w:p w14:paraId="62B11BBE"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4" w:type="pct"/>
          </w:tcPr>
          <w:p w14:paraId="3F822CCD" w14:textId="77777777" w:rsidR="00D82B64" w:rsidRPr="00F15EE6" w:rsidRDefault="00D82B64" w:rsidP="003052D6"/>
        </w:tc>
      </w:tr>
      <w:tr w:rsidR="00F15EE6" w:rsidRPr="00F15EE6" w14:paraId="75BEC35A" w14:textId="77777777" w:rsidTr="00AA6A31">
        <w:tc>
          <w:tcPr>
            <w:tcW w:w="257" w:type="pct"/>
          </w:tcPr>
          <w:p w14:paraId="3F0CB06E" w14:textId="77777777" w:rsidR="00D82B64" w:rsidRPr="00F15EE6" w:rsidRDefault="00D82B64" w:rsidP="003052D6">
            <w:r w:rsidRPr="00F15EE6">
              <w:t>3f</w:t>
            </w:r>
          </w:p>
        </w:tc>
        <w:tc>
          <w:tcPr>
            <w:tcW w:w="1419" w:type="pct"/>
          </w:tcPr>
          <w:p w14:paraId="64D94A98" w14:textId="77777777" w:rsidR="00D82B64" w:rsidRPr="00F15EE6" w:rsidRDefault="00D82B64" w:rsidP="003052D6">
            <w:r w:rsidRPr="00F15EE6">
              <w:t>For completeness, it is recommended to state that Type 1 objections do not apply to this indicator as the data extraction is an aggregate count (and type 1 objections only apply to patient-level extractions).</w:t>
            </w:r>
          </w:p>
        </w:tc>
        <w:tc>
          <w:tcPr>
            <w:tcW w:w="487" w:type="pct"/>
          </w:tcPr>
          <w:p w14:paraId="7F0F92DD" w14:textId="77777777" w:rsidR="00D82B64" w:rsidRPr="00F15EE6" w:rsidRDefault="00D82B64" w:rsidP="003052D6">
            <w:r w:rsidRPr="00F15EE6">
              <w:t>26/01/2017</w:t>
            </w:r>
          </w:p>
        </w:tc>
        <w:tc>
          <w:tcPr>
            <w:tcW w:w="1515" w:type="pct"/>
          </w:tcPr>
          <w:p w14:paraId="13822CD6" w14:textId="77777777" w:rsidR="00D82B64" w:rsidRPr="00F15EE6" w:rsidRDefault="00D82B64" w:rsidP="003052D6">
            <w:r w:rsidRPr="00F15EE6">
              <w:t>Added as per recommendation</w:t>
            </w:r>
          </w:p>
        </w:tc>
        <w:tc>
          <w:tcPr>
            <w:tcW w:w="487" w:type="pct"/>
          </w:tcPr>
          <w:p w14:paraId="03FECDA9" w14:textId="77777777" w:rsidR="00D82B64" w:rsidRPr="00F15EE6" w:rsidRDefault="00D82B64" w:rsidP="003052D6">
            <w:r w:rsidRPr="00F15EE6">
              <w:t>30/01/2017</w:t>
            </w:r>
          </w:p>
        </w:tc>
        <w:sdt>
          <w:sdtPr>
            <w:id w:val="2023276933"/>
            <w14:checkbox>
              <w14:checked w14:val="0"/>
              <w14:checkedState w14:val="2612" w14:font="MS Gothic"/>
              <w14:uncheckedState w14:val="2610" w14:font="MS Gothic"/>
            </w14:checkbox>
          </w:sdtPr>
          <w:sdtEndPr/>
          <w:sdtContent>
            <w:tc>
              <w:tcPr>
                <w:tcW w:w="441" w:type="pct"/>
              </w:tcPr>
              <w:p w14:paraId="61247D8C"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4" w:type="pct"/>
          </w:tcPr>
          <w:p w14:paraId="4FF143B1" w14:textId="77777777" w:rsidR="00D82B64" w:rsidRPr="00F15EE6" w:rsidRDefault="00D82B64" w:rsidP="003052D6"/>
        </w:tc>
      </w:tr>
      <w:tr w:rsidR="00F15EE6" w:rsidRPr="00F15EE6" w14:paraId="47CE370C" w14:textId="77777777" w:rsidTr="00AA6A31">
        <w:tc>
          <w:tcPr>
            <w:tcW w:w="257" w:type="pct"/>
          </w:tcPr>
          <w:p w14:paraId="32593CAC" w14:textId="77777777" w:rsidR="00D82B64" w:rsidRPr="00F15EE6" w:rsidRDefault="00D82B64" w:rsidP="003052D6">
            <w:r w:rsidRPr="00F15EE6">
              <w:t>3g</w:t>
            </w:r>
          </w:p>
        </w:tc>
        <w:tc>
          <w:tcPr>
            <w:tcW w:w="1419" w:type="pct"/>
          </w:tcPr>
          <w:p w14:paraId="24795865" w14:textId="77777777" w:rsidR="00D82B64" w:rsidRPr="00F15EE6" w:rsidRDefault="00D82B64" w:rsidP="003052D6">
            <w:r w:rsidRPr="00F15EE6">
              <w:t>Please make clear under timeliness in Data Quality (Section 3.4) that although some of the frameworks will be able to process and publish the data within 2 weeks of real time, this will not be the case for others (such as the CCG OIS).</w:t>
            </w:r>
          </w:p>
        </w:tc>
        <w:tc>
          <w:tcPr>
            <w:tcW w:w="487" w:type="pct"/>
          </w:tcPr>
          <w:p w14:paraId="5E40E039" w14:textId="77777777" w:rsidR="00D82B64" w:rsidRPr="00F15EE6" w:rsidRDefault="00D82B64" w:rsidP="003052D6">
            <w:r w:rsidRPr="00F15EE6">
              <w:t>26/01/2017</w:t>
            </w:r>
          </w:p>
        </w:tc>
        <w:tc>
          <w:tcPr>
            <w:tcW w:w="1515" w:type="pct"/>
          </w:tcPr>
          <w:p w14:paraId="79E6DA1F" w14:textId="77777777" w:rsidR="00D82B64" w:rsidRPr="00F15EE6" w:rsidRDefault="00D82B64" w:rsidP="003052D6">
            <w:r w:rsidRPr="00F15EE6">
              <w:t>Added as per recommendation</w:t>
            </w:r>
          </w:p>
        </w:tc>
        <w:tc>
          <w:tcPr>
            <w:tcW w:w="487" w:type="pct"/>
          </w:tcPr>
          <w:p w14:paraId="284ADB4A" w14:textId="77777777" w:rsidR="00D82B64" w:rsidRPr="00F15EE6" w:rsidRDefault="00D82B64" w:rsidP="003052D6">
            <w:r w:rsidRPr="00F15EE6">
              <w:t>30/01/2017</w:t>
            </w:r>
          </w:p>
        </w:tc>
        <w:sdt>
          <w:sdtPr>
            <w:id w:val="-1999102616"/>
            <w14:checkbox>
              <w14:checked w14:val="0"/>
              <w14:checkedState w14:val="2612" w14:font="MS Gothic"/>
              <w14:uncheckedState w14:val="2610" w14:font="MS Gothic"/>
            </w14:checkbox>
          </w:sdtPr>
          <w:sdtEndPr/>
          <w:sdtContent>
            <w:tc>
              <w:tcPr>
                <w:tcW w:w="441" w:type="pct"/>
              </w:tcPr>
              <w:p w14:paraId="5ACB5B75"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4" w:type="pct"/>
          </w:tcPr>
          <w:p w14:paraId="46806C79" w14:textId="77777777" w:rsidR="00D82B64" w:rsidRPr="00F15EE6" w:rsidRDefault="00D82B64" w:rsidP="003052D6"/>
        </w:tc>
      </w:tr>
      <w:tr w:rsidR="00F15EE6" w:rsidRPr="00F15EE6" w14:paraId="3C1B01E5" w14:textId="77777777" w:rsidTr="00AA6A31">
        <w:tc>
          <w:tcPr>
            <w:tcW w:w="257" w:type="pct"/>
          </w:tcPr>
          <w:p w14:paraId="4D22A013" w14:textId="77777777" w:rsidR="00D82B64" w:rsidRPr="00F15EE6" w:rsidRDefault="00D82B64" w:rsidP="003052D6">
            <w:r w:rsidRPr="00F15EE6">
              <w:t>3h</w:t>
            </w:r>
          </w:p>
        </w:tc>
        <w:tc>
          <w:tcPr>
            <w:tcW w:w="1419" w:type="pct"/>
          </w:tcPr>
          <w:p w14:paraId="4463D524" w14:textId="77777777" w:rsidR="00D82B64" w:rsidRPr="00F15EE6" w:rsidRDefault="00D82B64" w:rsidP="003052D6">
            <w:r w:rsidRPr="00F15EE6">
              <w:t>Please provide more details regarding the assurance of the data fields. The verbal update given during the meeting covering that they are based on QOF definitions and undergo a checking process as part of this should be documented.</w:t>
            </w:r>
          </w:p>
        </w:tc>
        <w:tc>
          <w:tcPr>
            <w:tcW w:w="487" w:type="pct"/>
          </w:tcPr>
          <w:p w14:paraId="44F4908F" w14:textId="77777777" w:rsidR="00D82B64" w:rsidRPr="00F15EE6" w:rsidRDefault="00D82B64" w:rsidP="003052D6">
            <w:r w:rsidRPr="00F15EE6">
              <w:t>26/01/2017</w:t>
            </w:r>
          </w:p>
        </w:tc>
        <w:tc>
          <w:tcPr>
            <w:tcW w:w="1515" w:type="pct"/>
          </w:tcPr>
          <w:p w14:paraId="755A868D" w14:textId="77777777" w:rsidR="00D82B64" w:rsidRPr="00F15EE6" w:rsidRDefault="00D82B64" w:rsidP="003052D6">
            <w:r w:rsidRPr="00F15EE6">
              <w:t>Added as per recommendation</w:t>
            </w:r>
          </w:p>
        </w:tc>
        <w:tc>
          <w:tcPr>
            <w:tcW w:w="487" w:type="pct"/>
          </w:tcPr>
          <w:p w14:paraId="2CE8CFCD" w14:textId="77777777" w:rsidR="00D82B64" w:rsidRPr="00F15EE6" w:rsidRDefault="00D82B64" w:rsidP="003052D6">
            <w:r w:rsidRPr="00F15EE6">
              <w:t>30/01/2017</w:t>
            </w:r>
          </w:p>
        </w:tc>
        <w:sdt>
          <w:sdtPr>
            <w:id w:val="-225608510"/>
            <w14:checkbox>
              <w14:checked w14:val="0"/>
              <w14:checkedState w14:val="2612" w14:font="MS Gothic"/>
              <w14:uncheckedState w14:val="2610" w14:font="MS Gothic"/>
            </w14:checkbox>
          </w:sdtPr>
          <w:sdtEndPr/>
          <w:sdtContent>
            <w:tc>
              <w:tcPr>
                <w:tcW w:w="441" w:type="pct"/>
              </w:tcPr>
              <w:p w14:paraId="7A78B99F"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4" w:type="pct"/>
          </w:tcPr>
          <w:p w14:paraId="0475F3EA" w14:textId="77777777" w:rsidR="00D82B64" w:rsidRPr="00F15EE6" w:rsidRDefault="00D82B64" w:rsidP="003052D6"/>
        </w:tc>
      </w:tr>
    </w:tbl>
    <w:p w14:paraId="73247645" w14:textId="77777777" w:rsidR="00D82B64" w:rsidRPr="00F15EE6" w:rsidRDefault="00D82B64" w:rsidP="003052D6">
      <w:pPr>
        <w:rPr>
          <w:rFonts w:cs="Arial"/>
        </w:rPr>
      </w:pPr>
    </w:p>
    <w:p w14:paraId="2BE65792" w14:textId="71392641" w:rsidR="00AA6A31" w:rsidRPr="00F15EE6" w:rsidRDefault="00AA6A31">
      <w:r w:rsidRPr="00F15EE6">
        <w:t>Construction</w:t>
      </w:r>
    </w:p>
    <w:tbl>
      <w:tblPr>
        <w:tblStyle w:val="TableGrid1"/>
        <w:tblW w:w="5000" w:type="pct"/>
        <w:tblLook w:val="04A0" w:firstRow="1" w:lastRow="0" w:firstColumn="1" w:lastColumn="0" w:noHBand="0" w:noVBand="1"/>
      </w:tblPr>
      <w:tblGrid>
        <w:gridCol w:w="752"/>
        <w:gridCol w:w="4134"/>
        <w:gridCol w:w="1419"/>
        <w:gridCol w:w="4414"/>
        <w:gridCol w:w="1419"/>
        <w:gridCol w:w="1285"/>
        <w:gridCol w:w="1145"/>
      </w:tblGrid>
      <w:tr w:rsidR="00F15EE6" w:rsidRPr="00F15EE6" w14:paraId="0E522D77" w14:textId="77777777" w:rsidTr="00AA6A31">
        <w:tc>
          <w:tcPr>
            <w:tcW w:w="258" w:type="pct"/>
          </w:tcPr>
          <w:p w14:paraId="111EC393" w14:textId="77777777" w:rsidR="00D82B64" w:rsidRPr="00F15EE6" w:rsidRDefault="00D82B64" w:rsidP="003052D6">
            <w:pPr>
              <w:rPr>
                <w:b/>
                <w:i/>
              </w:rPr>
            </w:pPr>
            <w:r w:rsidRPr="00F15EE6">
              <w:rPr>
                <w:b/>
                <w:i/>
              </w:rPr>
              <w:t>Rec. no</w:t>
            </w:r>
          </w:p>
        </w:tc>
        <w:tc>
          <w:tcPr>
            <w:tcW w:w="1419" w:type="pct"/>
          </w:tcPr>
          <w:p w14:paraId="64419CAA" w14:textId="77777777" w:rsidR="00D82B64" w:rsidRPr="00F15EE6" w:rsidRDefault="00D82B64" w:rsidP="003052D6">
            <w:pPr>
              <w:rPr>
                <w:b/>
                <w:i/>
              </w:rPr>
            </w:pPr>
            <w:r w:rsidRPr="00F15EE6">
              <w:rPr>
                <w:b/>
                <w:i/>
              </w:rPr>
              <w:t>Issue or recommendation</w:t>
            </w:r>
          </w:p>
        </w:tc>
        <w:tc>
          <w:tcPr>
            <w:tcW w:w="487" w:type="pct"/>
          </w:tcPr>
          <w:p w14:paraId="442423CA" w14:textId="77777777" w:rsidR="00D82B64" w:rsidRPr="00F15EE6" w:rsidRDefault="00D82B64" w:rsidP="003052D6">
            <w:pPr>
              <w:rPr>
                <w:b/>
                <w:i/>
              </w:rPr>
            </w:pPr>
            <w:r w:rsidRPr="00F15EE6">
              <w:rPr>
                <w:b/>
                <w:i/>
              </w:rPr>
              <w:t>Raised by / Date</w:t>
            </w:r>
          </w:p>
        </w:tc>
        <w:tc>
          <w:tcPr>
            <w:tcW w:w="1515" w:type="pct"/>
          </w:tcPr>
          <w:p w14:paraId="397DC3CA" w14:textId="77777777" w:rsidR="00D82B64" w:rsidRPr="00F15EE6" w:rsidRDefault="00D82B64" w:rsidP="003052D6">
            <w:pPr>
              <w:rPr>
                <w:b/>
                <w:i/>
              </w:rPr>
            </w:pPr>
            <w:r w:rsidRPr="00F15EE6">
              <w:rPr>
                <w:b/>
                <w:i/>
              </w:rPr>
              <w:t>Response or Action taken by applicant</w:t>
            </w:r>
          </w:p>
        </w:tc>
        <w:tc>
          <w:tcPr>
            <w:tcW w:w="487" w:type="pct"/>
          </w:tcPr>
          <w:p w14:paraId="28CCFA32" w14:textId="77777777" w:rsidR="00D82B64" w:rsidRPr="00F15EE6" w:rsidRDefault="00D82B64" w:rsidP="003052D6">
            <w:pPr>
              <w:rPr>
                <w:b/>
                <w:i/>
              </w:rPr>
            </w:pPr>
            <w:r w:rsidRPr="00F15EE6">
              <w:rPr>
                <w:b/>
                <w:i/>
              </w:rPr>
              <w:t>Response date</w:t>
            </w:r>
          </w:p>
        </w:tc>
        <w:tc>
          <w:tcPr>
            <w:tcW w:w="441" w:type="pct"/>
          </w:tcPr>
          <w:p w14:paraId="5AA71386" w14:textId="77777777" w:rsidR="00D82B64" w:rsidRPr="00F15EE6" w:rsidRDefault="00D82B64" w:rsidP="003052D6">
            <w:pPr>
              <w:rPr>
                <w:b/>
                <w:i/>
              </w:rPr>
            </w:pPr>
            <w:r w:rsidRPr="00F15EE6">
              <w:rPr>
                <w:b/>
                <w:i/>
              </w:rPr>
              <w:t>Resolved</w:t>
            </w:r>
          </w:p>
        </w:tc>
        <w:tc>
          <w:tcPr>
            <w:tcW w:w="393" w:type="pct"/>
          </w:tcPr>
          <w:p w14:paraId="56A4E0D5" w14:textId="77777777" w:rsidR="00D82B64" w:rsidRPr="00F15EE6" w:rsidRDefault="00D82B64" w:rsidP="003052D6">
            <w:pPr>
              <w:rPr>
                <w:b/>
                <w:i/>
              </w:rPr>
            </w:pPr>
            <w:r w:rsidRPr="00F15EE6">
              <w:rPr>
                <w:b/>
                <w:i/>
              </w:rPr>
              <w:t>Sign off by / Date</w:t>
            </w:r>
          </w:p>
        </w:tc>
      </w:tr>
      <w:tr w:rsidR="00F15EE6" w:rsidRPr="00F15EE6" w14:paraId="2AB0B5BD" w14:textId="77777777" w:rsidTr="00AA6A31">
        <w:tc>
          <w:tcPr>
            <w:tcW w:w="258" w:type="pct"/>
          </w:tcPr>
          <w:p w14:paraId="01A6D8CB" w14:textId="77777777" w:rsidR="00D82B64" w:rsidRPr="00F15EE6" w:rsidRDefault="00D82B64" w:rsidP="003052D6">
            <w:r w:rsidRPr="00F15EE6">
              <w:t>4a</w:t>
            </w:r>
          </w:p>
        </w:tc>
        <w:tc>
          <w:tcPr>
            <w:tcW w:w="1419" w:type="pct"/>
          </w:tcPr>
          <w:p w14:paraId="78D79DD0" w14:textId="77777777" w:rsidR="00D82B64" w:rsidRPr="00F15EE6" w:rsidRDefault="00D82B64" w:rsidP="003052D6">
            <w:r w:rsidRPr="00F15EE6">
              <w:t>Please change the wording of the numerator and denominator to include that both are based on the registered population. In addition, please amend the denominator from reading “given the characteristics of the population” to “given the age and sex distribution of the population”.</w:t>
            </w:r>
          </w:p>
        </w:tc>
        <w:tc>
          <w:tcPr>
            <w:tcW w:w="487" w:type="pct"/>
          </w:tcPr>
          <w:p w14:paraId="02CE2C01" w14:textId="77777777" w:rsidR="00D82B64" w:rsidRPr="00F15EE6" w:rsidRDefault="00D82B64" w:rsidP="003052D6">
            <w:r w:rsidRPr="00F15EE6">
              <w:t>26/01/2017</w:t>
            </w:r>
          </w:p>
        </w:tc>
        <w:tc>
          <w:tcPr>
            <w:tcW w:w="1515" w:type="pct"/>
          </w:tcPr>
          <w:p w14:paraId="3A7ACF8C" w14:textId="77777777" w:rsidR="00D82B64" w:rsidRPr="00F15EE6" w:rsidRDefault="00D82B64" w:rsidP="003052D6">
            <w:r w:rsidRPr="00F15EE6">
              <w:t>Amended as per recommendation</w:t>
            </w:r>
          </w:p>
        </w:tc>
        <w:tc>
          <w:tcPr>
            <w:tcW w:w="487" w:type="pct"/>
          </w:tcPr>
          <w:p w14:paraId="1478F5A5" w14:textId="77777777" w:rsidR="00D82B64" w:rsidRPr="00F15EE6" w:rsidRDefault="00D82B64" w:rsidP="003052D6">
            <w:r w:rsidRPr="00F15EE6">
              <w:t>30/01/2017</w:t>
            </w:r>
          </w:p>
        </w:tc>
        <w:sdt>
          <w:sdtPr>
            <w:id w:val="1667126029"/>
            <w14:checkbox>
              <w14:checked w14:val="0"/>
              <w14:checkedState w14:val="2612" w14:font="MS Gothic"/>
              <w14:uncheckedState w14:val="2610" w14:font="MS Gothic"/>
            </w14:checkbox>
          </w:sdtPr>
          <w:sdtEndPr/>
          <w:sdtContent>
            <w:tc>
              <w:tcPr>
                <w:tcW w:w="441" w:type="pct"/>
              </w:tcPr>
              <w:p w14:paraId="7F7485DE"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34408811" w14:textId="77777777" w:rsidR="00D82B64" w:rsidRPr="00F15EE6" w:rsidRDefault="00D82B64" w:rsidP="003052D6"/>
        </w:tc>
      </w:tr>
      <w:tr w:rsidR="00F15EE6" w:rsidRPr="00F15EE6" w14:paraId="3AE0DE72" w14:textId="77777777" w:rsidTr="00AA6A31">
        <w:tc>
          <w:tcPr>
            <w:tcW w:w="258" w:type="pct"/>
          </w:tcPr>
          <w:p w14:paraId="5838EB07" w14:textId="77777777" w:rsidR="00D82B64" w:rsidRPr="00F15EE6" w:rsidRDefault="00D82B64" w:rsidP="003052D6">
            <w:r w:rsidRPr="00F15EE6">
              <w:t>4b</w:t>
            </w:r>
          </w:p>
        </w:tc>
        <w:tc>
          <w:tcPr>
            <w:tcW w:w="1419" w:type="pct"/>
          </w:tcPr>
          <w:p w14:paraId="1A9D3D71" w14:textId="77777777" w:rsidR="00D82B64" w:rsidRPr="00F15EE6" w:rsidRDefault="00D82B64" w:rsidP="003052D6">
            <w:r w:rsidRPr="00F15EE6">
              <w:t>Please justify the use of indirect standardisation within the application form.</w:t>
            </w:r>
          </w:p>
        </w:tc>
        <w:tc>
          <w:tcPr>
            <w:tcW w:w="487" w:type="pct"/>
          </w:tcPr>
          <w:p w14:paraId="1D4ADFFC" w14:textId="77777777" w:rsidR="00D82B64" w:rsidRPr="00F15EE6" w:rsidRDefault="00D82B64" w:rsidP="003052D6">
            <w:r w:rsidRPr="00F15EE6">
              <w:t>26/01/2017</w:t>
            </w:r>
          </w:p>
        </w:tc>
        <w:tc>
          <w:tcPr>
            <w:tcW w:w="1515" w:type="pct"/>
          </w:tcPr>
          <w:p w14:paraId="5C7F8868" w14:textId="77777777" w:rsidR="00D82B64" w:rsidRPr="00F15EE6" w:rsidRDefault="00D82B64" w:rsidP="003052D6">
            <w:r w:rsidRPr="00F15EE6">
              <w:t>Amended as per recommendation</w:t>
            </w:r>
          </w:p>
        </w:tc>
        <w:tc>
          <w:tcPr>
            <w:tcW w:w="487" w:type="pct"/>
          </w:tcPr>
          <w:p w14:paraId="23A0F106" w14:textId="77777777" w:rsidR="00D82B64" w:rsidRPr="00F15EE6" w:rsidRDefault="00D82B64" w:rsidP="003052D6">
            <w:r w:rsidRPr="00F15EE6">
              <w:t>30/01/2017</w:t>
            </w:r>
          </w:p>
        </w:tc>
        <w:sdt>
          <w:sdtPr>
            <w:id w:val="-839694404"/>
            <w14:checkbox>
              <w14:checked w14:val="0"/>
              <w14:checkedState w14:val="2612" w14:font="MS Gothic"/>
              <w14:uncheckedState w14:val="2610" w14:font="MS Gothic"/>
            </w14:checkbox>
          </w:sdtPr>
          <w:sdtEndPr/>
          <w:sdtContent>
            <w:tc>
              <w:tcPr>
                <w:tcW w:w="441" w:type="pct"/>
              </w:tcPr>
              <w:p w14:paraId="704B3497"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102D74A7" w14:textId="77777777" w:rsidR="00D82B64" w:rsidRPr="00F15EE6" w:rsidRDefault="00D82B64" w:rsidP="003052D6"/>
        </w:tc>
      </w:tr>
      <w:tr w:rsidR="00F15EE6" w:rsidRPr="00F15EE6" w14:paraId="483648E3" w14:textId="77777777" w:rsidTr="00AA6A31">
        <w:tc>
          <w:tcPr>
            <w:tcW w:w="258" w:type="pct"/>
          </w:tcPr>
          <w:p w14:paraId="5FC28298" w14:textId="77777777" w:rsidR="00D82B64" w:rsidRPr="00F15EE6" w:rsidRDefault="00D82B64" w:rsidP="003052D6">
            <w:r w:rsidRPr="00F15EE6">
              <w:t>4c</w:t>
            </w:r>
          </w:p>
        </w:tc>
        <w:tc>
          <w:tcPr>
            <w:tcW w:w="1419" w:type="pct"/>
          </w:tcPr>
          <w:p w14:paraId="4418F07D" w14:textId="77777777" w:rsidR="00D82B64" w:rsidRPr="00F15EE6" w:rsidRDefault="00D82B64" w:rsidP="003052D6">
            <w:r w:rsidRPr="00F15EE6">
              <w:t>Please provide the rationale for the confidence interval methodology, e.g. why a simulation method was chosen rather than using the confidence intervals supplied by the CFAS II study.</w:t>
            </w:r>
          </w:p>
        </w:tc>
        <w:tc>
          <w:tcPr>
            <w:tcW w:w="487" w:type="pct"/>
          </w:tcPr>
          <w:p w14:paraId="0BCEBB23" w14:textId="77777777" w:rsidR="00D82B64" w:rsidRPr="00F15EE6" w:rsidRDefault="00D82B64" w:rsidP="003052D6">
            <w:r w:rsidRPr="00F15EE6">
              <w:t>26/01/2017</w:t>
            </w:r>
          </w:p>
        </w:tc>
        <w:tc>
          <w:tcPr>
            <w:tcW w:w="1515" w:type="pct"/>
          </w:tcPr>
          <w:p w14:paraId="14EDEB62" w14:textId="77777777" w:rsidR="00D82B64" w:rsidRPr="00F15EE6" w:rsidRDefault="00D82B64" w:rsidP="003052D6">
            <w:r w:rsidRPr="00F15EE6">
              <w:t xml:space="preserve">Expanded as per recommendation </w:t>
            </w:r>
          </w:p>
        </w:tc>
        <w:tc>
          <w:tcPr>
            <w:tcW w:w="487" w:type="pct"/>
          </w:tcPr>
          <w:p w14:paraId="066BD4E3" w14:textId="77777777" w:rsidR="00D82B64" w:rsidRPr="00F15EE6" w:rsidRDefault="00D82B64" w:rsidP="003052D6">
            <w:r w:rsidRPr="00F15EE6">
              <w:t>30/01/2017</w:t>
            </w:r>
          </w:p>
        </w:tc>
        <w:sdt>
          <w:sdtPr>
            <w:id w:val="477419519"/>
            <w14:checkbox>
              <w14:checked w14:val="0"/>
              <w14:checkedState w14:val="2612" w14:font="MS Gothic"/>
              <w14:uncheckedState w14:val="2610" w14:font="MS Gothic"/>
            </w14:checkbox>
          </w:sdtPr>
          <w:sdtEndPr/>
          <w:sdtContent>
            <w:tc>
              <w:tcPr>
                <w:tcW w:w="441" w:type="pct"/>
              </w:tcPr>
              <w:p w14:paraId="71D2CA79"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3EAE8522" w14:textId="77777777" w:rsidR="00D82B64" w:rsidRPr="00F15EE6" w:rsidRDefault="00D82B64" w:rsidP="003052D6"/>
        </w:tc>
      </w:tr>
      <w:tr w:rsidR="00F15EE6" w:rsidRPr="00F15EE6" w14:paraId="04066AA9" w14:textId="77777777" w:rsidTr="00AA6A31">
        <w:tc>
          <w:tcPr>
            <w:tcW w:w="258" w:type="pct"/>
          </w:tcPr>
          <w:p w14:paraId="6596F6A4" w14:textId="77777777" w:rsidR="00D82B64" w:rsidRPr="00F15EE6" w:rsidRDefault="00D82B64" w:rsidP="003052D6">
            <w:r w:rsidRPr="00F15EE6">
              <w:t>4d</w:t>
            </w:r>
          </w:p>
        </w:tc>
        <w:tc>
          <w:tcPr>
            <w:tcW w:w="1419" w:type="pct"/>
          </w:tcPr>
          <w:p w14:paraId="6B80EB09" w14:textId="77777777" w:rsidR="00D82B64" w:rsidRPr="00F15EE6" w:rsidRDefault="00D82B64" w:rsidP="003052D6">
            <w:r w:rsidRPr="00F15EE6">
              <w:t>As the paperwork currently stands, it would not be possible to replicate the confidence interval methodology. It was decided during the MRG that the easiest and most understandable way to supply this information would be to publish a spreadsheet with the calculation alongside the application form.</w:t>
            </w:r>
          </w:p>
        </w:tc>
        <w:tc>
          <w:tcPr>
            <w:tcW w:w="487" w:type="pct"/>
          </w:tcPr>
          <w:p w14:paraId="4BC5A2F8" w14:textId="77777777" w:rsidR="00D82B64" w:rsidRPr="00F15EE6" w:rsidRDefault="00D82B64" w:rsidP="003052D6">
            <w:r w:rsidRPr="00F15EE6">
              <w:t>26/01/2017</w:t>
            </w:r>
          </w:p>
        </w:tc>
        <w:tc>
          <w:tcPr>
            <w:tcW w:w="1515" w:type="pct"/>
          </w:tcPr>
          <w:p w14:paraId="7809D0BE" w14:textId="77777777" w:rsidR="00D82B64" w:rsidRPr="00F15EE6" w:rsidRDefault="00D82B64" w:rsidP="003052D6">
            <w:r w:rsidRPr="00F15EE6">
              <w:t>An Excel / VBA template exists which can be supplied with the form (attached).</w:t>
            </w:r>
          </w:p>
        </w:tc>
        <w:tc>
          <w:tcPr>
            <w:tcW w:w="487" w:type="pct"/>
          </w:tcPr>
          <w:p w14:paraId="2B9A0242" w14:textId="77777777" w:rsidR="00D82B64" w:rsidRPr="00F15EE6" w:rsidRDefault="00D82B64" w:rsidP="003052D6">
            <w:r w:rsidRPr="00F15EE6">
              <w:t>30/01/2017</w:t>
            </w:r>
          </w:p>
        </w:tc>
        <w:sdt>
          <w:sdtPr>
            <w:id w:val="2128888299"/>
            <w14:checkbox>
              <w14:checked w14:val="0"/>
              <w14:checkedState w14:val="2612" w14:font="MS Gothic"/>
              <w14:uncheckedState w14:val="2610" w14:font="MS Gothic"/>
            </w14:checkbox>
          </w:sdtPr>
          <w:sdtEndPr/>
          <w:sdtContent>
            <w:tc>
              <w:tcPr>
                <w:tcW w:w="441" w:type="pct"/>
              </w:tcPr>
              <w:p w14:paraId="4E5573EB"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3F4CE553" w14:textId="77777777" w:rsidR="00D82B64" w:rsidRPr="00F15EE6" w:rsidRDefault="00D82B64" w:rsidP="003052D6"/>
        </w:tc>
      </w:tr>
    </w:tbl>
    <w:p w14:paraId="05369024" w14:textId="77777777" w:rsidR="00D82B64" w:rsidRPr="00F15EE6" w:rsidRDefault="00D82B64" w:rsidP="003052D6">
      <w:pPr>
        <w:rPr>
          <w:rFonts w:cs="Arial"/>
        </w:rPr>
      </w:pPr>
    </w:p>
    <w:p w14:paraId="1D6CB12D" w14:textId="6D3EF02C" w:rsidR="00AA6A31" w:rsidRPr="00F15EE6" w:rsidRDefault="00AA6A31">
      <w:pPr>
        <w:rPr>
          <w:b/>
          <w:bCs/>
        </w:rPr>
      </w:pPr>
      <w:r w:rsidRPr="00F15EE6">
        <w:rPr>
          <w:b/>
          <w:bCs/>
        </w:rPr>
        <w:t>Presentation and Interpretation</w:t>
      </w:r>
    </w:p>
    <w:tbl>
      <w:tblPr>
        <w:tblStyle w:val="TableGrid1"/>
        <w:tblW w:w="5000" w:type="pct"/>
        <w:tblLook w:val="04A0" w:firstRow="1" w:lastRow="0" w:firstColumn="1" w:lastColumn="0" w:noHBand="0" w:noVBand="1"/>
      </w:tblPr>
      <w:tblGrid>
        <w:gridCol w:w="752"/>
        <w:gridCol w:w="4134"/>
        <w:gridCol w:w="1419"/>
        <w:gridCol w:w="4414"/>
        <w:gridCol w:w="1419"/>
        <w:gridCol w:w="1285"/>
        <w:gridCol w:w="1145"/>
      </w:tblGrid>
      <w:tr w:rsidR="00F15EE6" w:rsidRPr="00F15EE6" w14:paraId="46DE950D" w14:textId="77777777" w:rsidTr="00AA6A31">
        <w:tc>
          <w:tcPr>
            <w:tcW w:w="258" w:type="pct"/>
          </w:tcPr>
          <w:p w14:paraId="0EE383A1" w14:textId="77777777" w:rsidR="00D82B64" w:rsidRPr="00F15EE6" w:rsidRDefault="00D82B64" w:rsidP="003052D6">
            <w:pPr>
              <w:rPr>
                <w:b/>
                <w:i/>
              </w:rPr>
            </w:pPr>
            <w:r w:rsidRPr="00F15EE6">
              <w:rPr>
                <w:b/>
                <w:i/>
              </w:rPr>
              <w:t>Rec. no</w:t>
            </w:r>
          </w:p>
        </w:tc>
        <w:tc>
          <w:tcPr>
            <w:tcW w:w="1419" w:type="pct"/>
          </w:tcPr>
          <w:p w14:paraId="493D60A0" w14:textId="77777777" w:rsidR="00D82B64" w:rsidRPr="00F15EE6" w:rsidRDefault="00D82B64" w:rsidP="003052D6">
            <w:pPr>
              <w:rPr>
                <w:b/>
                <w:i/>
              </w:rPr>
            </w:pPr>
            <w:r w:rsidRPr="00F15EE6">
              <w:rPr>
                <w:b/>
                <w:i/>
              </w:rPr>
              <w:t>Issue or recommendation</w:t>
            </w:r>
          </w:p>
        </w:tc>
        <w:tc>
          <w:tcPr>
            <w:tcW w:w="487" w:type="pct"/>
          </w:tcPr>
          <w:p w14:paraId="52B0A940" w14:textId="77777777" w:rsidR="00D82B64" w:rsidRPr="00F15EE6" w:rsidRDefault="00D82B64" w:rsidP="003052D6">
            <w:pPr>
              <w:rPr>
                <w:b/>
                <w:i/>
              </w:rPr>
            </w:pPr>
            <w:r w:rsidRPr="00F15EE6">
              <w:rPr>
                <w:b/>
                <w:i/>
              </w:rPr>
              <w:t>Raised by / Date</w:t>
            </w:r>
          </w:p>
        </w:tc>
        <w:tc>
          <w:tcPr>
            <w:tcW w:w="1515" w:type="pct"/>
          </w:tcPr>
          <w:p w14:paraId="5E59CEE5" w14:textId="77777777" w:rsidR="00D82B64" w:rsidRPr="00F15EE6" w:rsidRDefault="00D82B64" w:rsidP="003052D6">
            <w:pPr>
              <w:rPr>
                <w:b/>
                <w:i/>
              </w:rPr>
            </w:pPr>
            <w:r w:rsidRPr="00F15EE6">
              <w:rPr>
                <w:b/>
                <w:i/>
              </w:rPr>
              <w:t>Response or Action taken by applicant</w:t>
            </w:r>
          </w:p>
        </w:tc>
        <w:tc>
          <w:tcPr>
            <w:tcW w:w="487" w:type="pct"/>
          </w:tcPr>
          <w:p w14:paraId="36630E72" w14:textId="77777777" w:rsidR="00D82B64" w:rsidRPr="00F15EE6" w:rsidRDefault="00D82B64" w:rsidP="003052D6">
            <w:pPr>
              <w:rPr>
                <w:b/>
                <w:i/>
              </w:rPr>
            </w:pPr>
            <w:r w:rsidRPr="00F15EE6">
              <w:rPr>
                <w:b/>
                <w:i/>
              </w:rPr>
              <w:t>Response date</w:t>
            </w:r>
          </w:p>
        </w:tc>
        <w:tc>
          <w:tcPr>
            <w:tcW w:w="441" w:type="pct"/>
          </w:tcPr>
          <w:p w14:paraId="112DEA6F" w14:textId="77777777" w:rsidR="00D82B64" w:rsidRPr="00F15EE6" w:rsidRDefault="00D82B64" w:rsidP="003052D6">
            <w:pPr>
              <w:rPr>
                <w:b/>
                <w:i/>
              </w:rPr>
            </w:pPr>
            <w:r w:rsidRPr="00F15EE6">
              <w:rPr>
                <w:b/>
                <w:i/>
              </w:rPr>
              <w:t>Resolved</w:t>
            </w:r>
          </w:p>
        </w:tc>
        <w:tc>
          <w:tcPr>
            <w:tcW w:w="393" w:type="pct"/>
          </w:tcPr>
          <w:p w14:paraId="29874E96" w14:textId="77777777" w:rsidR="00D82B64" w:rsidRPr="00F15EE6" w:rsidRDefault="00D82B64" w:rsidP="003052D6">
            <w:pPr>
              <w:rPr>
                <w:b/>
                <w:i/>
              </w:rPr>
            </w:pPr>
            <w:r w:rsidRPr="00F15EE6">
              <w:rPr>
                <w:b/>
                <w:i/>
              </w:rPr>
              <w:t>Sign off by / Date</w:t>
            </w:r>
          </w:p>
        </w:tc>
      </w:tr>
      <w:tr w:rsidR="00F15EE6" w:rsidRPr="00F15EE6" w14:paraId="5B49AD4C" w14:textId="77777777" w:rsidTr="00AA6A31">
        <w:tc>
          <w:tcPr>
            <w:tcW w:w="258" w:type="pct"/>
          </w:tcPr>
          <w:p w14:paraId="6408F547" w14:textId="77777777" w:rsidR="00D82B64" w:rsidRPr="00F15EE6" w:rsidRDefault="00D82B64" w:rsidP="003052D6">
            <w:r w:rsidRPr="00F15EE6">
              <w:t>5a</w:t>
            </w:r>
          </w:p>
        </w:tc>
        <w:tc>
          <w:tcPr>
            <w:tcW w:w="1419" w:type="pct"/>
          </w:tcPr>
          <w:p w14:paraId="46B691AA" w14:textId="77777777" w:rsidR="00D82B64" w:rsidRPr="00F15EE6" w:rsidRDefault="00D82B64" w:rsidP="003052D6">
            <w:r w:rsidRPr="00F15EE6">
              <w:t xml:space="preserve">In section 5.6, it states that there will be confidence intervals for the benchmark however this will not be the case. Therefore, please amend. </w:t>
            </w:r>
          </w:p>
        </w:tc>
        <w:tc>
          <w:tcPr>
            <w:tcW w:w="487" w:type="pct"/>
          </w:tcPr>
          <w:p w14:paraId="64FEFDAC" w14:textId="77777777" w:rsidR="00D82B64" w:rsidRPr="00F15EE6" w:rsidRDefault="00D82B64" w:rsidP="003052D6">
            <w:r w:rsidRPr="00F15EE6">
              <w:t>26/01/2017</w:t>
            </w:r>
          </w:p>
        </w:tc>
        <w:tc>
          <w:tcPr>
            <w:tcW w:w="1515" w:type="pct"/>
          </w:tcPr>
          <w:p w14:paraId="2556A44D" w14:textId="77777777" w:rsidR="00D82B64" w:rsidRPr="00F15EE6" w:rsidRDefault="00D82B64" w:rsidP="003052D6">
            <w:r w:rsidRPr="00F15EE6">
              <w:t>Amended as per recommendation</w:t>
            </w:r>
          </w:p>
        </w:tc>
        <w:tc>
          <w:tcPr>
            <w:tcW w:w="487" w:type="pct"/>
          </w:tcPr>
          <w:p w14:paraId="07E9D845" w14:textId="77777777" w:rsidR="00D82B64" w:rsidRPr="00F15EE6" w:rsidRDefault="00D82B64" w:rsidP="003052D6">
            <w:r w:rsidRPr="00F15EE6">
              <w:t>30/01/2017</w:t>
            </w:r>
          </w:p>
        </w:tc>
        <w:sdt>
          <w:sdtPr>
            <w:id w:val="2043168001"/>
            <w14:checkbox>
              <w14:checked w14:val="0"/>
              <w14:checkedState w14:val="2612" w14:font="MS Gothic"/>
              <w14:uncheckedState w14:val="2610" w14:font="MS Gothic"/>
            </w14:checkbox>
          </w:sdtPr>
          <w:sdtEndPr/>
          <w:sdtContent>
            <w:tc>
              <w:tcPr>
                <w:tcW w:w="441" w:type="pct"/>
              </w:tcPr>
              <w:p w14:paraId="311A8EAF"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62E08B37" w14:textId="77777777" w:rsidR="00D82B64" w:rsidRPr="00F15EE6" w:rsidRDefault="00D82B64" w:rsidP="003052D6"/>
        </w:tc>
      </w:tr>
      <w:tr w:rsidR="00F15EE6" w:rsidRPr="00F15EE6" w14:paraId="34FFEDA0" w14:textId="77777777" w:rsidTr="00AA6A31">
        <w:tc>
          <w:tcPr>
            <w:tcW w:w="258" w:type="pct"/>
          </w:tcPr>
          <w:p w14:paraId="348A212A" w14:textId="77777777" w:rsidR="00D82B64" w:rsidRPr="00F15EE6" w:rsidRDefault="00D82B64" w:rsidP="003052D6">
            <w:r w:rsidRPr="00F15EE6">
              <w:t>5b</w:t>
            </w:r>
          </w:p>
        </w:tc>
        <w:tc>
          <w:tcPr>
            <w:tcW w:w="1419" w:type="pct"/>
          </w:tcPr>
          <w:p w14:paraId="322718F5" w14:textId="77777777" w:rsidR="00D82B64" w:rsidRPr="00F15EE6" w:rsidRDefault="00D82B64" w:rsidP="003052D6">
            <w:r w:rsidRPr="00F15EE6">
              <w:t>MRG suggest that providing age and sex breakdowns as part of the presentation may be useful for users.</w:t>
            </w:r>
          </w:p>
        </w:tc>
        <w:tc>
          <w:tcPr>
            <w:tcW w:w="487" w:type="pct"/>
          </w:tcPr>
          <w:p w14:paraId="20F53A89" w14:textId="77777777" w:rsidR="00D82B64" w:rsidRPr="00F15EE6" w:rsidRDefault="00D82B64" w:rsidP="003052D6">
            <w:r w:rsidRPr="00F15EE6">
              <w:t>26/01/2017</w:t>
            </w:r>
          </w:p>
        </w:tc>
        <w:tc>
          <w:tcPr>
            <w:tcW w:w="1515" w:type="pct"/>
          </w:tcPr>
          <w:p w14:paraId="7AD350D7" w14:textId="77777777" w:rsidR="00D82B64" w:rsidRPr="00F15EE6" w:rsidRDefault="00D82B64" w:rsidP="003052D6">
            <w:r w:rsidRPr="00F15EE6">
              <w:t xml:space="preserve">Publication of more granular diagnosis data would be subject to further approvals regarding </w:t>
            </w:r>
            <w:proofErr w:type="spellStart"/>
            <w:r w:rsidRPr="00F15EE6">
              <w:t>disclosivity</w:t>
            </w:r>
            <w:proofErr w:type="spellEnd"/>
            <w:r w:rsidRPr="00F15EE6">
              <w:t xml:space="preserve"> of data and will be pursued but may not be possible.</w:t>
            </w:r>
          </w:p>
        </w:tc>
        <w:tc>
          <w:tcPr>
            <w:tcW w:w="487" w:type="pct"/>
          </w:tcPr>
          <w:p w14:paraId="17D1355B" w14:textId="77777777" w:rsidR="00D82B64" w:rsidRPr="00F15EE6" w:rsidRDefault="00D82B64" w:rsidP="003052D6">
            <w:r w:rsidRPr="00F15EE6">
              <w:t>30/01/2017</w:t>
            </w:r>
          </w:p>
        </w:tc>
        <w:sdt>
          <w:sdtPr>
            <w:id w:val="838116785"/>
            <w14:checkbox>
              <w14:checked w14:val="0"/>
              <w14:checkedState w14:val="2612" w14:font="MS Gothic"/>
              <w14:uncheckedState w14:val="2610" w14:font="MS Gothic"/>
            </w14:checkbox>
          </w:sdtPr>
          <w:sdtEndPr/>
          <w:sdtContent>
            <w:tc>
              <w:tcPr>
                <w:tcW w:w="441" w:type="pct"/>
              </w:tcPr>
              <w:p w14:paraId="4FF8913D"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0DE8BF4F" w14:textId="77777777" w:rsidR="00D82B64" w:rsidRPr="00F15EE6" w:rsidRDefault="00D82B64" w:rsidP="003052D6"/>
        </w:tc>
      </w:tr>
      <w:tr w:rsidR="00F15EE6" w:rsidRPr="00F15EE6" w14:paraId="1E82029C" w14:textId="77777777" w:rsidTr="00AA6A31">
        <w:tc>
          <w:tcPr>
            <w:tcW w:w="258" w:type="pct"/>
          </w:tcPr>
          <w:p w14:paraId="594BE83E" w14:textId="77777777" w:rsidR="00D82B64" w:rsidRPr="00F15EE6" w:rsidRDefault="00D82B64" w:rsidP="003052D6">
            <w:r w:rsidRPr="00F15EE6">
              <w:t>5c</w:t>
            </w:r>
          </w:p>
        </w:tc>
        <w:tc>
          <w:tcPr>
            <w:tcW w:w="1419" w:type="pct"/>
          </w:tcPr>
          <w:p w14:paraId="5019798D" w14:textId="77777777" w:rsidR="00D82B64" w:rsidRPr="00F15EE6" w:rsidRDefault="00D82B64" w:rsidP="003052D6">
            <w:r w:rsidRPr="00F15EE6">
              <w:t xml:space="preserve">Update 5.6 to make clear that due to the indirect standardisation used in this methodology, CCGs should only be compared to the national benchmark not </w:t>
            </w:r>
            <w:proofErr w:type="spellStart"/>
            <w:r w:rsidRPr="00F15EE6">
              <w:t>eachother</w:t>
            </w:r>
            <w:proofErr w:type="spellEnd"/>
            <w:r w:rsidRPr="00F15EE6">
              <w:t>. Therefore, comments about overlapping confidence intervals should be removed.</w:t>
            </w:r>
          </w:p>
        </w:tc>
        <w:tc>
          <w:tcPr>
            <w:tcW w:w="487" w:type="pct"/>
          </w:tcPr>
          <w:p w14:paraId="7C58E6B1" w14:textId="77777777" w:rsidR="00D82B64" w:rsidRPr="00F15EE6" w:rsidRDefault="00D82B64" w:rsidP="003052D6">
            <w:r w:rsidRPr="00F15EE6">
              <w:t>26/01/2017</w:t>
            </w:r>
          </w:p>
        </w:tc>
        <w:tc>
          <w:tcPr>
            <w:tcW w:w="1515" w:type="pct"/>
          </w:tcPr>
          <w:p w14:paraId="799717A6" w14:textId="77777777" w:rsidR="00D82B64" w:rsidRPr="00F15EE6" w:rsidRDefault="00D82B64" w:rsidP="003052D6">
            <w:r w:rsidRPr="00F15EE6">
              <w:t>Amended as per recommendation</w:t>
            </w:r>
          </w:p>
        </w:tc>
        <w:tc>
          <w:tcPr>
            <w:tcW w:w="487" w:type="pct"/>
          </w:tcPr>
          <w:p w14:paraId="3473252E" w14:textId="77777777" w:rsidR="00D82B64" w:rsidRPr="00F15EE6" w:rsidRDefault="00D82B64" w:rsidP="003052D6">
            <w:r w:rsidRPr="00F15EE6">
              <w:t>30/01/2017</w:t>
            </w:r>
          </w:p>
        </w:tc>
        <w:sdt>
          <w:sdtPr>
            <w:id w:val="-842776325"/>
            <w14:checkbox>
              <w14:checked w14:val="0"/>
              <w14:checkedState w14:val="2612" w14:font="MS Gothic"/>
              <w14:uncheckedState w14:val="2610" w14:font="MS Gothic"/>
            </w14:checkbox>
          </w:sdtPr>
          <w:sdtEndPr/>
          <w:sdtContent>
            <w:tc>
              <w:tcPr>
                <w:tcW w:w="441" w:type="pct"/>
              </w:tcPr>
              <w:p w14:paraId="40662283"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2946DC66" w14:textId="77777777" w:rsidR="00D82B64" w:rsidRPr="00F15EE6" w:rsidRDefault="00D82B64" w:rsidP="003052D6"/>
        </w:tc>
      </w:tr>
      <w:tr w:rsidR="00F15EE6" w:rsidRPr="00F15EE6" w14:paraId="6FED263F" w14:textId="77777777" w:rsidTr="00AA6A31">
        <w:tc>
          <w:tcPr>
            <w:tcW w:w="258" w:type="pct"/>
          </w:tcPr>
          <w:p w14:paraId="7CAACE12" w14:textId="77777777" w:rsidR="00D82B64" w:rsidRPr="00F15EE6" w:rsidRDefault="00D82B64" w:rsidP="003052D6">
            <w:r w:rsidRPr="00F15EE6">
              <w:t>5d</w:t>
            </w:r>
          </w:p>
        </w:tc>
        <w:tc>
          <w:tcPr>
            <w:tcW w:w="1419" w:type="pct"/>
          </w:tcPr>
          <w:p w14:paraId="3FB0799B" w14:textId="77777777" w:rsidR="00D82B64" w:rsidRPr="00F15EE6" w:rsidRDefault="00D82B64" w:rsidP="003052D6">
            <w:r w:rsidRPr="00F15EE6">
              <w:t>In the interpretation, it is worth stating that the study estimates of dementia prevalence may not be applicable to all areas of England. This could be the reason why in section 5.9 (Evidence of variability) there is a sharp increase and decrease at either end of the estimated diagnosis rate distribution by CCG.</w:t>
            </w:r>
          </w:p>
        </w:tc>
        <w:tc>
          <w:tcPr>
            <w:tcW w:w="487" w:type="pct"/>
          </w:tcPr>
          <w:p w14:paraId="70360CE4" w14:textId="77777777" w:rsidR="00D82B64" w:rsidRPr="00F15EE6" w:rsidRDefault="00D82B64" w:rsidP="003052D6">
            <w:r w:rsidRPr="00F15EE6">
              <w:t>26/01/2017</w:t>
            </w:r>
          </w:p>
        </w:tc>
        <w:tc>
          <w:tcPr>
            <w:tcW w:w="1515" w:type="pct"/>
          </w:tcPr>
          <w:p w14:paraId="64998202" w14:textId="77777777" w:rsidR="00D82B64" w:rsidRPr="00F15EE6" w:rsidRDefault="00D82B64" w:rsidP="003052D6">
            <w:r w:rsidRPr="00F15EE6">
              <w:t>Amended as per recommendation</w:t>
            </w:r>
          </w:p>
        </w:tc>
        <w:tc>
          <w:tcPr>
            <w:tcW w:w="487" w:type="pct"/>
          </w:tcPr>
          <w:p w14:paraId="701D783E" w14:textId="77777777" w:rsidR="00D82B64" w:rsidRPr="00F15EE6" w:rsidRDefault="00D82B64" w:rsidP="003052D6">
            <w:r w:rsidRPr="00F15EE6">
              <w:t>30/01/2017</w:t>
            </w:r>
          </w:p>
        </w:tc>
        <w:sdt>
          <w:sdtPr>
            <w:id w:val="854229750"/>
            <w14:checkbox>
              <w14:checked w14:val="0"/>
              <w14:checkedState w14:val="2612" w14:font="MS Gothic"/>
              <w14:uncheckedState w14:val="2610" w14:font="MS Gothic"/>
            </w14:checkbox>
          </w:sdtPr>
          <w:sdtEndPr/>
          <w:sdtContent>
            <w:tc>
              <w:tcPr>
                <w:tcW w:w="441" w:type="pct"/>
              </w:tcPr>
              <w:p w14:paraId="359AC37B"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0D4A2153" w14:textId="77777777" w:rsidR="00D82B64" w:rsidRPr="00F15EE6" w:rsidRDefault="00D82B64" w:rsidP="003052D6"/>
        </w:tc>
      </w:tr>
    </w:tbl>
    <w:p w14:paraId="77E12875" w14:textId="77777777" w:rsidR="00D82B64" w:rsidRPr="00F15EE6" w:rsidRDefault="00D82B64" w:rsidP="003052D6">
      <w:pPr>
        <w:rPr>
          <w:rFonts w:cs="Arial"/>
        </w:rPr>
      </w:pPr>
    </w:p>
    <w:p w14:paraId="1CB03ADB" w14:textId="52DFC38F" w:rsidR="00AA6A31" w:rsidRPr="00F15EE6" w:rsidRDefault="00AA6A31">
      <w:pPr>
        <w:rPr>
          <w:b/>
          <w:bCs/>
        </w:rPr>
      </w:pPr>
      <w:r w:rsidRPr="00F15EE6">
        <w:rPr>
          <w:b/>
          <w:bCs/>
        </w:rPr>
        <w:t>Risks and Usefulness</w:t>
      </w:r>
    </w:p>
    <w:tbl>
      <w:tblPr>
        <w:tblStyle w:val="TableGrid1"/>
        <w:tblW w:w="5000" w:type="pct"/>
        <w:tblLook w:val="04A0" w:firstRow="1" w:lastRow="0" w:firstColumn="1" w:lastColumn="0" w:noHBand="0" w:noVBand="1"/>
      </w:tblPr>
      <w:tblGrid>
        <w:gridCol w:w="752"/>
        <w:gridCol w:w="4134"/>
        <w:gridCol w:w="1419"/>
        <w:gridCol w:w="4414"/>
        <w:gridCol w:w="1419"/>
        <w:gridCol w:w="1285"/>
        <w:gridCol w:w="1145"/>
      </w:tblGrid>
      <w:tr w:rsidR="00F15EE6" w:rsidRPr="00F15EE6" w14:paraId="3B36B2B0" w14:textId="77777777" w:rsidTr="00AA6A31">
        <w:tc>
          <w:tcPr>
            <w:tcW w:w="258" w:type="pct"/>
          </w:tcPr>
          <w:p w14:paraId="45151B93" w14:textId="77777777" w:rsidR="00D82B64" w:rsidRPr="00F15EE6" w:rsidRDefault="00D82B64" w:rsidP="003052D6">
            <w:pPr>
              <w:rPr>
                <w:b/>
                <w:i/>
              </w:rPr>
            </w:pPr>
            <w:r w:rsidRPr="00F15EE6">
              <w:rPr>
                <w:b/>
                <w:i/>
              </w:rPr>
              <w:t>Rec. no</w:t>
            </w:r>
          </w:p>
        </w:tc>
        <w:tc>
          <w:tcPr>
            <w:tcW w:w="1419" w:type="pct"/>
          </w:tcPr>
          <w:p w14:paraId="55CFBA22" w14:textId="77777777" w:rsidR="00D82B64" w:rsidRPr="00F15EE6" w:rsidRDefault="00D82B64" w:rsidP="003052D6">
            <w:pPr>
              <w:rPr>
                <w:b/>
                <w:i/>
              </w:rPr>
            </w:pPr>
            <w:r w:rsidRPr="00F15EE6">
              <w:rPr>
                <w:b/>
                <w:i/>
              </w:rPr>
              <w:t>Issue or recommendation</w:t>
            </w:r>
          </w:p>
        </w:tc>
        <w:tc>
          <w:tcPr>
            <w:tcW w:w="487" w:type="pct"/>
          </w:tcPr>
          <w:p w14:paraId="1D247B20" w14:textId="77777777" w:rsidR="00D82B64" w:rsidRPr="00F15EE6" w:rsidRDefault="00D82B64" w:rsidP="003052D6">
            <w:pPr>
              <w:rPr>
                <w:b/>
                <w:i/>
              </w:rPr>
            </w:pPr>
            <w:r w:rsidRPr="00F15EE6">
              <w:rPr>
                <w:b/>
                <w:i/>
              </w:rPr>
              <w:t>Raised by / Date</w:t>
            </w:r>
          </w:p>
        </w:tc>
        <w:tc>
          <w:tcPr>
            <w:tcW w:w="1515" w:type="pct"/>
          </w:tcPr>
          <w:p w14:paraId="1B944D20" w14:textId="77777777" w:rsidR="00D82B64" w:rsidRPr="00F15EE6" w:rsidRDefault="00D82B64" w:rsidP="003052D6">
            <w:pPr>
              <w:rPr>
                <w:b/>
                <w:i/>
              </w:rPr>
            </w:pPr>
            <w:r w:rsidRPr="00F15EE6">
              <w:rPr>
                <w:b/>
                <w:i/>
              </w:rPr>
              <w:t>Response or Action taken by applicant</w:t>
            </w:r>
          </w:p>
        </w:tc>
        <w:tc>
          <w:tcPr>
            <w:tcW w:w="487" w:type="pct"/>
          </w:tcPr>
          <w:p w14:paraId="235F7794" w14:textId="77777777" w:rsidR="00D82B64" w:rsidRPr="00F15EE6" w:rsidRDefault="00D82B64" w:rsidP="003052D6">
            <w:pPr>
              <w:rPr>
                <w:b/>
                <w:i/>
              </w:rPr>
            </w:pPr>
            <w:r w:rsidRPr="00F15EE6">
              <w:rPr>
                <w:b/>
                <w:i/>
              </w:rPr>
              <w:t>Response date</w:t>
            </w:r>
          </w:p>
        </w:tc>
        <w:tc>
          <w:tcPr>
            <w:tcW w:w="441" w:type="pct"/>
          </w:tcPr>
          <w:p w14:paraId="207B3006" w14:textId="77777777" w:rsidR="00D82B64" w:rsidRPr="00F15EE6" w:rsidRDefault="00D82B64" w:rsidP="003052D6">
            <w:pPr>
              <w:rPr>
                <w:b/>
                <w:i/>
              </w:rPr>
            </w:pPr>
            <w:r w:rsidRPr="00F15EE6">
              <w:rPr>
                <w:b/>
                <w:i/>
              </w:rPr>
              <w:t>Resolved</w:t>
            </w:r>
          </w:p>
        </w:tc>
        <w:tc>
          <w:tcPr>
            <w:tcW w:w="393" w:type="pct"/>
          </w:tcPr>
          <w:p w14:paraId="30EE260E" w14:textId="77777777" w:rsidR="00D82B64" w:rsidRPr="00F15EE6" w:rsidRDefault="00D82B64" w:rsidP="003052D6">
            <w:pPr>
              <w:rPr>
                <w:b/>
                <w:i/>
              </w:rPr>
            </w:pPr>
            <w:r w:rsidRPr="00F15EE6">
              <w:rPr>
                <w:b/>
                <w:i/>
              </w:rPr>
              <w:t>Sign off by / Date</w:t>
            </w:r>
          </w:p>
        </w:tc>
      </w:tr>
      <w:tr w:rsidR="00F15EE6" w:rsidRPr="00F15EE6" w14:paraId="1F484292" w14:textId="77777777" w:rsidTr="00AA6A31">
        <w:tc>
          <w:tcPr>
            <w:tcW w:w="258" w:type="pct"/>
          </w:tcPr>
          <w:p w14:paraId="3C71EE58" w14:textId="77777777" w:rsidR="00D82B64" w:rsidRPr="00F15EE6" w:rsidRDefault="00D82B64" w:rsidP="003052D6">
            <w:r w:rsidRPr="00F15EE6">
              <w:t>6a</w:t>
            </w:r>
          </w:p>
        </w:tc>
        <w:tc>
          <w:tcPr>
            <w:tcW w:w="1419" w:type="pct"/>
          </w:tcPr>
          <w:p w14:paraId="79D168BA" w14:textId="77777777" w:rsidR="00D82B64" w:rsidRPr="00F15EE6" w:rsidRDefault="00D82B64" w:rsidP="003052D6">
            <w:r w:rsidRPr="00F15EE6">
              <w:t xml:space="preserve">In section 6.1, the information discusses the effect of the change in methodology. This should read “This is likely to </w:t>
            </w:r>
            <w:r w:rsidRPr="00F15EE6">
              <w:rPr>
                <w:i/>
              </w:rPr>
              <w:t>report</w:t>
            </w:r>
            <w:r w:rsidRPr="00F15EE6">
              <w:t xml:space="preserve"> a decrease in diagnosis rate “ rather than “This is likely to </w:t>
            </w:r>
            <w:r w:rsidRPr="00F15EE6">
              <w:rPr>
                <w:i/>
              </w:rPr>
              <w:t>cause</w:t>
            </w:r>
            <w:r w:rsidRPr="00F15EE6">
              <w:t xml:space="preserve"> a decrease in diagnosis rate”</w:t>
            </w:r>
          </w:p>
        </w:tc>
        <w:tc>
          <w:tcPr>
            <w:tcW w:w="487" w:type="pct"/>
          </w:tcPr>
          <w:p w14:paraId="71ABA1B3" w14:textId="77777777" w:rsidR="00D82B64" w:rsidRPr="00F15EE6" w:rsidRDefault="00D82B64" w:rsidP="003052D6">
            <w:r w:rsidRPr="00F15EE6">
              <w:t>26/01/2017</w:t>
            </w:r>
          </w:p>
        </w:tc>
        <w:tc>
          <w:tcPr>
            <w:tcW w:w="1515" w:type="pct"/>
          </w:tcPr>
          <w:p w14:paraId="6067533A" w14:textId="77777777" w:rsidR="00D82B64" w:rsidRPr="00F15EE6" w:rsidRDefault="00D82B64" w:rsidP="003052D6">
            <w:r w:rsidRPr="00F15EE6">
              <w:t>Amended as per recommendation</w:t>
            </w:r>
          </w:p>
        </w:tc>
        <w:tc>
          <w:tcPr>
            <w:tcW w:w="487" w:type="pct"/>
          </w:tcPr>
          <w:p w14:paraId="76F0B401" w14:textId="77777777" w:rsidR="00D82B64" w:rsidRPr="00F15EE6" w:rsidRDefault="00D82B64" w:rsidP="003052D6">
            <w:r w:rsidRPr="00F15EE6">
              <w:t>30/01/2017</w:t>
            </w:r>
          </w:p>
        </w:tc>
        <w:sdt>
          <w:sdtPr>
            <w:id w:val="1322858460"/>
            <w14:checkbox>
              <w14:checked w14:val="0"/>
              <w14:checkedState w14:val="2612" w14:font="MS Gothic"/>
              <w14:uncheckedState w14:val="2610" w14:font="MS Gothic"/>
            </w14:checkbox>
          </w:sdtPr>
          <w:sdtEndPr/>
          <w:sdtContent>
            <w:tc>
              <w:tcPr>
                <w:tcW w:w="441" w:type="pct"/>
              </w:tcPr>
              <w:p w14:paraId="0B3685B3"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45B3D6E7" w14:textId="77777777" w:rsidR="00D82B64" w:rsidRPr="00F15EE6" w:rsidRDefault="00D82B64" w:rsidP="003052D6"/>
        </w:tc>
      </w:tr>
      <w:tr w:rsidR="00F15EE6" w:rsidRPr="00F15EE6" w14:paraId="712EE428" w14:textId="77777777" w:rsidTr="00AA6A31">
        <w:tc>
          <w:tcPr>
            <w:tcW w:w="258" w:type="pct"/>
          </w:tcPr>
          <w:p w14:paraId="322EAF09" w14:textId="77777777" w:rsidR="00D82B64" w:rsidRPr="00F15EE6" w:rsidRDefault="00D82B64" w:rsidP="003052D6">
            <w:r w:rsidRPr="00F15EE6">
              <w:t>6b</w:t>
            </w:r>
          </w:p>
        </w:tc>
        <w:tc>
          <w:tcPr>
            <w:tcW w:w="1419" w:type="pct"/>
          </w:tcPr>
          <w:p w14:paraId="43FDB77F" w14:textId="77777777" w:rsidR="00D82B64" w:rsidRPr="00F15EE6" w:rsidRDefault="00D82B64" w:rsidP="003052D6">
            <w:r w:rsidRPr="00F15EE6">
              <w:t>In 6.3 it should be pointed out that due to previous incentivisation of dementia diagnoses there may be residual effects of potential over-diagnosis (gaming).</w:t>
            </w:r>
          </w:p>
        </w:tc>
        <w:tc>
          <w:tcPr>
            <w:tcW w:w="487" w:type="pct"/>
          </w:tcPr>
          <w:p w14:paraId="77756B0F" w14:textId="77777777" w:rsidR="00D82B64" w:rsidRPr="00F15EE6" w:rsidRDefault="00D82B64" w:rsidP="003052D6">
            <w:r w:rsidRPr="00F15EE6">
              <w:t>26/01/2017</w:t>
            </w:r>
          </w:p>
        </w:tc>
        <w:tc>
          <w:tcPr>
            <w:tcW w:w="1515" w:type="pct"/>
          </w:tcPr>
          <w:p w14:paraId="6E991C2D" w14:textId="77777777" w:rsidR="00D82B64" w:rsidRPr="00F15EE6" w:rsidRDefault="00D82B64" w:rsidP="003052D6">
            <w:r w:rsidRPr="00F15EE6">
              <w:t>Added as per recommendation</w:t>
            </w:r>
          </w:p>
        </w:tc>
        <w:tc>
          <w:tcPr>
            <w:tcW w:w="487" w:type="pct"/>
          </w:tcPr>
          <w:p w14:paraId="02DAE2C3" w14:textId="77777777" w:rsidR="00D82B64" w:rsidRPr="00F15EE6" w:rsidRDefault="00D82B64" w:rsidP="003052D6">
            <w:r w:rsidRPr="00F15EE6">
              <w:t>30/01/2017</w:t>
            </w:r>
          </w:p>
        </w:tc>
        <w:sdt>
          <w:sdtPr>
            <w:id w:val="2038770715"/>
            <w14:checkbox>
              <w14:checked w14:val="0"/>
              <w14:checkedState w14:val="2612" w14:font="MS Gothic"/>
              <w14:uncheckedState w14:val="2610" w14:font="MS Gothic"/>
            </w14:checkbox>
          </w:sdtPr>
          <w:sdtEndPr/>
          <w:sdtContent>
            <w:tc>
              <w:tcPr>
                <w:tcW w:w="441" w:type="pct"/>
              </w:tcPr>
              <w:p w14:paraId="223A026C"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267BA9D4" w14:textId="77777777" w:rsidR="00D82B64" w:rsidRPr="00F15EE6" w:rsidRDefault="00D82B64" w:rsidP="003052D6"/>
        </w:tc>
      </w:tr>
      <w:tr w:rsidR="00F15EE6" w:rsidRPr="00F15EE6" w14:paraId="5D9504D4" w14:textId="77777777" w:rsidTr="00AA6A31">
        <w:tc>
          <w:tcPr>
            <w:tcW w:w="258" w:type="pct"/>
          </w:tcPr>
          <w:p w14:paraId="2EF3D0F0" w14:textId="77777777" w:rsidR="00D82B64" w:rsidRPr="00F15EE6" w:rsidRDefault="00D82B64" w:rsidP="003052D6">
            <w:r w:rsidRPr="00F15EE6">
              <w:t>6c</w:t>
            </w:r>
          </w:p>
        </w:tc>
        <w:tc>
          <w:tcPr>
            <w:tcW w:w="1419" w:type="pct"/>
          </w:tcPr>
          <w:p w14:paraId="5AA34B25" w14:textId="77777777" w:rsidR="00D82B64" w:rsidRPr="00F15EE6" w:rsidRDefault="00D82B64" w:rsidP="003052D6">
            <w:r w:rsidRPr="00F15EE6">
              <w:t>Section 6.6 (Copyright) should acknowledge CFAS II.</w:t>
            </w:r>
          </w:p>
        </w:tc>
        <w:tc>
          <w:tcPr>
            <w:tcW w:w="487" w:type="pct"/>
          </w:tcPr>
          <w:p w14:paraId="4586C0FA" w14:textId="77777777" w:rsidR="00D82B64" w:rsidRPr="00F15EE6" w:rsidRDefault="00D82B64" w:rsidP="003052D6">
            <w:r w:rsidRPr="00F15EE6">
              <w:t>26/01/2017</w:t>
            </w:r>
          </w:p>
        </w:tc>
        <w:tc>
          <w:tcPr>
            <w:tcW w:w="1515" w:type="pct"/>
          </w:tcPr>
          <w:p w14:paraId="5DA61E4B" w14:textId="77777777" w:rsidR="00D82B64" w:rsidRPr="00F15EE6" w:rsidRDefault="00D82B64" w:rsidP="003052D6">
            <w:r w:rsidRPr="00F15EE6">
              <w:t>Added as per recommendation</w:t>
            </w:r>
          </w:p>
        </w:tc>
        <w:tc>
          <w:tcPr>
            <w:tcW w:w="487" w:type="pct"/>
          </w:tcPr>
          <w:p w14:paraId="48E51D87" w14:textId="77777777" w:rsidR="00D82B64" w:rsidRPr="00F15EE6" w:rsidRDefault="00D82B64" w:rsidP="003052D6">
            <w:r w:rsidRPr="00F15EE6">
              <w:t>30/01/2017</w:t>
            </w:r>
          </w:p>
        </w:tc>
        <w:sdt>
          <w:sdtPr>
            <w:id w:val="1119801459"/>
            <w14:checkbox>
              <w14:checked w14:val="0"/>
              <w14:checkedState w14:val="2612" w14:font="MS Gothic"/>
              <w14:uncheckedState w14:val="2610" w14:font="MS Gothic"/>
            </w14:checkbox>
          </w:sdtPr>
          <w:sdtEndPr/>
          <w:sdtContent>
            <w:tc>
              <w:tcPr>
                <w:tcW w:w="441" w:type="pct"/>
              </w:tcPr>
              <w:p w14:paraId="18AAAEAB" w14:textId="77777777" w:rsidR="00D82B64" w:rsidRPr="00F15EE6" w:rsidRDefault="00D82B64" w:rsidP="003052D6">
                <w:pPr>
                  <w:jc w:val="center"/>
                </w:pPr>
                <w:r w:rsidRPr="00F15EE6">
                  <w:rPr>
                    <w:rFonts w:ascii="Segoe UI Symbol" w:eastAsia="MS Gothic" w:hAnsi="Segoe UI Symbol" w:cs="Segoe UI Symbol"/>
                  </w:rPr>
                  <w:t>☐</w:t>
                </w:r>
              </w:p>
            </w:tc>
          </w:sdtContent>
        </w:sdt>
        <w:tc>
          <w:tcPr>
            <w:tcW w:w="393" w:type="pct"/>
          </w:tcPr>
          <w:p w14:paraId="66FB9BCD" w14:textId="77777777" w:rsidR="00D82B64" w:rsidRPr="00F15EE6" w:rsidRDefault="00D82B64" w:rsidP="003052D6"/>
        </w:tc>
      </w:tr>
    </w:tbl>
    <w:p w14:paraId="38E70E6F" w14:textId="77777777" w:rsidR="00D82B64" w:rsidRPr="00F15EE6" w:rsidRDefault="00D82B64" w:rsidP="003052D6">
      <w:pPr>
        <w:spacing w:after="0"/>
        <w:rPr>
          <w:rFonts w:cs="Arial"/>
          <w:sz w:val="20"/>
          <w:szCs w:val="20"/>
        </w:rPr>
        <w:sectPr w:rsidR="00D82B64" w:rsidRPr="00F15EE6" w:rsidSect="003052D6">
          <w:headerReference w:type="default" r:id="rId28"/>
          <w:pgSz w:w="16838" w:h="11906" w:orient="landscape"/>
          <w:pgMar w:top="851" w:right="820" w:bottom="426" w:left="1440" w:header="851" w:footer="709" w:gutter="0"/>
          <w:cols w:space="708"/>
          <w:docGrid w:linePitch="360"/>
        </w:sectPr>
      </w:pPr>
    </w:p>
    <w:p w14:paraId="132194DD" w14:textId="77777777" w:rsidR="00D82B64" w:rsidRPr="00F15EE6" w:rsidRDefault="00D82B64" w:rsidP="003052D6">
      <w:pPr>
        <w:spacing w:after="0"/>
        <w:rPr>
          <w:rFonts w:cs="Arial"/>
          <w:b/>
        </w:rPr>
      </w:pPr>
    </w:p>
    <w:p w14:paraId="0A58A247" w14:textId="77777777" w:rsidR="00D82B64" w:rsidRPr="00F15EE6" w:rsidRDefault="00D82B64" w:rsidP="003052D6">
      <w:pPr>
        <w:spacing w:after="0"/>
        <w:rPr>
          <w:rFonts w:cs="Arial"/>
          <w:b/>
        </w:rPr>
      </w:pPr>
      <w:r w:rsidRPr="00F15EE6">
        <w:rPr>
          <w:rFonts w:cs="Arial"/>
          <w:b/>
          <w:noProof/>
          <w:lang w:eastAsia="en-GB"/>
        </w:rPr>
        <mc:AlternateContent>
          <mc:Choice Requires="wps">
            <w:drawing>
              <wp:inline distT="0" distB="0" distL="0" distR="0" wp14:anchorId="7B3B9E4E" wp14:editId="39351B7C">
                <wp:extent cx="6219825" cy="1403985"/>
                <wp:effectExtent l="0" t="0" r="952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3985"/>
                        </a:xfrm>
                        <a:prstGeom prst="rect">
                          <a:avLst/>
                        </a:prstGeom>
                        <a:solidFill>
                          <a:schemeClr val="accent1">
                            <a:lumMod val="20000"/>
                            <a:lumOff val="80000"/>
                          </a:schemeClr>
                        </a:solidFill>
                        <a:ln w="9525">
                          <a:noFill/>
                          <a:miter lim="800000"/>
                          <a:headEnd/>
                          <a:tailEnd/>
                        </a:ln>
                      </wps:spPr>
                      <wps:txbx>
                        <w:txbxContent>
                          <w:p w14:paraId="5DFCB53B" w14:textId="77777777" w:rsidR="003052D6" w:rsidRDefault="003052D6" w:rsidP="003052D6">
                            <w:pPr>
                              <w:spacing w:after="0"/>
                              <w:rPr>
                                <w:rFonts w:cstheme="minorHAnsi"/>
                                <w:b/>
                                <w:color w:val="000000" w:themeColor="text2"/>
                              </w:rPr>
                            </w:pPr>
                            <w:r>
                              <w:rPr>
                                <w:rFonts w:cstheme="minorHAnsi"/>
                                <w:b/>
                                <w:color w:val="000000" w:themeColor="text2"/>
                              </w:rPr>
                              <w:t>Any complaints or appeals against the decisions made during the assurance process should be made to the Indicator &amp; Methodology Assurance Service (IMAS) Team at NHS Digital. Likewise, if you are unclear regarding any of the recommendations in this report, or have any queries about the assurance process in general, please contact the IMAS team.</w:t>
                            </w:r>
                          </w:p>
                          <w:p w14:paraId="42C1853B" w14:textId="77777777" w:rsidR="003052D6" w:rsidRDefault="003052D6" w:rsidP="003052D6">
                            <w:pPr>
                              <w:spacing w:after="0"/>
                              <w:rPr>
                                <w:rFonts w:cstheme="minorHAnsi"/>
                                <w:b/>
                                <w:color w:val="000000" w:themeColor="text2"/>
                              </w:rPr>
                            </w:pPr>
                          </w:p>
                          <w:p w14:paraId="1520F863" w14:textId="77777777" w:rsidR="003052D6" w:rsidRDefault="003052D6" w:rsidP="003052D6">
                            <w:pPr>
                              <w:spacing w:after="0"/>
                              <w:rPr>
                                <w:rFonts w:cstheme="minorHAnsi"/>
                                <w:b/>
                                <w:color w:val="000000" w:themeColor="text2"/>
                              </w:rPr>
                            </w:pPr>
                            <w:r>
                              <w:rPr>
                                <w:rFonts w:cstheme="minorHAnsi"/>
                                <w:b/>
                                <w:color w:val="000000" w:themeColor="text2"/>
                              </w:rPr>
                              <w:t>Indicator and Methodology Assurance Service</w:t>
                            </w:r>
                          </w:p>
                          <w:p w14:paraId="2CE59A2D" w14:textId="77777777" w:rsidR="003052D6" w:rsidRDefault="003052D6" w:rsidP="003052D6">
                            <w:pPr>
                              <w:spacing w:after="0"/>
                              <w:rPr>
                                <w:rFonts w:cstheme="minorHAnsi"/>
                                <w:b/>
                                <w:color w:val="000000" w:themeColor="text2"/>
                              </w:rPr>
                            </w:pPr>
                            <w:r>
                              <w:rPr>
                                <w:rFonts w:cstheme="minorHAnsi"/>
                                <w:b/>
                                <w:color w:val="000000" w:themeColor="text2"/>
                              </w:rPr>
                              <w:t>NHS Digital</w:t>
                            </w:r>
                          </w:p>
                          <w:p w14:paraId="7F586A44" w14:textId="77777777" w:rsidR="003052D6" w:rsidRDefault="003052D6" w:rsidP="003052D6">
                            <w:pPr>
                              <w:spacing w:after="0"/>
                              <w:rPr>
                                <w:rFonts w:cstheme="minorHAnsi"/>
                                <w:b/>
                                <w:color w:val="000000" w:themeColor="text2"/>
                              </w:rPr>
                            </w:pPr>
                            <w:r>
                              <w:rPr>
                                <w:rFonts w:cstheme="minorHAnsi"/>
                                <w:b/>
                                <w:color w:val="000000" w:themeColor="text2"/>
                              </w:rPr>
                              <w:t>1 Trevelyan Square, Boar Lane,</w:t>
                            </w:r>
                          </w:p>
                          <w:p w14:paraId="7DF19C33" w14:textId="77777777" w:rsidR="003052D6" w:rsidRDefault="003052D6" w:rsidP="003052D6">
                            <w:pPr>
                              <w:spacing w:after="0"/>
                              <w:rPr>
                                <w:rFonts w:cstheme="minorHAnsi"/>
                                <w:b/>
                                <w:color w:val="000000" w:themeColor="text2"/>
                              </w:rPr>
                            </w:pPr>
                            <w:r>
                              <w:rPr>
                                <w:rFonts w:cstheme="minorHAnsi"/>
                                <w:b/>
                                <w:color w:val="000000" w:themeColor="text2"/>
                              </w:rPr>
                              <w:t xml:space="preserve">LEEDS </w:t>
                            </w:r>
                          </w:p>
                          <w:p w14:paraId="39024724" w14:textId="77777777" w:rsidR="003052D6" w:rsidRDefault="003052D6" w:rsidP="003052D6">
                            <w:pPr>
                              <w:spacing w:after="0"/>
                              <w:rPr>
                                <w:rFonts w:cstheme="minorHAnsi"/>
                                <w:b/>
                                <w:color w:val="000000" w:themeColor="text2"/>
                              </w:rPr>
                            </w:pPr>
                            <w:r>
                              <w:rPr>
                                <w:rFonts w:cstheme="minorHAnsi"/>
                                <w:b/>
                                <w:color w:val="000000" w:themeColor="text2"/>
                              </w:rPr>
                              <w:t>LS1 6AE.</w:t>
                            </w:r>
                          </w:p>
                          <w:p w14:paraId="276FF83C" w14:textId="77777777" w:rsidR="003052D6" w:rsidRDefault="003052D6" w:rsidP="003052D6">
                            <w:pPr>
                              <w:spacing w:after="0"/>
                              <w:rPr>
                                <w:rFonts w:cstheme="minorHAnsi"/>
                                <w:b/>
                                <w:color w:val="000000" w:themeColor="text2"/>
                              </w:rPr>
                            </w:pPr>
                          </w:p>
                          <w:p w14:paraId="0D92EC91" w14:textId="77777777" w:rsidR="003052D6" w:rsidRDefault="003052D6" w:rsidP="003052D6">
                            <w:pPr>
                              <w:spacing w:after="0"/>
                              <w:rPr>
                                <w:rFonts w:cstheme="minorHAnsi"/>
                                <w:b/>
                                <w:color w:val="000000" w:themeColor="text2"/>
                              </w:rPr>
                            </w:pPr>
                            <w:r>
                              <w:rPr>
                                <w:rFonts w:cstheme="minorHAnsi"/>
                                <w:b/>
                                <w:color w:val="000000" w:themeColor="text2"/>
                              </w:rPr>
                              <w:t xml:space="preserve">Email: </w:t>
                            </w:r>
                            <w:hyperlink r:id="rId29" w:history="1">
                              <w:r w:rsidRPr="00DE688F">
                                <w:rPr>
                                  <w:rStyle w:val="Hyperlink"/>
                                  <w:rFonts w:cstheme="minorHAnsi"/>
                                  <w:b/>
                                </w:rPr>
                                <w:t>indicator.assurance@nhs.net</w:t>
                              </w:r>
                            </w:hyperlink>
                          </w:p>
                          <w:p w14:paraId="588A3730" w14:textId="77777777" w:rsidR="003052D6" w:rsidRDefault="003052D6" w:rsidP="003052D6">
                            <w:pPr>
                              <w:spacing w:after="0"/>
                              <w:rPr>
                                <w:rFonts w:cstheme="minorHAnsi"/>
                                <w:b/>
                                <w:color w:val="000000" w:themeColor="text2"/>
                              </w:rPr>
                            </w:pPr>
                            <w:r>
                              <w:rPr>
                                <w:rFonts w:cstheme="minorHAnsi"/>
                                <w:b/>
                                <w:color w:val="000000" w:themeColor="text2"/>
                              </w:rPr>
                              <w:t xml:space="preserve">Website: </w:t>
                            </w:r>
                            <w:hyperlink r:id="rId30" w:history="1">
                              <w:r w:rsidRPr="00195C54">
                                <w:rPr>
                                  <w:rStyle w:val="Hyperlink"/>
                                  <w:rFonts w:cstheme="minorHAnsi"/>
                                  <w:b/>
                                </w:rPr>
                                <w:t>http://www.hscic.gov.uk/article/1674/Indicator-Assurance-Service</w:t>
                              </w:r>
                            </w:hyperlink>
                          </w:p>
                        </w:txbxContent>
                      </wps:txbx>
                      <wps:bodyPr rot="0" vert="horz" wrap="square" lIns="91440" tIns="45720" rIns="91440" bIns="45720" anchor="t" anchorCtr="0">
                        <a:spAutoFit/>
                      </wps:bodyPr>
                    </wps:wsp>
                  </a:graphicData>
                </a:graphic>
              </wp:inline>
            </w:drawing>
          </mc:Choice>
          <mc:Fallback>
            <w:pict>
              <v:shape w14:anchorId="7B3B9E4E" id="_x0000_s1027" type="#_x0000_t202" style="width:48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" fillcolor="#acd7ff [660]" stroked="f">
                <v:textbox style="mso-fit-shape-to-text:t">
                  <w:txbxContent>
                    <w:p w14:paraId="5DFCB53B" w14:textId="77777777" w:rsidR="003052D6" w:rsidRDefault="003052D6" w:rsidP="003052D6">
                      <w:pPr>
                        <w:spacing w:after="0"/>
                        <w:rPr>
                          <w:rFonts w:cstheme="minorHAnsi"/>
                          <w:b/>
                          <w:color w:val="000000" w:themeColor="text2"/>
                        </w:rPr>
                      </w:pPr>
                      <w:r>
                        <w:rPr>
                          <w:rFonts w:cstheme="minorHAnsi"/>
                          <w:b/>
                          <w:color w:val="000000" w:themeColor="text2"/>
                        </w:rPr>
                        <w:t>Any complaints or appeals against the decisions made during the assurance process should be made to the Indicator &amp; Methodology Assurance Service (IMAS) Team at NHS Digital. Likewise, if you are unclear regarding any of the recommendations in this report, or have any queries about the assurance process in general, please contact the IMAS team.</w:t>
                      </w:r>
                    </w:p>
                    <w:p w14:paraId="42C1853B" w14:textId="77777777" w:rsidR="003052D6" w:rsidRDefault="003052D6" w:rsidP="003052D6">
                      <w:pPr>
                        <w:spacing w:after="0"/>
                        <w:rPr>
                          <w:rFonts w:cstheme="minorHAnsi"/>
                          <w:b/>
                          <w:color w:val="000000" w:themeColor="text2"/>
                        </w:rPr>
                      </w:pPr>
                    </w:p>
                    <w:p w14:paraId="1520F863" w14:textId="77777777" w:rsidR="003052D6" w:rsidRDefault="003052D6" w:rsidP="003052D6">
                      <w:pPr>
                        <w:spacing w:after="0"/>
                        <w:rPr>
                          <w:rFonts w:cstheme="minorHAnsi"/>
                          <w:b/>
                          <w:color w:val="000000" w:themeColor="text2"/>
                        </w:rPr>
                      </w:pPr>
                      <w:r>
                        <w:rPr>
                          <w:rFonts w:cstheme="minorHAnsi"/>
                          <w:b/>
                          <w:color w:val="000000" w:themeColor="text2"/>
                        </w:rPr>
                        <w:t>Indicator and Methodology Assurance Service</w:t>
                      </w:r>
                    </w:p>
                    <w:p w14:paraId="2CE59A2D" w14:textId="77777777" w:rsidR="003052D6" w:rsidRDefault="003052D6" w:rsidP="003052D6">
                      <w:pPr>
                        <w:spacing w:after="0"/>
                        <w:rPr>
                          <w:rFonts w:cstheme="minorHAnsi"/>
                          <w:b/>
                          <w:color w:val="000000" w:themeColor="text2"/>
                        </w:rPr>
                      </w:pPr>
                      <w:r>
                        <w:rPr>
                          <w:rFonts w:cstheme="minorHAnsi"/>
                          <w:b/>
                          <w:color w:val="000000" w:themeColor="text2"/>
                        </w:rPr>
                        <w:t>NHS Digital</w:t>
                      </w:r>
                    </w:p>
                    <w:p w14:paraId="7F586A44" w14:textId="77777777" w:rsidR="003052D6" w:rsidRDefault="003052D6" w:rsidP="003052D6">
                      <w:pPr>
                        <w:spacing w:after="0"/>
                        <w:rPr>
                          <w:rFonts w:cstheme="minorHAnsi"/>
                          <w:b/>
                          <w:color w:val="000000" w:themeColor="text2"/>
                        </w:rPr>
                      </w:pPr>
                      <w:r>
                        <w:rPr>
                          <w:rFonts w:cstheme="minorHAnsi"/>
                          <w:b/>
                          <w:color w:val="000000" w:themeColor="text2"/>
                        </w:rPr>
                        <w:t>1 Trevelyan Square, Boar Lane,</w:t>
                      </w:r>
                    </w:p>
                    <w:p w14:paraId="7DF19C33" w14:textId="77777777" w:rsidR="003052D6" w:rsidRDefault="003052D6" w:rsidP="003052D6">
                      <w:pPr>
                        <w:spacing w:after="0"/>
                        <w:rPr>
                          <w:rFonts w:cstheme="minorHAnsi"/>
                          <w:b/>
                          <w:color w:val="000000" w:themeColor="text2"/>
                        </w:rPr>
                      </w:pPr>
                      <w:r>
                        <w:rPr>
                          <w:rFonts w:cstheme="minorHAnsi"/>
                          <w:b/>
                          <w:color w:val="000000" w:themeColor="text2"/>
                        </w:rPr>
                        <w:t xml:space="preserve">LEEDS </w:t>
                      </w:r>
                    </w:p>
                    <w:p w14:paraId="39024724" w14:textId="77777777" w:rsidR="003052D6" w:rsidRDefault="003052D6" w:rsidP="003052D6">
                      <w:pPr>
                        <w:spacing w:after="0"/>
                        <w:rPr>
                          <w:rFonts w:cstheme="minorHAnsi"/>
                          <w:b/>
                          <w:color w:val="000000" w:themeColor="text2"/>
                        </w:rPr>
                      </w:pPr>
                      <w:r>
                        <w:rPr>
                          <w:rFonts w:cstheme="minorHAnsi"/>
                          <w:b/>
                          <w:color w:val="000000" w:themeColor="text2"/>
                        </w:rPr>
                        <w:t>LS1 6AE.</w:t>
                      </w:r>
                    </w:p>
                    <w:p w14:paraId="276FF83C" w14:textId="77777777" w:rsidR="003052D6" w:rsidRDefault="003052D6" w:rsidP="003052D6">
                      <w:pPr>
                        <w:spacing w:after="0"/>
                        <w:rPr>
                          <w:rFonts w:cstheme="minorHAnsi"/>
                          <w:b/>
                          <w:color w:val="000000" w:themeColor="text2"/>
                        </w:rPr>
                      </w:pPr>
                    </w:p>
                    <w:p w14:paraId="0D92EC91" w14:textId="77777777" w:rsidR="003052D6" w:rsidRDefault="003052D6" w:rsidP="003052D6">
                      <w:pPr>
                        <w:spacing w:after="0"/>
                        <w:rPr>
                          <w:rFonts w:cstheme="minorHAnsi"/>
                          <w:b/>
                          <w:color w:val="000000" w:themeColor="text2"/>
                        </w:rPr>
                      </w:pPr>
                      <w:r>
                        <w:rPr>
                          <w:rFonts w:cstheme="minorHAnsi"/>
                          <w:b/>
                          <w:color w:val="000000" w:themeColor="text2"/>
                        </w:rPr>
                        <w:t xml:space="preserve">Email: </w:t>
                      </w:r>
                      <w:hyperlink r:id="rId33" w:history="1">
                        <w:r w:rsidRPr="00DE688F">
                          <w:rPr>
                            <w:rStyle w:val="Hyperlink"/>
                            <w:rFonts w:cstheme="minorHAnsi"/>
                            <w:b/>
                          </w:rPr>
                          <w:t>indicator.assurance@nhs.net</w:t>
                        </w:r>
                      </w:hyperlink>
                    </w:p>
                    <w:p w14:paraId="588A3730" w14:textId="77777777" w:rsidR="003052D6" w:rsidRDefault="003052D6" w:rsidP="003052D6">
                      <w:pPr>
                        <w:spacing w:after="0"/>
                        <w:rPr>
                          <w:rFonts w:cstheme="minorHAnsi"/>
                          <w:b/>
                          <w:color w:val="000000" w:themeColor="text2"/>
                        </w:rPr>
                      </w:pPr>
                      <w:r>
                        <w:rPr>
                          <w:rFonts w:cstheme="minorHAnsi"/>
                          <w:b/>
                          <w:color w:val="000000" w:themeColor="text2"/>
                        </w:rPr>
                        <w:t xml:space="preserve">Website: </w:t>
                      </w:r>
                      <w:hyperlink r:id="rId34" w:history="1">
                        <w:r w:rsidRPr="00195C54">
                          <w:rPr>
                            <w:rStyle w:val="Hyperlink"/>
                            <w:rFonts w:cstheme="minorHAnsi"/>
                            <w:b/>
                          </w:rPr>
                          <w:t>http://www.hscic.gov.uk/article/1674/Indicator-Assurance-Service</w:t>
                        </w:r>
                      </w:hyperlink>
                    </w:p>
                  </w:txbxContent>
                </v:textbox>
                <w10:anchorlock/>
              </v:shape>
            </w:pict>
          </mc:Fallback>
        </mc:AlternateContent>
      </w:r>
    </w:p>
    <w:p w14:paraId="055635EB" w14:textId="77777777" w:rsidR="00D82B64" w:rsidRPr="00F15EE6" w:rsidRDefault="00D82B64" w:rsidP="003052D6">
      <w:pPr>
        <w:spacing w:after="0"/>
        <w:rPr>
          <w:rFonts w:cs="Arial"/>
          <w:b/>
        </w:rPr>
      </w:pPr>
    </w:p>
    <w:p w14:paraId="575F2DB8" w14:textId="77777777" w:rsidR="00D82B64" w:rsidRPr="00F15EE6" w:rsidRDefault="00D82B64">
      <w:pPr>
        <w:spacing w:after="0"/>
        <w:rPr>
          <w:rFonts w:cs="Arial"/>
          <w:b/>
        </w:rPr>
      </w:pPr>
    </w:p>
    <w:p w14:paraId="5EB1EE17" w14:textId="77777777" w:rsidR="00FA2290" w:rsidRPr="00FA2290" w:rsidRDefault="00FA2290" w:rsidP="00FA2290">
      <w:pPr>
        <w:autoSpaceDE w:val="0"/>
        <w:autoSpaceDN w:val="0"/>
        <w:spacing w:after="0"/>
        <w:ind w:left="1080"/>
        <w:textboxTightWrap w:val="none"/>
        <w:rPr>
          <w:rFonts w:cs="Arial"/>
        </w:rPr>
      </w:pPr>
      <w:r w:rsidRPr="00FA2290">
        <w:rPr>
          <w:rFonts w:cs="Arial"/>
        </w:rPr>
        <w:t>See our </w:t>
      </w:r>
      <w:hyperlink r:id="rId35" w:anchor="what-to-do" w:history="1">
        <w:r w:rsidRPr="00FA2290">
          <w:rPr>
            <w:rFonts w:cs="Arial"/>
            <w:color w:val="0563C1"/>
            <w:u w:val="single"/>
          </w:rPr>
          <w:t>accessibility statement</w:t>
        </w:r>
      </w:hyperlink>
      <w:r w:rsidRPr="00FA2290">
        <w:rPr>
          <w:rFonts w:cs="Arial"/>
        </w:rPr>
        <w:t> if you’re having problems with this document.</w:t>
      </w:r>
      <w:r w:rsidRPr="00FA2290">
        <w:rPr>
          <w:rFonts w:cs="Arial"/>
          <w:color w:val="000000"/>
        </w:rPr>
        <w:t xml:space="preserve"> </w:t>
      </w:r>
    </w:p>
    <w:p w14:paraId="7DF27397" w14:textId="77777777" w:rsidR="008D7104" w:rsidRPr="00F15EE6" w:rsidRDefault="008D7104" w:rsidP="001D243C">
      <w:pPr>
        <w:rPr>
          <w:rFonts w:cs="Arial"/>
        </w:rPr>
      </w:pPr>
    </w:p>
    <w:sectPr w:rsidR="008D7104" w:rsidRPr="00F15EE6" w:rsidSect="000C24AF">
      <w:headerReference w:type="default" r:id="rId36"/>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1187" w14:textId="77777777" w:rsidR="003052D6" w:rsidRDefault="003052D6" w:rsidP="000C24AF">
      <w:pPr>
        <w:spacing w:after="0"/>
      </w:pPr>
      <w:r>
        <w:separator/>
      </w:r>
    </w:p>
  </w:endnote>
  <w:endnote w:type="continuationSeparator" w:id="0">
    <w:p w14:paraId="21BF37F8" w14:textId="77777777" w:rsidR="003052D6" w:rsidRDefault="003052D6" w:rsidP="000C24AF">
      <w:pPr>
        <w:spacing w:after="0"/>
      </w:pPr>
      <w:r>
        <w:continuationSeparator/>
      </w:r>
    </w:p>
  </w:endnote>
  <w:endnote w:type="continuationNotice" w:id="1">
    <w:p w14:paraId="1BC7714B" w14:textId="77777777" w:rsidR="003052D6" w:rsidRDefault="003052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861506761"/>
      <w:docPartObj>
        <w:docPartGallery w:val="Page Numbers (Bottom of Page)"/>
        <w:docPartUnique/>
      </w:docPartObj>
    </w:sdtPr>
    <w:sdtEndPr>
      <w:rPr>
        <w:noProof/>
      </w:rPr>
    </w:sdtEndPr>
    <w:sdtContent>
      <w:p w14:paraId="255222D2" w14:textId="6FDB660B" w:rsidR="00997F6C" w:rsidRPr="00FD6413" w:rsidRDefault="00997F6C" w:rsidP="00997F6C">
        <w:pPr>
          <w:pStyle w:val="Footer"/>
          <w:tabs>
            <w:tab w:val="left" w:pos="426"/>
          </w:tabs>
          <w:rPr>
            <w:rFonts w:cs="Arial"/>
            <w:sz w:val="18"/>
            <w:szCs w:val="18"/>
          </w:rPr>
        </w:pPr>
        <w:r w:rsidRPr="00FD6413">
          <w:rPr>
            <w:rFonts w:cs="Arial"/>
            <w:sz w:val="18"/>
            <w:szCs w:val="18"/>
          </w:rPr>
          <w:t>IAP00</w:t>
        </w:r>
        <w:r>
          <w:rPr>
            <w:rFonts w:cs="Arial"/>
            <w:sz w:val="18"/>
            <w:szCs w:val="18"/>
          </w:rPr>
          <w:t>427</w:t>
        </w:r>
        <w:r w:rsidRPr="00FD6413">
          <w:rPr>
            <w:rFonts w:cs="Arial"/>
            <w:sz w:val="18"/>
            <w:szCs w:val="18"/>
          </w:rPr>
          <w:t xml:space="preserve"> Supporting documentation</w:t>
        </w:r>
      </w:p>
      <w:p w14:paraId="38C5426E" w14:textId="2B3EF597" w:rsidR="00997F6C" w:rsidRPr="00997F6C" w:rsidRDefault="00997F6C" w:rsidP="00997F6C">
        <w:pPr>
          <w:pStyle w:val="Footer"/>
          <w:tabs>
            <w:tab w:val="left" w:pos="426"/>
          </w:tabs>
          <w:rPr>
            <w:rFonts w:cs="Arial"/>
            <w:sz w:val="18"/>
            <w:szCs w:val="18"/>
          </w:rPr>
        </w:pPr>
        <w:r w:rsidRPr="00FD6413">
          <w:rPr>
            <w:rFonts w:cs="Arial"/>
            <w:sz w:val="18"/>
            <w:szCs w:val="18"/>
          </w:rPr>
          <w:t>Copyright © 2019 NHS Digital</w:t>
        </w:r>
        <w:r w:rsidRPr="00FD6413">
          <w:rPr>
            <w:rFonts w:cs="Arial"/>
            <w:sz w:val="18"/>
            <w:szCs w:val="18"/>
          </w:rPr>
          <w:tab/>
        </w:r>
        <w:r w:rsidRPr="00FD6413">
          <w:rPr>
            <w:rFonts w:cs="Arial"/>
            <w:sz w:val="18"/>
            <w:szCs w:val="18"/>
          </w:rPr>
          <w:fldChar w:fldCharType="begin"/>
        </w:r>
        <w:r w:rsidRPr="00FD6413">
          <w:rPr>
            <w:rFonts w:cs="Arial"/>
            <w:sz w:val="18"/>
            <w:szCs w:val="18"/>
          </w:rPr>
          <w:instrText xml:space="preserve"> PAGE   \* MERGEFORMAT </w:instrText>
        </w:r>
        <w:r w:rsidRPr="00FD6413">
          <w:rPr>
            <w:rFonts w:cs="Arial"/>
            <w:sz w:val="18"/>
            <w:szCs w:val="18"/>
          </w:rPr>
          <w:fldChar w:fldCharType="separate"/>
        </w:r>
        <w:r>
          <w:rPr>
            <w:rFonts w:cs="Arial"/>
            <w:sz w:val="18"/>
            <w:szCs w:val="18"/>
          </w:rPr>
          <w:t>1</w:t>
        </w:r>
        <w:r w:rsidRPr="00FD6413">
          <w:rPr>
            <w:rFonts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05308"/>
      <w:docPartObj>
        <w:docPartGallery w:val="Page Numbers (Bottom of Page)"/>
        <w:docPartUnique/>
      </w:docPartObj>
    </w:sdtPr>
    <w:sdtEndPr>
      <w:rPr>
        <w:noProof/>
      </w:rPr>
    </w:sdtEndPr>
    <w:sdtContent>
      <w:p w14:paraId="57230346" w14:textId="77777777" w:rsidR="003052D6" w:rsidRDefault="000E3494">
        <w:pPr>
          <w:pStyle w:val="Footer"/>
          <w:jc w:val="right"/>
        </w:pPr>
      </w:p>
    </w:sdtContent>
  </w:sdt>
  <w:p w14:paraId="75417A7B" w14:textId="77777777" w:rsidR="003052D6" w:rsidRDefault="00305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3B689" w14:textId="77777777" w:rsidR="003052D6" w:rsidRDefault="003052D6" w:rsidP="000C24AF">
      <w:pPr>
        <w:spacing w:after="0"/>
      </w:pPr>
      <w:r>
        <w:separator/>
      </w:r>
    </w:p>
  </w:footnote>
  <w:footnote w:type="continuationSeparator" w:id="0">
    <w:p w14:paraId="0DFFE774" w14:textId="77777777" w:rsidR="003052D6" w:rsidRDefault="003052D6" w:rsidP="000C24AF">
      <w:pPr>
        <w:spacing w:after="0"/>
      </w:pPr>
      <w:r>
        <w:continuationSeparator/>
      </w:r>
    </w:p>
  </w:footnote>
  <w:footnote w:type="continuationNotice" w:id="1">
    <w:p w14:paraId="30CFBD43" w14:textId="77777777" w:rsidR="003052D6" w:rsidRDefault="003052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E396" w14:textId="77777777" w:rsidR="00997F6C" w:rsidRPr="00B14E9A" w:rsidRDefault="00997F6C" w:rsidP="00997F6C">
    <w:pPr>
      <w:pStyle w:val="Header"/>
      <w:jc w:val="center"/>
      <w:rPr>
        <w:rFonts w:cs="Arial"/>
        <w:b w:val="0"/>
        <w:bCs/>
      </w:rPr>
    </w:pPr>
    <w:r w:rsidRPr="00F37180">
      <w:rPr>
        <w:rFonts w:cs="Arial"/>
        <w:bCs/>
      </w:rPr>
      <w:t>NICE inherited this indicator and all its supporting documentation from NHS Digital on 1 April 2020</w:t>
    </w:r>
  </w:p>
  <w:p w14:paraId="5CD941F5" w14:textId="77777777" w:rsidR="003052D6" w:rsidRPr="00997F6C" w:rsidRDefault="003052D6" w:rsidP="00997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mn-ea" w:hAnsi="Arial" w:cs="Arial"/>
        <w:b/>
        <w:color w:val="000000" w:themeColor="text2"/>
        <w:position w:val="1"/>
        <w:sz w:val="28"/>
        <w:szCs w:val="28"/>
      </w:rPr>
      <w:id w:val="1162819347"/>
      <w:docPartObj>
        <w:docPartGallery w:val="Watermarks"/>
        <w:docPartUnique/>
      </w:docPartObj>
    </w:sdtPr>
    <w:sdtEndPr/>
    <w:sdtContent>
      <w:p w14:paraId="6C17C625" w14:textId="77777777" w:rsidR="003052D6" w:rsidRPr="00574969" w:rsidRDefault="000E3494" w:rsidP="003052D6">
        <w:pPr>
          <w:pStyle w:val="NormalWeb"/>
          <w:spacing w:before="0" w:beforeAutospacing="0" w:after="0" w:afterAutospacing="0"/>
          <w:rPr>
            <w:rFonts w:ascii="Arial" w:eastAsia="+mn-ea" w:hAnsi="Arial" w:cs="Arial"/>
            <w:b/>
            <w:color w:val="000000" w:themeColor="text2"/>
            <w:position w:val="1"/>
            <w:sz w:val="28"/>
            <w:szCs w:val="28"/>
          </w:rPr>
        </w:pPr>
        <w:r>
          <w:rPr>
            <w:rFonts w:ascii="Arial" w:eastAsia="+mn-ea" w:hAnsi="Arial" w:cs="Arial"/>
            <w:b/>
            <w:noProof/>
            <w:color w:val="000000" w:themeColor="text2"/>
            <w:position w:val="1"/>
            <w:sz w:val="28"/>
            <w:szCs w:val="28"/>
            <w:lang w:val="en-US" w:eastAsia="zh-TW"/>
          </w:rPr>
          <w:pict w14:anchorId="456C3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0AB9" w14:textId="77777777" w:rsidR="003052D6" w:rsidRPr="00D82B64" w:rsidRDefault="003052D6" w:rsidP="00D82B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6F33" w14:textId="183BB038" w:rsidR="003052D6" w:rsidRPr="00D82B64" w:rsidRDefault="003052D6" w:rsidP="00D82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C74AE"/>
    <w:multiLevelType w:val="hybridMultilevel"/>
    <w:tmpl w:val="3E1C0F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C8111D"/>
    <w:multiLevelType w:val="hybridMultilevel"/>
    <w:tmpl w:val="535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A587A"/>
    <w:multiLevelType w:val="hybridMultilevel"/>
    <w:tmpl w:val="0D98F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555107"/>
    <w:multiLevelType w:val="hybridMultilevel"/>
    <w:tmpl w:val="9A60E6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263397B"/>
    <w:multiLevelType w:val="hybridMultilevel"/>
    <w:tmpl w:val="D0E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024B1"/>
    <w:multiLevelType w:val="hybridMultilevel"/>
    <w:tmpl w:val="64C0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A116B"/>
    <w:multiLevelType w:val="hybridMultilevel"/>
    <w:tmpl w:val="00B8D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543575"/>
    <w:multiLevelType w:val="hybridMultilevel"/>
    <w:tmpl w:val="D2EC5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D4449"/>
    <w:multiLevelType w:val="hybridMultilevel"/>
    <w:tmpl w:val="C34C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628E8"/>
    <w:multiLevelType w:val="hybridMultilevel"/>
    <w:tmpl w:val="0DCA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23D1A"/>
    <w:multiLevelType w:val="hybridMultilevel"/>
    <w:tmpl w:val="D050425E"/>
    <w:lvl w:ilvl="0" w:tplc="08090001">
      <w:start w:val="1"/>
      <w:numFmt w:val="bullet"/>
      <w:lvlText w:val=""/>
      <w:lvlJc w:val="left"/>
      <w:pPr>
        <w:ind w:left="720" w:hanging="360"/>
      </w:pPr>
      <w:rPr>
        <w:rFonts w:ascii="Symbol" w:hAnsi="Symbol" w:hint="default"/>
      </w:rPr>
    </w:lvl>
    <w:lvl w:ilvl="1" w:tplc="805CB160">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15B5A"/>
    <w:multiLevelType w:val="hybridMultilevel"/>
    <w:tmpl w:val="A392C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3D5CAA"/>
    <w:multiLevelType w:val="hybridMultilevel"/>
    <w:tmpl w:val="BD1C9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765BA"/>
    <w:multiLevelType w:val="hybridMultilevel"/>
    <w:tmpl w:val="E8CA2C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16"/>
  </w:num>
  <w:num w:numId="5">
    <w:abstractNumId w:val="13"/>
  </w:num>
  <w:num w:numId="6">
    <w:abstractNumId w:val="6"/>
  </w:num>
  <w:num w:numId="7">
    <w:abstractNumId w:val="14"/>
  </w:num>
  <w:num w:numId="8">
    <w:abstractNumId w:val="15"/>
  </w:num>
  <w:num w:numId="9">
    <w:abstractNumId w:val="3"/>
  </w:num>
  <w:num w:numId="10">
    <w:abstractNumId w:val="7"/>
  </w:num>
  <w:num w:numId="11">
    <w:abstractNumId w:val="8"/>
  </w:num>
  <w:num w:numId="12">
    <w:abstractNumId w:val="1"/>
  </w:num>
  <w:num w:numId="13">
    <w:abstractNumId w:val="9"/>
  </w:num>
  <w:num w:numId="14">
    <w:abstractNumId w:val="18"/>
  </w:num>
  <w:num w:numId="15">
    <w:abstractNumId w:val="5"/>
  </w:num>
  <w:num w:numId="16">
    <w:abstractNumId w:val="2"/>
  </w:num>
  <w:num w:numId="17">
    <w:abstractNumId w:val="12"/>
  </w:num>
  <w:num w:numId="18">
    <w:abstractNumId w:val="11"/>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proofState w:spelling="clean" w:grammar="clean"/>
  <w:documentProtection w:edit="readOnly" w:enforcement="0"/>
  <w:defaultTabStop w:val="720"/>
  <w:characterSpacingControl w:val="doNotCompress"/>
  <w:hdrShapeDefaults>
    <o:shapedefaults v:ext="edit" spidmax="10242"/>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048B9"/>
    <w:rsid w:val="0001267F"/>
    <w:rsid w:val="0001476C"/>
    <w:rsid w:val="00020DD5"/>
    <w:rsid w:val="000277F8"/>
    <w:rsid w:val="000323CE"/>
    <w:rsid w:val="00033C2E"/>
    <w:rsid w:val="00035FEC"/>
    <w:rsid w:val="000444EE"/>
    <w:rsid w:val="00051432"/>
    <w:rsid w:val="000631EA"/>
    <w:rsid w:val="0007545B"/>
    <w:rsid w:val="000847EC"/>
    <w:rsid w:val="00095621"/>
    <w:rsid w:val="00096D63"/>
    <w:rsid w:val="000B70DD"/>
    <w:rsid w:val="000C13FD"/>
    <w:rsid w:val="000C24AF"/>
    <w:rsid w:val="000C7119"/>
    <w:rsid w:val="000D2C7C"/>
    <w:rsid w:val="000D7A6C"/>
    <w:rsid w:val="000E242C"/>
    <w:rsid w:val="000E3494"/>
    <w:rsid w:val="000E4842"/>
    <w:rsid w:val="000E651E"/>
    <w:rsid w:val="0010192E"/>
    <w:rsid w:val="001079C5"/>
    <w:rsid w:val="00110985"/>
    <w:rsid w:val="0011210D"/>
    <w:rsid w:val="00115569"/>
    <w:rsid w:val="00120960"/>
    <w:rsid w:val="00120BF6"/>
    <w:rsid w:val="00123983"/>
    <w:rsid w:val="00123D38"/>
    <w:rsid w:val="00126F87"/>
    <w:rsid w:val="00127C9C"/>
    <w:rsid w:val="00130ED5"/>
    <w:rsid w:val="00135DC3"/>
    <w:rsid w:val="00141D61"/>
    <w:rsid w:val="001453B1"/>
    <w:rsid w:val="0015258C"/>
    <w:rsid w:val="00160DE5"/>
    <w:rsid w:val="00165A2D"/>
    <w:rsid w:val="001757E3"/>
    <w:rsid w:val="001830D0"/>
    <w:rsid w:val="00192530"/>
    <w:rsid w:val="001948B8"/>
    <w:rsid w:val="001A0760"/>
    <w:rsid w:val="001A5F3E"/>
    <w:rsid w:val="001C0A47"/>
    <w:rsid w:val="001C2FE1"/>
    <w:rsid w:val="001C3565"/>
    <w:rsid w:val="001C6910"/>
    <w:rsid w:val="001D034F"/>
    <w:rsid w:val="001D13F9"/>
    <w:rsid w:val="001D243C"/>
    <w:rsid w:val="001E256F"/>
    <w:rsid w:val="00211706"/>
    <w:rsid w:val="00213736"/>
    <w:rsid w:val="00216BCF"/>
    <w:rsid w:val="00226EC4"/>
    <w:rsid w:val="002335D1"/>
    <w:rsid w:val="00237587"/>
    <w:rsid w:val="00242C3D"/>
    <w:rsid w:val="002436E1"/>
    <w:rsid w:val="00244202"/>
    <w:rsid w:val="0025210A"/>
    <w:rsid w:val="0025450D"/>
    <w:rsid w:val="00262C72"/>
    <w:rsid w:val="0027452B"/>
    <w:rsid w:val="00274F7A"/>
    <w:rsid w:val="00280A2A"/>
    <w:rsid w:val="00281D03"/>
    <w:rsid w:val="00283D8A"/>
    <w:rsid w:val="0029088F"/>
    <w:rsid w:val="002A7E9E"/>
    <w:rsid w:val="002B4F03"/>
    <w:rsid w:val="002B7D5E"/>
    <w:rsid w:val="002C0DD3"/>
    <w:rsid w:val="002C1D57"/>
    <w:rsid w:val="002C4301"/>
    <w:rsid w:val="002C446A"/>
    <w:rsid w:val="002D1201"/>
    <w:rsid w:val="002D59BF"/>
    <w:rsid w:val="002E5C5D"/>
    <w:rsid w:val="002F15CA"/>
    <w:rsid w:val="00305261"/>
    <w:rsid w:val="003052D6"/>
    <w:rsid w:val="00324D3F"/>
    <w:rsid w:val="00326D29"/>
    <w:rsid w:val="00327053"/>
    <w:rsid w:val="0033114F"/>
    <w:rsid w:val="0033140C"/>
    <w:rsid w:val="00336F0E"/>
    <w:rsid w:val="0033715E"/>
    <w:rsid w:val="00343A2B"/>
    <w:rsid w:val="003447E2"/>
    <w:rsid w:val="00345DA6"/>
    <w:rsid w:val="00350FA1"/>
    <w:rsid w:val="00354873"/>
    <w:rsid w:val="00363ED2"/>
    <w:rsid w:val="003703C7"/>
    <w:rsid w:val="00380786"/>
    <w:rsid w:val="00384828"/>
    <w:rsid w:val="003A2E01"/>
    <w:rsid w:val="003B6136"/>
    <w:rsid w:val="003C0133"/>
    <w:rsid w:val="003C36D0"/>
    <w:rsid w:val="003D2AA6"/>
    <w:rsid w:val="003D3A42"/>
    <w:rsid w:val="003D7F35"/>
    <w:rsid w:val="003F0B61"/>
    <w:rsid w:val="003F1BBD"/>
    <w:rsid w:val="003F3FFD"/>
    <w:rsid w:val="00416AC6"/>
    <w:rsid w:val="00420E7F"/>
    <w:rsid w:val="0043101C"/>
    <w:rsid w:val="004351C7"/>
    <w:rsid w:val="00442449"/>
    <w:rsid w:val="00444783"/>
    <w:rsid w:val="004454A3"/>
    <w:rsid w:val="00446B5A"/>
    <w:rsid w:val="004523B6"/>
    <w:rsid w:val="00452E8F"/>
    <w:rsid w:val="00453AC2"/>
    <w:rsid w:val="00462879"/>
    <w:rsid w:val="004748C1"/>
    <w:rsid w:val="00484E54"/>
    <w:rsid w:val="004904F1"/>
    <w:rsid w:val="004A3F74"/>
    <w:rsid w:val="004B707F"/>
    <w:rsid w:val="004C163A"/>
    <w:rsid w:val="004C52E8"/>
    <w:rsid w:val="004C638B"/>
    <w:rsid w:val="004D7A05"/>
    <w:rsid w:val="004E445F"/>
    <w:rsid w:val="004E5F11"/>
    <w:rsid w:val="0050188A"/>
    <w:rsid w:val="00515AA7"/>
    <w:rsid w:val="00517B43"/>
    <w:rsid w:val="005224B0"/>
    <w:rsid w:val="00526CF7"/>
    <w:rsid w:val="00530BF8"/>
    <w:rsid w:val="00540D70"/>
    <w:rsid w:val="00550C36"/>
    <w:rsid w:val="00557BD1"/>
    <w:rsid w:val="005621D0"/>
    <w:rsid w:val="00566D9B"/>
    <w:rsid w:val="005722B4"/>
    <w:rsid w:val="005726AD"/>
    <w:rsid w:val="005976DE"/>
    <w:rsid w:val="005B0033"/>
    <w:rsid w:val="005B62C0"/>
    <w:rsid w:val="005C1842"/>
    <w:rsid w:val="005C6F77"/>
    <w:rsid w:val="005C7DB1"/>
    <w:rsid w:val="005D4E86"/>
    <w:rsid w:val="005F1943"/>
    <w:rsid w:val="005F271C"/>
    <w:rsid w:val="005F2D16"/>
    <w:rsid w:val="005F3FAA"/>
    <w:rsid w:val="00606C8A"/>
    <w:rsid w:val="00607FF9"/>
    <w:rsid w:val="00610031"/>
    <w:rsid w:val="006165CB"/>
    <w:rsid w:val="00616632"/>
    <w:rsid w:val="00617B6A"/>
    <w:rsid w:val="0062039B"/>
    <w:rsid w:val="00620D42"/>
    <w:rsid w:val="00621EC7"/>
    <w:rsid w:val="00624E21"/>
    <w:rsid w:val="00637DCA"/>
    <w:rsid w:val="00646F40"/>
    <w:rsid w:val="0065408E"/>
    <w:rsid w:val="00661271"/>
    <w:rsid w:val="0066758F"/>
    <w:rsid w:val="00677330"/>
    <w:rsid w:val="00684160"/>
    <w:rsid w:val="00690C59"/>
    <w:rsid w:val="0069187E"/>
    <w:rsid w:val="00693037"/>
    <w:rsid w:val="006A6297"/>
    <w:rsid w:val="006A6C2A"/>
    <w:rsid w:val="006B07CF"/>
    <w:rsid w:val="006B2187"/>
    <w:rsid w:val="006B3E0F"/>
    <w:rsid w:val="006C0A95"/>
    <w:rsid w:val="006C1EE4"/>
    <w:rsid w:val="006C7A92"/>
    <w:rsid w:val="006D5420"/>
    <w:rsid w:val="006E0128"/>
    <w:rsid w:val="006E06ED"/>
    <w:rsid w:val="006E39F4"/>
    <w:rsid w:val="006E73F6"/>
    <w:rsid w:val="006F388D"/>
    <w:rsid w:val="006F4C84"/>
    <w:rsid w:val="006F54DA"/>
    <w:rsid w:val="00702B4D"/>
    <w:rsid w:val="007036C7"/>
    <w:rsid w:val="00707D4E"/>
    <w:rsid w:val="00713FB3"/>
    <w:rsid w:val="0071497F"/>
    <w:rsid w:val="0071594D"/>
    <w:rsid w:val="007164A7"/>
    <w:rsid w:val="00720EA1"/>
    <w:rsid w:val="007316D8"/>
    <w:rsid w:val="0073210F"/>
    <w:rsid w:val="00733AA1"/>
    <w:rsid w:val="007362C2"/>
    <w:rsid w:val="007416F1"/>
    <w:rsid w:val="0074317C"/>
    <w:rsid w:val="0074770E"/>
    <w:rsid w:val="007527B4"/>
    <w:rsid w:val="00763FA3"/>
    <w:rsid w:val="00764679"/>
    <w:rsid w:val="0076506C"/>
    <w:rsid w:val="00770AB1"/>
    <w:rsid w:val="00772A5C"/>
    <w:rsid w:val="00786446"/>
    <w:rsid w:val="00787804"/>
    <w:rsid w:val="007A2517"/>
    <w:rsid w:val="007B307C"/>
    <w:rsid w:val="007B4EE3"/>
    <w:rsid w:val="007C0A41"/>
    <w:rsid w:val="007C1351"/>
    <w:rsid w:val="007D1A75"/>
    <w:rsid w:val="007D6E37"/>
    <w:rsid w:val="007E4138"/>
    <w:rsid w:val="007E5824"/>
    <w:rsid w:val="007E6C29"/>
    <w:rsid w:val="007F5285"/>
    <w:rsid w:val="007F6D83"/>
    <w:rsid w:val="007F6F39"/>
    <w:rsid w:val="008022CE"/>
    <w:rsid w:val="00802899"/>
    <w:rsid w:val="00805156"/>
    <w:rsid w:val="00805603"/>
    <w:rsid w:val="0081104F"/>
    <w:rsid w:val="00811445"/>
    <w:rsid w:val="00813661"/>
    <w:rsid w:val="00832890"/>
    <w:rsid w:val="00834C37"/>
    <w:rsid w:val="00837820"/>
    <w:rsid w:val="00843131"/>
    <w:rsid w:val="00852969"/>
    <w:rsid w:val="00853756"/>
    <w:rsid w:val="0085400C"/>
    <w:rsid w:val="00856FF0"/>
    <w:rsid w:val="00865A94"/>
    <w:rsid w:val="008718C5"/>
    <w:rsid w:val="00871B2B"/>
    <w:rsid w:val="00885F1E"/>
    <w:rsid w:val="00886A15"/>
    <w:rsid w:val="008908F3"/>
    <w:rsid w:val="0089182D"/>
    <w:rsid w:val="00893989"/>
    <w:rsid w:val="008A6E35"/>
    <w:rsid w:val="008B296C"/>
    <w:rsid w:val="008B2B32"/>
    <w:rsid w:val="008B2F46"/>
    <w:rsid w:val="008B33E4"/>
    <w:rsid w:val="008B3D55"/>
    <w:rsid w:val="008B5E79"/>
    <w:rsid w:val="008C47EC"/>
    <w:rsid w:val="008C7FF1"/>
    <w:rsid w:val="008D1E47"/>
    <w:rsid w:val="008D5953"/>
    <w:rsid w:val="008D627D"/>
    <w:rsid w:val="008D7104"/>
    <w:rsid w:val="008E16D9"/>
    <w:rsid w:val="008F1B2A"/>
    <w:rsid w:val="008F4C36"/>
    <w:rsid w:val="0090533A"/>
    <w:rsid w:val="00910038"/>
    <w:rsid w:val="009146EB"/>
    <w:rsid w:val="00917729"/>
    <w:rsid w:val="00917964"/>
    <w:rsid w:val="009242B4"/>
    <w:rsid w:val="009354C6"/>
    <w:rsid w:val="00937C48"/>
    <w:rsid w:val="009415B2"/>
    <w:rsid w:val="00946E36"/>
    <w:rsid w:val="00955A8B"/>
    <w:rsid w:val="00956770"/>
    <w:rsid w:val="00966A65"/>
    <w:rsid w:val="00977FCB"/>
    <w:rsid w:val="009833BB"/>
    <w:rsid w:val="009836B0"/>
    <w:rsid w:val="00985595"/>
    <w:rsid w:val="00997F6C"/>
    <w:rsid w:val="009A685D"/>
    <w:rsid w:val="009B386D"/>
    <w:rsid w:val="009B3F70"/>
    <w:rsid w:val="009B4AB9"/>
    <w:rsid w:val="009C088F"/>
    <w:rsid w:val="009C10F6"/>
    <w:rsid w:val="009D3691"/>
    <w:rsid w:val="009D5E78"/>
    <w:rsid w:val="009E543C"/>
    <w:rsid w:val="009F56A5"/>
    <w:rsid w:val="00A04F2E"/>
    <w:rsid w:val="00A232C7"/>
    <w:rsid w:val="00A268E2"/>
    <w:rsid w:val="00A31D80"/>
    <w:rsid w:val="00A37782"/>
    <w:rsid w:val="00A62441"/>
    <w:rsid w:val="00A625AD"/>
    <w:rsid w:val="00A64783"/>
    <w:rsid w:val="00A73E11"/>
    <w:rsid w:val="00A7478A"/>
    <w:rsid w:val="00A77BFB"/>
    <w:rsid w:val="00A8023C"/>
    <w:rsid w:val="00A863EB"/>
    <w:rsid w:val="00A91CF1"/>
    <w:rsid w:val="00A93F74"/>
    <w:rsid w:val="00A9660F"/>
    <w:rsid w:val="00AA0F45"/>
    <w:rsid w:val="00AA6A31"/>
    <w:rsid w:val="00AB28C3"/>
    <w:rsid w:val="00AB48C2"/>
    <w:rsid w:val="00AC7360"/>
    <w:rsid w:val="00AD2BEF"/>
    <w:rsid w:val="00AF0878"/>
    <w:rsid w:val="00AF47EB"/>
    <w:rsid w:val="00B05DF3"/>
    <w:rsid w:val="00B1657C"/>
    <w:rsid w:val="00B2202D"/>
    <w:rsid w:val="00B30CCF"/>
    <w:rsid w:val="00B33554"/>
    <w:rsid w:val="00B33AB3"/>
    <w:rsid w:val="00B4060A"/>
    <w:rsid w:val="00B43498"/>
    <w:rsid w:val="00B479FB"/>
    <w:rsid w:val="00B47F67"/>
    <w:rsid w:val="00B660BB"/>
    <w:rsid w:val="00B7302E"/>
    <w:rsid w:val="00B77C41"/>
    <w:rsid w:val="00B814A1"/>
    <w:rsid w:val="00B90621"/>
    <w:rsid w:val="00BA028B"/>
    <w:rsid w:val="00BA0704"/>
    <w:rsid w:val="00BB06A8"/>
    <w:rsid w:val="00BB1751"/>
    <w:rsid w:val="00BC1C0F"/>
    <w:rsid w:val="00BC3670"/>
    <w:rsid w:val="00BD2300"/>
    <w:rsid w:val="00BE1532"/>
    <w:rsid w:val="00BE2C2E"/>
    <w:rsid w:val="00BE6914"/>
    <w:rsid w:val="00C04338"/>
    <w:rsid w:val="00C1350B"/>
    <w:rsid w:val="00C16689"/>
    <w:rsid w:val="00C31122"/>
    <w:rsid w:val="00C40468"/>
    <w:rsid w:val="00C40EC9"/>
    <w:rsid w:val="00C40F91"/>
    <w:rsid w:val="00C56ABF"/>
    <w:rsid w:val="00C64E48"/>
    <w:rsid w:val="00C71237"/>
    <w:rsid w:val="00C71E55"/>
    <w:rsid w:val="00C901D2"/>
    <w:rsid w:val="00C91442"/>
    <w:rsid w:val="00C93769"/>
    <w:rsid w:val="00C978FB"/>
    <w:rsid w:val="00CA2FD9"/>
    <w:rsid w:val="00CA6D24"/>
    <w:rsid w:val="00CB6B8A"/>
    <w:rsid w:val="00CC2538"/>
    <w:rsid w:val="00CC5C37"/>
    <w:rsid w:val="00CE2836"/>
    <w:rsid w:val="00CE72EE"/>
    <w:rsid w:val="00D034E3"/>
    <w:rsid w:val="00D03C6C"/>
    <w:rsid w:val="00D11B73"/>
    <w:rsid w:val="00D23C3F"/>
    <w:rsid w:val="00D26DE0"/>
    <w:rsid w:val="00D30ED2"/>
    <w:rsid w:val="00D31B59"/>
    <w:rsid w:val="00D42655"/>
    <w:rsid w:val="00D427E2"/>
    <w:rsid w:val="00D6056C"/>
    <w:rsid w:val="00D610F7"/>
    <w:rsid w:val="00D639F0"/>
    <w:rsid w:val="00D63CA1"/>
    <w:rsid w:val="00D668DF"/>
    <w:rsid w:val="00D67ED9"/>
    <w:rsid w:val="00D732C0"/>
    <w:rsid w:val="00D75EBE"/>
    <w:rsid w:val="00D82B64"/>
    <w:rsid w:val="00D876F9"/>
    <w:rsid w:val="00D93D0D"/>
    <w:rsid w:val="00D97667"/>
    <w:rsid w:val="00DA3094"/>
    <w:rsid w:val="00DC7D44"/>
    <w:rsid w:val="00DD3E04"/>
    <w:rsid w:val="00DD7C30"/>
    <w:rsid w:val="00DE2D22"/>
    <w:rsid w:val="00DE4E06"/>
    <w:rsid w:val="00DF149C"/>
    <w:rsid w:val="00DF1DAD"/>
    <w:rsid w:val="00E064F6"/>
    <w:rsid w:val="00E13ACF"/>
    <w:rsid w:val="00E167E9"/>
    <w:rsid w:val="00E221D3"/>
    <w:rsid w:val="00E2321A"/>
    <w:rsid w:val="00E257F6"/>
    <w:rsid w:val="00E25CAF"/>
    <w:rsid w:val="00E26A37"/>
    <w:rsid w:val="00E317F2"/>
    <w:rsid w:val="00E35E35"/>
    <w:rsid w:val="00E403E0"/>
    <w:rsid w:val="00E404BC"/>
    <w:rsid w:val="00E40D0D"/>
    <w:rsid w:val="00E42B01"/>
    <w:rsid w:val="00E45C31"/>
    <w:rsid w:val="00E46C5A"/>
    <w:rsid w:val="00E50528"/>
    <w:rsid w:val="00E51246"/>
    <w:rsid w:val="00E5673A"/>
    <w:rsid w:val="00E56C3A"/>
    <w:rsid w:val="00E5704B"/>
    <w:rsid w:val="00E57883"/>
    <w:rsid w:val="00E6000E"/>
    <w:rsid w:val="00E60528"/>
    <w:rsid w:val="00E60E30"/>
    <w:rsid w:val="00E65474"/>
    <w:rsid w:val="00E73D2D"/>
    <w:rsid w:val="00E74DA7"/>
    <w:rsid w:val="00E80A55"/>
    <w:rsid w:val="00E8256C"/>
    <w:rsid w:val="00E839CF"/>
    <w:rsid w:val="00E85B90"/>
    <w:rsid w:val="00E94D60"/>
    <w:rsid w:val="00EA3165"/>
    <w:rsid w:val="00EA6497"/>
    <w:rsid w:val="00EB1195"/>
    <w:rsid w:val="00EB41D0"/>
    <w:rsid w:val="00EB513C"/>
    <w:rsid w:val="00EB7F4D"/>
    <w:rsid w:val="00EC09A9"/>
    <w:rsid w:val="00EC4A08"/>
    <w:rsid w:val="00EC696F"/>
    <w:rsid w:val="00EC7356"/>
    <w:rsid w:val="00ED23CC"/>
    <w:rsid w:val="00ED3649"/>
    <w:rsid w:val="00ED50DE"/>
    <w:rsid w:val="00ED5CE2"/>
    <w:rsid w:val="00EE384B"/>
    <w:rsid w:val="00EF0B41"/>
    <w:rsid w:val="00EF32CA"/>
    <w:rsid w:val="00EF3A8C"/>
    <w:rsid w:val="00F01905"/>
    <w:rsid w:val="00F0276F"/>
    <w:rsid w:val="00F02A7E"/>
    <w:rsid w:val="00F03D23"/>
    <w:rsid w:val="00F12CE4"/>
    <w:rsid w:val="00F15EE6"/>
    <w:rsid w:val="00F217B1"/>
    <w:rsid w:val="00F36B64"/>
    <w:rsid w:val="00F421D6"/>
    <w:rsid w:val="00F4293D"/>
    <w:rsid w:val="00F511E6"/>
    <w:rsid w:val="00F60AED"/>
    <w:rsid w:val="00F60D47"/>
    <w:rsid w:val="00F6341C"/>
    <w:rsid w:val="00F637BB"/>
    <w:rsid w:val="00F74655"/>
    <w:rsid w:val="00F93C83"/>
    <w:rsid w:val="00F952DF"/>
    <w:rsid w:val="00FA0D0A"/>
    <w:rsid w:val="00FA2290"/>
    <w:rsid w:val="00FA7744"/>
    <w:rsid w:val="00FB4FFD"/>
    <w:rsid w:val="00FC285A"/>
    <w:rsid w:val="00FC2D2A"/>
    <w:rsid w:val="00FC3A96"/>
    <w:rsid w:val="00FC51D9"/>
    <w:rsid w:val="00FC66FF"/>
    <w:rsid w:val="00FD40D6"/>
    <w:rsid w:val="00FD4730"/>
    <w:rsid w:val="00FE3D16"/>
    <w:rsid w:val="00FF1053"/>
    <w:rsid w:val="00FF35CA"/>
    <w:rsid w:val="00FF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39E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F15EE6"/>
    <w:pPr>
      <w:jc w:val="center"/>
    </w:pPr>
    <w:rPr>
      <w:b/>
      <w:color w:val="003360" w:themeColor="accent1"/>
      <w:sz w:val="35"/>
      <w:szCs w:val="42"/>
    </w:rPr>
  </w:style>
  <w:style w:type="character" w:customStyle="1" w:styleId="FrontpagesubheadChar">
    <w:name w:val="Frontpage_subhead Char"/>
    <w:basedOn w:val="DefaultParagraphFont"/>
    <w:link w:val="Frontpagesubhead"/>
    <w:rsid w:val="00F15EE6"/>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table" w:customStyle="1" w:styleId="TableGrid1">
    <w:name w:val="Table Grid1"/>
    <w:basedOn w:val="TableNormal"/>
    <w:next w:val="TableGrid"/>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character" w:styleId="CommentReference">
    <w:name w:val="annotation reference"/>
    <w:basedOn w:val="DefaultParagraphFont"/>
    <w:uiPriority w:val="99"/>
    <w:semiHidden/>
    <w:unhideWhenUsed/>
    <w:rsid w:val="00C1350B"/>
    <w:rPr>
      <w:sz w:val="16"/>
      <w:szCs w:val="16"/>
    </w:rPr>
  </w:style>
  <w:style w:type="paragraph" w:styleId="CommentText">
    <w:name w:val="annotation text"/>
    <w:basedOn w:val="Normal"/>
    <w:link w:val="CommentTextChar"/>
    <w:uiPriority w:val="99"/>
    <w:semiHidden/>
    <w:unhideWhenUsed/>
    <w:rsid w:val="00C1350B"/>
    <w:rPr>
      <w:sz w:val="20"/>
      <w:szCs w:val="20"/>
    </w:rPr>
  </w:style>
  <w:style w:type="character" w:customStyle="1" w:styleId="CommentTextChar">
    <w:name w:val="Comment Text Char"/>
    <w:basedOn w:val="DefaultParagraphFont"/>
    <w:link w:val="CommentText"/>
    <w:uiPriority w:val="99"/>
    <w:semiHidden/>
    <w:rsid w:val="00C1350B"/>
    <w:rPr>
      <w:rFonts w:ascii="Arial" w:hAnsi="Arial"/>
    </w:rPr>
  </w:style>
  <w:style w:type="paragraph" w:styleId="CommentSubject">
    <w:name w:val="annotation subject"/>
    <w:basedOn w:val="CommentText"/>
    <w:next w:val="CommentText"/>
    <w:link w:val="CommentSubjectChar"/>
    <w:uiPriority w:val="99"/>
    <w:semiHidden/>
    <w:unhideWhenUsed/>
    <w:rsid w:val="00C1350B"/>
    <w:rPr>
      <w:b/>
      <w:bCs/>
    </w:rPr>
  </w:style>
  <w:style w:type="character" w:customStyle="1" w:styleId="CommentSubjectChar">
    <w:name w:val="Comment Subject Char"/>
    <w:basedOn w:val="CommentTextChar"/>
    <w:link w:val="CommentSubject"/>
    <w:uiPriority w:val="99"/>
    <w:semiHidden/>
    <w:rsid w:val="00C1350B"/>
    <w:rPr>
      <w:rFonts w:ascii="Arial" w:hAnsi="Arial"/>
      <w:b/>
      <w:bCs/>
    </w:rPr>
  </w:style>
  <w:style w:type="character" w:styleId="FollowedHyperlink">
    <w:name w:val="FollowedHyperlink"/>
    <w:basedOn w:val="DefaultParagraphFont"/>
    <w:uiPriority w:val="99"/>
    <w:semiHidden/>
    <w:unhideWhenUsed/>
    <w:rsid w:val="00E94D60"/>
    <w:rPr>
      <w:color w:val="701870" w:themeColor="followedHyperlink"/>
      <w:u w:val="single"/>
    </w:rPr>
  </w:style>
  <w:style w:type="character" w:styleId="Emphasis">
    <w:name w:val="Emphasis"/>
    <w:basedOn w:val="DefaultParagraphFont"/>
    <w:uiPriority w:val="20"/>
    <w:qFormat/>
    <w:rsid w:val="00FB4FFD"/>
    <w:rPr>
      <w:i/>
      <w:iCs/>
    </w:rPr>
  </w:style>
  <w:style w:type="paragraph" w:styleId="NormalWeb">
    <w:name w:val="Normal (Web)"/>
    <w:basedOn w:val="Normal"/>
    <w:uiPriority w:val="99"/>
    <w:unhideWhenUsed/>
    <w:rsid w:val="00D82B64"/>
    <w:pPr>
      <w:spacing w:before="100" w:beforeAutospacing="1" w:after="100" w:afterAutospacing="1"/>
      <w:textboxTightWrap w:val="none"/>
    </w:pPr>
    <w:rPr>
      <w:rFonts w:ascii="Times New Roman" w:hAnsi="Times New Roman"/>
      <w:lang w:eastAsia="en-GB"/>
    </w:rPr>
  </w:style>
  <w:style w:type="paragraph" w:styleId="NoSpacing">
    <w:name w:val="No Spacing"/>
    <w:link w:val="NoSpacingChar"/>
    <w:uiPriority w:val="1"/>
    <w:qFormat/>
    <w:rsid w:val="00D82B6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82B64"/>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5754">
      <w:bodyDiv w:val="1"/>
      <w:marLeft w:val="0"/>
      <w:marRight w:val="0"/>
      <w:marTop w:val="0"/>
      <w:marBottom w:val="0"/>
      <w:divBdr>
        <w:top w:val="none" w:sz="0" w:space="0" w:color="auto"/>
        <w:left w:val="none" w:sz="0" w:space="0" w:color="auto"/>
        <w:bottom w:val="none" w:sz="0" w:space="0" w:color="auto"/>
        <w:right w:val="none" w:sz="0" w:space="0" w:color="auto"/>
      </w:divBdr>
    </w:div>
    <w:div w:id="281350873">
      <w:bodyDiv w:val="1"/>
      <w:marLeft w:val="0"/>
      <w:marRight w:val="0"/>
      <w:marTop w:val="0"/>
      <w:marBottom w:val="0"/>
      <w:divBdr>
        <w:top w:val="none" w:sz="0" w:space="0" w:color="auto"/>
        <w:left w:val="none" w:sz="0" w:space="0" w:color="auto"/>
        <w:bottom w:val="none" w:sz="0" w:space="0" w:color="auto"/>
        <w:right w:val="none" w:sz="0" w:space="0" w:color="auto"/>
      </w:divBdr>
      <w:divsChild>
        <w:div w:id="1029181288">
          <w:marLeft w:val="0"/>
          <w:marRight w:val="0"/>
          <w:marTop w:val="0"/>
          <w:marBottom w:val="0"/>
          <w:divBdr>
            <w:top w:val="none" w:sz="0" w:space="0" w:color="auto"/>
            <w:left w:val="none" w:sz="0" w:space="0" w:color="auto"/>
            <w:bottom w:val="none" w:sz="0" w:space="0" w:color="auto"/>
            <w:right w:val="none" w:sz="0" w:space="0" w:color="auto"/>
          </w:divBdr>
          <w:divsChild>
            <w:div w:id="632755990">
              <w:marLeft w:val="0"/>
              <w:marRight w:val="0"/>
              <w:marTop w:val="0"/>
              <w:marBottom w:val="0"/>
              <w:divBdr>
                <w:top w:val="none" w:sz="0" w:space="0" w:color="auto"/>
                <w:left w:val="none" w:sz="0" w:space="0" w:color="auto"/>
                <w:bottom w:val="none" w:sz="0" w:space="0" w:color="auto"/>
                <w:right w:val="none" w:sz="0" w:space="0" w:color="auto"/>
              </w:divBdr>
              <w:divsChild>
                <w:div w:id="4421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1105">
      <w:bodyDiv w:val="1"/>
      <w:marLeft w:val="0"/>
      <w:marRight w:val="0"/>
      <w:marTop w:val="0"/>
      <w:marBottom w:val="0"/>
      <w:divBdr>
        <w:top w:val="none" w:sz="0" w:space="0" w:color="auto"/>
        <w:left w:val="none" w:sz="0" w:space="0" w:color="auto"/>
        <w:bottom w:val="none" w:sz="0" w:space="0" w:color="auto"/>
        <w:right w:val="none" w:sz="0" w:space="0" w:color="auto"/>
      </w:divBdr>
    </w:div>
    <w:div w:id="908343480">
      <w:bodyDiv w:val="1"/>
      <w:marLeft w:val="0"/>
      <w:marRight w:val="0"/>
      <w:marTop w:val="0"/>
      <w:marBottom w:val="0"/>
      <w:divBdr>
        <w:top w:val="none" w:sz="0" w:space="0" w:color="auto"/>
        <w:left w:val="none" w:sz="0" w:space="0" w:color="auto"/>
        <w:bottom w:val="none" w:sz="0" w:space="0" w:color="auto"/>
        <w:right w:val="none" w:sz="0" w:space="0" w:color="auto"/>
      </w:divBdr>
    </w:div>
    <w:div w:id="912852655">
      <w:bodyDiv w:val="1"/>
      <w:marLeft w:val="0"/>
      <w:marRight w:val="0"/>
      <w:marTop w:val="0"/>
      <w:marBottom w:val="0"/>
      <w:divBdr>
        <w:top w:val="none" w:sz="0" w:space="0" w:color="auto"/>
        <w:left w:val="none" w:sz="0" w:space="0" w:color="auto"/>
        <w:bottom w:val="none" w:sz="0" w:space="0" w:color="auto"/>
        <w:right w:val="none" w:sz="0" w:space="0" w:color="auto"/>
      </w:divBdr>
    </w:div>
    <w:div w:id="979774371">
      <w:bodyDiv w:val="1"/>
      <w:marLeft w:val="0"/>
      <w:marRight w:val="0"/>
      <w:marTop w:val="0"/>
      <w:marBottom w:val="0"/>
      <w:divBdr>
        <w:top w:val="none" w:sz="0" w:space="0" w:color="auto"/>
        <w:left w:val="none" w:sz="0" w:space="0" w:color="auto"/>
        <w:bottom w:val="none" w:sz="0" w:space="0" w:color="auto"/>
        <w:right w:val="none" w:sz="0" w:space="0" w:color="auto"/>
      </w:divBdr>
    </w:div>
    <w:div w:id="1123578726">
      <w:bodyDiv w:val="1"/>
      <w:marLeft w:val="0"/>
      <w:marRight w:val="0"/>
      <w:marTop w:val="0"/>
      <w:marBottom w:val="0"/>
      <w:divBdr>
        <w:top w:val="none" w:sz="0" w:space="0" w:color="auto"/>
        <w:left w:val="none" w:sz="0" w:space="0" w:color="auto"/>
        <w:bottom w:val="none" w:sz="0" w:space="0" w:color="auto"/>
        <w:right w:val="none" w:sz="0" w:space="0" w:color="auto"/>
      </w:divBdr>
    </w:div>
    <w:div w:id="1210074199">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 w:id="1297563140">
      <w:bodyDiv w:val="1"/>
      <w:marLeft w:val="0"/>
      <w:marRight w:val="0"/>
      <w:marTop w:val="0"/>
      <w:marBottom w:val="0"/>
      <w:divBdr>
        <w:top w:val="none" w:sz="0" w:space="0" w:color="auto"/>
        <w:left w:val="none" w:sz="0" w:space="0" w:color="auto"/>
        <w:bottom w:val="none" w:sz="0" w:space="0" w:color="auto"/>
        <w:right w:val="none" w:sz="0" w:space="0" w:color="auto"/>
      </w:divBdr>
    </w:div>
    <w:div w:id="1491943791">
      <w:bodyDiv w:val="1"/>
      <w:marLeft w:val="0"/>
      <w:marRight w:val="0"/>
      <w:marTop w:val="0"/>
      <w:marBottom w:val="0"/>
      <w:divBdr>
        <w:top w:val="none" w:sz="0" w:space="0" w:color="auto"/>
        <w:left w:val="none" w:sz="0" w:space="0" w:color="auto"/>
        <w:bottom w:val="none" w:sz="0" w:space="0" w:color="auto"/>
        <w:right w:val="none" w:sz="0" w:space="0" w:color="auto"/>
      </w:divBdr>
    </w:div>
    <w:div w:id="1531801677">
      <w:bodyDiv w:val="1"/>
      <w:marLeft w:val="0"/>
      <w:marRight w:val="0"/>
      <w:marTop w:val="0"/>
      <w:marBottom w:val="0"/>
      <w:divBdr>
        <w:top w:val="none" w:sz="0" w:space="0" w:color="auto"/>
        <w:left w:val="none" w:sz="0" w:space="0" w:color="auto"/>
        <w:bottom w:val="none" w:sz="0" w:space="0" w:color="auto"/>
        <w:right w:val="none" w:sz="0" w:space="0" w:color="auto"/>
      </w:divBdr>
    </w:div>
    <w:div w:id="1780025381">
      <w:bodyDiv w:val="1"/>
      <w:marLeft w:val="0"/>
      <w:marRight w:val="0"/>
      <w:marTop w:val="0"/>
      <w:marBottom w:val="0"/>
      <w:divBdr>
        <w:top w:val="none" w:sz="0" w:space="0" w:color="auto"/>
        <w:left w:val="none" w:sz="0" w:space="0" w:color="auto"/>
        <w:bottom w:val="none" w:sz="0" w:space="0" w:color="auto"/>
        <w:right w:val="none" w:sz="0" w:space="0" w:color="auto"/>
      </w:divBdr>
    </w:div>
    <w:div w:id="1830554583">
      <w:bodyDiv w:val="1"/>
      <w:marLeft w:val="0"/>
      <w:marRight w:val="0"/>
      <w:marTop w:val="0"/>
      <w:marBottom w:val="0"/>
      <w:divBdr>
        <w:top w:val="none" w:sz="0" w:space="0" w:color="auto"/>
        <w:left w:val="none" w:sz="0" w:space="0" w:color="auto"/>
        <w:bottom w:val="none" w:sz="0" w:space="0" w:color="auto"/>
        <w:right w:val="none" w:sz="0" w:space="0" w:color="auto"/>
      </w:divBdr>
    </w:div>
    <w:div w:id="1972711128">
      <w:bodyDiv w:val="1"/>
      <w:marLeft w:val="0"/>
      <w:marRight w:val="0"/>
      <w:marTop w:val="0"/>
      <w:marBottom w:val="0"/>
      <w:divBdr>
        <w:top w:val="none" w:sz="0" w:space="0" w:color="auto"/>
        <w:left w:val="none" w:sz="0" w:space="0" w:color="auto"/>
        <w:bottom w:val="none" w:sz="0" w:space="0" w:color="auto"/>
        <w:right w:val="none" w:sz="0" w:space="0" w:color="auto"/>
      </w:divBdr>
      <w:divsChild>
        <w:div w:id="1457411698">
          <w:marLeft w:val="0"/>
          <w:marRight w:val="0"/>
          <w:marTop w:val="0"/>
          <w:marBottom w:val="0"/>
          <w:divBdr>
            <w:top w:val="none" w:sz="0" w:space="0" w:color="auto"/>
            <w:left w:val="none" w:sz="0" w:space="0" w:color="auto"/>
            <w:bottom w:val="none" w:sz="0" w:space="0" w:color="auto"/>
            <w:right w:val="none" w:sz="0" w:space="0" w:color="auto"/>
          </w:divBdr>
          <w:divsChild>
            <w:div w:id="1712730454">
              <w:marLeft w:val="0"/>
              <w:marRight w:val="0"/>
              <w:marTop w:val="0"/>
              <w:marBottom w:val="0"/>
              <w:divBdr>
                <w:top w:val="none" w:sz="0" w:space="0" w:color="auto"/>
                <w:left w:val="none" w:sz="0" w:space="0" w:color="auto"/>
                <w:bottom w:val="none" w:sz="0" w:space="0" w:color="auto"/>
                <w:right w:val="none" w:sz="0" w:space="0" w:color="auto"/>
              </w:divBdr>
              <w:divsChild>
                <w:div w:id="10508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ycare.domain@NHS.net" TargetMode="External"/><Relationship Id="rId13" Type="http://schemas.openxmlformats.org/officeDocument/2006/relationships/image" Target="media/image2.wmf"/><Relationship Id="rId18" Type="http://schemas.openxmlformats.org/officeDocument/2006/relationships/hyperlink" Target="http://www.phoutcomes.info/"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www.hscic.gov.uk/article/1674/Indicator-Assurance-Service"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fingertips.phe.org.uk/profile-group/mental-health/profile/dementia" TargetMode="External"/><Relationship Id="rId25" Type="http://schemas.openxmlformats.org/officeDocument/2006/relationships/footer" Target="footer1.xml"/><Relationship Id="rId33" Type="http://schemas.openxmlformats.org/officeDocument/2006/relationships/hyperlink" Target="mailto:indicator.assurance@nhs.net"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phoutcomes.info/" TargetMode="External"/><Relationship Id="rId20" Type="http://schemas.openxmlformats.org/officeDocument/2006/relationships/hyperlink" Target="https://toolkit.modem-dementia.org.uk/" TargetMode="External"/><Relationship Id="rId29" Type="http://schemas.openxmlformats.org/officeDocument/2006/relationships/hyperlink" Target="mailto:indicator.assurance@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50355/dpndementia.pdf" TargetMode="External"/><Relationship Id="rId24"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6.png"/><Relationship Id="rId28" Type="http://schemas.openxmlformats.org/officeDocument/2006/relationships/header" Target="header3.xml"/><Relationship Id="rId36" Type="http://schemas.openxmlformats.org/officeDocument/2006/relationships/header" Target="header4.xml"/><Relationship Id="rId10" Type="http://schemas.openxmlformats.org/officeDocument/2006/relationships/hyperlink" Target="https://www.england.nhs.uk/2013/05/dementia-targets/" TargetMode="External"/><Relationship Id="rId19" Type="http://schemas.openxmlformats.org/officeDocument/2006/relationships/hyperlink" Target="https://fingertips.phe.org.uk/profile-group/mental-health/profile/dementia" TargetMode="External"/><Relationship Id="rId4" Type="http://schemas.openxmlformats.org/officeDocument/2006/relationships/settings" Target="settings.xml"/><Relationship Id="rId9" Type="http://schemas.openxmlformats.org/officeDocument/2006/relationships/hyperlink" Target="http://dementiachallenge.dh.gov.uk/" TargetMode="External"/><Relationship Id="rId14" Type="http://schemas.openxmlformats.org/officeDocument/2006/relationships/oleObject" Target="embeddings/oleObject1.bin"/><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hyperlink" Target="http://www.hscic.gov.uk/article/1674/Indicator-Assurance-Service" TargetMode="External"/><Relationship Id="rId35" Type="http://schemas.openxmlformats.org/officeDocument/2006/relationships/hyperlink" Target="https://www.nice.org.uk/accessi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E7F45956AD48C18696E92BFD2177F9"/>
        <w:category>
          <w:name w:val="General"/>
          <w:gallery w:val="placeholder"/>
        </w:category>
        <w:types>
          <w:type w:val="bbPlcHdr"/>
        </w:types>
        <w:behaviors>
          <w:behavior w:val="content"/>
        </w:behaviors>
        <w:guid w:val="{018A5724-2ABD-4A8A-8D28-3B507B914167}"/>
      </w:docPartPr>
      <w:docPartBody>
        <w:p w:rsidR="00CD072F" w:rsidRDefault="005976BC" w:rsidP="005976BC">
          <w:pPr>
            <w:pStyle w:val="A3E7F45956AD48C18696E92BFD2177F9"/>
          </w:pPr>
          <w:r w:rsidRPr="00BC4529">
            <w:rPr>
              <w:rStyle w:val="PlaceholderText"/>
            </w:rPr>
            <w:t>Choose an item.</w:t>
          </w:r>
        </w:p>
      </w:docPartBody>
    </w:docPart>
    <w:docPart>
      <w:docPartPr>
        <w:name w:val="0D88BB9EDC3045AF946023F998D1C715"/>
        <w:category>
          <w:name w:val="General"/>
          <w:gallery w:val="placeholder"/>
        </w:category>
        <w:types>
          <w:type w:val="bbPlcHdr"/>
        </w:types>
        <w:behaviors>
          <w:behavior w:val="content"/>
        </w:behaviors>
        <w:guid w:val="{21A66BC0-FC8B-48F5-A587-7FC37D9888B7}"/>
      </w:docPartPr>
      <w:docPartBody>
        <w:p w:rsidR="00CD072F" w:rsidRDefault="005976BC" w:rsidP="005976BC">
          <w:pPr>
            <w:pStyle w:val="0D88BB9EDC3045AF946023F998D1C715"/>
          </w:pPr>
          <w:r w:rsidRPr="00B71800">
            <w:rPr>
              <w:rStyle w:val="PlaceholderText"/>
            </w:rPr>
            <w:t>Choose an item.</w:t>
          </w:r>
        </w:p>
      </w:docPartBody>
    </w:docPart>
    <w:docPart>
      <w:docPartPr>
        <w:name w:val="2908A8C59444453383C72CC52984AB0B"/>
        <w:category>
          <w:name w:val="General"/>
          <w:gallery w:val="placeholder"/>
        </w:category>
        <w:types>
          <w:type w:val="bbPlcHdr"/>
        </w:types>
        <w:behaviors>
          <w:behavior w:val="content"/>
        </w:behaviors>
        <w:guid w:val="{1B894E5E-0B07-42F0-BB4B-0DAC9046504A}"/>
      </w:docPartPr>
      <w:docPartBody>
        <w:p w:rsidR="00CD072F" w:rsidRDefault="005976BC" w:rsidP="005976BC">
          <w:pPr>
            <w:pStyle w:val="2908A8C59444453383C72CC52984AB0B"/>
          </w:pPr>
          <w:r w:rsidRPr="00B71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4330"/>
    <w:rsid w:val="00062BE1"/>
    <w:rsid w:val="0007188A"/>
    <w:rsid w:val="000F56FD"/>
    <w:rsid w:val="00112F0B"/>
    <w:rsid w:val="00170029"/>
    <w:rsid w:val="0019178C"/>
    <w:rsid w:val="00194A1D"/>
    <w:rsid w:val="001B72D9"/>
    <w:rsid w:val="002B3BE6"/>
    <w:rsid w:val="002C16CC"/>
    <w:rsid w:val="003D681A"/>
    <w:rsid w:val="0055361B"/>
    <w:rsid w:val="005976BC"/>
    <w:rsid w:val="00693FFF"/>
    <w:rsid w:val="00762EF3"/>
    <w:rsid w:val="007C23C9"/>
    <w:rsid w:val="008871BB"/>
    <w:rsid w:val="008B6D43"/>
    <w:rsid w:val="008C36C2"/>
    <w:rsid w:val="00967A42"/>
    <w:rsid w:val="00982405"/>
    <w:rsid w:val="009F0061"/>
    <w:rsid w:val="00A10002"/>
    <w:rsid w:val="00AD13D1"/>
    <w:rsid w:val="00AE052B"/>
    <w:rsid w:val="00B55844"/>
    <w:rsid w:val="00B95C24"/>
    <w:rsid w:val="00BE40A2"/>
    <w:rsid w:val="00CD072F"/>
    <w:rsid w:val="00CF2131"/>
    <w:rsid w:val="00CF268E"/>
    <w:rsid w:val="00D71ACB"/>
    <w:rsid w:val="00D81DE0"/>
    <w:rsid w:val="00DF7BD3"/>
    <w:rsid w:val="00E44587"/>
    <w:rsid w:val="00EC7CEE"/>
    <w:rsid w:val="00F8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1983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6BC"/>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3A1AD9EE5B77430F9D6173E9B216B791">
    <w:name w:val="3A1AD9EE5B77430F9D6173E9B216B791"/>
    <w:rsid w:val="00D71ACB"/>
  </w:style>
  <w:style w:type="paragraph" w:customStyle="1" w:styleId="72465B19154E45A0829C6890F27A7C7A">
    <w:name w:val="72465B19154E45A0829C6890F27A7C7A"/>
    <w:rsid w:val="005976BC"/>
    <w:pPr>
      <w:spacing w:after="160" w:line="259" w:lineRule="auto"/>
    </w:pPr>
  </w:style>
  <w:style w:type="paragraph" w:customStyle="1" w:styleId="A3E7F45956AD48C18696E92BFD2177F9">
    <w:name w:val="A3E7F45956AD48C18696E92BFD2177F9"/>
    <w:rsid w:val="005976BC"/>
    <w:pPr>
      <w:spacing w:after="160" w:line="259" w:lineRule="auto"/>
    </w:pPr>
  </w:style>
  <w:style w:type="paragraph" w:customStyle="1" w:styleId="0D88BB9EDC3045AF946023F998D1C715">
    <w:name w:val="0D88BB9EDC3045AF946023F998D1C715"/>
    <w:rsid w:val="005976BC"/>
    <w:pPr>
      <w:spacing w:after="160" w:line="259" w:lineRule="auto"/>
    </w:pPr>
  </w:style>
  <w:style w:type="paragraph" w:customStyle="1" w:styleId="2908A8C59444453383C72CC52984AB0B">
    <w:name w:val="2908A8C59444453383C72CC52984AB0B"/>
    <w:rsid w:val="005976BC"/>
    <w:pPr>
      <w:spacing w:after="160" w:line="259" w:lineRule="auto"/>
    </w:pPr>
  </w:style>
  <w:style w:type="paragraph" w:customStyle="1" w:styleId="9A5E6E88379F4C39ACED5D7419DA3653">
    <w:name w:val="9A5E6E88379F4C39ACED5D7419DA3653"/>
    <w:rsid w:val="005976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73E8-8235-4F57-B80A-5F24C056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4CB67390</Template>
  <TotalTime>0</TotalTime>
  <Pages>38</Pages>
  <Words>8348</Words>
  <Characters>47590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2020-03-13T11:16:00Z</dcterms:created>
  <dcterms:modified xsi:type="dcterms:W3CDTF">2020-03-13T17:17:00Z</dcterms:modified>
</cp:coreProperties>
</file>