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1799F" w14:textId="6DAD0CA6" w:rsidR="00B14E9A" w:rsidRPr="007A2874" w:rsidRDefault="00B14E9A" w:rsidP="00B14E9A">
      <w:pPr>
        <w:jc w:val="center"/>
        <w:rPr>
          <w:b/>
          <w:bCs/>
          <w:sz w:val="28"/>
          <w:szCs w:val="28"/>
        </w:rPr>
      </w:pPr>
      <w:r w:rsidRPr="007A2874">
        <w:rPr>
          <w:b/>
          <w:bCs/>
          <w:sz w:val="28"/>
          <w:szCs w:val="28"/>
        </w:rPr>
        <w:t>NHS Digital</w:t>
      </w:r>
    </w:p>
    <w:p w14:paraId="3E03A479" w14:textId="77777777" w:rsidR="00B14E9A" w:rsidRPr="007A2874" w:rsidRDefault="00B14E9A" w:rsidP="00B14E9A">
      <w:pPr>
        <w:jc w:val="center"/>
        <w:rPr>
          <w:b/>
          <w:bCs/>
          <w:sz w:val="28"/>
          <w:szCs w:val="28"/>
        </w:rPr>
      </w:pPr>
      <w:r w:rsidRPr="007A2874">
        <w:rPr>
          <w:b/>
          <w:bCs/>
          <w:sz w:val="28"/>
          <w:szCs w:val="28"/>
        </w:rPr>
        <w:t>Indicator Supporting Documentation</w:t>
      </w:r>
    </w:p>
    <w:p w14:paraId="30C83F79" w14:textId="5C5171F5" w:rsidR="00B14E9A" w:rsidRPr="007A2874" w:rsidRDefault="00B14E9A" w:rsidP="00B14E9A">
      <w:pPr>
        <w:jc w:val="center"/>
        <w:rPr>
          <w:b/>
          <w:bCs/>
          <w:sz w:val="28"/>
          <w:szCs w:val="28"/>
        </w:rPr>
      </w:pPr>
      <w:r w:rsidRPr="007A2874">
        <w:rPr>
          <w:b/>
          <w:bCs/>
          <w:sz w:val="28"/>
          <w:szCs w:val="28"/>
        </w:rPr>
        <w:t>IAP00048 Referrals to cardiac rehabilitation following an admission for coronary heart disease</w:t>
      </w:r>
    </w:p>
    <w:p w14:paraId="3B8DB286" w14:textId="77777777" w:rsidR="00B14E9A" w:rsidRPr="007A2874" w:rsidRDefault="00B14E9A" w:rsidP="00B14E9A">
      <w:pPr>
        <w:jc w:val="center"/>
      </w:pPr>
    </w:p>
    <w:tbl>
      <w:tblPr>
        <w:tblStyle w:val="TableGrid"/>
        <w:tblW w:w="0" w:type="auto"/>
        <w:tblLook w:val="04A0" w:firstRow="1" w:lastRow="0" w:firstColumn="1" w:lastColumn="0" w:noHBand="0" w:noVBand="1"/>
      </w:tblPr>
      <w:tblGrid>
        <w:gridCol w:w="1838"/>
        <w:gridCol w:w="7655"/>
      </w:tblGrid>
      <w:tr w:rsidR="007A2874" w:rsidRPr="007A2874" w14:paraId="4B603D0D" w14:textId="77777777" w:rsidTr="00493A03">
        <w:tc>
          <w:tcPr>
            <w:tcW w:w="1838" w:type="dxa"/>
          </w:tcPr>
          <w:p w14:paraId="603A6F99" w14:textId="77777777" w:rsidR="00707F26" w:rsidRPr="007A2874" w:rsidRDefault="00707F26" w:rsidP="007A2874">
            <w:r w:rsidRPr="007A2874">
              <w:t>IAP Code</w:t>
            </w:r>
          </w:p>
        </w:tc>
        <w:tc>
          <w:tcPr>
            <w:tcW w:w="7655" w:type="dxa"/>
          </w:tcPr>
          <w:p w14:paraId="3CD82716" w14:textId="77777777" w:rsidR="00707F26" w:rsidRPr="007A2874" w:rsidRDefault="00707F26" w:rsidP="007A2874">
            <w:r w:rsidRPr="007A2874">
              <w:t>IAP00428</w:t>
            </w:r>
          </w:p>
        </w:tc>
      </w:tr>
      <w:tr w:rsidR="007A2874" w:rsidRPr="007A2874" w14:paraId="11BDE62E" w14:textId="77777777" w:rsidTr="00493A03">
        <w:tc>
          <w:tcPr>
            <w:tcW w:w="1838" w:type="dxa"/>
          </w:tcPr>
          <w:p w14:paraId="4612EF31" w14:textId="77777777" w:rsidR="00707F26" w:rsidRPr="007A2874" w:rsidRDefault="00707F26" w:rsidP="007A2874">
            <w:r w:rsidRPr="007A2874">
              <w:t>Title</w:t>
            </w:r>
          </w:p>
        </w:tc>
        <w:tc>
          <w:tcPr>
            <w:tcW w:w="7655" w:type="dxa"/>
          </w:tcPr>
          <w:p w14:paraId="5F6F11FA" w14:textId="77777777" w:rsidR="00707F26" w:rsidRPr="007A2874" w:rsidRDefault="00707F26" w:rsidP="007A2874">
            <w:r w:rsidRPr="007A2874">
              <w:t>Referrals to cardiac rehabilitation within 5 days of an admission for coronary heart disease</w:t>
            </w:r>
          </w:p>
          <w:p w14:paraId="4311823B" w14:textId="77777777" w:rsidR="00707F26" w:rsidRPr="007A2874" w:rsidRDefault="00707F26" w:rsidP="007A2874"/>
        </w:tc>
      </w:tr>
      <w:tr w:rsidR="007A2874" w:rsidRPr="007A2874" w14:paraId="611E362D" w14:textId="77777777" w:rsidTr="00493A03">
        <w:tc>
          <w:tcPr>
            <w:tcW w:w="1838" w:type="dxa"/>
          </w:tcPr>
          <w:p w14:paraId="3D3436E5" w14:textId="77777777" w:rsidR="00707F26" w:rsidRPr="007A2874" w:rsidRDefault="00707F26" w:rsidP="007A2874">
            <w:r w:rsidRPr="007A2874">
              <w:t>Published by</w:t>
            </w:r>
          </w:p>
        </w:tc>
        <w:tc>
          <w:tcPr>
            <w:tcW w:w="7655" w:type="dxa"/>
          </w:tcPr>
          <w:p w14:paraId="172AD446" w14:textId="77777777" w:rsidR="00707F26" w:rsidRPr="007A2874" w:rsidRDefault="00707F26" w:rsidP="007A2874">
            <w:r w:rsidRPr="007A2874">
              <w:t>NHS Digital</w:t>
            </w:r>
          </w:p>
        </w:tc>
      </w:tr>
      <w:tr w:rsidR="007A2874" w:rsidRPr="007A2874" w14:paraId="0862D795" w14:textId="77777777" w:rsidTr="00493A03">
        <w:tc>
          <w:tcPr>
            <w:tcW w:w="1838" w:type="dxa"/>
          </w:tcPr>
          <w:p w14:paraId="5F1157C1" w14:textId="77777777" w:rsidR="00707F26" w:rsidRPr="007A2874" w:rsidRDefault="00707F26" w:rsidP="007A2874">
            <w:r w:rsidRPr="007A2874">
              <w:t>Reporting period</w:t>
            </w:r>
          </w:p>
        </w:tc>
        <w:tc>
          <w:tcPr>
            <w:tcW w:w="7655" w:type="dxa"/>
          </w:tcPr>
          <w:p w14:paraId="3760672C" w14:textId="77777777" w:rsidR="00707F26" w:rsidRPr="007A2874" w:rsidRDefault="00707F26" w:rsidP="007A2874">
            <w:r w:rsidRPr="007A2874">
              <w:t>Annual</w:t>
            </w:r>
          </w:p>
        </w:tc>
      </w:tr>
      <w:tr w:rsidR="007A2874" w:rsidRPr="007A2874" w14:paraId="3BAB7587" w14:textId="77777777" w:rsidTr="00493A03">
        <w:tc>
          <w:tcPr>
            <w:tcW w:w="1838" w:type="dxa"/>
          </w:tcPr>
          <w:p w14:paraId="52F52560" w14:textId="77777777" w:rsidR="00707F26" w:rsidRPr="007A2874" w:rsidRDefault="00707F26" w:rsidP="007A2874">
            <w:r w:rsidRPr="007A2874">
              <w:t>Geographical Coverage</w:t>
            </w:r>
          </w:p>
        </w:tc>
        <w:tc>
          <w:tcPr>
            <w:tcW w:w="7655" w:type="dxa"/>
          </w:tcPr>
          <w:p w14:paraId="21A7C133" w14:textId="77777777" w:rsidR="00707F26" w:rsidRPr="007A2874" w:rsidRDefault="00707F26" w:rsidP="007A2874">
            <w:r w:rsidRPr="007A2874">
              <w:t>National</w:t>
            </w:r>
          </w:p>
        </w:tc>
      </w:tr>
      <w:tr w:rsidR="007A2874" w:rsidRPr="007A2874" w14:paraId="06D87E0B" w14:textId="77777777" w:rsidTr="00493A03">
        <w:tc>
          <w:tcPr>
            <w:tcW w:w="1838" w:type="dxa"/>
          </w:tcPr>
          <w:p w14:paraId="3BC89821" w14:textId="77777777" w:rsidR="00707F26" w:rsidRPr="007A2874" w:rsidRDefault="00707F26" w:rsidP="007A2874">
            <w:r w:rsidRPr="007A2874">
              <w:t>Reporting level(s)</w:t>
            </w:r>
          </w:p>
        </w:tc>
        <w:tc>
          <w:tcPr>
            <w:tcW w:w="7655" w:type="dxa"/>
          </w:tcPr>
          <w:p w14:paraId="19810CE5" w14:textId="77777777" w:rsidR="00707F26" w:rsidRPr="007A2874" w:rsidRDefault="00707F26" w:rsidP="007A2874">
            <w:r w:rsidRPr="007A2874">
              <w:t>CCG and National</w:t>
            </w:r>
          </w:p>
        </w:tc>
      </w:tr>
      <w:tr w:rsidR="007A2874" w:rsidRPr="007A2874" w14:paraId="41B8866D" w14:textId="77777777" w:rsidTr="00493A03">
        <w:tc>
          <w:tcPr>
            <w:tcW w:w="1838" w:type="dxa"/>
          </w:tcPr>
          <w:p w14:paraId="3A681F19" w14:textId="77777777" w:rsidR="00707F26" w:rsidRPr="007A2874" w:rsidRDefault="00707F26" w:rsidP="007A2874">
            <w:r w:rsidRPr="007A2874">
              <w:t>Based on data from</w:t>
            </w:r>
          </w:p>
        </w:tc>
        <w:tc>
          <w:tcPr>
            <w:tcW w:w="7655" w:type="dxa"/>
          </w:tcPr>
          <w:p w14:paraId="477DD746" w14:textId="77777777" w:rsidR="00707F26" w:rsidRPr="007A2874" w:rsidRDefault="00707F26" w:rsidP="007A2874">
            <w:r w:rsidRPr="007A2874">
              <w:t>Hospital Episode Statistics (HES)</w:t>
            </w:r>
          </w:p>
        </w:tc>
      </w:tr>
      <w:tr w:rsidR="007A2874" w:rsidRPr="007A2874" w14:paraId="1A1CA57F" w14:textId="77777777" w:rsidTr="00493A03">
        <w:tc>
          <w:tcPr>
            <w:tcW w:w="1838" w:type="dxa"/>
          </w:tcPr>
          <w:p w14:paraId="5F09CFF3" w14:textId="77777777" w:rsidR="00707F26" w:rsidRPr="007A2874" w:rsidRDefault="00707F26" w:rsidP="007A2874">
            <w:r w:rsidRPr="007A2874">
              <w:t>Rating</w:t>
            </w:r>
          </w:p>
        </w:tc>
        <w:tc>
          <w:tcPr>
            <w:tcW w:w="7655" w:type="dxa"/>
          </w:tcPr>
          <w:p w14:paraId="167B7AA4" w14:textId="77777777" w:rsidR="00707F26" w:rsidRPr="007A2874" w:rsidRDefault="00707F26" w:rsidP="007A2874">
            <w:r w:rsidRPr="007A2874">
              <w:t>Assured</w:t>
            </w:r>
          </w:p>
        </w:tc>
      </w:tr>
      <w:tr w:rsidR="007A2874" w:rsidRPr="007A2874" w14:paraId="22552A89" w14:textId="77777777" w:rsidTr="00493A03">
        <w:tc>
          <w:tcPr>
            <w:tcW w:w="1838" w:type="dxa"/>
          </w:tcPr>
          <w:p w14:paraId="5805AA4A" w14:textId="77777777" w:rsidR="00707F26" w:rsidRPr="007A2874" w:rsidRDefault="00707F26" w:rsidP="007A2874">
            <w:r w:rsidRPr="007A2874">
              <w:t>Assurance date</w:t>
            </w:r>
          </w:p>
        </w:tc>
        <w:tc>
          <w:tcPr>
            <w:tcW w:w="7655" w:type="dxa"/>
          </w:tcPr>
          <w:p w14:paraId="6C62B8B7" w14:textId="77777777" w:rsidR="00707F26" w:rsidRPr="007A2874" w:rsidRDefault="00707F26" w:rsidP="007A2874">
            <w:r w:rsidRPr="007A2874">
              <w:t>10/2/2016</w:t>
            </w:r>
          </w:p>
        </w:tc>
      </w:tr>
      <w:tr w:rsidR="007A2874" w:rsidRPr="007A2874" w14:paraId="4D40C809" w14:textId="77777777" w:rsidTr="00493A03">
        <w:tc>
          <w:tcPr>
            <w:tcW w:w="1838" w:type="dxa"/>
          </w:tcPr>
          <w:p w14:paraId="384D8C88" w14:textId="77777777" w:rsidR="00707F26" w:rsidRPr="007A2874" w:rsidRDefault="00707F26" w:rsidP="007A2874">
            <w:r w:rsidRPr="007A2874">
              <w:t>Review date</w:t>
            </w:r>
          </w:p>
        </w:tc>
        <w:tc>
          <w:tcPr>
            <w:tcW w:w="7655" w:type="dxa"/>
          </w:tcPr>
          <w:p w14:paraId="1215112E" w14:textId="77777777" w:rsidR="00707F26" w:rsidRPr="007A2874" w:rsidRDefault="00707F26" w:rsidP="007A2874">
            <w:r w:rsidRPr="007A2874">
              <w:t>10/02/2017</w:t>
            </w:r>
          </w:p>
        </w:tc>
      </w:tr>
      <w:tr w:rsidR="007A2874" w:rsidRPr="007A2874" w14:paraId="36627D3E" w14:textId="77777777" w:rsidTr="00493A03">
        <w:tc>
          <w:tcPr>
            <w:tcW w:w="1838" w:type="dxa"/>
          </w:tcPr>
          <w:p w14:paraId="4946CF32" w14:textId="77777777" w:rsidR="00707F26" w:rsidRPr="007A2874" w:rsidRDefault="00707F26" w:rsidP="007A2874">
            <w:r w:rsidRPr="007A2874">
              <w:t>Indicator set</w:t>
            </w:r>
          </w:p>
        </w:tc>
        <w:tc>
          <w:tcPr>
            <w:tcW w:w="7655" w:type="dxa"/>
          </w:tcPr>
          <w:p w14:paraId="3C878768" w14:textId="77777777" w:rsidR="00707F26" w:rsidRPr="007A2874" w:rsidRDefault="00707F26" w:rsidP="007A2874">
            <w:r w:rsidRPr="007A2874">
              <w:t>CCGOIS</w:t>
            </w:r>
          </w:p>
        </w:tc>
      </w:tr>
      <w:tr w:rsidR="007A2874" w:rsidRPr="007A2874" w14:paraId="196DD56D" w14:textId="77777777" w:rsidTr="00493A03">
        <w:tc>
          <w:tcPr>
            <w:tcW w:w="1838" w:type="dxa"/>
          </w:tcPr>
          <w:p w14:paraId="7B6B92E7" w14:textId="77777777" w:rsidR="00707F26" w:rsidRPr="007A2874" w:rsidRDefault="00707F26" w:rsidP="007A2874">
            <w:r w:rsidRPr="007A2874">
              <w:t xml:space="preserve">Brief Description </w:t>
            </w:r>
          </w:p>
          <w:p w14:paraId="68EFB0E2" w14:textId="65292C96" w:rsidR="00707F26" w:rsidRPr="007A2874" w:rsidRDefault="00707F26" w:rsidP="007A2874"/>
        </w:tc>
        <w:tc>
          <w:tcPr>
            <w:tcW w:w="7655" w:type="dxa"/>
          </w:tcPr>
          <w:p w14:paraId="4E61CFCD" w14:textId="77777777" w:rsidR="00707F26" w:rsidRPr="007A2874" w:rsidRDefault="00707F26" w:rsidP="007A2874"/>
        </w:tc>
      </w:tr>
      <w:tr w:rsidR="007A2874" w:rsidRPr="007A2874" w14:paraId="3D7FF1C2" w14:textId="77777777" w:rsidTr="00493A03">
        <w:tc>
          <w:tcPr>
            <w:tcW w:w="1838" w:type="dxa"/>
          </w:tcPr>
          <w:p w14:paraId="25A163EE" w14:textId="77777777" w:rsidR="00707F26" w:rsidRPr="007A2874" w:rsidRDefault="00707F26" w:rsidP="007A2874">
            <w:r w:rsidRPr="007A2874">
              <w:t>Purpose</w:t>
            </w:r>
          </w:p>
        </w:tc>
        <w:tc>
          <w:tcPr>
            <w:tcW w:w="7655" w:type="dxa"/>
          </w:tcPr>
          <w:p w14:paraId="3B83772E" w14:textId="77777777" w:rsidR="00707F26" w:rsidRPr="007A2874" w:rsidRDefault="00707F26" w:rsidP="007A2874">
            <w:r w:rsidRPr="007A2874">
              <w:t xml:space="preserve">Cardiac rehabilitation supports long-term quality of life and survival for people with coronary heart disease. Clinical Commissioning Groups (CCGs) can influence outcomes relating to this measure by ensuring that cardiac rehabilitation services are available locally to an appropriate capacity and by setting out the role of such services within the overall cardiac pathway which has been commissioned. Where the numbers of patients being referred for cardiac rehabilitation is low compared to the number of patients with relevant cardiac conditions, </w:t>
            </w:r>
            <w:bookmarkStart w:id="0" w:name="_GoBack"/>
            <w:bookmarkEnd w:id="0"/>
            <w:r w:rsidRPr="007A2874">
              <w:t>they could also take action to identify and address the causes of this.</w:t>
            </w:r>
            <w:r w:rsidRPr="007A2874">
              <w:br/>
            </w:r>
            <w:r w:rsidRPr="007A2874">
              <w:br/>
              <w:t>This indicator will be presented alongside an indicator for completion of cardiac rehabilitation, which reports the number of referrals to cardiac rehabilitation that go on to complete cardiac rehabilitation.</w:t>
            </w:r>
            <w:r w:rsidRPr="007A2874">
              <w:br/>
            </w:r>
            <w:r w:rsidRPr="007A2874">
              <w:br/>
              <w:t xml:space="preserve">The two indicators in conjunction aim to provide a view of the cardiac </w:t>
            </w:r>
            <w:r w:rsidRPr="007A2874">
              <w:lastRenderedPageBreak/>
              <w:t>rehabilitation pathway. The referral indicator gives insight to the percentage of cases that could benefit from cardiac rehabilitation that are referred, whilst the completion indicator demonstrates the percentage of referrals that go on to complete cardiac rehabilitation.</w:t>
            </w:r>
          </w:p>
        </w:tc>
      </w:tr>
      <w:tr w:rsidR="007A2874" w:rsidRPr="007A2874" w14:paraId="4DC39608" w14:textId="77777777" w:rsidTr="00493A03">
        <w:tc>
          <w:tcPr>
            <w:tcW w:w="1838" w:type="dxa"/>
          </w:tcPr>
          <w:p w14:paraId="706A7557" w14:textId="77777777" w:rsidR="00707F26" w:rsidRPr="007A2874" w:rsidRDefault="00707F26" w:rsidP="007A2874">
            <w:r w:rsidRPr="007A2874">
              <w:lastRenderedPageBreak/>
              <w:t>Definition</w:t>
            </w:r>
          </w:p>
        </w:tc>
        <w:tc>
          <w:tcPr>
            <w:tcW w:w="7655" w:type="dxa"/>
          </w:tcPr>
          <w:p w14:paraId="3F2490F4" w14:textId="77777777" w:rsidR="00707F26" w:rsidRPr="007A2874" w:rsidRDefault="00707F26" w:rsidP="007A2874">
            <w:r w:rsidRPr="007A2874">
              <w:t>The proportion of recorded referrals to a cardiac rehabilitation programme within 5 days of hospital admission with a primary diagnosis of at least one of:</w:t>
            </w:r>
          </w:p>
          <w:p w14:paraId="78D9AE57" w14:textId="77777777" w:rsidR="00707F26" w:rsidRPr="007A2874" w:rsidRDefault="00707F26" w:rsidP="00707F26">
            <w:pPr>
              <w:numPr>
                <w:ilvl w:val="0"/>
                <w:numId w:val="9"/>
              </w:numPr>
              <w:spacing w:after="0"/>
              <w:textboxTightWrap w:val="none"/>
            </w:pPr>
            <w:r w:rsidRPr="007A2874">
              <w:t>acute myocardial infarction (MI)</w:t>
            </w:r>
          </w:p>
          <w:p w14:paraId="5202274E" w14:textId="77777777" w:rsidR="00707F26" w:rsidRPr="007A2874" w:rsidRDefault="00707F26" w:rsidP="00707F26">
            <w:pPr>
              <w:numPr>
                <w:ilvl w:val="0"/>
                <w:numId w:val="9"/>
              </w:numPr>
              <w:spacing w:after="0"/>
              <w:textboxTightWrap w:val="none"/>
            </w:pPr>
            <w:r w:rsidRPr="007A2874">
              <w:t>heart failure</w:t>
            </w:r>
          </w:p>
          <w:p w14:paraId="37AAC429" w14:textId="77777777" w:rsidR="00707F26" w:rsidRPr="007A2874" w:rsidRDefault="00707F26" w:rsidP="00707F26">
            <w:pPr>
              <w:numPr>
                <w:ilvl w:val="0"/>
                <w:numId w:val="9"/>
              </w:numPr>
              <w:spacing w:after="0"/>
              <w:textboxTightWrap w:val="none"/>
            </w:pPr>
            <w:r w:rsidRPr="007A2874">
              <w:t>a main operative procedure of Percutaneous Coronary Intervention (PCI)</w:t>
            </w:r>
          </w:p>
          <w:p w14:paraId="2D343728" w14:textId="77777777" w:rsidR="00707F26" w:rsidRPr="007A2874" w:rsidRDefault="00707F26" w:rsidP="00707F26">
            <w:pPr>
              <w:numPr>
                <w:ilvl w:val="0"/>
                <w:numId w:val="9"/>
              </w:numPr>
              <w:spacing w:after="0"/>
              <w:textboxTightWrap w:val="none"/>
            </w:pPr>
            <w:r w:rsidRPr="007A2874">
              <w:t>Coronary Artery Bypass Graft (CABG)</w:t>
            </w:r>
          </w:p>
          <w:p w14:paraId="4734C057" w14:textId="77777777" w:rsidR="00707F26" w:rsidRPr="007A2874" w:rsidRDefault="00707F26" w:rsidP="007A2874"/>
        </w:tc>
      </w:tr>
      <w:tr w:rsidR="007A2874" w:rsidRPr="007A2874" w14:paraId="734A6887" w14:textId="77777777" w:rsidTr="00493A03">
        <w:tc>
          <w:tcPr>
            <w:tcW w:w="1838" w:type="dxa"/>
          </w:tcPr>
          <w:p w14:paraId="635F953C" w14:textId="77777777" w:rsidR="00707F26" w:rsidRPr="007A2874" w:rsidRDefault="00707F26" w:rsidP="007A2874">
            <w:r w:rsidRPr="007A2874">
              <w:t>Data Source</w:t>
            </w:r>
          </w:p>
        </w:tc>
        <w:tc>
          <w:tcPr>
            <w:tcW w:w="7655" w:type="dxa"/>
          </w:tcPr>
          <w:p w14:paraId="64ED00F3" w14:textId="77777777" w:rsidR="00707F26" w:rsidRPr="007A2874" w:rsidRDefault="00707F26" w:rsidP="007A2874">
            <w:r w:rsidRPr="007A2874">
              <w:t>HES</w:t>
            </w:r>
          </w:p>
        </w:tc>
      </w:tr>
      <w:tr w:rsidR="007A2874" w:rsidRPr="007A2874" w14:paraId="6B7242BA" w14:textId="77777777" w:rsidTr="00E975A7">
        <w:tc>
          <w:tcPr>
            <w:tcW w:w="1838" w:type="dxa"/>
          </w:tcPr>
          <w:p w14:paraId="089905B9" w14:textId="77777777" w:rsidR="00707F26" w:rsidRPr="007A2874" w:rsidRDefault="00707F26" w:rsidP="007A2874">
            <w:r w:rsidRPr="007A2874">
              <w:t>Numerator</w:t>
            </w:r>
          </w:p>
        </w:tc>
        <w:tc>
          <w:tcPr>
            <w:tcW w:w="7655" w:type="dxa"/>
            <w:shd w:val="clear" w:color="auto" w:fill="auto"/>
          </w:tcPr>
          <w:p w14:paraId="717D354A" w14:textId="77777777" w:rsidR="00707F26" w:rsidRPr="007A2874" w:rsidRDefault="00707F26" w:rsidP="007A2874">
            <w:r w:rsidRPr="007A2874">
              <w:rPr>
                <w:shd w:val="clear" w:color="auto" w:fill="F4F5F7"/>
              </w:rPr>
              <w:t>Of the denominator, the number of finished admission episodes (FAEs) that were referred to cardiac rehabilitation within 5 days of admission to hospital.</w:t>
            </w:r>
          </w:p>
        </w:tc>
      </w:tr>
      <w:tr w:rsidR="007A2874" w:rsidRPr="007A2874" w14:paraId="16F68DE5" w14:textId="77777777" w:rsidTr="00E975A7">
        <w:tc>
          <w:tcPr>
            <w:tcW w:w="1838" w:type="dxa"/>
          </w:tcPr>
          <w:p w14:paraId="1976DAAD" w14:textId="77777777" w:rsidR="00707F26" w:rsidRPr="007A2874" w:rsidRDefault="00707F26" w:rsidP="007A2874">
            <w:r w:rsidRPr="007A2874">
              <w:t>Denominator</w:t>
            </w:r>
          </w:p>
        </w:tc>
        <w:tc>
          <w:tcPr>
            <w:tcW w:w="7655" w:type="dxa"/>
            <w:shd w:val="clear" w:color="auto" w:fill="auto"/>
          </w:tcPr>
          <w:p w14:paraId="7FAFD11F" w14:textId="77777777" w:rsidR="00707F26" w:rsidRPr="007A2874" w:rsidRDefault="00707F26" w:rsidP="007A2874">
            <w:r w:rsidRPr="007A2874">
              <w:rPr>
                <w:shd w:val="clear" w:color="auto" w:fill="F4F5F7"/>
              </w:rPr>
              <w:t>The number of FAEs with a primary diagnosis of MI or heart failure, or a main operative procedure of Percutaneous Coronary Intervention (PCI) or Coronary Artery Bypass Grafting (CABG).</w:t>
            </w:r>
          </w:p>
        </w:tc>
      </w:tr>
      <w:tr w:rsidR="007A2874" w:rsidRPr="007A2874" w14:paraId="4ADDC756" w14:textId="77777777" w:rsidTr="00493A03">
        <w:tc>
          <w:tcPr>
            <w:tcW w:w="1838" w:type="dxa"/>
          </w:tcPr>
          <w:p w14:paraId="0BAE58F2" w14:textId="77777777" w:rsidR="00707F26" w:rsidRPr="007A2874" w:rsidRDefault="00707F26" w:rsidP="007A2874">
            <w:r w:rsidRPr="007A2874">
              <w:t>Calculation</w:t>
            </w:r>
          </w:p>
        </w:tc>
        <w:tc>
          <w:tcPr>
            <w:tcW w:w="7655" w:type="dxa"/>
          </w:tcPr>
          <w:p w14:paraId="3A96EBB8" w14:textId="77777777" w:rsidR="00707F26" w:rsidRPr="007A2874" w:rsidRDefault="00707F26" w:rsidP="007A2874">
            <w:r w:rsidRPr="007A2874">
              <w:t>The numerator is divided by the denominator and multiplied by 100 to provide a percentage indicator value. 95% confidence intervals are calculated using the Wilson Score method.</w:t>
            </w:r>
          </w:p>
        </w:tc>
      </w:tr>
      <w:tr w:rsidR="007A2874" w:rsidRPr="007A2874" w14:paraId="6995C241" w14:textId="77777777" w:rsidTr="00493A03">
        <w:tc>
          <w:tcPr>
            <w:tcW w:w="1838" w:type="dxa"/>
          </w:tcPr>
          <w:p w14:paraId="393511BF" w14:textId="77777777" w:rsidR="00707F26" w:rsidRPr="007A2874" w:rsidRDefault="00707F26" w:rsidP="007A2874">
            <w:r w:rsidRPr="007A2874">
              <w:t>Interpretation Guidelines</w:t>
            </w:r>
          </w:p>
        </w:tc>
        <w:tc>
          <w:tcPr>
            <w:tcW w:w="7655" w:type="dxa"/>
          </w:tcPr>
          <w:p w14:paraId="43F6AE9E" w14:textId="77777777" w:rsidR="00707F26" w:rsidRPr="007A2874" w:rsidRDefault="00707F26" w:rsidP="007A2874">
            <w:proofErr w:type="gramStart"/>
            <w:r w:rsidRPr="007A2874">
              <w:t>he</w:t>
            </w:r>
            <w:proofErr w:type="gramEnd"/>
            <w:r w:rsidRPr="007A2874">
              <w:t xml:space="preserve"> indicator will be presented alongside an indicator for completion of cardiac rehabilitation. This reports the number of referrals to cardiac rehabilitation that go on to complete core delivery of cardiac rehabilitation.</w:t>
            </w:r>
            <w:r w:rsidRPr="007A2874">
              <w:br/>
            </w:r>
            <w:r w:rsidRPr="007A2874">
              <w:br/>
              <w:t>The two indicators in conjunction aim to provide a view of the cardiac rehabilitation pathway. The referral indicator gives insight to the percentage of cases that could benefit from cardiac rehabilitation that are referred, whilst the completion indicator demonstrates the percentage of referrals that go on to complete cardiac rehabilitation.</w:t>
            </w:r>
            <w:r w:rsidRPr="007A2874">
              <w:br/>
            </w:r>
            <w:r w:rsidRPr="007A2874">
              <w:br/>
              <w:t>A Clinical Commissioning Group (CCG) may have a high referral rate, but due to the set-up of the programme, its location, or an inability to cater to a user’s needs the CCG may have a low completion rate.</w:t>
            </w:r>
            <w:r w:rsidRPr="007A2874">
              <w:br/>
            </w:r>
            <w:r w:rsidRPr="007A2874">
              <w:br/>
              <w:t>A high percentage of finished admission episodes (FAEs) with a primary diagnosis of myocardial infarction (MI) or heart failure or a main operative procedure of percutaneous coronary intervention (PCI) or coronary artery bypass grafting (CABG) that were referred to cardiac rehabilitation is desirable. However, this indicator makes no judgement as to what an acceptable level of referrals is.</w:t>
            </w:r>
          </w:p>
        </w:tc>
      </w:tr>
      <w:tr w:rsidR="007A2874" w:rsidRPr="007A2874" w14:paraId="14319361" w14:textId="77777777" w:rsidTr="00493A03">
        <w:tc>
          <w:tcPr>
            <w:tcW w:w="1838" w:type="dxa"/>
          </w:tcPr>
          <w:p w14:paraId="314A362B" w14:textId="77777777" w:rsidR="00707F26" w:rsidRPr="007A2874" w:rsidRDefault="00707F26" w:rsidP="007A2874">
            <w:r w:rsidRPr="007A2874">
              <w:t>Caveats</w:t>
            </w:r>
          </w:p>
        </w:tc>
        <w:tc>
          <w:tcPr>
            <w:tcW w:w="7655" w:type="dxa"/>
          </w:tcPr>
          <w:p w14:paraId="070CE172" w14:textId="77777777" w:rsidR="00707F26" w:rsidRPr="007A2874" w:rsidRDefault="00707F26" w:rsidP="007A2874">
            <w:r w:rsidRPr="007A2874">
              <w:t xml:space="preserve">Neither the Hospital Episode Statistics (HES) Admitted Patient Care (APC) nor the National Audit of Coronary Rehabilitation (NACR) data sets have information on the time that an admission or activity occurred, only the date. As a result, some admissions may have a </w:t>
            </w:r>
            <w:r w:rsidRPr="007A2874">
              <w:lastRenderedPageBreak/>
              <w:t>slightly longer timeframe in which this referral can take place.</w:t>
            </w:r>
            <w:r w:rsidRPr="007A2874">
              <w:br/>
            </w:r>
            <w:r w:rsidRPr="007A2874">
              <w:br/>
              <w:t>The NACR is not a mandatory collection and as such has an inherent issue with missing data. Data is currently provided by 70% of all cardiac rehabilitation programmes with varying degrees of data completeness.</w:t>
            </w:r>
            <w:r w:rsidRPr="007A2874">
              <w:br/>
            </w:r>
            <w:r w:rsidRPr="007A2874">
              <w:br/>
              <w:t xml:space="preserve">There is some inconsistency in the level of reporting., It is difficult to determine whether a case is not present in the referral count due to the patient not being referred or the programme failing to submit data about the referral. Clinical Commissioning Groups (CCGs) with low referral rates may </w:t>
            </w:r>
            <w:proofErr w:type="gramStart"/>
            <w:r w:rsidRPr="007A2874">
              <w:t>actually be</w:t>
            </w:r>
            <w:proofErr w:type="gramEnd"/>
            <w:r w:rsidRPr="007A2874">
              <w:t xml:space="preserve"> areas of poor coverage or data quality which will impact the interpretation of the indicator.</w:t>
            </w:r>
            <w:r w:rsidRPr="007A2874">
              <w:br/>
            </w:r>
            <w:r w:rsidRPr="007A2874">
              <w:br/>
              <w:t>The distribution of cardiac rehabilitation programmes is not even. Some CCGs have multiple rehabilitation programmes, whilst others have few. As a result, when activity is disaggregated by CCG, the referral rate may be influenced by the proportion of cardiac rehabilitation programmes. This will be included in the indicator quality statement.</w:t>
            </w:r>
            <w:r w:rsidRPr="007A2874">
              <w:br/>
            </w:r>
            <w:r w:rsidRPr="007A2874">
              <w:br/>
              <w:t>NACR records are linked to the closest HES episode within the time period. There is not enough information contained on the NACR record to ensure that it is linked with the correct source HES episode. The linkage performed allows for an approximation of activity.</w:t>
            </w:r>
            <w:r w:rsidRPr="007A2874">
              <w:br/>
            </w:r>
            <w:r w:rsidRPr="007A2874">
              <w:br/>
              <w:t>The codes used to identify the diagnoses and procedures have been taken from the Payment by Results (</w:t>
            </w:r>
            <w:proofErr w:type="spellStart"/>
            <w:r w:rsidRPr="007A2874">
              <w:t>PbR</w:t>
            </w:r>
            <w:proofErr w:type="spellEnd"/>
            <w:r w:rsidRPr="007A2874">
              <w:t xml:space="preserve">) cardiac rehabilitation post discharge tariff. These codes are slightly different from the ones supplied by the NHS Classification Service. The decision to use the </w:t>
            </w:r>
            <w:proofErr w:type="spellStart"/>
            <w:r w:rsidRPr="007A2874">
              <w:t>PbR</w:t>
            </w:r>
            <w:proofErr w:type="spellEnd"/>
            <w:r w:rsidRPr="007A2874">
              <w:t xml:space="preserve"> codes has been made to ensure that CCGs are being measured on what they are paid to deliver</w:t>
            </w:r>
          </w:p>
        </w:tc>
      </w:tr>
    </w:tbl>
    <w:p w14:paraId="4CEFB639" w14:textId="77777777" w:rsidR="00707F26" w:rsidRPr="007A2874" w:rsidRDefault="00707F26"/>
    <w:p w14:paraId="232E7536" w14:textId="77777777" w:rsidR="00707F26" w:rsidRPr="007A2874" w:rsidRDefault="00707F26"/>
    <w:p w14:paraId="48535D8D" w14:textId="77777777" w:rsidR="00707F26" w:rsidRPr="007A2874" w:rsidRDefault="00707F26" w:rsidP="007A2874"/>
    <w:p w14:paraId="76C80D4D" w14:textId="77777777" w:rsidR="002A7E9E" w:rsidRPr="007A2874" w:rsidRDefault="002A7E9E" w:rsidP="00B77C41">
      <w:pPr>
        <w:pStyle w:val="Frontpagesubhead"/>
        <w:rPr>
          <w:noProof/>
          <w:color w:val="auto"/>
          <w:lang w:eastAsia="en-GB"/>
        </w:rPr>
      </w:pPr>
    </w:p>
    <w:p w14:paraId="73B34B6A" w14:textId="77777777" w:rsidR="002A7E9E" w:rsidRPr="007A2874" w:rsidRDefault="002A7E9E" w:rsidP="00B77C41">
      <w:pPr>
        <w:pStyle w:val="Frontpagesubhead"/>
        <w:rPr>
          <w:noProof/>
          <w:color w:val="auto"/>
          <w:lang w:eastAsia="en-GB"/>
        </w:rPr>
      </w:pPr>
    </w:p>
    <w:p w14:paraId="6C367C3A" w14:textId="126A344A" w:rsidR="001D243C" w:rsidRPr="007A2874" w:rsidRDefault="001D243C" w:rsidP="00B77C41">
      <w:pPr>
        <w:pStyle w:val="Frontpagesubhead"/>
        <w:rPr>
          <w:color w:val="auto"/>
        </w:rPr>
      </w:pPr>
    </w:p>
    <w:p w14:paraId="6C367C3B" w14:textId="77777777" w:rsidR="001D243C" w:rsidRPr="007A2874" w:rsidRDefault="001D243C" w:rsidP="00B77C41">
      <w:pPr>
        <w:pStyle w:val="Frontpagesubhead"/>
        <w:rPr>
          <w:color w:val="auto"/>
        </w:rPr>
        <w:sectPr w:rsidR="001D243C" w:rsidRPr="007A2874" w:rsidSect="000C24AF">
          <w:headerReference w:type="default" r:id="rId7"/>
          <w:footerReference w:type="default" r:id="rId8"/>
          <w:pgSz w:w="11906" w:h="16838"/>
          <w:pgMar w:top="1021" w:right="1021" w:bottom="1021" w:left="1021" w:header="454" w:footer="680" w:gutter="0"/>
          <w:cols w:space="708"/>
          <w:docGrid w:linePitch="360"/>
        </w:sectPr>
      </w:pPr>
    </w:p>
    <w:p w14:paraId="6C367C3C" w14:textId="210746A8" w:rsidR="00772A5C" w:rsidRPr="007A2874" w:rsidRDefault="00772A5C" w:rsidP="00772A5C">
      <w:pPr>
        <w:pStyle w:val="Heading1"/>
        <w:rPr>
          <w:rFonts w:eastAsia="MS Mincho"/>
          <w:color w:val="auto"/>
        </w:rPr>
      </w:pPr>
      <w:r w:rsidRPr="007A2874">
        <w:rPr>
          <w:rFonts w:eastAsia="MS Mincho"/>
          <w:color w:val="auto"/>
        </w:rPr>
        <w:lastRenderedPageBreak/>
        <w:t>Application Form</w:t>
      </w:r>
    </w:p>
    <w:tbl>
      <w:tblPr>
        <w:tblStyle w:val="TableGrid"/>
        <w:tblW w:w="0" w:type="auto"/>
        <w:tblLook w:val="04A0" w:firstRow="1" w:lastRow="0" w:firstColumn="1" w:lastColumn="0" w:noHBand="0" w:noVBand="1"/>
      </w:tblPr>
      <w:tblGrid>
        <w:gridCol w:w="3256"/>
        <w:gridCol w:w="6598"/>
      </w:tblGrid>
      <w:tr w:rsidR="007A2874" w:rsidRPr="007A2874" w14:paraId="6C2F8D1B" w14:textId="77777777" w:rsidTr="007A2874">
        <w:tc>
          <w:tcPr>
            <w:tcW w:w="3256" w:type="dxa"/>
          </w:tcPr>
          <w:p w14:paraId="4E6F7C4A" w14:textId="717D8F7A" w:rsidR="007A2874" w:rsidRPr="007A2874" w:rsidRDefault="007A2874" w:rsidP="007A2874">
            <w:pPr>
              <w:rPr>
                <w:rFonts w:eastAsia="MS Mincho"/>
              </w:rPr>
            </w:pPr>
            <w:r w:rsidRPr="007A2874">
              <w:rPr>
                <w:b/>
                <w:sz w:val="22"/>
                <w:szCs w:val="22"/>
              </w:rPr>
              <w:t>Set or domain</w:t>
            </w:r>
          </w:p>
        </w:tc>
        <w:tc>
          <w:tcPr>
            <w:tcW w:w="6598" w:type="dxa"/>
          </w:tcPr>
          <w:p w14:paraId="78F62CAF" w14:textId="77777777" w:rsidR="007A2874" w:rsidRPr="007A2874" w:rsidRDefault="007A2874" w:rsidP="007A2874">
            <w:pPr>
              <w:spacing w:before="240"/>
              <w:rPr>
                <w:sz w:val="22"/>
                <w:szCs w:val="22"/>
              </w:rPr>
            </w:pPr>
            <w:r w:rsidRPr="007A2874">
              <w:rPr>
                <w:sz w:val="22"/>
                <w:szCs w:val="22"/>
              </w:rPr>
              <w:t>Clinical Commissioning Group Outcome Indicator Set (CCG OIS)</w:t>
            </w:r>
          </w:p>
          <w:p w14:paraId="260014ED" w14:textId="171D2F09" w:rsidR="007A2874" w:rsidRPr="007A2874" w:rsidRDefault="007A2874" w:rsidP="007A2874">
            <w:pPr>
              <w:rPr>
                <w:rFonts w:eastAsia="MS Mincho"/>
              </w:rPr>
            </w:pPr>
            <w:r w:rsidRPr="007A2874">
              <w:rPr>
                <w:sz w:val="22"/>
                <w:szCs w:val="22"/>
              </w:rPr>
              <w:t>Domain 1: Preventing people from dying prematurely</w:t>
            </w:r>
          </w:p>
        </w:tc>
      </w:tr>
      <w:tr w:rsidR="007A2874" w:rsidRPr="007A2874" w14:paraId="4D8FCCFE" w14:textId="77777777" w:rsidTr="007A2874">
        <w:tc>
          <w:tcPr>
            <w:tcW w:w="3256" w:type="dxa"/>
          </w:tcPr>
          <w:p w14:paraId="774529CF" w14:textId="55A230AE" w:rsidR="007A2874" w:rsidRPr="007A2874" w:rsidRDefault="007A2874" w:rsidP="007A2874">
            <w:pPr>
              <w:rPr>
                <w:rFonts w:eastAsia="MS Mincho"/>
              </w:rPr>
            </w:pPr>
            <w:r w:rsidRPr="007A2874">
              <w:rPr>
                <w:b/>
                <w:sz w:val="22"/>
                <w:szCs w:val="22"/>
              </w:rPr>
              <w:t>Topic area</w:t>
            </w:r>
          </w:p>
        </w:tc>
        <w:tc>
          <w:tcPr>
            <w:tcW w:w="6598" w:type="dxa"/>
          </w:tcPr>
          <w:p w14:paraId="3361E4B5" w14:textId="4A3256D5" w:rsidR="007A2874" w:rsidRPr="007A2874" w:rsidRDefault="007A2874" w:rsidP="007A2874">
            <w:pPr>
              <w:rPr>
                <w:rFonts w:eastAsia="MS Mincho"/>
              </w:rPr>
            </w:pPr>
            <w:r w:rsidRPr="007A2874">
              <w:rPr>
                <w:sz w:val="22"/>
                <w:szCs w:val="22"/>
              </w:rPr>
              <w:t>Cardiac Rehabilitation</w:t>
            </w:r>
          </w:p>
        </w:tc>
      </w:tr>
      <w:tr w:rsidR="007A2874" w:rsidRPr="007A2874" w14:paraId="2C807DF3" w14:textId="77777777" w:rsidTr="007A2874">
        <w:tc>
          <w:tcPr>
            <w:tcW w:w="3256" w:type="dxa"/>
          </w:tcPr>
          <w:p w14:paraId="20B812ED" w14:textId="0839F822" w:rsidR="007A2874" w:rsidRPr="007A2874" w:rsidRDefault="007A2874" w:rsidP="007A2874">
            <w:pPr>
              <w:rPr>
                <w:rFonts w:eastAsia="MS Mincho"/>
              </w:rPr>
            </w:pPr>
            <w:r w:rsidRPr="007A2874">
              <w:rPr>
                <w:b/>
                <w:sz w:val="22"/>
                <w:szCs w:val="22"/>
              </w:rPr>
              <w:t>Definition</w:t>
            </w:r>
          </w:p>
        </w:tc>
        <w:tc>
          <w:tcPr>
            <w:tcW w:w="6598" w:type="dxa"/>
          </w:tcPr>
          <w:p w14:paraId="57F19CFA" w14:textId="77777777" w:rsidR="007A2874" w:rsidRPr="007A2874" w:rsidRDefault="007A2874" w:rsidP="007A2874">
            <w:pPr>
              <w:spacing w:before="240"/>
              <w:rPr>
                <w:sz w:val="22"/>
                <w:szCs w:val="22"/>
              </w:rPr>
            </w:pPr>
            <w:r w:rsidRPr="007A2874">
              <w:rPr>
                <w:sz w:val="22"/>
                <w:szCs w:val="22"/>
              </w:rPr>
              <w:t>This indicator measures the proportion of admissions to hospital with a primary diagnosis of acute myocardial infarction (MI) or heart failure, or a main operative procedure of percutaneous coronary intervention (PCI) or coronary artery bypass graft (CABG) that were recorded as being referred to a cardiac rehabilitation programme within 5 days of the hospital admission.</w:t>
            </w:r>
          </w:p>
          <w:p w14:paraId="6B201349" w14:textId="77777777" w:rsidR="007A2874" w:rsidRPr="007A2874" w:rsidRDefault="007A2874" w:rsidP="007A2874">
            <w:pPr>
              <w:spacing w:before="240"/>
              <w:rPr>
                <w:sz w:val="22"/>
                <w:szCs w:val="22"/>
              </w:rPr>
            </w:pPr>
            <w:r w:rsidRPr="007A2874">
              <w:rPr>
                <w:sz w:val="22"/>
                <w:szCs w:val="22"/>
              </w:rPr>
              <w:t>Data from Hospital Episode Statistics (HES) Admitted Patient Care (APC) is linked to data from the National Audit of Cardiac Rehabilitation (NACR) to produce this indicator. Diagnosis and procedure codes for this indictor are taken from the Payment by Results (</w:t>
            </w:r>
            <w:proofErr w:type="spellStart"/>
            <w:r w:rsidRPr="007A2874">
              <w:rPr>
                <w:sz w:val="22"/>
                <w:szCs w:val="22"/>
              </w:rPr>
              <w:t>PbR</w:t>
            </w:r>
            <w:proofErr w:type="spellEnd"/>
            <w:r w:rsidRPr="007A2874">
              <w:rPr>
                <w:sz w:val="22"/>
                <w:szCs w:val="22"/>
              </w:rPr>
              <w:t>)</w:t>
            </w:r>
            <w:r w:rsidRPr="007A2874">
              <w:rPr>
                <w:rStyle w:val="FootnoteReference"/>
                <w:sz w:val="22"/>
                <w:szCs w:val="22"/>
              </w:rPr>
              <w:footnoteReference w:id="1"/>
            </w:r>
            <w:r w:rsidRPr="007A2874">
              <w:rPr>
                <w:sz w:val="22"/>
                <w:szCs w:val="22"/>
              </w:rPr>
              <w:t xml:space="preserve"> post discharge tariff as these are related to payment for cardiac rehabilitation. </w:t>
            </w:r>
          </w:p>
          <w:p w14:paraId="4890CA02" w14:textId="77777777" w:rsidR="007A2874" w:rsidRPr="007A2874" w:rsidRDefault="007A2874" w:rsidP="007A2874">
            <w:pPr>
              <w:spacing w:before="240"/>
              <w:rPr>
                <w:sz w:val="22"/>
                <w:szCs w:val="22"/>
              </w:rPr>
            </w:pPr>
            <w:r w:rsidRPr="007A2874">
              <w:rPr>
                <w:sz w:val="22"/>
                <w:szCs w:val="22"/>
              </w:rPr>
              <w:t>The indicator is reported at CCG level by financial year, plus an additional 5 days in the numerator to allow for a referral to take place. This indicator is presented alongside another CCG OIS indicator that reports the proportion of referrals to cardiac rehabilitation who go on to complete core delivery of cardiac rehabilitation.</w:t>
            </w:r>
          </w:p>
          <w:p w14:paraId="50BAE217" w14:textId="75A29D8B" w:rsidR="007A2874" w:rsidRPr="007A2874" w:rsidRDefault="007A2874" w:rsidP="007A2874">
            <w:pPr>
              <w:rPr>
                <w:rFonts w:eastAsia="MS Mincho"/>
              </w:rPr>
            </w:pPr>
            <w:r w:rsidRPr="007A2874">
              <w:rPr>
                <w:sz w:val="22"/>
                <w:szCs w:val="22"/>
              </w:rPr>
              <w:t xml:space="preserve">This indicator is sufficient to obtain an overview of those being referred to cardiac rehabilitation; </w:t>
            </w:r>
            <w:proofErr w:type="gramStart"/>
            <w:r w:rsidRPr="007A2874">
              <w:rPr>
                <w:sz w:val="22"/>
                <w:szCs w:val="22"/>
              </w:rPr>
              <w:t>however</w:t>
            </w:r>
            <w:proofErr w:type="gramEnd"/>
            <w:r w:rsidRPr="007A2874">
              <w:rPr>
                <w:sz w:val="22"/>
                <w:szCs w:val="22"/>
              </w:rPr>
              <w:t xml:space="preserve"> it can be used in conjunction with the corresponding completion of cardiac rehabilitation to gain a more complete overview of the referral pathway.</w:t>
            </w:r>
          </w:p>
        </w:tc>
      </w:tr>
      <w:tr w:rsidR="007A2874" w:rsidRPr="007A2874" w14:paraId="2D3B9ADB" w14:textId="77777777" w:rsidTr="007A2874">
        <w:tc>
          <w:tcPr>
            <w:tcW w:w="3256" w:type="dxa"/>
          </w:tcPr>
          <w:p w14:paraId="586C94D7" w14:textId="5A48B617" w:rsidR="007A2874" w:rsidRPr="007A2874" w:rsidRDefault="007A2874" w:rsidP="007A2874">
            <w:pPr>
              <w:rPr>
                <w:rFonts w:eastAsia="MS Mincho"/>
              </w:rPr>
            </w:pPr>
            <w:r w:rsidRPr="007A2874">
              <w:rPr>
                <w:b/>
                <w:sz w:val="22"/>
                <w:szCs w:val="22"/>
              </w:rPr>
              <w:t>Indicator owner &amp; contact details</w:t>
            </w:r>
          </w:p>
        </w:tc>
        <w:tc>
          <w:tcPr>
            <w:tcW w:w="6598" w:type="dxa"/>
          </w:tcPr>
          <w:p w14:paraId="5896D378" w14:textId="77777777" w:rsidR="007A2874" w:rsidRPr="007A2874" w:rsidRDefault="007A2874" w:rsidP="007A2874">
            <w:pPr>
              <w:rPr>
                <w:rFonts w:eastAsia="MS Mincho"/>
              </w:rPr>
            </w:pPr>
          </w:p>
        </w:tc>
      </w:tr>
      <w:tr w:rsidR="007A2874" w:rsidRPr="007A2874" w14:paraId="27C150DF" w14:textId="77777777" w:rsidTr="007A2874">
        <w:tc>
          <w:tcPr>
            <w:tcW w:w="3256" w:type="dxa"/>
          </w:tcPr>
          <w:p w14:paraId="220CE3BC" w14:textId="3E483143" w:rsidR="007A2874" w:rsidRPr="007A2874" w:rsidRDefault="007A2874" w:rsidP="007A2874">
            <w:pPr>
              <w:rPr>
                <w:b/>
                <w:sz w:val="22"/>
                <w:szCs w:val="22"/>
              </w:rPr>
            </w:pPr>
            <w:r w:rsidRPr="007A2874">
              <w:rPr>
                <w:b/>
                <w:sz w:val="22"/>
                <w:szCs w:val="22"/>
              </w:rPr>
              <w:t>Publication status</w:t>
            </w:r>
          </w:p>
        </w:tc>
        <w:sdt>
          <w:sdtPr>
            <w:rPr>
              <w:sz w:val="22"/>
              <w:szCs w:val="22"/>
            </w:rPr>
            <w:alias w:val="Publication status"/>
            <w:tag w:val="Publication status"/>
            <w:id w:val="-694159432"/>
            <w:placeholder>
              <w:docPart w:val="F25BE5968F9243DC94B93C75B183026A"/>
            </w:placeholder>
            <w:comboBox>
              <w:listItem w:value="Choose an item."/>
              <w:listItem w:displayText="Currently in publication" w:value="Currently in publication"/>
              <w:listItem w:displayText="Not currently in publication" w:value="Not currently in publication"/>
            </w:comboBox>
          </w:sdtPr>
          <w:sdtEndPr/>
          <w:sdtContent>
            <w:tc>
              <w:tcPr>
                <w:tcW w:w="6598" w:type="dxa"/>
              </w:tcPr>
              <w:p w14:paraId="63895CFD" w14:textId="72969E4B" w:rsidR="007A2874" w:rsidRPr="007A2874" w:rsidRDefault="007A2874" w:rsidP="007A2874">
                <w:pPr>
                  <w:rPr>
                    <w:rFonts w:eastAsia="MS Mincho"/>
                  </w:rPr>
                </w:pPr>
                <w:r w:rsidRPr="007A2874">
                  <w:rPr>
                    <w:sz w:val="22"/>
                    <w:szCs w:val="22"/>
                  </w:rPr>
                  <w:t>Currently in publication</w:t>
                </w:r>
              </w:p>
            </w:tc>
          </w:sdtContent>
        </w:sdt>
      </w:tr>
      <w:tr w:rsidR="007A2874" w:rsidRPr="007A2874" w14:paraId="3FFDBA1D" w14:textId="77777777" w:rsidTr="007A2874">
        <w:tc>
          <w:tcPr>
            <w:tcW w:w="3256" w:type="dxa"/>
          </w:tcPr>
          <w:p w14:paraId="196B1EF5" w14:textId="03D9B1A5" w:rsidR="007A2874" w:rsidRPr="007A2874" w:rsidRDefault="007A2874" w:rsidP="007A2874">
            <w:pPr>
              <w:rPr>
                <w:b/>
                <w:sz w:val="22"/>
                <w:szCs w:val="22"/>
              </w:rPr>
            </w:pPr>
            <w:r w:rsidRPr="007A2874">
              <w:rPr>
                <w:b/>
                <w:sz w:val="22"/>
                <w:szCs w:val="22"/>
              </w:rPr>
              <w:t>Purpose</w:t>
            </w:r>
          </w:p>
        </w:tc>
        <w:tc>
          <w:tcPr>
            <w:tcW w:w="6598" w:type="dxa"/>
          </w:tcPr>
          <w:p w14:paraId="5180C8E1" w14:textId="77777777" w:rsidR="007A2874" w:rsidRPr="007A2874" w:rsidRDefault="007A2874" w:rsidP="007A2874">
            <w:pPr>
              <w:spacing w:before="240"/>
              <w:rPr>
                <w:sz w:val="22"/>
                <w:szCs w:val="22"/>
              </w:rPr>
            </w:pPr>
            <w:r w:rsidRPr="007A2874">
              <w:rPr>
                <w:sz w:val="22"/>
                <w:szCs w:val="22"/>
              </w:rPr>
              <w:t xml:space="preserve">Cardiac rehabilitation supports long-term quality of life and survival for people with coronary heart disease. CCGs can influence outcomes on this measure by ensuring that cardiac rehabilitation services are available locally to an appropriate capacity and by setting out the role of such services within the overall cardiac pathway which has been commissioned. Where the numbers of patients being referred for cardiac rehabilitation is low compared to the number of patients with relevant cardiac conditions, they could also take action to identify and address the causes of this. </w:t>
            </w:r>
          </w:p>
          <w:p w14:paraId="54A73395" w14:textId="77777777" w:rsidR="007A2874" w:rsidRPr="007A2874" w:rsidRDefault="007A2874" w:rsidP="007A2874">
            <w:pPr>
              <w:spacing w:before="240"/>
              <w:rPr>
                <w:sz w:val="22"/>
                <w:szCs w:val="22"/>
              </w:rPr>
            </w:pPr>
            <w:r w:rsidRPr="007A2874">
              <w:rPr>
                <w:sz w:val="22"/>
                <w:szCs w:val="22"/>
              </w:rPr>
              <w:t xml:space="preserve">Patients should be referred to cardiac rehabilitation; </w:t>
            </w:r>
            <w:proofErr w:type="gramStart"/>
            <w:r w:rsidRPr="007A2874">
              <w:rPr>
                <w:sz w:val="22"/>
                <w:szCs w:val="22"/>
              </w:rPr>
              <w:t>therefore</w:t>
            </w:r>
            <w:proofErr w:type="gramEnd"/>
            <w:r w:rsidRPr="007A2874">
              <w:rPr>
                <w:sz w:val="22"/>
                <w:szCs w:val="22"/>
              </w:rPr>
              <w:t xml:space="preserve"> this indicator is a useful measure of whether CCGs are offering this service to patients. This indicator uses the codes included in the </w:t>
            </w:r>
            <w:proofErr w:type="spellStart"/>
            <w:r w:rsidRPr="007A2874">
              <w:rPr>
                <w:sz w:val="22"/>
                <w:szCs w:val="22"/>
              </w:rPr>
              <w:lastRenderedPageBreak/>
              <w:t>PbR</w:t>
            </w:r>
            <w:proofErr w:type="spellEnd"/>
            <w:r w:rsidRPr="007A2874">
              <w:rPr>
                <w:sz w:val="22"/>
                <w:szCs w:val="22"/>
              </w:rPr>
              <w:t xml:space="preserve"> Post Discharge Tariff payment in order to determine those who are eligible for cardiac rehabilitation. </w:t>
            </w:r>
          </w:p>
          <w:p w14:paraId="2D72BEC9" w14:textId="77777777" w:rsidR="007A2874" w:rsidRPr="007A2874" w:rsidRDefault="007A2874" w:rsidP="007A2874">
            <w:pPr>
              <w:spacing w:before="240"/>
              <w:rPr>
                <w:sz w:val="22"/>
                <w:szCs w:val="22"/>
              </w:rPr>
            </w:pPr>
            <w:r w:rsidRPr="007A2874">
              <w:rPr>
                <w:sz w:val="22"/>
                <w:szCs w:val="22"/>
              </w:rPr>
              <w:t>CCGs may use this indicator to determine how they fit with the national figure. They may choose to take action to adjust their figure if they determine it to be necessary.</w:t>
            </w:r>
          </w:p>
          <w:p w14:paraId="260DEED3" w14:textId="77777777" w:rsidR="007A2874" w:rsidRPr="007A2874" w:rsidRDefault="007A2874" w:rsidP="007A2874">
            <w:pPr>
              <w:spacing w:before="240"/>
              <w:rPr>
                <w:sz w:val="22"/>
                <w:szCs w:val="22"/>
              </w:rPr>
            </w:pPr>
            <w:r w:rsidRPr="007A2874">
              <w:rPr>
                <w:sz w:val="22"/>
                <w:szCs w:val="22"/>
              </w:rPr>
              <w:t>The indicator will be presented alongside an indicator for completion of cardiac rehabilitation, which reports the number of referrals to cardiac rehabilitation that go on to complete code delivery of cardiac rehabilitation.</w:t>
            </w:r>
          </w:p>
          <w:p w14:paraId="3D8F5D5E" w14:textId="7F8FEB44" w:rsidR="007A2874" w:rsidRPr="007A2874" w:rsidRDefault="007A2874" w:rsidP="007A2874">
            <w:pPr>
              <w:rPr>
                <w:sz w:val="22"/>
                <w:szCs w:val="22"/>
              </w:rPr>
            </w:pPr>
            <w:r w:rsidRPr="007A2874">
              <w:rPr>
                <w:sz w:val="22"/>
                <w:szCs w:val="22"/>
              </w:rPr>
              <w:t>The two indicators in conjunction aim to provide a view of the cardiac rehabilitation pathway. The referral indicator gives insight to the percentage of cases that could benefit from cardiac rehabilitation that are referred, whilst the completion indicator demonstrates the percentage of referrals that go on to complete cardiac rehabilitation.</w:t>
            </w:r>
          </w:p>
        </w:tc>
      </w:tr>
      <w:tr w:rsidR="007A2874" w:rsidRPr="007A2874" w14:paraId="1A835AE2" w14:textId="77777777" w:rsidTr="007A2874">
        <w:tc>
          <w:tcPr>
            <w:tcW w:w="3256" w:type="dxa"/>
          </w:tcPr>
          <w:p w14:paraId="325ABB37" w14:textId="3C424347" w:rsidR="007A2874" w:rsidRPr="007A2874" w:rsidRDefault="007A2874" w:rsidP="007A2874">
            <w:pPr>
              <w:rPr>
                <w:b/>
                <w:sz w:val="22"/>
                <w:szCs w:val="22"/>
              </w:rPr>
            </w:pPr>
            <w:r w:rsidRPr="007A2874">
              <w:rPr>
                <w:b/>
                <w:sz w:val="22"/>
                <w:szCs w:val="22"/>
              </w:rPr>
              <w:lastRenderedPageBreak/>
              <w:t>Sponsor</w:t>
            </w:r>
          </w:p>
        </w:tc>
        <w:tc>
          <w:tcPr>
            <w:tcW w:w="6598" w:type="dxa"/>
          </w:tcPr>
          <w:p w14:paraId="5DCCF296" w14:textId="77777777" w:rsidR="007A2874" w:rsidRPr="007A2874" w:rsidRDefault="007A2874" w:rsidP="007A2874">
            <w:pPr>
              <w:spacing w:before="240"/>
              <w:rPr>
                <w:sz w:val="22"/>
                <w:szCs w:val="22"/>
              </w:rPr>
            </w:pPr>
          </w:p>
        </w:tc>
      </w:tr>
      <w:tr w:rsidR="007A2874" w:rsidRPr="007A2874" w14:paraId="31542965" w14:textId="77777777" w:rsidTr="007A2874">
        <w:tc>
          <w:tcPr>
            <w:tcW w:w="3256" w:type="dxa"/>
          </w:tcPr>
          <w:p w14:paraId="5E0EECAE" w14:textId="04C4E13C" w:rsidR="007A2874" w:rsidRPr="007A2874" w:rsidRDefault="007A2874" w:rsidP="007A2874">
            <w:pPr>
              <w:rPr>
                <w:b/>
                <w:sz w:val="22"/>
                <w:szCs w:val="22"/>
              </w:rPr>
            </w:pPr>
            <w:r w:rsidRPr="007A2874">
              <w:rPr>
                <w:b/>
                <w:sz w:val="22"/>
                <w:szCs w:val="22"/>
              </w:rPr>
              <w:t>Endorsement</w:t>
            </w:r>
          </w:p>
        </w:tc>
        <w:tc>
          <w:tcPr>
            <w:tcW w:w="6598" w:type="dxa"/>
          </w:tcPr>
          <w:p w14:paraId="10017099" w14:textId="77777777" w:rsidR="007A2874" w:rsidRPr="007A2874" w:rsidRDefault="007A2874" w:rsidP="007A2874">
            <w:pPr>
              <w:spacing w:before="240"/>
              <w:rPr>
                <w:sz w:val="22"/>
                <w:szCs w:val="22"/>
              </w:rPr>
            </w:pPr>
            <w:r w:rsidRPr="007A2874">
              <w:rPr>
                <w:sz w:val="22"/>
                <w:szCs w:val="22"/>
              </w:rPr>
              <w:t>NICE Indicator Advisory Committee.</w:t>
            </w:r>
          </w:p>
          <w:p w14:paraId="22496118" w14:textId="77777777" w:rsidR="007A2874" w:rsidRPr="007A2874" w:rsidRDefault="007A2874" w:rsidP="007A2874">
            <w:pPr>
              <w:spacing w:before="240"/>
              <w:rPr>
                <w:sz w:val="22"/>
                <w:szCs w:val="22"/>
              </w:rPr>
            </w:pPr>
            <w:r w:rsidRPr="007A2874">
              <w:rPr>
                <w:sz w:val="22"/>
                <w:szCs w:val="22"/>
              </w:rPr>
              <w:t xml:space="preserve">The indicator was constructed following consultation with the following clinical and Cardiac Rehab data experts: </w:t>
            </w:r>
          </w:p>
          <w:p w14:paraId="741EA271" w14:textId="77777777" w:rsidR="007A2874" w:rsidRPr="007A2874" w:rsidRDefault="007A2874" w:rsidP="007A2874">
            <w:pPr>
              <w:pStyle w:val="ListParagraph"/>
              <w:numPr>
                <w:ilvl w:val="0"/>
                <w:numId w:val="6"/>
              </w:numPr>
              <w:spacing w:before="240"/>
              <w:rPr>
                <w:sz w:val="22"/>
                <w:szCs w:val="22"/>
              </w:rPr>
            </w:pPr>
            <w:r w:rsidRPr="007A2874">
              <w:rPr>
                <w:sz w:val="22"/>
                <w:szCs w:val="22"/>
              </w:rPr>
              <w:t xml:space="preserve">Professor Patrick Doherty, Project Lead, NACR. </w:t>
            </w:r>
          </w:p>
          <w:p w14:paraId="71655C12" w14:textId="77777777" w:rsidR="00814147" w:rsidRDefault="007A2874" w:rsidP="007A2874">
            <w:pPr>
              <w:pStyle w:val="ListParagraph"/>
              <w:numPr>
                <w:ilvl w:val="0"/>
                <w:numId w:val="6"/>
              </w:numPr>
              <w:spacing w:before="240"/>
              <w:rPr>
                <w:sz w:val="22"/>
                <w:szCs w:val="22"/>
              </w:rPr>
            </w:pPr>
            <w:r w:rsidRPr="007A2874">
              <w:rPr>
                <w:sz w:val="22"/>
                <w:szCs w:val="22"/>
              </w:rPr>
              <w:t xml:space="preserve">Corinna </w:t>
            </w:r>
            <w:proofErr w:type="spellStart"/>
            <w:r w:rsidRPr="007A2874">
              <w:rPr>
                <w:sz w:val="22"/>
                <w:szCs w:val="22"/>
              </w:rPr>
              <w:t>Petre</w:t>
            </w:r>
            <w:proofErr w:type="spellEnd"/>
            <w:r w:rsidRPr="007A2874">
              <w:rPr>
                <w:sz w:val="22"/>
                <w:szCs w:val="22"/>
              </w:rPr>
              <w:t>, NACR Project Manager, NACR</w:t>
            </w:r>
          </w:p>
          <w:p w14:paraId="7D9AA90C" w14:textId="79EF6E3F" w:rsidR="007A2874" w:rsidRPr="00814147" w:rsidRDefault="007A2874" w:rsidP="007A2874">
            <w:pPr>
              <w:pStyle w:val="ListParagraph"/>
              <w:numPr>
                <w:ilvl w:val="0"/>
                <w:numId w:val="6"/>
              </w:numPr>
              <w:spacing w:before="240"/>
              <w:rPr>
                <w:sz w:val="22"/>
                <w:szCs w:val="22"/>
              </w:rPr>
            </w:pPr>
            <w:proofErr w:type="spellStart"/>
            <w:r w:rsidRPr="00814147">
              <w:rPr>
                <w:sz w:val="22"/>
                <w:szCs w:val="22"/>
              </w:rPr>
              <w:t>Nerina</w:t>
            </w:r>
            <w:proofErr w:type="spellEnd"/>
            <w:r w:rsidRPr="00814147">
              <w:rPr>
                <w:sz w:val="22"/>
                <w:szCs w:val="22"/>
              </w:rPr>
              <w:t xml:space="preserve"> Onion, Training and Information Officer, NACR</w:t>
            </w:r>
          </w:p>
        </w:tc>
      </w:tr>
      <w:tr w:rsidR="007A2874" w:rsidRPr="007A2874" w14:paraId="7FD0C27F" w14:textId="77777777" w:rsidTr="007A2874">
        <w:tc>
          <w:tcPr>
            <w:tcW w:w="3256" w:type="dxa"/>
          </w:tcPr>
          <w:p w14:paraId="06C27F0C" w14:textId="77777777" w:rsidR="007A2874" w:rsidRPr="007A2874" w:rsidRDefault="007A2874" w:rsidP="007A2874">
            <w:pPr>
              <w:spacing w:before="240"/>
              <w:rPr>
                <w:b/>
                <w:sz w:val="22"/>
                <w:szCs w:val="22"/>
              </w:rPr>
            </w:pPr>
            <w:r w:rsidRPr="007A2874">
              <w:rPr>
                <w:b/>
                <w:sz w:val="22"/>
                <w:szCs w:val="22"/>
              </w:rPr>
              <w:t>Evidence and Policy base</w:t>
            </w:r>
          </w:p>
          <w:p w14:paraId="0E4813F8" w14:textId="6E909B0A" w:rsidR="007A2874" w:rsidRPr="007A2874" w:rsidRDefault="007A2874" w:rsidP="007A2874">
            <w:pPr>
              <w:rPr>
                <w:b/>
                <w:sz w:val="22"/>
                <w:szCs w:val="22"/>
              </w:rPr>
            </w:pPr>
            <w:r w:rsidRPr="007A2874">
              <w:rPr>
                <w:sz w:val="22"/>
                <w:szCs w:val="22"/>
              </w:rPr>
              <w:t>Including related national incentives, critical business question, NICE quality standard and set or domain rationale, if appropriate</w:t>
            </w:r>
          </w:p>
        </w:tc>
        <w:tc>
          <w:tcPr>
            <w:tcW w:w="6598" w:type="dxa"/>
          </w:tcPr>
          <w:p w14:paraId="4B803EEB" w14:textId="77777777" w:rsidR="007A2874" w:rsidRPr="007A2874" w:rsidRDefault="007A2874" w:rsidP="007A2874">
            <w:pPr>
              <w:spacing w:before="240"/>
              <w:rPr>
                <w:sz w:val="22"/>
                <w:szCs w:val="22"/>
              </w:rPr>
            </w:pPr>
            <w:r w:rsidRPr="007A2874">
              <w:rPr>
                <w:sz w:val="22"/>
                <w:szCs w:val="22"/>
              </w:rPr>
              <w:t xml:space="preserve">This indicator aims to reflect the provision of </w:t>
            </w:r>
            <w:proofErr w:type="gramStart"/>
            <w:r w:rsidRPr="007A2874">
              <w:rPr>
                <w:sz w:val="22"/>
                <w:szCs w:val="22"/>
              </w:rPr>
              <w:t>high quality</w:t>
            </w:r>
            <w:proofErr w:type="gramEnd"/>
            <w:r w:rsidRPr="007A2874">
              <w:rPr>
                <w:sz w:val="22"/>
                <w:szCs w:val="22"/>
              </w:rPr>
              <w:t xml:space="preserve"> care as set out in the NICE Quality Standard for Chronic Heart Failure</w:t>
            </w:r>
            <w:r w:rsidRPr="007A2874">
              <w:rPr>
                <w:rStyle w:val="FootnoteReference"/>
                <w:sz w:val="22"/>
                <w:szCs w:val="22"/>
              </w:rPr>
              <w:footnoteReference w:id="2"/>
            </w:r>
            <w:r w:rsidRPr="007A2874">
              <w:rPr>
                <w:sz w:val="22"/>
                <w:szCs w:val="22"/>
              </w:rPr>
              <w:t>, which includes a statement about the provision of cardiac rehabilitation. In April 2013 the Cardiovascular Disease Outcomes Strategy</w:t>
            </w:r>
            <w:bookmarkStart w:id="1" w:name="_Ref421006025"/>
            <w:r w:rsidRPr="007A2874">
              <w:rPr>
                <w:sz w:val="22"/>
                <w:szCs w:val="22"/>
              </w:rPr>
              <w:t xml:space="preserve"> (CVD OS)</w:t>
            </w:r>
            <w:r w:rsidRPr="007A2874">
              <w:rPr>
                <w:rStyle w:val="FootnoteReference"/>
                <w:sz w:val="22"/>
                <w:szCs w:val="22"/>
              </w:rPr>
              <w:footnoteReference w:id="3"/>
            </w:r>
            <w:bookmarkEnd w:id="1"/>
            <w:r w:rsidRPr="007A2874">
              <w:rPr>
                <w:sz w:val="22"/>
                <w:szCs w:val="22"/>
              </w:rPr>
              <w:t xml:space="preserve"> introduced an ambition of 65% uptake of cardiac rehabilitation following a MI, PCI, or CABG, and an ambition of 33% uptake following heart failure. </w:t>
            </w:r>
          </w:p>
          <w:p w14:paraId="11FA9AA9" w14:textId="77777777" w:rsidR="007A2874" w:rsidRPr="007A2874" w:rsidRDefault="007A2874" w:rsidP="007A2874">
            <w:pPr>
              <w:spacing w:before="240"/>
              <w:rPr>
                <w:sz w:val="22"/>
                <w:szCs w:val="22"/>
              </w:rPr>
            </w:pPr>
            <w:r w:rsidRPr="007A2874">
              <w:rPr>
                <w:sz w:val="22"/>
                <w:szCs w:val="22"/>
              </w:rPr>
              <w:t>These ambitions replaced the goal set in the National Service Framework for Coronary Heart Disease (NSF CHD)</w:t>
            </w:r>
            <w:bookmarkStart w:id="2" w:name="_Ref421006804"/>
            <w:r w:rsidRPr="007A2874">
              <w:rPr>
                <w:rStyle w:val="FootnoteReference"/>
                <w:sz w:val="22"/>
                <w:szCs w:val="22"/>
              </w:rPr>
              <w:footnoteReference w:id="4"/>
            </w:r>
            <w:bookmarkEnd w:id="2"/>
            <w:r w:rsidRPr="007A2874">
              <w:rPr>
                <w:sz w:val="22"/>
                <w:szCs w:val="22"/>
              </w:rPr>
              <w:t xml:space="preserve"> for 85% of people discharged with a MI or after coronary revascularisation are to be offered cardiac rehabilitation</w:t>
            </w:r>
            <w:r w:rsidRPr="007A2874">
              <w:rPr>
                <w:sz w:val="22"/>
                <w:szCs w:val="22"/>
              </w:rPr>
              <w:fldChar w:fldCharType="begin"/>
            </w:r>
            <w:r w:rsidRPr="007A2874">
              <w:rPr>
                <w:sz w:val="22"/>
                <w:szCs w:val="22"/>
              </w:rPr>
              <w:instrText xml:space="preserve"> NOTEREF _Ref421006804 \f \h </w:instrText>
            </w:r>
            <w:r w:rsidRPr="007A2874">
              <w:rPr>
                <w:sz w:val="22"/>
                <w:szCs w:val="22"/>
              </w:rPr>
            </w:r>
            <w:r w:rsidRPr="007A2874">
              <w:rPr>
                <w:sz w:val="22"/>
                <w:szCs w:val="22"/>
              </w:rPr>
              <w:fldChar w:fldCharType="separate"/>
            </w:r>
            <w:r w:rsidRPr="007A2874">
              <w:rPr>
                <w:rStyle w:val="FootnoteReference"/>
              </w:rPr>
              <w:t>4</w:t>
            </w:r>
            <w:r w:rsidRPr="007A2874">
              <w:rPr>
                <w:sz w:val="22"/>
                <w:szCs w:val="22"/>
              </w:rPr>
              <w:fldChar w:fldCharType="end"/>
            </w:r>
            <w:r w:rsidRPr="007A2874">
              <w:rPr>
                <w:sz w:val="22"/>
                <w:szCs w:val="22"/>
              </w:rPr>
              <w:t>.</w:t>
            </w:r>
          </w:p>
          <w:p w14:paraId="560BFE57" w14:textId="77777777" w:rsidR="007A2874" w:rsidRPr="007A2874" w:rsidRDefault="007A2874" w:rsidP="007A2874">
            <w:pPr>
              <w:spacing w:before="240"/>
              <w:rPr>
                <w:sz w:val="22"/>
                <w:szCs w:val="22"/>
              </w:rPr>
            </w:pPr>
            <w:r w:rsidRPr="007A2874">
              <w:rPr>
                <w:sz w:val="22"/>
                <w:szCs w:val="22"/>
              </w:rPr>
              <w:t xml:space="preserve">Cardiac rehabilitation forms an intrinsic part of the cardiac pathway set out in the NSF CHD Evidence has demonstrated that cardiac rehabilitation improves the outcomes of people for people with heart disease. The CVD OS quotes a reduction in all-cause mortality of 18% over 6-12 months, 13% over 12 months, </w:t>
            </w:r>
            <w:r w:rsidRPr="007A2874">
              <w:rPr>
                <w:sz w:val="22"/>
                <w:szCs w:val="22"/>
              </w:rPr>
              <w:lastRenderedPageBreak/>
              <w:t xml:space="preserve">and a 31% reduction in readmissions over 6-12 months as a result of cardiac rehabilitation. </w:t>
            </w:r>
          </w:p>
          <w:p w14:paraId="25292B3F" w14:textId="77777777" w:rsidR="007A2874" w:rsidRPr="007A2874" w:rsidRDefault="007A2874" w:rsidP="007A2874">
            <w:pPr>
              <w:spacing w:before="240"/>
              <w:rPr>
                <w:sz w:val="22"/>
                <w:szCs w:val="22"/>
              </w:rPr>
            </w:pPr>
            <w:r w:rsidRPr="007A2874">
              <w:rPr>
                <w:sz w:val="22"/>
                <w:szCs w:val="22"/>
              </w:rPr>
              <w:t xml:space="preserve">Research has suggested that cardiac rehabilitation is second only to aspirin and beta blockers in the cost effectiveness of treating the disease. The programmes are a </w:t>
            </w:r>
            <w:proofErr w:type="gramStart"/>
            <w:r w:rsidRPr="007A2874">
              <w:rPr>
                <w:sz w:val="22"/>
                <w:szCs w:val="22"/>
              </w:rPr>
              <w:t>cost effective</w:t>
            </w:r>
            <w:proofErr w:type="gramEnd"/>
            <w:r w:rsidRPr="007A2874">
              <w:rPr>
                <w:sz w:val="22"/>
                <w:szCs w:val="22"/>
              </w:rPr>
              <w:t xml:space="preserve"> method to help people live heathier, longer lives</w:t>
            </w:r>
            <w:r w:rsidRPr="007A2874">
              <w:rPr>
                <w:rStyle w:val="FootnoteReference"/>
                <w:sz w:val="22"/>
                <w:szCs w:val="22"/>
              </w:rPr>
              <w:footnoteReference w:id="5"/>
            </w:r>
            <w:r w:rsidRPr="007A2874">
              <w:rPr>
                <w:sz w:val="22"/>
                <w:szCs w:val="22"/>
              </w:rPr>
              <w:t>.</w:t>
            </w:r>
          </w:p>
          <w:p w14:paraId="376CC8FC" w14:textId="77777777" w:rsidR="007A2874" w:rsidRPr="007A2874" w:rsidRDefault="007A2874" w:rsidP="007A2874">
            <w:pPr>
              <w:spacing w:before="240"/>
              <w:rPr>
                <w:sz w:val="22"/>
                <w:szCs w:val="22"/>
              </w:rPr>
            </w:pPr>
            <w:r w:rsidRPr="007A2874">
              <w:rPr>
                <w:sz w:val="22"/>
                <w:szCs w:val="22"/>
              </w:rPr>
              <w:t>However, despite these benefits the number of people accessing these services is low. Common issues include the services being insufficiently flexible and responsive to ensure that all people eligible take up the offer of cardiac rehabilitation. Services are said to be difficult to commission for by non-specialists due to the range of services, settings, people, and organisations involved. Increasing the awareness of these courses through these indicators may encourage more referrals and subsequent completion of cardiac rehabilitation</w:t>
            </w:r>
            <w:r w:rsidRPr="007A2874">
              <w:rPr>
                <w:rStyle w:val="FootnoteReference"/>
                <w:sz w:val="22"/>
                <w:szCs w:val="22"/>
              </w:rPr>
              <w:footnoteReference w:id="6"/>
            </w:r>
            <w:r w:rsidRPr="007A2874">
              <w:rPr>
                <w:sz w:val="22"/>
                <w:szCs w:val="22"/>
              </w:rPr>
              <w:t xml:space="preserve">. </w:t>
            </w:r>
          </w:p>
          <w:p w14:paraId="63672EC1" w14:textId="77777777" w:rsidR="007A2874" w:rsidRPr="007A2874" w:rsidRDefault="007A2874" w:rsidP="007A2874">
            <w:pPr>
              <w:spacing w:before="240"/>
              <w:rPr>
                <w:sz w:val="22"/>
                <w:szCs w:val="22"/>
              </w:rPr>
            </w:pPr>
            <w:r w:rsidRPr="007A2874">
              <w:rPr>
                <w:sz w:val="22"/>
                <w:szCs w:val="22"/>
              </w:rPr>
              <w:t xml:space="preserve">There is no timeframe dictated in which a referral must take place. This indicator uses the period of 5 days between admission and referral, which allows more time than the NACR reported median of 3 days between diagnosis and referral. This timeframe allows for time between the admission and diagnosis and has been agree as appropriate with the NACR. </w:t>
            </w:r>
          </w:p>
          <w:p w14:paraId="08799FB2" w14:textId="77777777" w:rsidR="007A2874" w:rsidRPr="007A2874" w:rsidRDefault="007A2874" w:rsidP="007A2874">
            <w:pPr>
              <w:spacing w:before="240"/>
              <w:rPr>
                <w:sz w:val="22"/>
                <w:szCs w:val="22"/>
              </w:rPr>
            </w:pPr>
            <w:r w:rsidRPr="007A2874">
              <w:rPr>
                <w:sz w:val="22"/>
                <w:szCs w:val="22"/>
              </w:rPr>
              <w:t xml:space="preserve">The CCG OIS is an integral part of NHS England’s systematic approach to quality improvement. It is intended to provide clear, comparative information for CCGs, patients, and the public about the quality of health services commissioned by CCGs and the associated health outcomes. All of the CCG outcome indicators have been chosen on the basis that they contribute to the overarching aims of the five domains in the NHS Outcomes Framework (NOF) and it is intended as a tool for CCGs to drive local improvement and set priorities </w:t>
            </w:r>
            <w:hyperlink r:id="rId9" w:history="1">
              <w:r w:rsidRPr="007A2874">
                <w:rPr>
                  <w:rStyle w:val="Hyperlink"/>
                  <w:rFonts w:ascii="Arial" w:hAnsi="Arial"/>
                  <w:color w:val="auto"/>
                  <w:sz w:val="22"/>
                  <w:szCs w:val="22"/>
                </w:rPr>
                <w:t>http://www.england.nhs.uk/ccg-ois/</w:t>
              </w:r>
            </w:hyperlink>
            <w:r w:rsidRPr="007A2874">
              <w:rPr>
                <w:sz w:val="22"/>
                <w:szCs w:val="22"/>
              </w:rPr>
              <w:t>.</w:t>
            </w:r>
          </w:p>
          <w:p w14:paraId="7E32D98C" w14:textId="3CF033A0" w:rsidR="007A2874" w:rsidRPr="007A2874" w:rsidRDefault="007A2874" w:rsidP="007A2874">
            <w:pPr>
              <w:spacing w:before="240"/>
              <w:rPr>
                <w:sz w:val="22"/>
                <w:szCs w:val="22"/>
              </w:rPr>
            </w:pPr>
            <w:r w:rsidRPr="007A2874">
              <w:rPr>
                <w:sz w:val="22"/>
                <w:szCs w:val="22"/>
              </w:rPr>
              <w:t>This indicator fits within Domain 1: Preventing people from dying prematurely.</w:t>
            </w:r>
          </w:p>
        </w:tc>
      </w:tr>
      <w:tr w:rsidR="007A2874" w:rsidRPr="007A2874" w14:paraId="6FBA5DB9" w14:textId="77777777" w:rsidTr="007A2874">
        <w:tc>
          <w:tcPr>
            <w:tcW w:w="3256" w:type="dxa"/>
          </w:tcPr>
          <w:p w14:paraId="5293C31E" w14:textId="22C67459" w:rsidR="007A2874" w:rsidRPr="007A2874" w:rsidRDefault="007A2874" w:rsidP="007A2874">
            <w:pPr>
              <w:spacing w:before="240"/>
              <w:rPr>
                <w:b/>
                <w:sz w:val="22"/>
                <w:szCs w:val="22"/>
              </w:rPr>
            </w:pPr>
            <w:r w:rsidRPr="007A2874">
              <w:rPr>
                <w:b/>
                <w:sz w:val="22"/>
                <w:szCs w:val="22"/>
              </w:rPr>
              <w:lastRenderedPageBreak/>
              <w:t>Data source</w:t>
            </w:r>
          </w:p>
        </w:tc>
        <w:tc>
          <w:tcPr>
            <w:tcW w:w="6598" w:type="dxa"/>
          </w:tcPr>
          <w:p w14:paraId="326A5047" w14:textId="77777777" w:rsidR="007A2874" w:rsidRPr="007A2874" w:rsidRDefault="007A2874" w:rsidP="007A2874">
            <w:pPr>
              <w:spacing w:before="240"/>
              <w:rPr>
                <w:sz w:val="22"/>
                <w:szCs w:val="22"/>
              </w:rPr>
            </w:pPr>
            <w:r w:rsidRPr="007A2874">
              <w:rPr>
                <w:sz w:val="22"/>
                <w:szCs w:val="22"/>
              </w:rPr>
              <w:t xml:space="preserve"> Linked HES APC – NACR data</w:t>
            </w:r>
          </w:p>
          <w:p w14:paraId="33967462" w14:textId="77777777" w:rsidR="007A2874" w:rsidRPr="007A2874" w:rsidRDefault="00D963CC" w:rsidP="007A2874">
            <w:pPr>
              <w:spacing w:before="240"/>
              <w:rPr>
                <w:sz w:val="22"/>
                <w:szCs w:val="22"/>
              </w:rPr>
            </w:pPr>
            <w:hyperlink r:id="rId10" w:history="1">
              <w:r w:rsidR="007A2874" w:rsidRPr="007A2874">
                <w:rPr>
                  <w:rStyle w:val="Hyperlink"/>
                  <w:rFonts w:ascii="Arial" w:hAnsi="Arial"/>
                  <w:color w:val="auto"/>
                  <w:sz w:val="22"/>
                  <w:szCs w:val="22"/>
                </w:rPr>
                <w:t>http://content.digital.nhs.uk/hes</w:t>
              </w:r>
            </w:hyperlink>
            <w:r w:rsidR="007A2874" w:rsidRPr="007A2874">
              <w:rPr>
                <w:sz w:val="22"/>
                <w:szCs w:val="22"/>
              </w:rPr>
              <w:t xml:space="preserve"> </w:t>
            </w:r>
          </w:p>
          <w:p w14:paraId="2DFB9D1C" w14:textId="77777777" w:rsidR="007A2874" w:rsidRPr="007A2874" w:rsidRDefault="00D963CC" w:rsidP="007A2874">
            <w:pPr>
              <w:spacing w:before="240"/>
              <w:rPr>
                <w:sz w:val="22"/>
                <w:szCs w:val="22"/>
              </w:rPr>
            </w:pPr>
            <w:hyperlink r:id="rId11" w:history="1">
              <w:r w:rsidR="007A2874" w:rsidRPr="007A2874">
                <w:rPr>
                  <w:rStyle w:val="Hyperlink"/>
                  <w:rFonts w:ascii="Arial" w:hAnsi="Arial"/>
                  <w:color w:val="auto"/>
                  <w:sz w:val="22"/>
                  <w:szCs w:val="22"/>
                </w:rPr>
                <w:t>http://www.cardiacrehabilitation.org.uk/nacr/</w:t>
              </w:r>
            </w:hyperlink>
            <w:r w:rsidR="007A2874" w:rsidRPr="007A2874">
              <w:rPr>
                <w:sz w:val="22"/>
                <w:szCs w:val="22"/>
              </w:rPr>
              <w:t xml:space="preserve"> </w:t>
            </w:r>
          </w:p>
          <w:p w14:paraId="09B13E94" w14:textId="28C6F5EB" w:rsidR="007A2874" w:rsidRPr="007A2874" w:rsidRDefault="00D963CC" w:rsidP="007A2874">
            <w:pPr>
              <w:spacing w:before="240"/>
              <w:rPr>
                <w:sz w:val="22"/>
                <w:szCs w:val="22"/>
              </w:rPr>
            </w:pPr>
            <w:hyperlink r:id="rId12" w:history="1">
              <w:r w:rsidR="007A2874" w:rsidRPr="007A2874">
                <w:rPr>
                  <w:rStyle w:val="Hyperlink"/>
                  <w:rFonts w:ascii="Arial" w:hAnsi="Arial"/>
                  <w:color w:val="auto"/>
                  <w:sz w:val="22"/>
                  <w:szCs w:val="22"/>
                </w:rPr>
                <w:t>http:/content.digital.nhs.uk/rehab</w:t>
              </w:r>
            </w:hyperlink>
          </w:p>
        </w:tc>
      </w:tr>
      <w:tr w:rsidR="007A2874" w:rsidRPr="007A2874" w14:paraId="5AE8FA64" w14:textId="77777777" w:rsidTr="007A2874">
        <w:tc>
          <w:tcPr>
            <w:tcW w:w="3256" w:type="dxa"/>
          </w:tcPr>
          <w:p w14:paraId="473DF8A9" w14:textId="36DAA5D8" w:rsidR="007A2874" w:rsidRPr="007A2874" w:rsidRDefault="007A2874" w:rsidP="007A2874">
            <w:pPr>
              <w:spacing w:before="240"/>
              <w:rPr>
                <w:b/>
                <w:sz w:val="22"/>
                <w:szCs w:val="22"/>
              </w:rPr>
            </w:pPr>
            <w:r w:rsidRPr="007A2874">
              <w:rPr>
                <w:b/>
                <w:sz w:val="22"/>
                <w:szCs w:val="22"/>
              </w:rPr>
              <w:t>Justification of source and others considered</w:t>
            </w:r>
          </w:p>
        </w:tc>
        <w:tc>
          <w:tcPr>
            <w:tcW w:w="6598" w:type="dxa"/>
          </w:tcPr>
          <w:p w14:paraId="7D192F4C" w14:textId="77777777" w:rsidR="007A2874" w:rsidRPr="007A2874" w:rsidRDefault="007A2874" w:rsidP="007A2874">
            <w:pPr>
              <w:spacing w:before="240"/>
              <w:rPr>
                <w:sz w:val="22"/>
                <w:szCs w:val="22"/>
              </w:rPr>
            </w:pPr>
            <w:r w:rsidRPr="007A2874">
              <w:rPr>
                <w:sz w:val="22"/>
                <w:szCs w:val="22"/>
              </w:rPr>
              <w:t xml:space="preserve">HES contains details of all admissions to NHS hospitals in England, including private patients treated in NHS hospitals, patients who are resident outside of England, and care delivered </w:t>
            </w:r>
            <w:r w:rsidRPr="007A2874">
              <w:rPr>
                <w:sz w:val="22"/>
                <w:szCs w:val="22"/>
              </w:rPr>
              <w:lastRenderedPageBreak/>
              <w:t xml:space="preserve">by treatment centres (including those in the independent sector) funded by the NHS. </w:t>
            </w:r>
          </w:p>
          <w:p w14:paraId="4A388306" w14:textId="77777777" w:rsidR="007A2874" w:rsidRPr="007A2874" w:rsidRDefault="007A2874" w:rsidP="007A2874">
            <w:pPr>
              <w:spacing w:before="240"/>
              <w:rPr>
                <w:sz w:val="22"/>
                <w:szCs w:val="22"/>
              </w:rPr>
            </w:pPr>
            <w:r w:rsidRPr="007A2874">
              <w:rPr>
                <w:sz w:val="22"/>
                <w:szCs w:val="22"/>
              </w:rPr>
              <w:t xml:space="preserve">HES is the data source for a wide variety of healthcare analysis for the NHS, Government, and many other organisations and individuals. It is likely that most patients who have a MI or heart failure, or a PCI or CABG will be admitted to hospital and therefore recorded in HES. </w:t>
            </w:r>
          </w:p>
          <w:p w14:paraId="7507664D" w14:textId="77777777" w:rsidR="007A2874" w:rsidRPr="007A2874" w:rsidRDefault="007A2874" w:rsidP="007A2874">
            <w:pPr>
              <w:spacing w:before="240"/>
              <w:rPr>
                <w:sz w:val="22"/>
                <w:szCs w:val="22"/>
              </w:rPr>
            </w:pPr>
            <w:r w:rsidRPr="007A2874">
              <w:rPr>
                <w:sz w:val="22"/>
                <w:szCs w:val="22"/>
              </w:rPr>
              <w:t xml:space="preserve">The NACR is funded by the British Heart Foundation (BHF) and is the official audit for NHS cardiac rehabilitation programmes. The data set includes fields that are collected via a set of questionnaires completed by patients before, immediately after, and 12 months after a course. The data is entered into the national database by the rehabilitation programmes. </w:t>
            </w:r>
          </w:p>
          <w:p w14:paraId="2F7948C2" w14:textId="37EC921B" w:rsidR="007A2874" w:rsidRPr="007A2874" w:rsidRDefault="007A2874" w:rsidP="007A2874">
            <w:pPr>
              <w:spacing w:before="240"/>
              <w:rPr>
                <w:sz w:val="22"/>
                <w:szCs w:val="22"/>
              </w:rPr>
            </w:pPr>
            <w:r w:rsidRPr="007A2874">
              <w:rPr>
                <w:sz w:val="22"/>
                <w:szCs w:val="22"/>
              </w:rPr>
              <w:t>No other data sources were considered for the indicator.</w:t>
            </w:r>
          </w:p>
        </w:tc>
      </w:tr>
      <w:tr w:rsidR="007A2874" w:rsidRPr="007A2874" w14:paraId="63A545DA" w14:textId="77777777" w:rsidTr="007A2874">
        <w:tc>
          <w:tcPr>
            <w:tcW w:w="3256" w:type="dxa"/>
          </w:tcPr>
          <w:p w14:paraId="1F2DCFD7" w14:textId="567597D5" w:rsidR="007A2874" w:rsidRPr="007A2874" w:rsidRDefault="007A2874" w:rsidP="007A2874">
            <w:pPr>
              <w:spacing w:before="240"/>
              <w:rPr>
                <w:b/>
                <w:sz w:val="22"/>
                <w:szCs w:val="22"/>
              </w:rPr>
            </w:pPr>
            <w:r w:rsidRPr="007A2874">
              <w:rPr>
                <w:b/>
                <w:sz w:val="22"/>
                <w:szCs w:val="22"/>
              </w:rPr>
              <w:lastRenderedPageBreak/>
              <w:t>Data availability</w:t>
            </w:r>
          </w:p>
        </w:tc>
        <w:tc>
          <w:tcPr>
            <w:tcW w:w="6598" w:type="dxa"/>
          </w:tcPr>
          <w:p w14:paraId="784EA5D6" w14:textId="77777777" w:rsidR="007A2874" w:rsidRPr="007A2874" w:rsidRDefault="007A2874" w:rsidP="007A2874">
            <w:pPr>
              <w:spacing w:before="240"/>
              <w:rPr>
                <w:sz w:val="22"/>
                <w:szCs w:val="22"/>
              </w:rPr>
            </w:pPr>
            <w:r w:rsidRPr="007A2874">
              <w:t xml:space="preserve"> </w:t>
            </w:r>
            <w:r w:rsidRPr="007A2874">
              <w:rPr>
                <w:sz w:val="22"/>
                <w:szCs w:val="22"/>
              </w:rPr>
              <w:t xml:space="preserve">The underlying record level data from either source is not </w:t>
            </w:r>
            <w:proofErr w:type="spellStart"/>
            <w:r w:rsidRPr="007A2874">
              <w:rPr>
                <w:sz w:val="22"/>
                <w:szCs w:val="22"/>
              </w:rPr>
              <w:t>publically</w:t>
            </w:r>
            <w:proofErr w:type="spellEnd"/>
            <w:r w:rsidRPr="007A2874">
              <w:rPr>
                <w:sz w:val="22"/>
                <w:szCs w:val="22"/>
              </w:rPr>
              <w:t xml:space="preserve"> available. Aggregated reports of HES data are released on provisional monthly data approximately 4 months after the end of the reference month. The annual report based on final data is made available approximately 8 months after the end of the reference year and is accessible at the following link: &lt;Check for updated link with </w:t>
            </w:r>
            <w:proofErr w:type="spellStart"/>
            <w:r w:rsidRPr="007A2874">
              <w:rPr>
                <w:sz w:val="22"/>
                <w:szCs w:val="22"/>
              </w:rPr>
              <w:t>Netta</w:t>
            </w:r>
            <w:proofErr w:type="spellEnd"/>
            <w:r w:rsidRPr="007A2874">
              <w:rPr>
                <w:sz w:val="22"/>
                <w:szCs w:val="22"/>
              </w:rPr>
              <w:t>&gt;</w:t>
            </w:r>
          </w:p>
          <w:p w14:paraId="7C3CEC50" w14:textId="77777777" w:rsidR="007A2874" w:rsidRPr="007A2874" w:rsidRDefault="007A2874" w:rsidP="007A2874">
            <w:pPr>
              <w:spacing w:before="240"/>
              <w:rPr>
                <w:sz w:val="22"/>
                <w:szCs w:val="22"/>
              </w:rPr>
            </w:pPr>
            <w:r w:rsidRPr="007A2874">
              <w:rPr>
                <w:sz w:val="22"/>
                <w:szCs w:val="22"/>
              </w:rPr>
              <w:t xml:space="preserve">Extracts and tabulations of data from HES are available to order for a charge. This is managed by the NHS Digital Data Access Request Service (DARS) </w:t>
            </w:r>
            <w:hyperlink r:id="rId13" w:history="1">
              <w:r w:rsidRPr="007A2874">
                <w:rPr>
                  <w:rStyle w:val="Hyperlink"/>
                  <w:rFonts w:ascii="Arial" w:hAnsi="Arial"/>
                  <w:color w:val="auto"/>
                  <w:sz w:val="22"/>
                  <w:szCs w:val="22"/>
                </w:rPr>
                <w:t>http://content.digital.nhs.uk/dars</w:t>
              </w:r>
            </w:hyperlink>
            <w:r w:rsidRPr="007A2874">
              <w:rPr>
                <w:sz w:val="22"/>
                <w:szCs w:val="22"/>
              </w:rPr>
              <w:t>.</w:t>
            </w:r>
          </w:p>
          <w:p w14:paraId="3B8B2207" w14:textId="4842B6B8" w:rsidR="007A2874" w:rsidRPr="007A2874" w:rsidRDefault="007A2874" w:rsidP="007A2874">
            <w:pPr>
              <w:spacing w:before="240"/>
              <w:rPr>
                <w:sz w:val="22"/>
                <w:szCs w:val="22"/>
              </w:rPr>
            </w:pPr>
            <w:r w:rsidRPr="007A2874">
              <w:rPr>
                <w:sz w:val="22"/>
                <w:szCs w:val="22"/>
              </w:rPr>
              <w:t xml:space="preserve">Aggregated reports of NACR data are released approximately 20 months after the end of the financial year at the following link: </w:t>
            </w:r>
            <w:hyperlink r:id="rId14" w:history="1">
              <w:r w:rsidRPr="007A2874">
                <w:rPr>
                  <w:rStyle w:val="Hyperlink"/>
                  <w:rFonts w:ascii="Arial" w:hAnsi="Arial"/>
                  <w:color w:val="auto"/>
                  <w:sz w:val="22"/>
                  <w:szCs w:val="22"/>
                </w:rPr>
                <w:t>http://www.cardiacrehabilitation.org.uk/reports.htm</w:t>
              </w:r>
            </w:hyperlink>
            <w:r w:rsidRPr="007A2874">
              <w:rPr>
                <w:sz w:val="22"/>
                <w:szCs w:val="22"/>
              </w:rPr>
              <w:t xml:space="preserve">. Organisations </w:t>
            </w:r>
            <w:proofErr w:type="gramStart"/>
            <w:r w:rsidRPr="007A2874">
              <w:rPr>
                <w:sz w:val="22"/>
                <w:szCs w:val="22"/>
              </w:rPr>
              <w:t>are able to</w:t>
            </w:r>
            <w:proofErr w:type="gramEnd"/>
            <w:r w:rsidRPr="007A2874">
              <w:rPr>
                <w:sz w:val="22"/>
                <w:szCs w:val="22"/>
              </w:rPr>
              <w:t xml:space="preserve"> view an extract of their own data held by the audit.</w:t>
            </w:r>
          </w:p>
        </w:tc>
      </w:tr>
      <w:tr w:rsidR="007A2874" w:rsidRPr="007A2874" w14:paraId="5C735D82" w14:textId="77777777" w:rsidTr="007A2874">
        <w:tc>
          <w:tcPr>
            <w:tcW w:w="3256" w:type="dxa"/>
          </w:tcPr>
          <w:p w14:paraId="4167BCED" w14:textId="50D71D8A" w:rsidR="007A2874" w:rsidRPr="007A2874" w:rsidRDefault="007A2874" w:rsidP="007A2874">
            <w:pPr>
              <w:spacing w:before="240"/>
              <w:rPr>
                <w:b/>
                <w:sz w:val="22"/>
                <w:szCs w:val="22"/>
              </w:rPr>
            </w:pPr>
            <w:r w:rsidRPr="007A2874">
              <w:rPr>
                <w:b/>
                <w:sz w:val="22"/>
                <w:szCs w:val="22"/>
              </w:rPr>
              <w:t>Data quality</w:t>
            </w:r>
          </w:p>
        </w:tc>
        <w:tc>
          <w:tcPr>
            <w:tcW w:w="6598" w:type="dxa"/>
          </w:tcPr>
          <w:p w14:paraId="679524C0" w14:textId="77777777" w:rsidR="007A2874" w:rsidRPr="007A2874" w:rsidRDefault="007A2874" w:rsidP="007A2874">
            <w:pPr>
              <w:spacing w:before="240"/>
              <w:rPr>
                <w:b/>
                <w:sz w:val="22"/>
                <w:szCs w:val="22"/>
              </w:rPr>
            </w:pPr>
            <w:r w:rsidRPr="007A2874">
              <w:rPr>
                <w:b/>
                <w:sz w:val="22"/>
                <w:szCs w:val="22"/>
              </w:rPr>
              <w:t xml:space="preserve"> </w:t>
            </w:r>
            <w:proofErr w:type="spellStart"/>
            <w:r w:rsidRPr="007A2874">
              <w:rPr>
                <w:b/>
                <w:sz w:val="22"/>
                <w:szCs w:val="22"/>
              </w:rPr>
              <w:t>i</w:t>
            </w:r>
            <w:proofErr w:type="spellEnd"/>
            <w:r w:rsidRPr="007A2874">
              <w:rPr>
                <w:b/>
                <w:sz w:val="22"/>
                <w:szCs w:val="22"/>
              </w:rPr>
              <w:t>) What data quality checks are relevant to this indicator?</w:t>
            </w:r>
          </w:p>
          <w:p w14:paraId="5FAFCFFC" w14:textId="77777777" w:rsidR="007A2874" w:rsidRPr="007A2874" w:rsidRDefault="007A2874" w:rsidP="007A2874">
            <w:pPr>
              <w:spacing w:before="240"/>
            </w:pPr>
            <w:r w:rsidRPr="007A2874">
              <w:rPr>
                <w:b/>
                <w:sz w:val="22"/>
                <w:szCs w:val="22"/>
              </w:rPr>
              <w:t>Coverage</w:t>
            </w:r>
            <w:r w:rsidRPr="007A2874">
              <w:t xml:space="preserve"> </w:t>
            </w:r>
            <w:sdt>
              <w:sdtPr>
                <w:id w:val="-1410525022"/>
                <w14:checkbox>
                  <w14:checked w14:val="0"/>
                  <w14:checkedState w14:val="2612" w14:font="MS Gothic"/>
                  <w14:uncheckedState w14:val="2610" w14:font="MS Gothic"/>
                </w14:checkbox>
              </w:sdtPr>
              <w:sdtEndPr/>
              <w:sdtContent>
                <w:r w:rsidRPr="007A2874">
                  <w:rPr>
                    <w:rFonts w:ascii="MS Gothic" w:eastAsia="MS Gothic" w:hAnsi="MS Gothic" w:cs="MS Gothic" w:hint="eastAsia"/>
                  </w:rPr>
                  <w:t>☐</w:t>
                </w:r>
              </w:sdtContent>
            </w:sdt>
            <w:r w:rsidRPr="007A2874">
              <w:t xml:space="preserve"> </w:t>
            </w:r>
          </w:p>
          <w:p w14:paraId="76CAE883" w14:textId="77777777" w:rsidR="007A2874" w:rsidRPr="007A2874" w:rsidRDefault="007A2874" w:rsidP="007A2874">
            <w:pPr>
              <w:spacing w:before="240"/>
              <w:rPr>
                <w:sz w:val="20"/>
              </w:rPr>
            </w:pPr>
            <w:r w:rsidRPr="007A2874">
              <w:rPr>
                <w:b/>
                <w:sz w:val="22"/>
                <w:szCs w:val="22"/>
              </w:rPr>
              <w:t>Completeness</w:t>
            </w:r>
            <w:r w:rsidRPr="007A2874">
              <w:t xml:space="preserve"> </w:t>
            </w:r>
            <w:sdt>
              <w:sdtPr>
                <w:id w:val="1227115393"/>
                <w14:checkbox>
                  <w14:checked w14:val="0"/>
                  <w14:checkedState w14:val="2612" w14:font="MS Gothic"/>
                  <w14:uncheckedState w14:val="2610" w14:font="MS Gothic"/>
                </w14:checkbox>
              </w:sdtPr>
              <w:sdtEndPr/>
              <w:sdtContent>
                <w:r w:rsidRPr="007A2874">
                  <w:rPr>
                    <w:rFonts w:ascii="MS Gothic" w:eastAsia="MS Gothic" w:hAnsi="MS Gothic" w:cs="MS Gothic" w:hint="eastAsia"/>
                  </w:rPr>
                  <w:t>☐</w:t>
                </w:r>
              </w:sdtContent>
            </w:sdt>
            <w:r w:rsidRPr="007A2874">
              <w:t xml:space="preserve"> </w:t>
            </w:r>
            <w:r w:rsidRPr="007A2874">
              <w:rPr>
                <w:b/>
                <w:sz w:val="22"/>
                <w:szCs w:val="22"/>
              </w:rPr>
              <w:t>Validity</w:t>
            </w:r>
            <w:r w:rsidRPr="007A2874">
              <w:rPr>
                <w:szCs w:val="20"/>
              </w:rPr>
              <w:t xml:space="preserve"> </w:t>
            </w:r>
            <w:sdt>
              <w:sdtPr>
                <w:rPr>
                  <w:szCs w:val="20"/>
                </w:rPr>
                <w:id w:val="-370691199"/>
                <w14:checkbox>
                  <w14:checked w14:val="0"/>
                  <w14:checkedState w14:val="2612" w14:font="MS Gothic"/>
                  <w14:uncheckedState w14:val="2610" w14:font="MS Gothic"/>
                </w14:checkbox>
              </w:sdtPr>
              <w:sdtEndPr/>
              <w:sdtContent>
                <w:r w:rsidRPr="007A2874">
                  <w:rPr>
                    <w:rFonts w:ascii="MS Gothic" w:eastAsia="MS Gothic" w:hAnsi="MS Gothic" w:cs="MS Gothic" w:hint="eastAsia"/>
                    <w:szCs w:val="20"/>
                  </w:rPr>
                  <w:t>☐</w:t>
                </w:r>
              </w:sdtContent>
            </w:sdt>
            <w:r w:rsidRPr="007A2874">
              <w:t xml:space="preserve"> </w:t>
            </w:r>
          </w:p>
          <w:p w14:paraId="6146CDFE" w14:textId="77777777" w:rsidR="007A2874" w:rsidRPr="007A2874" w:rsidRDefault="007A2874" w:rsidP="007A2874">
            <w:pPr>
              <w:spacing w:before="240"/>
              <w:rPr>
                <w:sz w:val="20"/>
              </w:rPr>
            </w:pPr>
            <w:r w:rsidRPr="007A2874">
              <w:rPr>
                <w:b/>
                <w:sz w:val="22"/>
                <w:szCs w:val="22"/>
              </w:rPr>
              <w:t>Default</w:t>
            </w:r>
            <w:r w:rsidRPr="007A2874">
              <w:t xml:space="preserve"> </w:t>
            </w:r>
            <w:sdt>
              <w:sdtPr>
                <w:id w:val="-1294748589"/>
                <w14:checkbox>
                  <w14:checked w14:val="0"/>
                  <w14:checkedState w14:val="2612" w14:font="MS Gothic"/>
                  <w14:uncheckedState w14:val="2610" w14:font="MS Gothic"/>
                </w14:checkbox>
              </w:sdtPr>
              <w:sdtEndPr/>
              <w:sdtContent>
                <w:r w:rsidRPr="007A2874">
                  <w:rPr>
                    <w:rFonts w:ascii="MS Gothic" w:eastAsia="MS Gothic" w:hAnsi="MS Gothic" w:cs="MS Gothic" w:hint="eastAsia"/>
                  </w:rPr>
                  <w:t>☐</w:t>
                </w:r>
              </w:sdtContent>
            </w:sdt>
            <w:r w:rsidRPr="007A2874">
              <w:t xml:space="preserve"> </w:t>
            </w:r>
          </w:p>
          <w:p w14:paraId="43C7A0DF" w14:textId="74597265" w:rsidR="007A2874" w:rsidRPr="007A2874" w:rsidRDefault="007A2874" w:rsidP="007A2874">
            <w:pPr>
              <w:spacing w:before="240"/>
            </w:pPr>
            <w:r w:rsidRPr="007A2874">
              <w:rPr>
                <w:b/>
                <w:sz w:val="22"/>
                <w:szCs w:val="22"/>
              </w:rPr>
              <w:t>Integrity</w:t>
            </w:r>
            <w:r w:rsidRPr="007A2874">
              <w:t xml:space="preserve"> </w:t>
            </w:r>
            <w:sdt>
              <w:sdtPr>
                <w:id w:val="650177571"/>
                <w14:checkbox>
                  <w14:checked w14:val="0"/>
                  <w14:checkedState w14:val="2612" w14:font="MS Gothic"/>
                  <w14:uncheckedState w14:val="2610" w14:font="MS Gothic"/>
                </w14:checkbox>
              </w:sdtPr>
              <w:sdtEndPr/>
              <w:sdtContent>
                <w:r w:rsidRPr="007A2874">
                  <w:rPr>
                    <w:rFonts w:ascii="MS Gothic" w:eastAsia="MS Gothic" w:hAnsi="MS Gothic" w:cs="MS Gothic" w:hint="eastAsia"/>
                  </w:rPr>
                  <w:t>☐</w:t>
                </w:r>
              </w:sdtContent>
            </w:sdt>
            <w:r w:rsidRPr="007A2874">
              <w:t xml:space="preserve"> </w:t>
            </w:r>
            <w:r w:rsidRPr="007A2874">
              <w:rPr>
                <w:b/>
                <w:sz w:val="22"/>
                <w:szCs w:val="22"/>
              </w:rPr>
              <w:t>Timeliness</w:t>
            </w:r>
            <w:r w:rsidRPr="007A2874">
              <w:rPr>
                <w:sz w:val="22"/>
                <w:szCs w:val="22"/>
              </w:rPr>
              <w:t xml:space="preserve"> </w:t>
            </w:r>
            <w:sdt>
              <w:sdtPr>
                <w:rPr>
                  <w:sz w:val="22"/>
                  <w:szCs w:val="22"/>
                </w:rPr>
                <w:id w:val="1492992637"/>
                <w14:checkbox>
                  <w14:checked w14:val="0"/>
                  <w14:checkedState w14:val="2612" w14:font="MS Gothic"/>
                  <w14:uncheckedState w14:val="2610" w14:font="MS Gothic"/>
                </w14:checkbox>
              </w:sdtPr>
              <w:sdtEndPr/>
              <w:sdtContent>
                <w:r w:rsidRPr="007A2874">
                  <w:rPr>
                    <w:rFonts w:ascii="MS Gothic" w:eastAsia="MS Gothic" w:hAnsi="MS Gothic" w:cs="MS Gothic" w:hint="eastAsia"/>
                    <w:sz w:val="22"/>
                    <w:szCs w:val="22"/>
                  </w:rPr>
                  <w:t>☐</w:t>
                </w:r>
              </w:sdtContent>
            </w:sdt>
            <w:r w:rsidRPr="007A2874">
              <w:t xml:space="preserve"> </w:t>
            </w:r>
            <w:r w:rsidRPr="007A2874">
              <w:rPr>
                <w:b/>
                <w:sz w:val="22"/>
                <w:szCs w:val="22"/>
              </w:rPr>
              <w:t>Other</w:t>
            </w:r>
            <w:r w:rsidRPr="007A2874">
              <w:rPr>
                <w:szCs w:val="20"/>
              </w:rPr>
              <w:t xml:space="preserve"> </w:t>
            </w:r>
            <w:sdt>
              <w:sdtPr>
                <w:rPr>
                  <w:szCs w:val="20"/>
                </w:rPr>
                <w:id w:val="415289181"/>
                <w14:checkbox>
                  <w14:checked w14:val="0"/>
                  <w14:checkedState w14:val="2612" w14:font="MS Gothic"/>
                  <w14:uncheckedState w14:val="2610" w14:font="MS Gothic"/>
                </w14:checkbox>
              </w:sdtPr>
              <w:sdtEndPr/>
              <w:sdtContent>
                <w:r w:rsidRPr="007A2874">
                  <w:rPr>
                    <w:rFonts w:ascii="MS Gothic" w:eastAsia="MS Gothic" w:hAnsi="MS Gothic" w:cs="MS Gothic" w:hint="eastAsia"/>
                    <w:szCs w:val="20"/>
                  </w:rPr>
                  <w:t>☐</w:t>
                </w:r>
              </w:sdtContent>
            </w:sdt>
          </w:p>
        </w:tc>
      </w:tr>
      <w:tr w:rsidR="007A2874" w:rsidRPr="007A2874" w14:paraId="2BB1F42C" w14:textId="77777777" w:rsidTr="007A2874">
        <w:tc>
          <w:tcPr>
            <w:tcW w:w="3256" w:type="dxa"/>
          </w:tcPr>
          <w:p w14:paraId="1F177C46" w14:textId="6546A61D" w:rsidR="007A2874" w:rsidRPr="007A2874" w:rsidRDefault="007A2874" w:rsidP="007A2874">
            <w:pPr>
              <w:spacing w:before="240"/>
              <w:rPr>
                <w:b/>
                <w:sz w:val="22"/>
                <w:szCs w:val="22"/>
              </w:rPr>
            </w:pPr>
            <w:r w:rsidRPr="006E4154">
              <w:rPr>
                <w:b/>
                <w:sz w:val="22"/>
                <w:szCs w:val="22"/>
              </w:rPr>
              <w:t>Data quality</w:t>
            </w:r>
          </w:p>
        </w:tc>
        <w:tc>
          <w:tcPr>
            <w:tcW w:w="6598" w:type="dxa"/>
          </w:tcPr>
          <w:p w14:paraId="64F11453" w14:textId="77777777" w:rsidR="007A2874" w:rsidRPr="007A2874" w:rsidRDefault="007A2874" w:rsidP="007A2874">
            <w:pPr>
              <w:textboxTightWrap w:val="allLines"/>
              <w:rPr>
                <w:b/>
                <w:sz w:val="22"/>
                <w:szCs w:val="22"/>
              </w:rPr>
            </w:pPr>
            <w:r w:rsidRPr="007A2874">
              <w:rPr>
                <w:b/>
                <w:sz w:val="22"/>
                <w:szCs w:val="22"/>
              </w:rPr>
              <w:t xml:space="preserve">If you included ‘Other’ as a data quality check, please describe the check, how it will be measured, and its reason for use below: </w:t>
            </w:r>
          </w:p>
          <w:p w14:paraId="6307576E" w14:textId="0FA593EA" w:rsidR="007A2874" w:rsidRPr="007A2874" w:rsidRDefault="007A2874" w:rsidP="007A2874">
            <w:pPr>
              <w:spacing w:before="240"/>
              <w:rPr>
                <w:b/>
                <w:sz w:val="22"/>
                <w:szCs w:val="22"/>
              </w:rPr>
            </w:pPr>
            <w:r w:rsidRPr="007A2874">
              <w:rPr>
                <w:b/>
                <w:sz w:val="22"/>
                <w:szCs w:val="22"/>
              </w:rPr>
              <w:fldChar w:fldCharType="begin">
                <w:ffData>
                  <w:name w:val="Text5"/>
                  <w:enabled/>
                  <w:calcOnExit w:val="0"/>
                  <w:textInput/>
                </w:ffData>
              </w:fldChar>
            </w:r>
            <w:r w:rsidRPr="007A2874">
              <w:rPr>
                <w:b/>
                <w:sz w:val="22"/>
                <w:szCs w:val="22"/>
              </w:rPr>
              <w:instrText xml:space="preserve"> FORMTEXT </w:instrText>
            </w:r>
            <w:r w:rsidRPr="007A2874">
              <w:rPr>
                <w:b/>
                <w:sz w:val="22"/>
                <w:szCs w:val="22"/>
              </w:rPr>
            </w:r>
            <w:r w:rsidRPr="007A2874">
              <w:rPr>
                <w:b/>
                <w:sz w:val="22"/>
                <w:szCs w:val="22"/>
              </w:rPr>
              <w:fldChar w:fldCharType="separate"/>
            </w:r>
            <w:r w:rsidRPr="007A2874">
              <w:rPr>
                <w:b/>
                <w:sz w:val="22"/>
                <w:szCs w:val="22"/>
              </w:rPr>
              <w:t> </w:t>
            </w:r>
            <w:r w:rsidRPr="007A2874">
              <w:rPr>
                <w:b/>
                <w:sz w:val="22"/>
                <w:szCs w:val="22"/>
              </w:rPr>
              <w:t> </w:t>
            </w:r>
            <w:r w:rsidRPr="007A2874">
              <w:rPr>
                <w:b/>
                <w:sz w:val="22"/>
                <w:szCs w:val="22"/>
              </w:rPr>
              <w:t> </w:t>
            </w:r>
            <w:r w:rsidRPr="007A2874">
              <w:rPr>
                <w:b/>
                <w:sz w:val="22"/>
                <w:szCs w:val="22"/>
              </w:rPr>
              <w:t> </w:t>
            </w:r>
            <w:r w:rsidRPr="007A2874">
              <w:rPr>
                <w:b/>
                <w:sz w:val="22"/>
                <w:szCs w:val="22"/>
              </w:rPr>
              <w:t> </w:t>
            </w:r>
            <w:r w:rsidRPr="007A2874">
              <w:rPr>
                <w:b/>
                <w:sz w:val="22"/>
                <w:szCs w:val="22"/>
              </w:rPr>
              <w:fldChar w:fldCharType="end"/>
            </w:r>
            <w:r w:rsidRPr="007A2874">
              <w:rPr>
                <w:b/>
                <w:sz w:val="22"/>
                <w:szCs w:val="22"/>
              </w:rPr>
              <w:t xml:space="preserve">                                                                                                   </w:t>
            </w:r>
          </w:p>
        </w:tc>
      </w:tr>
      <w:tr w:rsidR="007A2874" w:rsidRPr="007A2874" w14:paraId="461996E9" w14:textId="77777777" w:rsidTr="007A2874">
        <w:tc>
          <w:tcPr>
            <w:tcW w:w="3256" w:type="dxa"/>
          </w:tcPr>
          <w:p w14:paraId="703E3194" w14:textId="625F859E" w:rsidR="007A2874" w:rsidRPr="007A2874" w:rsidRDefault="007A2874" w:rsidP="007A2874">
            <w:pPr>
              <w:spacing w:before="240"/>
              <w:rPr>
                <w:b/>
                <w:sz w:val="22"/>
                <w:szCs w:val="22"/>
              </w:rPr>
            </w:pPr>
            <w:r w:rsidRPr="006E4154">
              <w:rPr>
                <w:b/>
                <w:sz w:val="22"/>
                <w:szCs w:val="22"/>
              </w:rPr>
              <w:t>Data quality</w:t>
            </w:r>
          </w:p>
        </w:tc>
        <w:tc>
          <w:tcPr>
            <w:tcW w:w="6598" w:type="dxa"/>
          </w:tcPr>
          <w:p w14:paraId="5EBF51FE" w14:textId="77777777" w:rsidR="007A2874" w:rsidRPr="007A2874" w:rsidRDefault="007A2874" w:rsidP="007A2874">
            <w:pPr>
              <w:textboxTightWrap w:val="allLines"/>
              <w:rPr>
                <w:sz w:val="20"/>
              </w:rPr>
            </w:pPr>
            <w:r w:rsidRPr="007A2874">
              <w:rPr>
                <w:b/>
                <w:sz w:val="22"/>
                <w:szCs w:val="22"/>
              </w:rPr>
              <w:t xml:space="preserve">ii)  What are the current values for the data quality checks selected? </w:t>
            </w:r>
            <w:r w:rsidRPr="007A2874">
              <w:rPr>
                <w:sz w:val="22"/>
                <w:szCs w:val="22"/>
              </w:rPr>
              <w:t>The period of data the current values are calculated from should be stated. Current values should be recorded as a percentage and calculated as described below.</w:t>
            </w:r>
            <w:r w:rsidRPr="007A2874">
              <w:rPr>
                <w:sz w:val="20"/>
              </w:rPr>
              <w:t xml:space="preserve"> </w:t>
            </w:r>
          </w:p>
          <w:p w14:paraId="6CB965F2" w14:textId="77777777" w:rsidR="007A2874" w:rsidRPr="007A2874" w:rsidRDefault="007A2874" w:rsidP="007A2874">
            <w:pPr>
              <w:textboxTightWrap w:val="allLines"/>
              <w:rPr>
                <w:b/>
                <w:sz w:val="20"/>
              </w:rPr>
            </w:pPr>
            <w:r w:rsidRPr="007A2874">
              <w:rPr>
                <w:b/>
                <w:sz w:val="22"/>
              </w:rPr>
              <w:t>Period of data:</w:t>
            </w:r>
            <w:r w:rsidRPr="007A2874">
              <w:rPr>
                <w:b/>
                <w:sz w:val="20"/>
              </w:rPr>
              <w:t xml:space="preserve">                    </w:t>
            </w:r>
          </w:p>
          <w:p w14:paraId="1F88EB9A" w14:textId="77777777" w:rsidR="007A2874" w:rsidRPr="007A2874" w:rsidRDefault="007A2874" w:rsidP="007A2874">
            <w:pPr>
              <w:textboxTightWrap w:val="allLines"/>
              <w:rPr>
                <w:rFonts w:asciiTheme="majorHAnsi" w:hAnsiTheme="majorHAnsi" w:cstheme="majorHAnsi"/>
                <w:b/>
                <w:sz w:val="22"/>
                <w:szCs w:val="22"/>
              </w:rPr>
            </w:pPr>
            <w:r w:rsidRPr="007A2874">
              <w:rPr>
                <w:rFonts w:asciiTheme="majorHAnsi" w:hAnsiTheme="majorHAnsi" w:cstheme="majorHAnsi"/>
                <w:b/>
                <w:sz w:val="22"/>
                <w:szCs w:val="22"/>
              </w:rPr>
              <w:lastRenderedPageBreak/>
              <w:t xml:space="preserve">Coverage:           </w:t>
            </w:r>
          </w:p>
          <w:p w14:paraId="62C341FE" w14:textId="77777777" w:rsidR="007A2874" w:rsidRPr="007A2874" w:rsidRDefault="007A2874" w:rsidP="007A2874">
            <w:pPr>
              <w:spacing w:after="0"/>
              <w:textboxTightWrap w:val="allLines"/>
              <w:rPr>
                <w:rFonts w:asciiTheme="majorHAnsi" w:hAnsiTheme="majorHAnsi" w:cstheme="majorHAnsi"/>
                <w:b/>
                <w:sz w:val="22"/>
                <w:szCs w:val="22"/>
                <w:lang w:eastAsia="en-GB"/>
              </w:rPr>
            </w:pPr>
            <w:r w:rsidRPr="007A2874">
              <w:rPr>
                <w:b/>
                <w:sz w:val="20"/>
              </w:rPr>
              <w:t xml:space="preserve">Calculation:        </w:t>
            </w:r>
          </w:p>
          <w:p w14:paraId="77C79F50" w14:textId="77777777" w:rsidR="007A2874" w:rsidRPr="007A2874" w:rsidRDefault="007A2874" w:rsidP="007A2874">
            <w:pPr>
              <w:textboxTightWrap w:val="allLines"/>
              <w:rPr>
                <w:rFonts w:asciiTheme="majorHAnsi" w:hAnsiTheme="majorHAnsi" w:cstheme="majorHAnsi"/>
              </w:rPr>
            </w:pPr>
            <w:r w:rsidRPr="007A2874">
              <w:rPr>
                <w:rFonts w:asciiTheme="majorHAnsi" w:hAnsiTheme="majorHAnsi" w:cstheme="majorHAnsi"/>
                <w:b/>
                <w:sz w:val="22"/>
                <w:szCs w:val="22"/>
              </w:rPr>
              <w:t>Completeness:</w:t>
            </w:r>
            <w:r w:rsidRPr="007A2874">
              <w:rPr>
                <w:rFonts w:asciiTheme="majorHAnsi" w:hAnsiTheme="majorHAnsi" w:cstheme="majorHAnsi"/>
              </w:rPr>
              <w:t xml:space="preserve">          </w:t>
            </w:r>
          </w:p>
          <w:p w14:paraId="4037AB6F" w14:textId="77777777" w:rsidR="007A2874" w:rsidRPr="007A2874" w:rsidRDefault="007A2874" w:rsidP="007A2874">
            <w:pPr>
              <w:spacing w:after="0"/>
              <w:textboxTightWrap w:val="allLines"/>
              <w:rPr>
                <w:rFonts w:asciiTheme="majorHAnsi" w:hAnsiTheme="majorHAnsi" w:cstheme="majorHAnsi"/>
              </w:rPr>
            </w:pPr>
            <w:r w:rsidRPr="007A2874">
              <w:rPr>
                <w:b/>
                <w:sz w:val="20"/>
              </w:rPr>
              <w:t xml:space="preserve">Calculation:             </w:t>
            </w:r>
          </w:p>
          <w:p w14:paraId="32B8A667" w14:textId="77777777" w:rsidR="007A2874" w:rsidRPr="007A2874" w:rsidRDefault="007A2874" w:rsidP="007A2874">
            <w:pPr>
              <w:textboxTightWrap w:val="allLines"/>
              <w:rPr>
                <w:rFonts w:asciiTheme="majorHAnsi" w:hAnsiTheme="majorHAnsi" w:cstheme="majorHAnsi"/>
              </w:rPr>
            </w:pPr>
            <w:r w:rsidRPr="007A2874">
              <w:rPr>
                <w:rFonts w:asciiTheme="majorHAnsi" w:hAnsiTheme="majorHAnsi" w:cstheme="majorHAnsi"/>
                <w:b/>
                <w:sz w:val="22"/>
                <w:szCs w:val="22"/>
              </w:rPr>
              <w:t>Validity:</w:t>
            </w:r>
            <w:r w:rsidRPr="007A2874">
              <w:rPr>
                <w:rFonts w:asciiTheme="majorHAnsi" w:hAnsiTheme="majorHAnsi" w:cstheme="majorHAnsi"/>
              </w:rPr>
              <w:t xml:space="preserve">         </w:t>
            </w:r>
          </w:p>
          <w:p w14:paraId="70D49887" w14:textId="77777777" w:rsidR="007A2874" w:rsidRPr="007A2874" w:rsidRDefault="007A2874" w:rsidP="007A2874">
            <w:pPr>
              <w:spacing w:after="0"/>
              <w:textboxTightWrap w:val="allLines"/>
              <w:rPr>
                <w:sz w:val="20"/>
              </w:rPr>
            </w:pPr>
            <w:r w:rsidRPr="007A2874">
              <w:rPr>
                <w:b/>
                <w:sz w:val="20"/>
              </w:rPr>
              <w:t xml:space="preserve">Calculation:    </w:t>
            </w:r>
          </w:p>
          <w:p w14:paraId="26EC6E74" w14:textId="77777777" w:rsidR="007A2874" w:rsidRPr="007A2874" w:rsidRDefault="007A2874" w:rsidP="007A2874">
            <w:pPr>
              <w:textboxTightWrap w:val="allLines"/>
              <w:rPr>
                <w:rFonts w:asciiTheme="majorHAnsi" w:hAnsiTheme="majorHAnsi" w:cstheme="majorHAnsi"/>
              </w:rPr>
            </w:pPr>
            <w:r w:rsidRPr="007A2874">
              <w:rPr>
                <w:rFonts w:asciiTheme="majorHAnsi" w:hAnsiTheme="majorHAnsi" w:cstheme="majorHAnsi"/>
                <w:b/>
                <w:sz w:val="22"/>
                <w:szCs w:val="22"/>
              </w:rPr>
              <w:t>Default:</w:t>
            </w:r>
            <w:r w:rsidRPr="007A2874">
              <w:rPr>
                <w:rFonts w:asciiTheme="majorHAnsi" w:hAnsiTheme="majorHAnsi" w:cstheme="majorHAnsi"/>
              </w:rPr>
              <w:t xml:space="preserve">         </w:t>
            </w:r>
          </w:p>
          <w:p w14:paraId="575611E9" w14:textId="77777777" w:rsidR="007A2874" w:rsidRPr="007A2874" w:rsidRDefault="007A2874" w:rsidP="007A2874">
            <w:pPr>
              <w:spacing w:after="0"/>
              <w:textboxTightWrap w:val="allLines"/>
              <w:rPr>
                <w:sz w:val="20"/>
              </w:rPr>
            </w:pPr>
            <w:r w:rsidRPr="007A2874">
              <w:rPr>
                <w:b/>
                <w:sz w:val="20"/>
              </w:rPr>
              <w:t>Calculation:</w:t>
            </w:r>
            <w:r w:rsidRPr="007A2874">
              <w:rPr>
                <w:rFonts w:asciiTheme="minorHAnsi" w:hAnsiTheme="minorHAnsi" w:cstheme="minorHAnsi"/>
              </w:rPr>
              <w:t xml:space="preserve">     </w:t>
            </w:r>
          </w:p>
          <w:p w14:paraId="1BF9F336" w14:textId="77777777" w:rsidR="007A2874" w:rsidRPr="007A2874" w:rsidRDefault="007A2874" w:rsidP="007A2874">
            <w:pPr>
              <w:textboxTightWrap w:val="allLines"/>
              <w:rPr>
                <w:rFonts w:asciiTheme="majorHAnsi" w:hAnsiTheme="majorHAnsi" w:cstheme="majorHAnsi"/>
              </w:rPr>
            </w:pPr>
            <w:r w:rsidRPr="007A2874">
              <w:rPr>
                <w:rFonts w:asciiTheme="majorHAnsi" w:hAnsiTheme="majorHAnsi" w:cstheme="majorHAnsi"/>
                <w:b/>
                <w:sz w:val="22"/>
                <w:szCs w:val="22"/>
              </w:rPr>
              <w:t>Integrity:</w:t>
            </w:r>
            <w:r w:rsidRPr="007A2874">
              <w:rPr>
                <w:rFonts w:asciiTheme="majorHAnsi" w:hAnsiTheme="majorHAnsi" w:cstheme="majorHAnsi"/>
              </w:rPr>
              <w:t xml:space="preserve">         </w:t>
            </w:r>
          </w:p>
          <w:p w14:paraId="5EF410BE" w14:textId="77777777" w:rsidR="007A2874" w:rsidRPr="007A2874" w:rsidRDefault="007A2874" w:rsidP="007A2874">
            <w:pPr>
              <w:spacing w:after="0"/>
              <w:textboxTightWrap w:val="allLines"/>
              <w:rPr>
                <w:sz w:val="20"/>
              </w:rPr>
            </w:pPr>
            <w:r w:rsidRPr="007A2874">
              <w:rPr>
                <w:b/>
                <w:sz w:val="20"/>
              </w:rPr>
              <w:t xml:space="preserve">Calculation:       </w:t>
            </w:r>
          </w:p>
          <w:p w14:paraId="543336B8" w14:textId="77777777" w:rsidR="007A2874" w:rsidRPr="007A2874" w:rsidRDefault="007A2874" w:rsidP="007A2874">
            <w:pPr>
              <w:textboxTightWrap w:val="allLines"/>
              <w:rPr>
                <w:rFonts w:asciiTheme="majorHAnsi" w:hAnsiTheme="majorHAnsi" w:cstheme="majorHAnsi"/>
              </w:rPr>
            </w:pPr>
            <w:r w:rsidRPr="007A2874">
              <w:rPr>
                <w:rFonts w:asciiTheme="majorHAnsi" w:hAnsiTheme="majorHAnsi" w:cstheme="majorHAnsi"/>
                <w:b/>
                <w:sz w:val="22"/>
                <w:szCs w:val="22"/>
              </w:rPr>
              <w:t>Timeliness:</w:t>
            </w:r>
            <w:r w:rsidRPr="007A2874">
              <w:rPr>
                <w:rFonts w:asciiTheme="majorHAnsi" w:hAnsiTheme="majorHAnsi" w:cstheme="majorHAnsi"/>
              </w:rPr>
              <w:t xml:space="preserve">         </w:t>
            </w:r>
          </w:p>
          <w:p w14:paraId="4BC707AF" w14:textId="77777777" w:rsidR="007A2874" w:rsidRPr="007A2874" w:rsidRDefault="007A2874" w:rsidP="007A2874">
            <w:pPr>
              <w:textboxTightWrap w:val="allLines"/>
              <w:rPr>
                <w:rFonts w:asciiTheme="majorHAnsi" w:hAnsiTheme="majorHAnsi" w:cstheme="majorHAnsi"/>
              </w:rPr>
            </w:pPr>
            <w:r w:rsidRPr="007A2874">
              <w:rPr>
                <w:b/>
                <w:sz w:val="20"/>
              </w:rPr>
              <w:t xml:space="preserve">Calculation: </w:t>
            </w:r>
          </w:p>
          <w:p w14:paraId="2D7EB26C" w14:textId="77777777" w:rsidR="007A2874" w:rsidRPr="007A2874" w:rsidRDefault="007A2874" w:rsidP="007A2874">
            <w:pPr>
              <w:textboxTightWrap w:val="allLines"/>
              <w:rPr>
                <w:b/>
                <w:sz w:val="22"/>
                <w:szCs w:val="22"/>
              </w:rPr>
            </w:pPr>
            <w:r w:rsidRPr="007A2874">
              <w:rPr>
                <w:b/>
                <w:sz w:val="22"/>
                <w:szCs w:val="22"/>
              </w:rPr>
              <w:t xml:space="preserve">Other:            </w:t>
            </w:r>
          </w:p>
          <w:p w14:paraId="1D00E338" w14:textId="708F97A6" w:rsidR="007A2874" w:rsidRPr="007A2874" w:rsidRDefault="007A2874" w:rsidP="007A2874">
            <w:pPr>
              <w:textboxTightWrap w:val="allLines"/>
              <w:rPr>
                <w:b/>
                <w:sz w:val="22"/>
                <w:szCs w:val="22"/>
              </w:rPr>
            </w:pPr>
            <w:r w:rsidRPr="007A2874">
              <w:rPr>
                <w:b/>
                <w:sz w:val="20"/>
              </w:rPr>
              <w:t>Calculation:</w:t>
            </w:r>
          </w:p>
        </w:tc>
      </w:tr>
      <w:tr w:rsidR="007A2874" w:rsidRPr="007A2874" w14:paraId="219D09D7" w14:textId="77777777" w:rsidTr="007A2874">
        <w:tc>
          <w:tcPr>
            <w:tcW w:w="3256" w:type="dxa"/>
          </w:tcPr>
          <w:p w14:paraId="1270E8C3" w14:textId="46F8A031" w:rsidR="007A2874" w:rsidRPr="007A2874" w:rsidRDefault="007A2874" w:rsidP="007A2874">
            <w:pPr>
              <w:spacing w:before="240"/>
              <w:rPr>
                <w:b/>
                <w:sz w:val="22"/>
                <w:szCs w:val="22"/>
              </w:rPr>
            </w:pPr>
            <w:r w:rsidRPr="005368EC">
              <w:rPr>
                <w:b/>
                <w:sz w:val="22"/>
                <w:szCs w:val="22"/>
              </w:rPr>
              <w:lastRenderedPageBreak/>
              <w:t>Data quality</w:t>
            </w:r>
          </w:p>
        </w:tc>
        <w:tc>
          <w:tcPr>
            <w:tcW w:w="6598" w:type="dxa"/>
          </w:tcPr>
          <w:p w14:paraId="208F3C92" w14:textId="77777777" w:rsidR="007A2874" w:rsidRPr="007A2874" w:rsidRDefault="007A2874" w:rsidP="007A2874">
            <w:pPr>
              <w:textboxTightWrap w:val="allLines"/>
              <w:rPr>
                <w:sz w:val="20"/>
              </w:rPr>
            </w:pPr>
            <w:r w:rsidRPr="007A2874">
              <w:rPr>
                <w:b/>
                <w:sz w:val="22"/>
                <w:szCs w:val="22"/>
              </w:rPr>
              <w:t xml:space="preserve">iii) What are the thresholds for the data quality checks selected? </w:t>
            </w:r>
          </w:p>
          <w:p w14:paraId="3213811C" w14:textId="77777777" w:rsidR="007A2874" w:rsidRPr="007A2874" w:rsidRDefault="007A2874" w:rsidP="007A2874">
            <w:pPr>
              <w:textboxTightWrap w:val="allLines"/>
              <w:rPr>
                <w:rFonts w:asciiTheme="majorHAnsi" w:hAnsiTheme="majorHAnsi" w:cstheme="majorHAnsi"/>
                <w:b/>
                <w:sz w:val="22"/>
                <w:szCs w:val="22"/>
              </w:rPr>
            </w:pPr>
            <w:r w:rsidRPr="007A2874">
              <w:rPr>
                <w:rFonts w:asciiTheme="majorHAnsi" w:hAnsiTheme="majorHAnsi" w:cstheme="majorHAnsi"/>
                <w:b/>
                <w:sz w:val="22"/>
                <w:szCs w:val="22"/>
              </w:rPr>
              <w:t xml:space="preserve">Coverage:           </w:t>
            </w:r>
          </w:p>
          <w:p w14:paraId="314CE15F" w14:textId="77777777" w:rsidR="007A2874" w:rsidRPr="007A2874" w:rsidRDefault="007A2874" w:rsidP="007A2874">
            <w:pPr>
              <w:textboxTightWrap w:val="allLines"/>
              <w:rPr>
                <w:rFonts w:asciiTheme="majorHAnsi" w:hAnsiTheme="majorHAnsi" w:cstheme="majorHAnsi"/>
              </w:rPr>
            </w:pPr>
            <w:r w:rsidRPr="007A2874">
              <w:rPr>
                <w:rFonts w:asciiTheme="majorHAnsi" w:hAnsiTheme="majorHAnsi" w:cstheme="majorHAnsi"/>
                <w:b/>
                <w:sz w:val="22"/>
                <w:szCs w:val="22"/>
              </w:rPr>
              <w:t>Completeness:</w:t>
            </w:r>
            <w:r w:rsidRPr="007A2874">
              <w:rPr>
                <w:rFonts w:asciiTheme="majorHAnsi" w:hAnsiTheme="majorHAnsi" w:cstheme="majorHAnsi"/>
              </w:rPr>
              <w:t xml:space="preserve">          </w:t>
            </w:r>
          </w:p>
          <w:p w14:paraId="6D6EB6F3" w14:textId="77777777" w:rsidR="007A2874" w:rsidRPr="007A2874" w:rsidRDefault="007A2874" w:rsidP="007A2874">
            <w:pPr>
              <w:textboxTightWrap w:val="allLines"/>
              <w:rPr>
                <w:rFonts w:asciiTheme="majorHAnsi" w:hAnsiTheme="majorHAnsi" w:cstheme="majorHAnsi"/>
              </w:rPr>
            </w:pPr>
            <w:r w:rsidRPr="007A2874">
              <w:rPr>
                <w:rFonts w:asciiTheme="majorHAnsi" w:hAnsiTheme="majorHAnsi" w:cstheme="majorHAnsi"/>
                <w:b/>
                <w:sz w:val="22"/>
                <w:szCs w:val="22"/>
              </w:rPr>
              <w:t>Validity:</w:t>
            </w:r>
            <w:r w:rsidRPr="007A2874">
              <w:rPr>
                <w:rFonts w:asciiTheme="majorHAnsi" w:hAnsiTheme="majorHAnsi" w:cstheme="majorHAnsi"/>
              </w:rPr>
              <w:t xml:space="preserve">         </w:t>
            </w:r>
          </w:p>
          <w:p w14:paraId="4B6D8662" w14:textId="77777777" w:rsidR="007A2874" w:rsidRPr="007A2874" w:rsidRDefault="007A2874" w:rsidP="007A2874">
            <w:pPr>
              <w:textboxTightWrap w:val="allLines"/>
              <w:rPr>
                <w:rFonts w:asciiTheme="majorHAnsi" w:hAnsiTheme="majorHAnsi" w:cstheme="majorHAnsi"/>
              </w:rPr>
            </w:pPr>
            <w:r w:rsidRPr="007A2874">
              <w:rPr>
                <w:rFonts w:asciiTheme="majorHAnsi" w:hAnsiTheme="majorHAnsi" w:cstheme="majorHAnsi"/>
                <w:b/>
                <w:sz w:val="22"/>
                <w:szCs w:val="22"/>
              </w:rPr>
              <w:t>Default:</w:t>
            </w:r>
            <w:r w:rsidRPr="007A2874">
              <w:rPr>
                <w:rFonts w:asciiTheme="majorHAnsi" w:hAnsiTheme="majorHAnsi" w:cstheme="majorHAnsi"/>
              </w:rPr>
              <w:t xml:space="preserve">         </w:t>
            </w:r>
          </w:p>
          <w:p w14:paraId="43C92C0D" w14:textId="77777777" w:rsidR="007A2874" w:rsidRPr="007A2874" w:rsidRDefault="007A2874" w:rsidP="007A2874">
            <w:pPr>
              <w:textboxTightWrap w:val="allLines"/>
              <w:rPr>
                <w:rFonts w:asciiTheme="majorHAnsi" w:hAnsiTheme="majorHAnsi" w:cstheme="majorHAnsi"/>
              </w:rPr>
            </w:pPr>
            <w:r w:rsidRPr="007A2874">
              <w:rPr>
                <w:rFonts w:asciiTheme="majorHAnsi" w:hAnsiTheme="majorHAnsi" w:cstheme="majorHAnsi"/>
                <w:b/>
                <w:sz w:val="22"/>
                <w:szCs w:val="22"/>
              </w:rPr>
              <w:t>Integrity:</w:t>
            </w:r>
            <w:r w:rsidRPr="007A2874">
              <w:rPr>
                <w:rFonts w:asciiTheme="majorHAnsi" w:hAnsiTheme="majorHAnsi" w:cstheme="majorHAnsi"/>
              </w:rPr>
              <w:t xml:space="preserve">         </w:t>
            </w:r>
          </w:p>
          <w:p w14:paraId="17ABCF62" w14:textId="77777777" w:rsidR="007A2874" w:rsidRPr="007A2874" w:rsidRDefault="007A2874" w:rsidP="007A2874">
            <w:pPr>
              <w:textboxTightWrap w:val="allLines"/>
              <w:rPr>
                <w:rFonts w:asciiTheme="majorHAnsi" w:hAnsiTheme="majorHAnsi" w:cstheme="majorHAnsi"/>
              </w:rPr>
            </w:pPr>
            <w:r w:rsidRPr="007A2874">
              <w:rPr>
                <w:rFonts w:asciiTheme="majorHAnsi" w:hAnsiTheme="majorHAnsi" w:cstheme="majorHAnsi"/>
                <w:b/>
                <w:sz w:val="22"/>
                <w:szCs w:val="22"/>
              </w:rPr>
              <w:t>Timeliness:</w:t>
            </w:r>
            <w:r w:rsidRPr="007A2874">
              <w:rPr>
                <w:rFonts w:asciiTheme="majorHAnsi" w:hAnsiTheme="majorHAnsi" w:cstheme="majorHAnsi"/>
              </w:rPr>
              <w:t xml:space="preserve">         </w:t>
            </w:r>
          </w:p>
          <w:p w14:paraId="109E3D29" w14:textId="353FA237" w:rsidR="007A2874" w:rsidRPr="007A2874" w:rsidRDefault="007A2874" w:rsidP="007A2874">
            <w:pPr>
              <w:textboxTightWrap w:val="allLines"/>
              <w:rPr>
                <w:b/>
                <w:sz w:val="22"/>
                <w:szCs w:val="22"/>
              </w:rPr>
            </w:pPr>
            <w:r w:rsidRPr="007A2874">
              <w:rPr>
                <w:b/>
                <w:sz w:val="22"/>
                <w:szCs w:val="22"/>
              </w:rPr>
              <w:t xml:space="preserve">Other:            </w:t>
            </w:r>
            <w:r w:rsidRPr="007A2874">
              <w:rPr>
                <w:b/>
                <w:sz w:val="20"/>
              </w:rPr>
              <w:t xml:space="preserve"> </w:t>
            </w:r>
          </w:p>
        </w:tc>
      </w:tr>
      <w:tr w:rsidR="007A2874" w:rsidRPr="007A2874" w14:paraId="41BEEC5D" w14:textId="77777777" w:rsidTr="007A2874">
        <w:tc>
          <w:tcPr>
            <w:tcW w:w="3256" w:type="dxa"/>
          </w:tcPr>
          <w:p w14:paraId="46718AD7" w14:textId="4B264AD2" w:rsidR="007A2874" w:rsidRPr="007A2874" w:rsidRDefault="007A2874" w:rsidP="007A2874">
            <w:pPr>
              <w:spacing w:before="240"/>
              <w:rPr>
                <w:b/>
                <w:sz w:val="22"/>
                <w:szCs w:val="22"/>
              </w:rPr>
            </w:pPr>
            <w:r w:rsidRPr="005368EC">
              <w:rPr>
                <w:b/>
                <w:sz w:val="22"/>
                <w:szCs w:val="22"/>
              </w:rPr>
              <w:t>Data quality</w:t>
            </w:r>
          </w:p>
        </w:tc>
        <w:tc>
          <w:tcPr>
            <w:tcW w:w="6598" w:type="dxa"/>
          </w:tcPr>
          <w:p w14:paraId="547E8938" w14:textId="77777777" w:rsidR="007A2874" w:rsidRPr="007A2874" w:rsidRDefault="007A2874" w:rsidP="007A2874">
            <w:pPr>
              <w:textboxTightWrap w:val="allLines"/>
              <w:rPr>
                <w:sz w:val="20"/>
              </w:rPr>
            </w:pPr>
            <w:r w:rsidRPr="007A2874">
              <w:rPr>
                <w:b/>
                <w:sz w:val="22"/>
                <w:szCs w:val="22"/>
              </w:rPr>
              <w:t xml:space="preserve">iv) What is the rationale for the selection of the data quality checks and thresholds selected above? </w:t>
            </w:r>
          </w:p>
          <w:p w14:paraId="0CE82ACF" w14:textId="15631698" w:rsidR="007A2874" w:rsidRPr="007A2874" w:rsidRDefault="007A2874" w:rsidP="007A2874">
            <w:pPr>
              <w:textboxTightWrap w:val="allLines"/>
              <w:rPr>
                <w:b/>
                <w:sz w:val="22"/>
                <w:szCs w:val="22"/>
              </w:rPr>
            </w:pPr>
            <w:r w:rsidRPr="007A2874">
              <w:rPr>
                <w:sz w:val="20"/>
              </w:rPr>
              <w:t xml:space="preserve">                                                                                                                              </w:t>
            </w:r>
          </w:p>
        </w:tc>
      </w:tr>
      <w:tr w:rsidR="007A2874" w:rsidRPr="007A2874" w14:paraId="38C41C49" w14:textId="77777777" w:rsidTr="007A2874">
        <w:tc>
          <w:tcPr>
            <w:tcW w:w="3256" w:type="dxa"/>
          </w:tcPr>
          <w:p w14:paraId="458B2809" w14:textId="17113E05" w:rsidR="007A2874" w:rsidRPr="007A2874" w:rsidRDefault="007A2874" w:rsidP="007A2874">
            <w:pPr>
              <w:spacing w:before="240"/>
              <w:rPr>
                <w:b/>
                <w:sz w:val="22"/>
                <w:szCs w:val="22"/>
              </w:rPr>
            </w:pPr>
            <w:r w:rsidRPr="005368EC">
              <w:rPr>
                <w:b/>
                <w:sz w:val="22"/>
                <w:szCs w:val="22"/>
              </w:rPr>
              <w:t>Data quality</w:t>
            </w:r>
          </w:p>
        </w:tc>
        <w:tc>
          <w:tcPr>
            <w:tcW w:w="6598" w:type="dxa"/>
          </w:tcPr>
          <w:p w14:paraId="567DEFD7" w14:textId="77777777" w:rsidR="007A2874" w:rsidRPr="007A2874" w:rsidRDefault="007A2874" w:rsidP="007A2874">
            <w:pPr>
              <w:textboxTightWrap w:val="allLines"/>
              <w:rPr>
                <w:sz w:val="20"/>
                <w:szCs w:val="22"/>
              </w:rPr>
            </w:pPr>
            <w:r w:rsidRPr="007A2874">
              <w:rPr>
                <w:b/>
                <w:sz w:val="22"/>
                <w:szCs w:val="22"/>
              </w:rPr>
              <w:t xml:space="preserve">v) Describe how you would plan to improve data quality should it not meet, or subsequently fall below, the thresholds required for this indicator. </w:t>
            </w:r>
          </w:p>
          <w:p w14:paraId="068BB5A5" w14:textId="3866E459" w:rsidR="007A2874" w:rsidRPr="007A2874" w:rsidRDefault="007A2874" w:rsidP="007A2874">
            <w:pPr>
              <w:textboxTightWrap w:val="allLines"/>
              <w:rPr>
                <w:b/>
                <w:sz w:val="22"/>
                <w:szCs w:val="22"/>
              </w:rPr>
            </w:pPr>
            <w:r w:rsidRPr="007A2874">
              <w:rPr>
                <w:b/>
                <w:sz w:val="22"/>
                <w:szCs w:val="22"/>
              </w:rPr>
              <w:t xml:space="preserve">                                                                                                                  </w:t>
            </w:r>
          </w:p>
        </w:tc>
      </w:tr>
      <w:tr w:rsidR="007A2874" w:rsidRPr="007A2874" w14:paraId="700989CA" w14:textId="77777777" w:rsidTr="007A2874">
        <w:tc>
          <w:tcPr>
            <w:tcW w:w="3256" w:type="dxa"/>
          </w:tcPr>
          <w:p w14:paraId="442042B4" w14:textId="0B851698" w:rsidR="007A2874" w:rsidRPr="007A2874" w:rsidRDefault="007A2874" w:rsidP="007A2874">
            <w:pPr>
              <w:spacing w:before="240"/>
              <w:rPr>
                <w:b/>
                <w:sz w:val="22"/>
                <w:szCs w:val="22"/>
              </w:rPr>
            </w:pPr>
            <w:r w:rsidRPr="005368EC">
              <w:rPr>
                <w:b/>
                <w:sz w:val="22"/>
                <w:szCs w:val="22"/>
              </w:rPr>
              <w:t>Data quality</w:t>
            </w:r>
          </w:p>
        </w:tc>
        <w:tc>
          <w:tcPr>
            <w:tcW w:w="6598" w:type="dxa"/>
          </w:tcPr>
          <w:p w14:paraId="38F802A5" w14:textId="77777777" w:rsidR="007A2874" w:rsidRPr="007A2874" w:rsidRDefault="007A2874" w:rsidP="007A2874">
            <w:pPr>
              <w:textboxTightWrap w:val="allLines"/>
              <w:rPr>
                <w:b/>
                <w:sz w:val="22"/>
                <w:szCs w:val="22"/>
              </w:rPr>
            </w:pPr>
            <w:r w:rsidRPr="007A2874">
              <w:rPr>
                <w:b/>
                <w:sz w:val="22"/>
                <w:szCs w:val="22"/>
              </w:rPr>
              <w:t xml:space="preserve">vi) Who will own the data quality risks and issues for this indicator? </w:t>
            </w:r>
          </w:p>
          <w:p w14:paraId="1D8A3BF3" w14:textId="77777777" w:rsidR="007A2874" w:rsidRPr="007A2874" w:rsidRDefault="007A2874" w:rsidP="007A2874">
            <w:pPr>
              <w:textboxTightWrap w:val="allLines"/>
            </w:pPr>
            <w:r w:rsidRPr="007A2874">
              <w:rPr>
                <w:rFonts w:asciiTheme="majorHAnsi" w:hAnsiTheme="majorHAnsi" w:cstheme="majorHAnsi"/>
                <w:b/>
                <w:sz w:val="22"/>
                <w:szCs w:val="22"/>
              </w:rPr>
              <w:t>Name:</w:t>
            </w:r>
            <w:r w:rsidRPr="007A2874">
              <w:t xml:space="preserve">                               </w:t>
            </w:r>
          </w:p>
          <w:p w14:paraId="5B2AA21B" w14:textId="77777777" w:rsidR="007A2874" w:rsidRPr="007A2874" w:rsidRDefault="007A2874" w:rsidP="007A2874">
            <w:pPr>
              <w:textboxTightWrap w:val="allLines"/>
            </w:pPr>
            <w:r w:rsidRPr="007A2874">
              <w:rPr>
                <w:rFonts w:asciiTheme="majorHAnsi" w:hAnsiTheme="majorHAnsi" w:cstheme="majorHAnsi"/>
                <w:b/>
                <w:sz w:val="22"/>
                <w:szCs w:val="22"/>
              </w:rPr>
              <w:t>Job Title:</w:t>
            </w:r>
            <w:r w:rsidRPr="007A2874">
              <w:t xml:space="preserve">                               </w:t>
            </w:r>
          </w:p>
          <w:p w14:paraId="0D99D4EE" w14:textId="77777777" w:rsidR="007A2874" w:rsidRPr="007A2874" w:rsidRDefault="007A2874" w:rsidP="007A2874">
            <w:pPr>
              <w:textboxTightWrap w:val="allLines"/>
            </w:pPr>
            <w:r w:rsidRPr="007A2874">
              <w:rPr>
                <w:rFonts w:asciiTheme="majorHAnsi" w:hAnsiTheme="majorHAnsi" w:cstheme="majorHAnsi"/>
                <w:b/>
                <w:sz w:val="22"/>
                <w:szCs w:val="22"/>
              </w:rPr>
              <w:t>Role:</w:t>
            </w:r>
            <w:r w:rsidRPr="007A2874">
              <w:t xml:space="preserve">                               </w:t>
            </w:r>
          </w:p>
          <w:p w14:paraId="618A703F" w14:textId="77777777" w:rsidR="007A2874" w:rsidRPr="007A2874" w:rsidRDefault="007A2874" w:rsidP="007A2874">
            <w:pPr>
              <w:textboxTightWrap w:val="allLines"/>
            </w:pPr>
            <w:r w:rsidRPr="007A2874">
              <w:rPr>
                <w:rFonts w:asciiTheme="majorHAnsi" w:hAnsiTheme="majorHAnsi" w:cstheme="majorHAnsi"/>
                <w:b/>
                <w:sz w:val="22"/>
                <w:szCs w:val="22"/>
              </w:rPr>
              <w:t>Email:</w:t>
            </w:r>
            <w:r w:rsidRPr="007A2874">
              <w:t xml:space="preserve">                               </w:t>
            </w:r>
          </w:p>
          <w:p w14:paraId="24ABDB51" w14:textId="17010D29" w:rsidR="007A2874" w:rsidRPr="007A2874" w:rsidRDefault="007A2874" w:rsidP="007A2874">
            <w:pPr>
              <w:textboxTightWrap w:val="allLines"/>
              <w:rPr>
                <w:b/>
                <w:sz w:val="22"/>
                <w:szCs w:val="22"/>
              </w:rPr>
            </w:pPr>
            <w:r w:rsidRPr="007A2874">
              <w:rPr>
                <w:rFonts w:asciiTheme="majorHAnsi" w:hAnsiTheme="majorHAnsi" w:cstheme="majorHAnsi"/>
                <w:b/>
                <w:sz w:val="22"/>
                <w:szCs w:val="22"/>
              </w:rPr>
              <w:t>Telephone:</w:t>
            </w:r>
            <w:r w:rsidRPr="007A2874">
              <w:t xml:space="preserve">                               </w:t>
            </w:r>
          </w:p>
        </w:tc>
      </w:tr>
      <w:tr w:rsidR="007A2874" w:rsidRPr="007A2874" w14:paraId="1814F630" w14:textId="77777777" w:rsidTr="007A2874">
        <w:tc>
          <w:tcPr>
            <w:tcW w:w="3256" w:type="dxa"/>
          </w:tcPr>
          <w:p w14:paraId="17B6831E" w14:textId="0BC0715B" w:rsidR="007A2874" w:rsidRPr="007A2874" w:rsidRDefault="007A2874" w:rsidP="007A2874">
            <w:pPr>
              <w:spacing w:before="240"/>
              <w:rPr>
                <w:b/>
                <w:sz w:val="22"/>
                <w:szCs w:val="22"/>
              </w:rPr>
            </w:pPr>
            <w:r w:rsidRPr="005368EC">
              <w:rPr>
                <w:b/>
                <w:sz w:val="22"/>
                <w:szCs w:val="22"/>
              </w:rPr>
              <w:t>Data quality</w:t>
            </w:r>
          </w:p>
        </w:tc>
        <w:tc>
          <w:tcPr>
            <w:tcW w:w="6598" w:type="dxa"/>
          </w:tcPr>
          <w:p w14:paraId="77354A67" w14:textId="77777777" w:rsidR="007A2874" w:rsidRPr="007A2874" w:rsidRDefault="007A2874" w:rsidP="007A2874">
            <w:pPr>
              <w:spacing w:before="240"/>
              <w:textboxTightWrap w:val="allLines"/>
              <w:rPr>
                <w:sz w:val="20"/>
                <w:szCs w:val="22"/>
              </w:rPr>
            </w:pPr>
            <w:r w:rsidRPr="007A2874">
              <w:rPr>
                <w:b/>
                <w:sz w:val="22"/>
                <w:szCs w:val="22"/>
              </w:rPr>
              <w:t xml:space="preserve">vii) Describe how the data quality risks and issues will be managed for this indicator, including the escalation process. </w:t>
            </w:r>
          </w:p>
          <w:p w14:paraId="4FD0CB52" w14:textId="52744FBF" w:rsidR="007A2874" w:rsidRPr="007A2874" w:rsidRDefault="007A2874" w:rsidP="007A2874">
            <w:pPr>
              <w:textboxTightWrap w:val="allLines"/>
              <w:rPr>
                <w:b/>
                <w:sz w:val="22"/>
                <w:szCs w:val="22"/>
              </w:rPr>
            </w:pPr>
            <w:r w:rsidRPr="007A2874">
              <w:rPr>
                <w:b/>
                <w:sz w:val="22"/>
                <w:szCs w:val="22"/>
              </w:rPr>
              <w:t xml:space="preserve">                                                                                                                  </w:t>
            </w:r>
          </w:p>
        </w:tc>
      </w:tr>
      <w:tr w:rsidR="007A2874" w:rsidRPr="007A2874" w14:paraId="73536F47" w14:textId="77777777" w:rsidTr="007A2874">
        <w:tc>
          <w:tcPr>
            <w:tcW w:w="3256" w:type="dxa"/>
          </w:tcPr>
          <w:p w14:paraId="165D0A6C" w14:textId="4DE60ABC" w:rsidR="007A2874" w:rsidRPr="007A2874" w:rsidRDefault="007A2874" w:rsidP="007A2874">
            <w:pPr>
              <w:spacing w:before="240"/>
              <w:rPr>
                <w:b/>
                <w:sz w:val="22"/>
                <w:szCs w:val="22"/>
              </w:rPr>
            </w:pPr>
            <w:r w:rsidRPr="0004342B">
              <w:rPr>
                <w:b/>
                <w:sz w:val="22"/>
                <w:szCs w:val="22"/>
              </w:rPr>
              <w:lastRenderedPageBreak/>
              <w:t>Data quality</w:t>
            </w:r>
          </w:p>
        </w:tc>
        <w:tc>
          <w:tcPr>
            <w:tcW w:w="6598" w:type="dxa"/>
          </w:tcPr>
          <w:p w14:paraId="62E0F2B9" w14:textId="77777777" w:rsidR="007A2874" w:rsidRPr="007A2874" w:rsidRDefault="007A2874" w:rsidP="007A2874">
            <w:pPr>
              <w:textboxTightWrap w:val="allLines"/>
              <w:rPr>
                <w:sz w:val="20"/>
                <w:szCs w:val="22"/>
              </w:rPr>
            </w:pPr>
            <w:r w:rsidRPr="007A2874">
              <w:rPr>
                <w:b/>
                <w:sz w:val="22"/>
                <w:szCs w:val="22"/>
              </w:rPr>
              <w:t xml:space="preserve">viii) Describe any assumptions you have made about data quality for this indicator. </w:t>
            </w:r>
          </w:p>
          <w:p w14:paraId="0A6582B1" w14:textId="6ACC8DD4" w:rsidR="007A2874" w:rsidRPr="007A2874" w:rsidRDefault="007A2874" w:rsidP="007A2874">
            <w:pPr>
              <w:spacing w:before="240"/>
              <w:textboxTightWrap w:val="allLines"/>
              <w:rPr>
                <w:b/>
                <w:sz w:val="22"/>
                <w:szCs w:val="22"/>
              </w:rPr>
            </w:pPr>
            <w:r w:rsidRPr="007A2874">
              <w:rPr>
                <w:b/>
                <w:sz w:val="22"/>
                <w:szCs w:val="22"/>
              </w:rPr>
              <w:t xml:space="preserve">                                                                                                                  </w:t>
            </w:r>
          </w:p>
        </w:tc>
      </w:tr>
      <w:tr w:rsidR="007A2874" w:rsidRPr="007A2874" w14:paraId="52BBB490" w14:textId="77777777" w:rsidTr="007A2874">
        <w:tc>
          <w:tcPr>
            <w:tcW w:w="3256" w:type="dxa"/>
          </w:tcPr>
          <w:p w14:paraId="318CF9FF" w14:textId="0D36ADFC" w:rsidR="007A2874" w:rsidRPr="007A2874" w:rsidRDefault="007A2874" w:rsidP="007A2874">
            <w:pPr>
              <w:spacing w:before="240"/>
              <w:rPr>
                <w:b/>
                <w:sz w:val="22"/>
                <w:szCs w:val="22"/>
              </w:rPr>
            </w:pPr>
            <w:r w:rsidRPr="0004342B">
              <w:rPr>
                <w:b/>
                <w:sz w:val="22"/>
                <w:szCs w:val="22"/>
              </w:rPr>
              <w:t>Data quality</w:t>
            </w:r>
          </w:p>
        </w:tc>
        <w:tc>
          <w:tcPr>
            <w:tcW w:w="6598" w:type="dxa"/>
          </w:tcPr>
          <w:p w14:paraId="060ACFC2" w14:textId="77777777" w:rsidR="007A2874" w:rsidRPr="007A2874" w:rsidRDefault="007A2874" w:rsidP="007A2874">
            <w:pPr>
              <w:textboxTightWrap w:val="allLines"/>
              <w:rPr>
                <w:b/>
                <w:sz w:val="22"/>
                <w:szCs w:val="22"/>
              </w:rPr>
            </w:pPr>
            <w:r w:rsidRPr="007A2874">
              <w:rPr>
                <w:b/>
                <w:sz w:val="22"/>
                <w:szCs w:val="22"/>
              </w:rPr>
              <w:t>ix) Describe any data quality constraints you are aware of for this indicator.</w:t>
            </w:r>
            <w:r w:rsidRPr="007A2874">
              <w:rPr>
                <w:sz w:val="20"/>
                <w:szCs w:val="22"/>
              </w:rPr>
              <w:t xml:space="preserve"> </w:t>
            </w:r>
          </w:p>
          <w:p w14:paraId="085F7FEF" w14:textId="67D0F7FA" w:rsidR="007A2874" w:rsidRPr="007A2874" w:rsidRDefault="007A2874" w:rsidP="007A2874">
            <w:pPr>
              <w:textboxTightWrap w:val="allLines"/>
              <w:rPr>
                <w:b/>
                <w:sz w:val="22"/>
                <w:szCs w:val="22"/>
              </w:rPr>
            </w:pPr>
            <w:r w:rsidRPr="007A2874">
              <w:rPr>
                <w:b/>
                <w:sz w:val="22"/>
                <w:szCs w:val="22"/>
              </w:rPr>
              <w:t xml:space="preserve">                                                                                                                  </w:t>
            </w:r>
          </w:p>
        </w:tc>
      </w:tr>
      <w:tr w:rsidR="007A2874" w:rsidRPr="007A2874" w14:paraId="6D4C391C" w14:textId="77777777" w:rsidTr="007A2874">
        <w:tc>
          <w:tcPr>
            <w:tcW w:w="3256" w:type="dxa"/>
          </w:tcPr>
          <w:p w14:paraId="15FCA5BC" w14:textId="05BD4E4E" w:rsidR="007A2874" w:rsidRPr="007A2874" w:rsidRDefault="007A2874" w:rsidP="007A2874">
            <w:pPr>
              <w:spacing w:before="240"/>
              <w:rPr>
                <w:b/>
                <w:sz w:val="22"/>
                <w:szCs w:val="22"/>
              </w:rPr>
            </w:pPr>
            <w:r w:rsidRPr="0004342B">
              <w:rPr>
                <w:b/>
                <w:sz w:val="22"/>
                <w:szCs w:val="22"/>
              </w:rPr>
              <w:t>Data quality</w:t>
            </w:r>
          </w:p>
        </w:tc>
        <w:tc>
          <w:tcPr>
            <w:tcW w:w="6598" w:type="dxa"/>
          </w:tcPr>
          <w:p w14:paraId="2037D611" w14:textId="77777777" w:rsidR="007A2874" w:rsidRPr="007A2874" w:rsidRDefault="007A2874" w:rsidP="007A2874">
            <w:pPr>
              <w:spacing w:before="240"/>
              <w:rPr>
                <w:b/>
                <w:sz w:val="22"/>
                <w:szCs w:val="22"/>
              </w:rPr>
            </w:pPr>
            <w:r w:rsidRPr="007A2874">
              <w:rPr>
                <w:b/>
                <w:sz w:val="22"/>
                <w:szCs w:val="22"/>
              </w:rPr>
              <w:t xml:space="preserve">x) Additional data quality information: </w:t>
            </w:r>
          </w:p>
          <w:p w14:paraId="191C1D6C" w14:textId="77777777" w:rsidR="007A2874" w:rsidRPr="007A2874" w:rsidRDefault="007A2874" w:rsidP="007A2874">
            <w:pPr>
              <w:spacing w:before="240"/>
              <w:rPr>
                <w:b/>
                <w:sz w:val="22"/>
                <w:szCs w:val="22"/>
              </w:rPr>
            </w:pPr>
            <w:r w:rsidRPr="007A2874">
              <w:rPr>
                <w:b/>
                <w:sz w:val="22"/>
                <w:szCs w:val="22"/>
              </w:rPr>
              <w:t xml:space="preserve">                                                                                                                 </w:t>
            </w:r>
          </w:p>
          <w:p w14:paraId="186ECA1B" w14:textId="66A18A81" w:rsidR="007A2874" w:rsidRPr="007A2874" w:rsidRDefault="007A2874" w:rsidP="007A2874">
            <w:pPr>
              <w:textboxTightWrap w:val="allLines"/>
              <w:rPr>
                <w:b/>
                <w:sz w:val="22"/>
                <w:szCs w:val="22"/>
              </w:rPr>
            </w:pPr>
            <w:r w:rsidRPr="007A2874">
              <w:rPr>
                <w:b/>
                <w:sz w:val="22"/>
                <w:szCs w:val="22"/>
              </w:rPr>
              <w:t xml:space="preserve">                                                                                                                  </w:t>
            </w:r>
          </w:p>
        </w:tc>
      </w:tr>
      <w:tr w:rsidR="007A2874" w:rsidRPr="007A2874" w14:paraId="13C7BF0C" w14:textId="77777777" w:rsidTr="007A2874">
        <w:tc>
          <w:tcPr>
            <w:tcW w:w="3256" w:type="dxa"/>
          </w:tcPr>
          <w:p w14:paraId="0E01497F" w14:textId="70F8EC80" w:rsidR="007A2874" w:rsidRPr="007A2874" w:rsidRDefault="007A2874" w:rsidP="007A2874">
            <w:pPr>
              <w:spacing w:before="240"/>
              <w:rPr>
                <w:b/>
                <w:sz w:val="22"/>
                <w:szCs w:val="22"/>
              </w:rPr>
            </w:pPr>
            <w:r w:rsidRPr="007A2874">
              <w:rPr>
                <w:b/>
                <w:sz w:val="22"/>
                <w:szCs w:val="22"/>
              </w:rPr>
              <w:t>Quality assurance</w:t>
            </w:r>
          </w:p>
        </w:tc>
        <w:tc>
          <w:tcPr>
            <w:tcW w:w="6598" w:type="dxa"/>
          </w:tcPr>
          <w:p w14:paraId="1895CCBC" w14:textId="77777777" w:rsidR="007A2874" w:rsidRPr="007A2874" w:rsidRDefault="007A2874" w:rsidP="007A2874">
            <w:pPr>
              <w:spacing w:before="240"/>
              <w:rPr>
                <w:sz w:val="22"/>
                <w:szCs w:val="22"/>
              </w:rPr>
            </w:pPr>
            <w:r w:rsidRPr="007A2874">
              <w:rPr>
                <w:sz w:val="22"/>
                <w:szCs w:val="22"/>
              </w:rPr>
              <w:t xml:space="preserve">There is no other national data set to compare HES against to obtain an overall quantitative assessment of accuracy. The data are completed from administrative records recorded by each Trust on their Patient Administration Systems (PAS) with the clinical information added by clinical coders based on doctors’ notes. The trusts are required to complete this information to inform how much they are paid under </w:t>
            </w:r>
            <w:proofErr w:type="spellStart"/>
            <w:r w:rsidRPr="007A2874">
              <w:rPr>
                <w:sz w:val="22"/>
                <w:szCs w:val="22"/>
              </w:rPr>
              <w:t>PbR</w:t>
            </w:r>
            <w:proofErr w:type="spellEnd"/>
            <w:r w:rsidRPr="007A2874">
              <w:rPr>
                <w:sz w:val="22"/>
                <w:szCs w:val="22"/>
              </w:rPr>
              <w:t xml:space="preserve"> and the Audit Commission run a rolling programme of audits of organisations’ coding to check for accuracy.</w:t>
            </w:r>
          </w:p>
          <w:p w14:paraId="45DC00DE" w14:textId="77777777" w:rsidR="007A2874" w:rsidRPr="007A2874" w:rsidRDefault="007A2874" w:rsidP="007A2874">
            <w:pPr>
              <w:spacing w:before="240"/>
            </w:pPr>
            <w:r w:rsidRPr="007A2874">
              <w:rPr>
                <w:sz w:val="22"/>
                <w:szCs w:val="22"/>
              </w:rPr>
              <w:t xml:space="preserve">The HES Processing Cycle and Data Quality report includes and explains the data cleaning process, the provider organisation code mapping and the derivation rules which include examples of correction and validation rules and derivation is available at the following link: </w:t>
            </w:r>
            <w:hyperlink r:id="rId15" w:history="1">
              <w:r w:rsidRPr="007A2874">
                <w:rPr>
                  <w:rStyle w:val="Hyperlink"/>
                  <w:rFonts w:ascii="Arial" w:hAnsi="Arial"/>
                  <w:color w:val="auto"/>
                  <w:sz w:val="22"/>
                  <w:szCs w:val="22"/>
                </w:rPr>
                <w:t>http://content.digital.nhs.uk/article/1825/The-processing-cycle-and-HES-data-quality</w:t>
              </w:r>
            </w:hyperlink>
            <w:r w:rsidRPr="007A2874">
              <w:rPr>
                <w:sz w:val="22"/>
                <w:szCs w:val="22"/>
              </w:rPr>
              <w:t>.</w:t>
            </w:r>
          </w:p>
          <w:p w14:paraId="626D3CF0" w14:textId="241A23CF" w:rsidR="007A2874" w:rsidRPr="007A2874" w:rsidRDefault="007A2874" w:rsidP="007A2874">
            <w:pPr>
              <w:spacing w:before="240"/>
              <w:rPr>
                <w:b/>
                <w:sz w:val="22"/>
                <w:szCs w:val="22"/>
              </w:rPr>
            </w:pPr>
            <w:r w:rsidRPr="007A2874">
              <w:rPr>
                <w:sz w:val="22"/>
                <w:szCs w:val="22"/>
              </w:rPr>
              <w:t xml:space="preserve">NACR data is subject to </w:t>
            </w:r>
            <w:proofErr w:type="gramStart"/>
            <w:r w:rsidRPr="007A2874">
              <w:rPr>
                <w:sz w:val="22"/>
                <w:szCs w:val="22"/>
              </w:rPr>
              <w:t>a number of</w:t>
            </w:r>
            <w:proofErr w:type="gramEnd"/>
            <w:r w:rsidRPr="007A2874">
              <w:rPr>
                <w:sz w:val="22"/>
                <w:szCs w:val="22"/>
              </w:rPr>
              <w:t xml:space="preserve"> validation rules on entry, any data that is in the incorrect format can lead to a rejection of the record, or a blanking or truncation of the data item. Quality assurance is performed by the NACR when extreme values are found in the system, common issues that arise in the data are investigated and fed back to the teams involved and data validation rules are introduced to prevent issues reoccurring.</w:t>
            </w:r>
          </w:p>
        </w:tc>
      </w:tr>
      <w:tr w:rsidR="007A2874" w:rsidRPr="007A2874" w14:paraId="02408917" w14:textId="77777777" w:rsidTr="007A2874">
        <w:tc>
          <w:tcPr>
            <w:tcW w:w="3256" w:type="dxa"/>
          </w:tcPr>
          <w:p w14:paraId="59B2BA70" w14:textId="00D7DD6C" w:rsidR="007A2874" w:rsidRPr="007A2874" w:rsidRDefault="007A2874" w:rsidP="007A2874">
            <w:pPr>
              <w:spacing w:before="240"/>
              <w:rPr>
                <w:b/>
                <w:sz w:val="22"/>
                <w:szCs w:val="22"/>
              </w:rPr>
            </w:pPr>
            <w:r w:rsidRPr="007A2874">
              <w:rPr>
                <w:b/>
                <w:sz w:val="22"/>
                <w:szCs w:val="22"/>
              </w:rPr>
              <w:t>Data linkage</w:t>
            </w:r>
          </w:p>
        </w:tc>
        <w:tc>
          <w:tcPr>
            <w:tcW w:w="6598" w:type="dxa"/>
          </w:tcPr>
          <w:p w14:paraId="74563633" w14:textId="77777777" w:rsidR="007A2874" w:rsidRPr="007A2874" w:rsidRDefault="007A2874" w:rsidP="007A2874">
            <w:pPr>
              <w:spacing w:before="240"/>
              <w:rPr>
                <w:sz w:val="22"/>
                <w:szCs w:val="22"/>
              </w:rPr>
            </w:pPr>
            <w:r w:rsidRPr="007A2874">
              <w:rPr>
                <w:sz w:val="22"/>
                <w:szCs w:val="22"/>
              </w:rPr>
              <w:t>Records in the NACR have been linked to the HES APC data by the NHS Digital DARS team. This linkage has been performed through use of NHS Number, Postcode, Sex, and Date of Birth. Whilst the HES APC data set is recorded as a single table with a single differentiated record per episode identifier (EPIKEY), the NACR data meanwhile is a relational data set, where each contact with cardiac rehabilitation services is recorded alongside a person level identifier (</w:t>
            </w:r>
            <w:proofErr w:type="spellStart"/>
            <w:r w:rsidRPr="007A2874">
              <w:rPr>
                <w:sz w:val="22"/>
                <w:szCs w:val="22"/>
              </w:rPr>
              <w:t>StudyID</w:t>
            </w:r>
            <w:proofErr w:type="spellEnd"/>
            <w:r w:rsidRPr="007A2874">
              <w:rPr>
                <w:sz w:val="22"/>
                <w:szCs w:val="22"/>
              </w:rPr>
              <w:t xml:space="preserve">). Data from a single financial year of HES data is linked to a single financial year of NACR data, plus 5 days. The NHS Digital DARS extract contains a list of </w:t>
            </w:r>
            <w:proofErr w:type="spellStart"/>
            <w:r w:rsidRPr="007A2874">
              <w:rPr>
                <w:sz w:val="22"/>
                <w:szCs w:val="22"/>
              </w:rPr>
              <w:t>StudyIDs</w:t>
            </w:r>
            <w:proofErr w:type="spellEnd"/>
            <w:r w:rsidRPr="007A2874">
              <w:rPr>
                <w:sz w:val="22"/>
                <w:szCs w:val="22"/>
              </w:rPr>
              <w:t xml:space="preserve"> linked to EPKIEYs. These keys are then linked back to their source data sets by the NHS Digital Clinical Indicators team. </w:t>
            </w:r>
          </w:p>
          <w:p w14:paraId="2A6A3BAF" w14:textId="77777777" w:rsidR="007A2874" w:rsidRPr="007A2874" w:rsidRDefault="007A2874" w:rsidP="007A2874">
            <w:pPr>
              <w:spacing w:before="240"/>
              <w:rPr>
                <w:sz w:val="22"/>
                <w:szCs w:val="22"/>
              </w:rPr>
            </w:pPr>
            <w:r w:rsidRPr="007A2874">
              <w:rPr>
                <w:sz w:val="22"/>
                <w:szCs w:val="22"/>
              </w:rPr>
              <w:t xml:space="preserve">This introduces </w:t>
            </w:r>
            <w:proofErr w:type="gramStart"/>
            <w:r w:rsidRPr="007A2874">
              <w:rPr>
                <w:sz w:val="22"/>
                <w:szCs w:val="22"/>
              </w:rPr>
              <w:t>a number of</w:t>
            </w:r>
            <w:proofErr w:type="gramEnd"/>
            <w:r w:rsidRPr="007A2874">
              <w:rPr>
                <w:sz w:val="22"/>
                <w:szCs w:val="22"/>
              </w:rPr>
              <w:t xml:space="preserve"> issues with the linkage of the datasets and subsequent analysis, for example, duplication of a </w:t>
            </w:r>
            <w:proofErr w:type="spellStart"/>
            <w:r w:rsidRPr="007A2874">
              <w:rPr>
                <w:sz w:val="22"/>
                <w:szCs w:val="22"/>
              </w:rPr>
              <w:t>StudyID</w:t>
            </w:r>
            <w:proofErr w:type="spellEnd"/>
            <w:r w:rsidRPr="007A2874">
              <w:rPr>
                <w:sz w:val="22"/>
                <w:szCs w:val="22"/>
              </w:rPr>
              <w:t xml:space="preserve"> means that each permutation of data will be linked to a </w:t>
            </w:r>
            <w:r w:rsidRPr="007A2874">
              <w:rPr>
                <w:sz w:val="22"/>
                <w:szCs w:val="22"/>
              </w:rPr>
              <w:lastRenderedPageBreak/>
              <w:t>single EPIKEY, artificially inflating figures. In order to avoid this situation, the NHS Digital Clinical Indicators team has attempted to remove any duplicate records when joining the NHS Digital DARS extract to both the HES and NACR data.</w:t>
            </w:r>
          </w:p>
          <w:p w14:paraId="4880644B" w14:textId="77777777" w:rsidR="007A2874" w:rsidRPr="007A2874" w:rsidRDefault="007A2874" w:rsidP="007A2874">
            <w:pPr>
              <w:spacing w:before="240"/>
              <w:rPr>
                <w:sz w:val="22"/>
                <w:szCs w:val="22"/>
              </w:rPr>
            </w:pPr>
            <w:r w:rsidRPr="007A2874">
              <w:rPr>
                <w:sz w:val="22"/>
                <w:szCs w:val="22"/>
              </w:rPr>
              <w:t xml:space="preserve">There are a small number of cases where the same EPIKEY has been linked to multiple </w:t>
            </w:r>
            <w:proofErr w:type="spellStart"/>
            <w:r w:rsidRPr="007A2874">
              <w:rPr>
                <w:sz w:val="22"/>
                <w:szCs w:val="22"/>
              </w:rPr>
              <w:t>StudyIDs</w:t>
            </w:r>
            <w:proofErr w:type="spellEnd"/>
            <w:r w:rsidRPr="007A2874">
              <w:rPr>
                <w:sz w:val="22"/>
                <w:szCs w:val="22"/>
              </w:rPr>
              <w:t>; these have been removed from the analysis. In the 2011-12 data, 61 EPIKEYs were removed, leaving 329,977 remaining for analysis.</w:t>
            </w:r>
          </w:p>
          <w:p w14:paraId="0094622C" w14:textId="77777777" w:rsidR="007A2874" w:rsidRPr="007A2874" w:rsidRDefault="007A2874" w:rsidP="007A2874">
            <w:pPr>
              <w:spacing w:before="240"/>
              <w:rPr>
                <w:sz w:val="22"/>
                <w:szCs w:val="22"/>
              </w:rPr>
            </w:pPr>
            <w:r w:rsidRPr="007A2874">
              <w:rPr>
                <w:sz w:val="22"/>
                <w:szCs w:val="22"/>
              </w:rPr>
              <w:t xml:space="preserve">The linkage has been performed in order to obtain the number of eligible cases for cardiac rehabilitation, it also allows for the NACR data to benefit from the more complete data and robust data quality assurance that has been applied to HES whilst making use of specific fields in the NACR that allow these indicators to be constructed. Filters that are applied to the HES data set will allow for records to be excluded from the NACR data and aggregations can be performed through CCG of Responsibility from HES data rather than attempting to construct a similar field using geographical data contained in the NACR. </w:t>
            </w:r>
          </w:p>
          <w:p w14:paraId="5786EC0D" w14:textId="77777777" w:rsidR="007A2874" w:rsidRPr="007A2874" w:rsidRDefault="007A2874" w:rsidP="007A2874">
            <w:pPr>
              <w:spacing w:before="240"/>
              <w:rPr>
                <w:sz w:val="22"/>
                <w:szCs w:val="22"/>
              </w:rPr>
            </w:pPr>
            <w:r w:rsidRPr="007A2874">
              <w:rPr>
                <w:sz w:val="22"/>
                <w:szCs w:val="22"/>
              </w:rPr>
              <w:t>For the period 1</w:t>
            </w:r>
            <w:r w:rsidRPr="007A2874">
              <w:rPr>
                <w:sz w:val="22"/>
                <w:szCs w:val="22"/>
                <w:vertAlign w:val="superscript"/>
              </w:rPr>
              <w:t>st</w:t>
            </w:r>
            <w:r w:rsidRPr="007A2874">
              <w:rPr>
                <w:sz w:val="22"/>
                <w:szCs w:val="22"/>
              </w:rPr>
              <w:t xml:space="preserve"> April 2011 to 31</w:t>
            </w:r>
            <w:r w:rsidRPr="007A2874">
              <w:rPr>
                <w:sz w:val="22"/>
                <w:szCs w:val="22"/>
                <w:vertAlign w:val="superscript"/>
              </w:rPr>
              <w:t>st</w:t>
            </w:r>
            <w:r w:rsidRPr="007A2874">
              <w:rPr>
                <w:sz w:val="22"/>
                <w:szCs w:val="22"/>
              </w:rPr>
              <w:t xml:space="preserve"> March 2012, there are 148,157 eligible FAEs in the HES data set. For the equivalent period in the NACR data, 1</w:t>
            </w:r>
            <w:r w:rsidRPr="007A2874">
              <w:rPr>
                <w:sz w:val="22"/>
                <w:szCs w:val="22"/>
                <w:vertAlign w:val="superscript"/>
              </w:rPr>
              <w:t>st</w:t>
            </w:r>
            <w:r w:rsidRPr="007A2874">
              <w:rPr>
                <w:sz w:val="22"/>
                <w:szCs w:val="22"/>
              </w:rPr>
              <w:t xml:space="preserve"> April 2011 to 5</w:t>
            </w:r>
            <w:r w:rsidRPr="007A2874">
              <w:rPr>
                <w:sz w:val="22"/>
                <w:szCs w:val="22"/>
                <w:vertAlign w:val="superscript"/>
              </w:rPr>
              <w:t>th</w:t>
            </w:r>
            <w:r w:rsidRPr="007A2874">
              <w:rPr>
                <w:sz w:val="22"/>
                <w:szCs w:val="22"/>
              </w:rPr>
              <w:t xml:space="preserve"> April 2012, there are 77,393 distinct </w:t>
            </w:r>
            <w:proofErr w:type="spellStart"/>
            <w:r w:rsidRPr="007A2874">
              <w:rPr>
                <w:sz w:val="22"/>
                <w:szCs w:val="22"/>
              </w:rPr>
              <w:t>StudyIDs</w:t>
            </w:r>
            <w:proofErr w:type="spellEnd"/>
            <w:r w:rsidRPr="007A2874">
              <w:rPr>
                <w:sz w:val="22"/>
                <w:szCs w:val="22"/>
              </w:rPr>
              <w:t xml:space="preserve">. Following linkage of the two data sets, 41,188 (53.2%) of NACR records are retained. This number is further reduced when the NACR records are limited to those that are relevant to the indicator, to 21,970 distinct </w:t>
            </w:r>
            <w:proofErr w:type="spellStart"/>
            <w:r w:rsidRPr="007A2874">
              <w:rPr>
                <w:sz w:val="22"/>
                <w:szCs w:val="22"/>
              </w:rPr>
              <w:t>StudyIDs</w:t>
            </w:r>
            <w:proofErr w:type="spellEnd"/>
            <w:r w:rsidRPr="007A2874">
              <w:rPr>
                <w:sz w:val="22"/>
                <w:szCs w:val="22"/>
              </w:rPr>
              <w:t xml:space="preserve">. </w:t>
            </w:r>
          </w:p>
          <w:p w14:paraId="6E1AA628" w14:textId="77777777" w:rsidR="007A2874" w:rsidRPr="007A2874" w:rsidRDefault="007A2874" w:rsidP="007A2874">
            <w:pPr>
              <w:spacing w:before="240"/>
              <w:rPr>
                <w:sz w:val="22"/>
                <w:szCs w:val="22"/>
              </w:rPr>
            </w:pPr>
            <w:r w:rsidRPr="007A2874">
              <w:rPr>
                <w:sz w:val="22"/>
                <w:szCs w:val="22"/>
              </w:rPr>
              <w:t xml:space="preserve">NACR records are linked to the closest HES episode within the time period. There is not enough information contained on the NACR record to ensure that it is linked with the correct source HES episode, the linkage performed here allows for an approximation of activity. </w:t>
            </w:r>
          </w:p>
          <w:p w14:paraId="38A738F3" w14:textId="0F65465E" w:rsidR="007A2874" w:rsidRPr="007A2874" w:rsidRDefault="007A2874" w:rsidP="007A2874">
            <w:pPr>
              <w:spacing w:before="240"/>
              <w:rPr>
                <w:sz w:val="22"/>
                <w:szCs w:val="22"/>
              </w:rPr>
            </w:pPr>
            <w:r w:rsidRPr="007A2874">
              <w:rPr>
                <w:sz w:val="22"/>
                <w:szCs w:val="22"/>
              </w:rPr>
              <w:t xml:space="preserve">Source of Referral is an available field in the NACR data set; </w:t>
            </w:r>
            <w:proofErr w:type="gramStart"/>
            <w:r w:rsidRPr="007A2874">
              <w:rPr>
                <w:sz w:val="22"/>
                <w:szCs w:val="22"/>
              </w:rPr>
              <w:t>however</w:t>
            </w:r>
            <w:proofErr w:type="gramEnd"/>
            <w:r w:rsidRPr="007A2874">
              <w:rPr>
                <w:sz w:val="22"/>
                <w:szCs w:val="22"/>
              </w:rPr>
              <w:t xml:space="preserve"> its completion is poor. This information is missing on over 85% of records. Of the records where this information is completed, NHS Trust is the most common response, with the other sources of referral making up only a small proportion of records.</w:t>
            </w:r>
          </w:p>
        </w:tc>
      </w:tr>
      <w:tr w:rsidR="007A2874" w:rsidRPr="007A2874" w14:paraId="699386BD" w14:textId="77777777" w:rsidTr="007A2874">
        <w:tc>
          <w:tcPr>
            <w:tcW w:w="3256" w:type="dxa"/>
          </w:tcPr>
          <w:p w14:paraId="1A44CDD2" w14:textId="5BA4FF4A" w:rsidR="007A2874" w:rsidRPr="007A2874" w:rsidRDefault="007A2874" w:rsidP="007A2874">
            <w:pPr>
              <w:spacing w:before="240"/>
              <w:rPr>
                <w:b/>
                <w:sz w:val="22"/>
                <w:szCs w:val="22"/>
              </w:rPr>
            </w:pPr>
            <w:r w:rsidRPr="007A2874">
              <w:rPr>
                <w:b/>
                <w:sz w:val="22"/>
                <w:szCs w:val="22"/>
              </w:rPr>
              <w:lastRenderedPageBreak/>
              <w:t>Quality of data linkage</w:t>
            </w:r>
          </w:p>
        </w:tc>
        <w:tc>
          <w:tcPr>
            <w:tcW w:w="6598" w:type="dxa"/>
          </w:tcPr>
          <w:p w14:paraId="63E292AC" w14:textId="77777777" w:rsidR="007A2874" w:rsidRPr="007A2874" w:rsidRDefault="007A2874" w:rsidP="007A2874">
            <w:pPr>
              <w:spacing w:before="240"/>
              <w:rPr>
                <w:sz w:val="22"/>
                <w:szCs w:val="22"/>
              </w:rPr>
            </w:pPr>
            <w:r w:rsidRPr="007A2874">
              <w:rPr>
                <w:sz w:val="22"/>
                <w:szCs w:val="22"/>
              </w:rPr>
              <w:t>NHS Number is recorded on 99.3% of HES APC records in 2011-12 and on 100% of NACR records for the same period. It is expected that completion of NHS Number will be higher on HES APC records that are relevant to this indicator.</w:t>
            </w:r>
          </w:p>
          <w:p w14:paraId="0621B3B1" w14:textId="77777777" w:rsidR="007A2874" w:rsidRPr="007A2874" w:rsidRDefault="007A2874" w:rsidP="007A2874">
            <w:pPr>
              <w:spacing w:before="240"/>
              <w:rPr>
                <w:sz w:val="22"/>
                <w:szCs w:val="22"/>
              </w:rPr>
            </w:pPr>
            <w:r w:rsidRPr="007A2874">
              <w:rPr>
                <w:sz w:val="22"/>
                <w:szCs w:val="22"/>
              </w:rPr>
              <w:t xml:space="preserve">The table below reveals the match ranks for the data linkage performed by the NHS Digital DARS team for 2011-12: </w:t>
            </w:r>
          </w:p>
          <w:p w14:paraId="5C98B639" w14:textId="77777777" w:rsidR="007A2874" w:rsidRPr="007A2874" w:rsidRDefault="007A2874" w:rsidP="007A2874">
            <w:pPr>
              <w:spacing w:before="240"/>
              <w:rPr>
                <w:sz w:val="22"/>
                <w:szCs w:val="22"/>
              </w:rPr>
            </w:pPr>
          </w:p>
        </w:tc>
      </w:tr>
    </w:tbl>
    <w:p w14:paraId="2F2E6B48" w14:textId="22D6713D" w:rsidR="007A2874" w:rsidRPr="007A2874" w:rsidRDefault="007A2874" w:rsidP="007A2874">
      <w:pPr>
        <w:rPr>
          <w:rFonts w:eastAsia="MS Mincho"/>
        </w:rPr>
      </w:pPr>
    </w:p>
    <w:p w14:paraId="17C300F6" w14:textId="77777777" w:rsidR="007A2874" w:rsidRPr="007A2874" w:rsidRDefault="007A2874" w:rsidP="007A2874">
      <w:pPr>
        <w:rPr>
          <w:rFonts w:eastAsia="MS Mincho"/>
        </w:rPr>
      </w:pPr>
    </w:p>
    <w:p w14:paraId="6C367C71" w14:textId="5BAA779E" w:rsidR="00772A5C" w:rsidRPr="007A2874" w:rsidRDefault="00772A5C"/>
    <w:tbl>
      <w:tblPr>
        <w:tblStyle w:val="TableGridLight"/>
        <w:tblW w:w="6554" w:type="dxa"/>
        <w:tblLayout w:type="fixed"/>
        <w:tblLook w:val="0020" w:firstRow="1" w:lastRow="0" w:firstColumn="0" w:lastColumn="0" w:noHBand="0" w:noVBand="0"/>
      </w:tblPr>
      <w:tblGrid>
        <w:gridCol w:w="499"/>
        <w:gridCol w:w="744"/>
        <w:gridCol w:w="615"/>
        <w:gridCol w:w="562"/>
        <w:gridCol w:w="634"/>
        <w:gridCol w:w="562"/>
        <w:gridCol w:w="718"/>
        <w:gridCol w:w="2220"/>
      </w:tblGrid>
      <w:tr w:rsidR="007A2874" w:rsidRPr="007A2874" w14:paraId="055ECE90" w14:textId="77777777" w:rsidTr="0091378C">
        <w:trPr>
          <w:trHeight w:val="487"/>
        </w:trPr>
        <w:tc>
          <w:tcPr>
            <w:tcW w:w="380" w:type="pct"/>
          </w:tcPr>
          <w:p w14:paraId="4480867C" w14:textId="77777777" w:rsidR="00493A03" w:rsidRPr="007A2874" w:rsidRDefault="00493A03" w:rsidP="007A2874">
            <w:pPr>
              <w:tabs>
                <w:tab w:val="right" w:pos="14580"/>
              </w:tabs>
              <w:spacing w:before="60" w:after="60"/>
              <w:ind w:right="-108"/>
              <w:textboxTightWrap w:val="allLines"/>
              <w:rPr>
                <w:rFonts w:ascii="Calibri" w:eastAsia="SimSun" w:hAnsi="Calibri" w:cs="Calibri"/>
                <w:b/>
                <w:bCs/>
                <w:sz w:val="16"/>
                <w:szCs w:val="16"/>
                <w:lang w:eastAsia="en-GB"/>
              </w:rPr>
            </w:pPr>
            <w:permStart w:id="873476260" w:edGrp="everyone" w:colFirst="2" w:colLast="2"/>
            <w:r w:rsidRPr="007A2874">
              <w:rPr>
                <w:rFonts w:ascii="Calibri" w:hAnsi="Calibri" w:cs="Calibri"/>
                <w:b/>
                <w:sz w:val="16"/>
                <w:szCs w:val="16"/>
                <w:lang w:eastAsia="en-GB"/>
              </w:rPr>
              <w:lastRenderedPageBreak/>
              <w:t>Step</w:t>
            </w:r>
          </w:p>
        </w:tc>
        <w:tc>
          <w:tcPr>
            <w:tcW w:w="567" w:type="pct"/>
          </w:tcPr>
          <w:p w14:paraId="11B40AD5" w14:textId="77777777" w:rsidR="00493A03" w:rsidRPr="007A2874" w:rsidRDefault="00493A03" w:rsidP="007A2874">
            <w:pPr>
              <w:tabs>
                <w:tab w:val="right" w:pos="14580"/>
              </w:tabs>
              <w:spacing w:before="60" w:after="60"/>
              <w:ind w:right="-108"/>
              <w:jc w:val="right"/>
              <w:textboxTightWrap w:val="allLines"/>
              <w:rPr>
                <w:rFonts w:ascii="Calibri" w:eastAsia="SimSun" w:hAnsi="Calibri" w:cs="Calibri"/>
                <w:b/>
                <w:bCs/>
                <w:sz w:val="16"/>
                <w:szCs w:val="16"/>
                <w:lang w:eastAsia="en-GB"/>
              </w:rPr>
            </w:pPr>
            <w:r w:rsidRPr="007A2874">
              <w:rPr>
                <w:rFonts w:ascii="Calibri" w:hAnsi="Calibri" w:cs="Calibri"/>
                <w:b/>
                <w:sz w:val="16"/>
                <w:szCs w:val="16"/>
                <w:lang w:eastAsia="en-GB"/>
              </w:rPr>
              <w:t xml:space="preserve">Records </w:t>
            </w:r>
          </w:p>
        </w:tc>
        <w:tc>
          <w:tcPr>
            <w:tcW w:w="469" w:type="pct"/>
          </w:tcPr>
          <w:p w14:paraId="4310414E" w14:textId="77777777" w:rsidR="00493A03" w:rsidRPr="007A2874" w:rsidRDefault="00493A03" w:rsidP="007A2874">
            <w:pPr>
              <w:tabs>
                <w:tab w:val="right" w:pos="14580"/>
              </w:tabs>
              <w:spacing w:before="60" w:after="60"/>
              <w:ind w:right="-108"/>
              <w:jc w:val="right"/>
              <w:textboxTightWrap w:val="allLines"/>
              <w:rPr>
                <w:rFonts w:ascii="Calibri" w:eastAsia="SimSun" w:hAnsi="Calibri" w:cs="Calibri"/>
                <w:b/>
                <w:bCs/>
                <w:sz w:val="16"/>
                <w:szCs w:val="16"/>
                <w:lang w:eastAsia="en-GB"/>
              </w:rPr>
            </w:pPr>
            <w:r w:rsidRPr="007A2874">
              <w:rPr>
                <w:rFonts w:ascii="Calibri" w:hAnsi="Calibri" w:cs="Calibri"/>
                <w:b/>
                <w:sz w:val="16"/>
                <w:szCs w:val="16"/>
                <w:lang w:eastAsia="en-GB"/>
              </w:rPr>
              <w:t>%</w:t>
            </w:r>
          </w:p>
        </w:tc>
        <w:tc>
          <w:tcPr>
            <w:tcW w:w="429" w:type="pct"/>
          </w:tcPr>
          <w:p w14:paraId="61A62274" w14:textId="77777777" w:rsidR="00493A03" w:rsidRPr="007A2874" w:rsidRDefault="00493A03" w:rsidP="007A2874">
            <w:pPr>
              <w:tabs>
                <w:tab w:val="right" w:pos="14580"/>
              </w:tabs>
              <w:spacing w:before="60" w:after="60"/>
              <w:ind w:right="-108"/>
              <w:jc w:val="right"/>
              <w:textboxTightWrap w:val="allLines"/>
              <w:rPr>
                <w:rFonts w:ascii="Calibri" w:eastAsia="SimSun" w:hAnsi="Calibri" w:cs="Calibri"/>
                <w:b/>
                <w:bCs/>
                <w:sz w:val="16"/>
                <w:szCs w:val="16"/>
                <w:lang w:eastAsia="en-GB"/>
              </w:rPr>
            </w:pPr>
            <w:r w:rsidRPr="007A2874">
              <w:rPr>
                <w:rFonts w:ascii="Calibri" w:hAnsi="Calibri" w:cs="Calibri"/>
                <w:b/>
                <w:sz w:val="16"/>
                <w:szCs w:val="16"/>
                <w:lang w:eastAsia="en-GB"/>
              </w:rPr>
              <w:t>NHS</w:t>
            </w:r>
          </w:p>
        </w:tc>
        <w:tc>
          <w:tcPr>
            <w:tcW w:w="484" w:type="pct"/>
          </w:tcPr>
          <w:p w14:paraId="3D84A32B" w14:textId="77777777" w:rsidR="00493A03" w:rsidRPr="007A2874" w:rsidRDefault="00493A03" w:rsidP="007A2874">
            <w:pPr>
              <w:tabs>
                <w:tab w:val="right" w:pos="14580"/>
              </w:tabs>
              <w:spacing w:before="60" w:after="60"/>
              <w:ind w:right="-108"/>
              <w:jc w:val="right"/>
              <w:textboxTightWrap w:val="allLines"/>
              <w:rPr>
                <w:rFonts w:ascii="Calibri" w:eastAsia="SimSun" w:hAnsi="Calibri" w:cs="Calibri"/>
                <w:b/>
                <w:bCs/>
                <w:sz w:val="16"/>
                <w:szCs w:val="16"/>
                <w:lang w:eastAsia="en-GB"/>
              </w:rPr>
            </w:pPr>
            <w:proofErr w:type="spellStart"/>
            <w:r w:rsidRPr="007A2874">
              <w:rPr>
                <w:rFonts w:ascii="Calibri" w:hAnsi="Calibri" w:cs="Calibri"/>
                <w:b/>
                <w:sz w:val="16"/>
                <w:szCs w:val="16"/>
                <w:lang w:eastAsia="en-GB"/>
              </w:rPr>
              <w:t>DoB</w:t>
            </w:r>
            <w:proofErr w:type="spellEnd"/>
          </w:p>
        </w:tc>
        <w:tc>
          <w:tcPr>
            <w:tcW w:w="429" w:type="pct"/>
          </w:tcPr>
          <w:p w14:paraId="24747919" w14:textId="77777777" w:rsidR="00493A03" w:rsidRPr="007A2874" w:rsidRDefault="00493A03" w:rsidP="007A2874">
            <w:pPr>
              <w:tabs>
                <w:tab w:val="right" w:pos="14580"/>
              </w:tabs>
              <w:spacing w:before="60" w:after="60"/>
              <w:ind w:right="-108"/>
              <w:jc w:val="right"/>
              <w:textboxTightWrap w:val="allLines"/>
              <w:rPr>
                <w:rFonts w:ascii="Calibri" w:eastAsia="SimSun" w:hAnsi="Calibri" w:cs="Calibri"/>
                <w:b/>
                <w:bCs/>
                <w:sz w:val="16"/>
                <w:szCs w:val="16"/>
                <w:lang w:eastAsia="en-GB"/>
              </w:rPr>
            </w:pPr>
            <w:r w:rsidRPr="007A2874">
              <w:rPr>
                <w:rFonts w:ascii="Calibri" w:hAnsi="Calibri" w:cs="Calibri"/>
                <w:b/>
                <w:sz w:val="16"/>
                <w:szCs w:val="16"/>
                <w:lang w:eastAsia="en-GB"/>
              </w:rPr>
              <w:t>Sex</w:t>
            </w:r>
          </w:p>
        </w:tc>
        <w:tc>
          <w:tcPr>
            <w:tcW w:w="548" w:type="pct"/>
          </w:tcPr>
          <w:p w14:paraId="23566AB5" w14:textId="77777777" w:rsidR="00493A03" w:rsidRPr="007A2874" w:rsidRDefault="00493A03" w:rsidP="007A2874">
            <w:pPr>
              <w:tabs>
                <w:tab w:val="right" w:pos="14580"/>
              </w:tabs>
              <w:spacing w:before="60" w:after="60"/>
              <w:ind w:right="-108"/>
              <w:jc w:val="right"/>
              <w:textboxTightWrap w:val="allLines"/>
              <w:rPr>
                <w:rFonts w:ascii="Calibri" w:eastAsia="SimSun" w:hAnsi="Calibri" w:cs="Calibri"/>
                <w:b/>
                <w:bCs/>
                <w:sz w:val="16"/>
                <w:szCs w:val="16"/>
                <w:lang w:eastAsia="en-GB"/>
              </w:rPr>
            </w:pPr>
            <w:r w:rsidRPr="007A2874">
              <w:rPr>
                <w:rFonts w:ascii="Calibri" w:hAnsi="Calibri" w:cs="Calibri"/>
                <w:b/>
                <w:sz w:val="16"/>
                <w:szCs w:val="16"/>
                <w:lang w:eastAsia="en-GB"/>
              </w:rPr>
              <w:t>Postcode</w:t>
            </w:r>
          </w:p>
        </w:tc>
        <w:tc>
          <w:tcPr>
            <w:tcW w:w="1695" w:type="pct"/>
          </w:tcPr>
          <w:p w14:paraId="45486530" w14:textId="77777777" w:rsidR="00493A03" w:rsidRPr="007A2874" w:rsidRDefault="00493A03" w:rsidP="007A2874">
            <w:pPr>
              <w:tabs>
                <w:tab w:val="right" w:pos="14580"/>
              </w:tabs>
              <w:spacing w:before="60" w:after="60"/>
              <w:ind w:right="-108"/>
              <w:textboxTightWrap w:val="allLines"/>
              <w:rPr>
                <w:rFonts w:ascii="Calibri" w:eastAsia="SimSun" w:hAnsi="Calibri" w:cs="Calibri"/>
                <w:b/>
                <w:bCs/>
                <w:sz w:val="16"/>
                <w:szCs w:val="16"/>
                <w:lang w:eastAsia="en-GB"/>
              </w:rPr>
            </w:pPr>
          </w:p>
        </w:tc>
      </w:tr>
      <w:tr w:rsidR="007A2874" w:rsidRPr="007A2874" w14:paraId="55F64F58" w14:textId="77777777" w:rsidTr="0091378C">
        <w:trPr>
          <w:trHeight w:val="487"/>
        </w:trPr>
        <w:tc>
          <w:tcPr>
            <w:tcW w:w="380" w:type="pct"/>
          </w:tcPr>
          <w:p w14:paraId="212721E9"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b/>
                <w:sz w:val="16"/>
                <w:szCs w:val="16"/>
                <w:lang w:eastAsia="en-GB"/>
              </w:rPr>
              <w:t>1</w:t>
            </w:r>
          </w:p>
        </w:tc>
        <w:tc>
          <w:tcPr>
            <w:tcW w:w="567" w:type="pct"/>
          </w:tcPr>
          <w:p w14:paraId="754CB8F0"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279,222</w:t>
            </w:r>
          </w:p>
        </w:tc>
        <w:tc>
          <w:tcPr>
            <w:tcW w:w="469" w:type="pct"/>
          </w:tcPr>
          <w:p w14:paraId="1B5FD277"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84.6%</w:t>
            </w:r>
          </w:p>
        </w:tc>
        <w:tc>
          <w:tcPr>
            <w:tcW w:w="429" w:type="pct"/>
          </w:tcPr>
          <w:p w14:paraId="4619DBB3"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484" w:type="pct"/>
          </w:tcPr>
          <w:p w14:paraId="690E2BE8"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429" w:type="pct"/>
          </w:tcPr>
          <w:p w14:paraId="5FB740DD"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548" w:type="pct"/>
          </w:tcPr>
          <w:p w14:paraId="14405978"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1695" w:type="pct"/>
          </w:tcPr>
          <w:p w14:paraId="03B51BC0" w14:textId="77777777" w:rsidR="00493A03" w:rsidRPr="007A2874" w:rsidRDefault="00493A03" w:rsidP="007A2874">
            <w:pPr>
              <w:spacing w:before="120" w:after="0"/>
              <w:jc w:val="both"/>
              <w:textboxTightWrap w:val="none"/>
              <w:rPr>
                <w:rFonts w:ascii="Calibri" w:hAnsi="Calibri" w:cs="Calibri"/>
                <w:sz w:val="16"/>
                <w:szCs w:val="16"/>
              </w:rPr>
            </w:pPr>
          </w:p>
        </w:tc>
      </w:tr>
      <w:tr w:rsidR="007A2874" w:rsidRPr="007A2874" w14:paraId="5263A441" w14:textId="77777777" w:rsidTr="0091378C">
        <w:trPr>
          <w:trHeight w:val="487"/>
        </w:trPr>
        <w:tc>
          <w:tcPr>
            <w:tcW w:w="380" w:type="pct"/>
          </w:tcPr>
          <w:p w14:paraId="654EBE74"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b/>
                <w:sz w:val="16"/>
                <w:szCs w:val="16"/>
                <w:lang w:eastAsia="en-GB"/>
              </w:rPr>
              <w:t>2</w:t>
            </w:r>
          </w:p>
        </w:tc>
        <w:tc>
          <w:tcPr>
            <w:tcW w:w="567" w:type="pct"/>
          </w:tcPr>
          <w:p w14:paraId="18ED6007"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39,068</w:t>
            </w:r>
          </w:p>
        </w:tc>
        <w:tc>
          <w:tcPr>
            <w:tcW w:w="469" w:type="pct"/>
          </w:tcPr>
          <w:p w14:paraId="6589B7FE"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11.8%</w:t>
            </w:r>
          </w:p>
        </w:tc>
        <w:tc>
          <w:tcPr>
            <w:tcW w:w="429" w:type="pct"/>
          </w:tcPr>
          <w:p w14:paraId="6F64881A"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484" w:type="pct"/>
          </w:tcPr>
          <w:p w14:paraId="7EC63ECF"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429" w:type="pct"/>
          </w:tcPr>
          <w:p w14:paraId="166484A9"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548" w:type="pct"/>
          </w:tcPr>
          <w:p w14:paraId="29420BCE"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 </w:t>
            </w:r>
          </w:p>
        </w:tc>
        <w:tc>
          <w:tcPr>
            <w:tcW w:w="1695" w:type="pct"/>
          </w:tcPr>
          <w:p w14:paraId="65CBB174" w14:textId="77777777" w:rsidR="00493A03" w:rsidRPr="007A2874" w:rsidRDefault="00493A03" w:rsidP="007A2874">
            <w:pPr>
              <w:spacing w:before="120" w:after="0"/>
              <w:jc w:val="both"/>
              <w:textboxTightWrap w:val="none"/>
              <w:rPr>
                <w:rFonts w:ascii="Calibri" w:hAnsi="Calibri" w:cs="Calibri"/>
                <w:sz w:val="16"/>
                <w:szCs w:val="16"/>
              </w:rPr>
            </w:pPr>
          </w:p>
        </w:tc>
      </w:tr>
      <w:tr w:rsidR="007A2874" w:rsidRPr="007A2874" w14:paraId="1C647224" w14:textId="77777777" w:rsidTr="0091378C">
        <w:trPr>
          <w:trHeight w:val="487"/>
        </w:trPr>
        <w:tc>
          <w:tcPr>
            <w:tcW w:w="380" w:type="pct"/>
          </w:tcPr>
          <w:p w14:paraId="53A127C8"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b/>
                <w:sz w:val="16"/>
                <w:szCs w:val="16"/>
                <w:lang w:eastAsia="en-GB"/>
              </w:rPr>
              <w:t>3</w:t>
            </w:r>
          </w:p>
        </w:tc>
        <w:tc>
          <w:tcPr>
            <w:tcW w:w="567" w:type="pct"/>
          </w:tcPr>
          <w:p w14:paraId="687FF926"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2,587</w:t>
            </w:r>
          </w:p>
        </w:tc>
        <w:tc>
          <w:tcPr>
            <w:tcW w:w="469" w:type="pct"/>
          </w:tcPr>
          <w:p w14:paraId="10860A50"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0.8%</w:t>
            </w:r>
          </w:p>
        </w:tc>
        <w:tc>
          <w:tcPr>
            <w:tcW w:w="429" w:type="pct"/>
          </w:tcPr>
          <w:p w14:paraId="01465AEF"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484" w:type="pct"/>
          </w:tcPr>
          <w:p w14:paraId="031B3B53"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Partial</w:t>
            </w:r>
          </w:p>
        </w:tc>
        <w:tc>
          <w:tcPr>
            <w:tcW w:w="429" w:type="pct"/>
          </w:tcPr>
          <w:p w14:paraId="46BF90FB"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548" w:type="pct"/>
          </w:tcPr>
          <w:p w14:paraId="3E29CA81"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1695" w:type="pct"/>
          </w:tcPr>
          <w:p w14:paraId="644A95DF" w14:textId="77777777" w:rsidR="00493A03" w:rsidRPr="007A2874" w:rsidRDefault="00493A03" w:rsidP="007A2874">
            <w:pPr>
              <w:spacing w:before="120" w:after="0"/>
              <w:jc w:val="both"/>
              <w:textboxTightWrap w:val="none"/>
              <w:rPr>
                <w:rFonts w:ascii="Calibri" w:hAnsi="Calibri" w:cs="Calibri"/>
                <w:sz w:val="16"/>
                <w:szCs w:val="16"/>
              </w:rPr>
            </w:pPr>
          </w:p>
        </w:tc>
      </w:tr>
      <w:tr w:rsidR="007A2874" w:rsidRPr="007A2874" w14:paraId="6E4A7E16" w14:textId="77777777" w:rsidTr="0091378C">
        <w:trPr>
          <w:trHeight w:val="487"/>
        </w:trPr>
        <w:tc>
          <w:tcPr>
            <w:tcW w:w="380" w:type="pct"/>
          </w:tcPr>
          <w:p w14:paraId="547B98A8"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b/>
                <w:sz w:val="16"/>
                <w:szCs w:val="16"/>
                <w:lang w:eastAsia="en-GB"/>
              </w:rPr>
              <w:t>4</w:t>
            </w:r>
          </w:p>
        </w:tc>
        <w:tc>
          <w:tcPr>
            <w:tcW w:w="567" w:type="pct"/>
          </w:tcPr>
          <w:p w14:paraId="249C4D1C"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398</w:t>
            </w:r>
          </w:p>
        </w:tc>
        <w:tc>
          <w:tcPr>
            <w:tcW w:w="469" w:type="pct"/>
          </w:tcPr>
          <w:p w14:paraId="1B46EA1D"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0.1%</w:t>
            </w:r>
          </w:p>
        </w:tc>
        <w:tc>
          <w:tcPr>
            <w:tcW w:w="429" w:type="pct"/>
          </w:tcPr>
          <w:p w14:paraId="0A902431"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484" w:type="pct"/>
          </w:tcPr>
          <w:p w14:paraId="56C9347B"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Partial</w:t>
            </w:r>
          </w:p>
        </w:tc>
        <w:tc>
          <w:tcPr>
            <w:tcW w:w="429" w:type="pct"/>
          </w:tcPr>
          <w:p w14:paraId="7FEF33DD"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548" w:type="pct"/>
          </w:tcPr>
          <w:p w14:paraId="16A595AE"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 </w:t>
            </w:r>
          </w:p>
        </w:tc>
        <w:tc>
          <w:tcPr>
            <w:tcW w:w="1695" w:type="pct"/>
          </w:tcPr>
          <w:p w14:paraId="696BF95E" w14:textId="77777777" w:rsidR="00493A03" w:rsidRPr="007A2874" w:rsidRDefault="00493A03" w:rsidP="007A2874">
            <w:pPr>
              <w:spacing w:before="120" w:after="0"/>
              <w:jc w:val="both"/>
              <w:textboxTightWrap w:val="none"/>
              <w:rPr>
                <w:rFonts w:ascii="Calibri" w:hAnsi="Calibri" w:cs="Calibri"/>
                <w:sz w:val="16"/>
                <w:szCs w:val="16"/>
              </w:rPr>
            </w:pPr>
          </w:p>
        </w:tc>
      </w:tr>
      <w:tr w:rsidR="007A2874" w:rsidRPr="007A2874" w14:paraId="55B71C65" w14:textId="77777777" w:rsidTr="0091378C">
        <w:trPr>
          <w:trHeight w:val="487"/>
        </w:trPr>
        <w:tc>
          <w:tcPr>
            <w:tcW w:w="380" w:type="pct"/>
          </w:tcPr>
          <w:p w14:paraId="3AD40442"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b/>
                <w:sz w:val="16"/>
                <w:szCs w:val="16"/>
                <w:lang w:eastAsia="en-GB"/>
              </w:rPr>
              <w:t>5</w:t>
            </w:r>
          </w:p>
        </w:tc>
        <w:tc>
          <w:tcPr>
            <w:tcW w:w="567" w:type="pct"/>
          </w:tcPr>
          <w:p w14:paraId="72B431F6"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3,238</w:t>
            </w:r>
          </w:p>
        </w:tc>
        <w:tc>
          <w:tcPr>
            <w:tcW w:w="469" w:type="pct"/>
          </w:tcPr>
          <w:p w14:paraId="05EDB058"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1.0%</w:t>
            </w:r>
          </w:p>
        </w:tc>
        <w:tc>
          <w:tcPr>
            <w:tcW w:w="429" w:type="pct"/>
          </w:tcPr>
          <w:p w14:paraId="0A92CAC2"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484" w:type="pct"/>
          </w:tcPr>
          <w:p w14:paraId="3C791D17"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 </w:t>
            </w:r>
          </w:p>
        </w:tc>
        <w:tc>
          <w:tcPr>
            <w:tcW w:w="429" w:type="pct"/>
          </w:tcPr>
          <w:p w14:paraId="0D5DC011"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 </w:t>
            </w:r>
          </w:p>
        </w:tc>
        <w:tc>
          <w:tcPr>
            <w:tcW w:w="548" w:type="pct"/>
          </w:tcPr>
          <w:p w14:paraId="609E154E"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1695" w:type="pct"/>
          </w:tcPr>
          <w:p w14:paraId="2BA435F7" w14:textId="77777777" w:rsidR="00493A03" w:rsidRPr="007A2874" w:rsidRDefault="00493A03" w:rsidP="007A2874">
            <w:pPr>
              <w:spacing w:before="120" w:after="0"/>
              <w:jc w:val="both"/>
              <w:textboxTightWrap w:val="none"/>
              <w:rPr>
                <w:rFonts w:ascii="Calibri" w:hAnsi="Calibri" w:cs="Calibri"/>
                <w:sz w:val="16"/>
                <w:szCs w:val="16"/>
              </w:rPr>
            </w:pPr>
          </w:p>
        </w:tc>
      </w:tr>
      <w:tr w:rsidR="007A2874" w:rsidRPr="007A2874" w14:paraId="3AF50B16" w14:textId="77777777" w:rsidTr="0091378C">
        <w:trPr>
          <w:trHeight w:val="487"/>
        </w:trPr>
        <w:tc>
          <w:tcPr>
            <w:tcW w:w="380" w:type="pct"/>
          </w:tcPr>
          <w:p w14:paraId="6CC93C75"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b/>
                <w:sz w:val="16"/>
                <w:szCs w:val="16"/>
                <w:lang w:eastAsia="en-GB"/>
              </w:rPr>
              <w:t>6</w:t>
            </w:r>
          </w:p>
        </w:tc>
        <w:tc>
          <w:tcPr>
            <w:tcW w:w="567" w:type="pct"/>
          </w:tcPr>
          <w:p w14:paraId="7F2158AD"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137</w:t>
            </w:r>
          </w:p>
        </w:tc>
        <w:tc>
          <w:tcPr>
            <w:tcW w:w="469" w:type="pct"/>
          </w:tcPr>
          <w:p w14:paraId="3D53CE92"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0.0%</w:t>
            </w:r>
          </w:p>
        </w:tc>
        <w:tc>
          <w:tcPr>
            <w:tcW w:w="429" w:type="pct"/>
          </w:tcPr>
          <w:p w14:paraId="53289C44"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 </w:t>
            </w:r>
          </w:p>
        </w:tc>
        <w:tc>
          <w:tcPr>
            <w:tcW w:w="484" w:type="pct"/>
          </w:tcPr>
          <w:p w14:paraId="57FFC5C0"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429" w:type="pct"/>
          </w:tcPr>
          <w:p w14:paraId="0A5249EB"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548" w:type="pct"/>
          </w:tcPr>
          <w:p w14:paraId="11EA76D1"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1695" w:type="pct"/>
          </w:tcPr>
          <w:p w14:paraId="6ADCFD79"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lang w:eastAsia="en-GB"/>
              </w:rPr>
              <w:t>where NHSNO does not contradict the match and DOB is not 1 January and the POSTCODE is not in the 'ignore' list</w:t>
            </w:r>
          </w:p>
        </w:tc>
      </w:tr>
      <w:tr w:rsidR="007A2874" w:rsidRPr="007A2874" w14:paraId="7DC61ED0" w14:textId="77777777" w:rsidTr="0091378C">
        <w:trPr>
          <w:trHeight w:val="487"/>
        </w:trPr>
        <w:tc>
          <w:tcPr>
            <w:tcW w:w="380" w:type="pct"/>
          </w:tcPr>
          <w:p w14:paraId="65B715D8"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b/>
                <w:sz w:val="16"/>
                <w:szCs w:val="16"/>
                <w:lang w:eastAsia="en-GB"/>
              </w:rPr>
              <w:t>7</w:t>
            </w:r>
          </w:p>
        </w:tc>
        <w:tc>
          <w:tcPr>
            <w:tcW w:w="567" w:type="pct"/>
          </w:tcPr>
          <w:p w14:paraId="3BCDEAEB"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0</w:t>
            </w:r>
          </w:p>
        </w:tc>
        <w:tc>
          <w:tcPr>
            <w:tcW w:w="469" w:type="pct"/>
          </w:tcPr>
          <w:p w14:paraId="65B9FEFA"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0.0%</w:t>
            </w:r>
          </w:p>
        </w:tc>
        <w:tc>
          <w:tcPr>
            <w:tcW w:w="429" w:type="pct"/>
          </w:tcPr>
          <w:p w14:paraId="2B77B335"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 </w:t>
            </w:r>
          </w:p>
        </w:tc>
        <w:tc>
          <w:tcPr>
            <w:tcW w:w="484" w:type="pct"/>
          </w:tcPr>
          <w:p w14:paraId="2A22D1CB"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429" w:type="pct"/>
          </w:tcPr>
          <w:p w14:paraId="14D734E9"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548" w:type="pct"/>
          </w:tcPr>
          <w:p w14:paraId="1F159228"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1695" w:type="pct"/>
          </w:tcPr>
          <w:p w14:paraId="1994D543"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lang w:eastAsia="en-GB"/>
              </w:rPr>
              <w:t>where NHSNO does not contradict the match and DOB is not 1 January</w:t>
            </w:r>
          </w:p>
        </w:tc>
      </w:tr>
      <w:tr w:rsidR="007A2874" w:rsidRPr="007A2874" w14:paraId="59CE5862" w14:textId="77777777" w:rsidTr="0091378C">
        <w:trPr>
          <w:trHeight w:val="487"/>
        </w:trPr>
        <w:tc>
          <w:tcPr>
            <w:tcW w:w="380" w:type="pct"/>
          </w:tcPr>
          <w:p w14:paraId="34990999"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b/>
                <w:sz w:val="16"/>
                <w:szCs w:val="16"/>
                <w:lang w:eastAsia="en-GB"/>
              </w:rPr>
              <w:t>8</w:t>
            </w:r>
          </w:p>
        </w:tc>
        <w:tc>
          <w:tcPr>
            <w:tcW w:w="567" w:type="pct"/>
          </w:tcPr>
          <w:p w14:paraId="6E120C1E"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5,312</w:t>
            </w:r>
          </w:p>
        </w:tc>
        <w:tc>
          <w:tcPr>
            <w:tcW w:w="469" w:type="pct"/>
          </w:tcPr>
          <w:p w14:paraId="4567DD6C"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1.6%</w:t>
            </w:r>
          </w:p>
        </w:tc>
        <w:tc>
          <w:tcPr>
            <w:tcW w:w="429" w:type="pct"/>
          </w:tcPr>
          <w:p w14:paraId="3CA66242"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lang w:eastAsia="en-GB"/>
              </w:rPr>
              <w:t>Exact</w:t>
            </w:r>
          </w:p>
        </w:tc>
        <w:tc>
          <w:tcPr>
            <w:tcW w:w="484" w:type="pct"/>
          </w:tcPr>
          <w:p w14:paraId="561458A4" w14:textId="77777777" w:rsidR="00493A03" w:rsidRPr="007A2874" w:rsidRDefault="00493A03" w:rsidP="007A2874">
            <w:pPr>
              <w:spacing w:before="120" w:after="0"/>
              <w:jc w:val="right"/>
              <w:textboxTightWrap w:val="none"/>
              <w:rPr>
                <w:rFonts w:ascii="Calibri" w:hAnsi="Calibri" w:cs="Calibri"/>
                <w:sz w:val="16"/>
                <w:szCs w:val="16"/>
              </w:rPr>
            </w:pPr>
          </w:p>
        </w:tc>
        <w:tc>
          <w:tcPr>
            <w:tcW w:w="429" w:type="pct"/>
          </w:tcPr>
          <w:p w14:paraId="65995D2C" w14:textId="77777777" w:rsidR="00493A03" w:rsidRPr="007A2874" w:rsidRDefault="00493A03" w:rsidP="007A2874">
            <w:pPr>
              <w:spacing w:before="120" w:after="0"/>
              <w:jc w:val="right"/>
              <w:textboxTightWrap w:val="none"/>
              <w:rPr>
                <w:rFonts w:ascii="Calibri" w:hAnsi="Calibri" w:cs="Calibri"/>
                <w:sz w:val="16"/>
                <w:szCs w:val="16"/>
              </w:rPr>
            </w:pPr>
          </w:p>
        </w:tc>
        <w:tc>
          <w:tcPr>
            <w:tcW w:w="548" w:type="pct"/>
          </w:tcPr>
          <w:p w14:paraId="479859C5" w14:textId="77777777" w:rsidR="00493A03" w:rsidRPr="007A2874" w:rsidRDefault="00493A03" w:rsidP="007A2874">
            <w:pPr>
              <w:spacing w:before="120" w:after="0"/>
              <w:jc w:val="right"/>
              <w:textboxTightWrap w:val="none"/>
              <w:rPr>
                <w:rFonts w:ascii="Calibri" w:hAnsi="Calibri" w:cs="Calibri"/>
                <w:sz w:val="16"/>
                <w:szCs w:val="16"/>
              </w:rPr>
            </w:pPr>
          </w:p>
        </w:tc>
        <w:tc>
          <w:tcPr>
            <w:tcW w:w="1695" w:type="pct"/>
          </w:tcPr>
          <w:p w14:paraId="3AB8ACEA" w14:textId="77777777" w:rsidR="00493A03" w:rsidRPr="007A2874" w:rsidRDefault="00493A03" w:rsidP="007A2874">
            <w:pPr>
              <w:spacing w:before="120" w:after="0"/>
              <w:jc w:val="both"/>
              <w:textboxTightWrap w:val="none"/>
              <w:rPr>
                <w:rFonts w:ascii="Calibri" w:hAnsi="Calibri" w:cs="Calibri"/>
                <w:sz w:val="16"/>
                <w:szCs w:val="16"/>
              </w:rPr>
            </w:pPr>
          </w:p>
        </w:tc>
      </w:tr>
      <w:tr w:rsidR="007A2874" w:rsidRPr="007A2874" w14:paraId="6D7D240C" w14:textId="77777777" w:rsidTr="0091378C">
        <w:trPr>
          <w:trHeight w:val="487"/>
        </w:trPr>
        <w:tc>
          <w:tcPr>
            <w:tcW w:w="380" w:type="pct"/>
          </w:tcPr>
          <w:p w14:paraId="5C219D76" w14:textId="77777777" w:rsidR="00493A03" w:rsidRPr="007A2874" w:rsidRDefault="00493A03" w:rsidP="007A2874">
            <w:pPr>
              <w:spacing w:before="120" w:after="0"/>
              <w:jc w:val="both"/>
              <w:textboxTightWrap w:val="none"/>
              <w:rPr>
                <w:rFonts w:ascii="Calibri" w:hAnsi="Calibri" w:cs="Calibri"/>
                <w:b/>
                <w:sz w:val="16"/>
                <w:szCs w:val="16"/>
                <w:lang w:eastAsia="en-GB"/>
              </w:rPr>
            </w:pPr>
            <w:r w:rsidRPr="007A2874">
              <w:rPr>
                <w:rFonts w:ascii="Calibri" w:hAnsi="Calibri" w:cs="Calibri"/>
                <w:b/>
                <w:sz w:val="16"/>
                <w:szCs w:val="16"/>
                <w:lang w:eastAsia="en-GB"/>
              </w:rPr>
              <w:t>0</w:t>
            </w:r>
          </w:p>
        </w:tc>
        <w:tc>
          <w:tcPr>
            <w:tcW w:w="567" w:type="pct"/>
          </w:tcPr>
          <w:p w14:paraId="10A2AD5C"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137</w:t>
            </w:r>
          </w:p>
        </w:tc>
        <w:tc>
          <w:tcPr>
            <w:tcW w:w="469" w:type="pct"/>
          </w:tcPr>
          <w:p w14:paraId="4BE14EB4" w14:textId="77777777" w:rsidR="00493A03" w:rsidRPr="007A2874" w:rsidRDefault="00493A03" w:rsidP="007A2874">
            <w:pPr>
              <w:spacing w:before="120" w:after="0"/>
              <w:jc w:val="right"/>
              <w:textboxTightWrap w:val="none"/>
              <w:rPr>
                <w:rFonts w:ascii="Calibri" w:hAnsi="Calibri" w:cs="Calibri"/>
                <w:sz w:val="16"/>
                <w:szCs w:val="16"/>
              </w:rPr>
            </w:pPr>
            <w:r w:rsidRPr="007A2874">
              <w:rPr>
                <w:rFonts w:ascii="Calibri" w:hAnsi="Calibri" w:cs="Calibri"/>
                <w:sz w:val="16"/>
                <w:szCs w:val="16"/>
              </w:rPr>
              <w:t>0.0%</w:t>
            </w:r>
          </w:p>
        </w:tc>
        <w:tc>
          <w:tcPr>
            <w:tcW w:w="429" w:type="pct"/>
          </w:tcPr>
          <w:p w14:paraId="1D9536A5" w14:textId="77777777" w:rsidR="00493A03" w:rsidRPr="007A2874" w:rsidRDefault="00493A03" w:rsidP="007A2874">
            <w:pPr>
              <w:spacing w:before="120" w:after="0"/>
              <w:jc w:val="right"/>
              <w:textboxTightWrap w:val="none"/>
              <w:rPr>
                <w:rFonts w:ascii="Calibri" w:hAnsi="Calibri" w:cs="Calibri"/>
                <w:sz w:val="16"/>
                <w:szCs w:val="16"/>
              </w:rPr>
            </w:pPr>
          </w:p>
        </w:tc>
        <w:tc>
          <w:tcPr>
            <w:tcW w:w="484" w:type="pct"/>
          </w:tcPr>
          <w:p w14:paraId="005E16F6" w14:textId="77777777" w:rsidR="00493A03" w:rsidRPr="007A2874" w:rsidRDefault="00493A03" w:rsidP="007A2874">
            <w:pPr>
              <w:spacing w:before="120" w:after="0"/>
              <w:jc w:val="right"/>
              <w:textboxTightWrap w:val="none"/>
              <w:rPr>
                <w:rFonts w:ascii="Calibri" w:hAnsi="Calibri" w:cs="Calibri"/>
                <w:sz w:val="16"/>
                <w:szCs w:val="16"/>
              </w:rPr>
            </w:pPr>
          </w:p>
        </w:tc>
        <w:tc>
          <w:tcPr>
            <w:tcW w:w="429" w:type="pct"/>
          </w:tcPr>
          <w:p w14:paraId="34A385A1" w14:textId="77777777" w:rsidR="00493A03" w:rsidRPr="007A2874" w:rsidRDefault="00493A03" w:rsidP="007A2874">
            <w:pPr>
              <w:spacing w:before="120" w:after="0"/>
              <w:jc w:val="right"/>
              <w:textboxTightWrap w:val="none"/>
              <w:rPr>
                <w:rFonts w:ascii="Calibri" w:hAnsi="Calibri" w:cs="Calibri"/>
                <w:sz w:val="16"/>
                <w:szCs w:val="16"/>
              </w:rPr>
            </w:pPr>
          </w:p>
        </w:tc>
        <w:tc>
          <w:tcPr>
            <w:tcW w:w="548" w:type="pct"/>
          </w:tcPr>
          <w:p w14:paraId="004A360E" w14:textId="77777777" w:rsidR="00493A03" w:rsidRPr="007A2874" w:rsidRDefault="00493A03" w:rsidP="007A2874">
            <w:pPr>
              <w:spacing w:before="120" w:after="0"/>
              <w:jc w:val="right"/>
              <w:textboxTightWrap w:val="none"/>
              <w:rPr>
                <w:rFonts w:ascii="Calibri" w:hAnsi="Calibri" w:cs="Calibri"/>
                <w:sz w:val="16"/>
                <w:szCs w:val="16"/>
              </w:rPr>
            </w:pPr>
          </w:p>
        </w:tc>
        <w:tc>
          <w:tcPr>
            <w:tcW w:w="1695" w:type="pct"/>
          </w:tcPr>
          <w:p w14:paraId="3A085A4E"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lang w:eastAsia="en-GB"/>
              </w:rPr>
              <w:t>Cases were HESID has changed over time</w:t>
            </w:r>
          </w:p>
        </w:tc>
      </w:tr>
    </w:tbl>
    <w:p w14:paraId="67DE8C8D" w14:textId="4C84343C" w:rsidR="00493A03" w:rsidRDefault="00493A03"/>
    <w:tbl>
      <w:tblPr>
        <w:tblStyle w:val="TableGrid"/>
        <w:tblW w:w="10237" w:type="dxa"/>
        <w:tblLook w:val="04A0" w:firstRow="1" w:lastRow="0" w:firstColumn="1" w:lastColumn="0" w:noHBand="0" w:noVBand="1"/>
      </w:tblPr>
      <w:tblGrid>
        <w:gridCol w:w="3383"/>
        <w:gridCol w:w="6854"/>
      </w:tblGrid>
      <w:tr w:rsidR="007A2874" w:rsidRPr="007A2874" w14:paraId="777C6A88" w14:textId="77777777" w:rsidTr="0091378C">
        <w:tc>
          <w:tcPr>
            <w:tcW w:w="3383" w:type="dxa"/>
          </w:tcPr>
          <w:p w14:paraId="03767E99" w14:textId="37B2AF07" w:rsidR="007A2874" w:rsidRPr="007A2874" w:rsidRDefault="007A2874" w:rsidP="007A2874">
            <w:pPr>
              <w:spacing w:before="240"/>
              <w:rPr>
                <w:b/>
                <w:sz w:val="22"/>
                <w:szCs w:val="22"/>
              </w:rPr>
            </w:pPr>
            <w:r w:rsidRPr="007A2874">
              <w:rPr>
                <w:b/>
                <w:sz w:val="22"/>
                <w:szCs w:val="22"/>
              </w:rPr>
              <w:t>Data fields</w:t>
            </w:r>
          </w:p>
        </w:tc>
        <w:tc>
          <w:tcPr>
            <w:tcW w:w="6854" w:type="dxa"/>
          </w:tcPr>
          <w:p w14:paraId="5CF1709D" w14:textId="77777777" w:rsidR="007A2874" w:rsidRPr="007A2874" w:rsidRDefault="007A2874" w:rsidP="007A2874">
            <w:pPr>
              <w:spacing w:before="240"/>
              <w:rPr>
                <w:sz w:val="22"/>
                <w:szCs w:val="22"/>
              </w:rPr>
            </w:pPr>
            <w:r w:rsidRPr="007A2874">
              <w:rPr>
                <w:rFonts w:asciiTheme="majorHAnsi" w:hAnsiTheme="majorHAnsi" w:cstheme="majorHAnsi"/>
              </w:rPr>
              <w:t xml:space="preserve"> </w:t>
            </w:r>
            <w:r w:rsidRPr="007A2874">
              <w:rPr>
                <w:sz w:val="22"/>
                <w:szCs w:val="22"/>
              </w:rPr>
              <w:t>HES APC:</w:t>
            </w:r>
          </w:p>
          <w:p w14:paraId="357A2568" w14:textId="77777777" w:rsidR="007A2874" w:rsidRPr="007A2874" w:rsidRDefault="007A2874" w:rsidP="007A2874">
            <w:pPr>
              <w:spacing w:before="240"/>
              <w:rPr>
                <w:sz w:val="22"/>
                <w:szCs w:val="22"/>
              </w:rPr>
            </w:pPr>
            <w:r w:rsidRPr="007A2874">
              <w:rPr>
                <w:sz w:val="22"/>
                <w:szCs w:val="22"/>
              </w:rPr>
              <w:t>ADMIDATE – Date of admission</w:t>
            </w:r>
          </w:p>
          <w:p w14:paraId="29F9CF9D" w14:textId="77777777" w:rsidR="007A2874" w:rsidRPr="007A2874" w:rsidRDefault="007A2874" w:rsidP="007A2874">
            <w:pPr>
              <w:spacing w:before="240"/>
              <w:rPr>
                <w:sz w:val="22"/>
                <w:szCs w:val="22"/>
              </w:rPr>
            </w:pPr>
            <w:r w:rsidRPr="007A2874">
              <w:rPr>
                <w:sz w:val="22"/>
                <w:szCs w:val="22"/>
              </w:rPr>
              <w:t>ADMISORC – Source of admission</w:t>
            </w:r>
          </w:p>
          <w:p w14:paraId="6F9E82CA" w14:textId="77777777" w:rsidR="007A2874" w:rsidRPr="007A2874" w:rsidRDefault="007A2874" w:rsidP="007A2874">
            <w:pPr>
              <w:spacing w:before="240"/>
              <w:rPr>
                <w:sz w:val="22"/>
                <w:szCs w:val="22"/>
              </w:rPr>
            </w:pPr>
            <w:r w:rsidRPr="007A2874">
              <w:rPr>
                <w:sz w:val="22"/>
                <w:szCs w:val="22"/>
              </w:rPr>
              <w:t>CCG_RESPONSIBILITY – CCG derived from the patient’s GP practice, or if this is not recorded, from their residence, or if this is not recorded, from the location of the hospital provider supplying care</w:t>
            </w:r>
          </w:p>
          <w:p w14:paraId="2F0C6789" w14:textId="77777777" w:rsidR="007A2874" w:rsidRPr="007A2874" w:rsidRDefault="007A2874" w:rsidP="007A2874">
            <w:pPr>
              <w:spacing w:before="240"/>
              <w:rPr>
                <w:sz w:val="22"/>
                <w:szCs w:val="22"/>
              </w:rPr>
            </w:pPr>
            <w:r w:rsidRPr="007A2874">
              <w:rPr>
                <w:sz w:val="22"/>
                <w:szCs w:val="22"/>
              </w:rPr>
              <w:t xml:space="preserve">CLASSPAT – Patient Classification </w:t>
            </w:r>
          </w:p>
          <w:p w14:paraId="09ECB8D5" w14:textId="77777777" w:rsidR="007A2874" w:rsidRPr="007A2874" w:rsidRDefault="007A2874" w:rsidP="007A2874">
            <w:pPr>
              <w:spacing w:before="240"/>
              <w:rPr>
                <w:sz w:val="22"/>
                <w:szCs w:val="22"/>
              </w:rPr>
            </w:pPr>
            <w:r w:rsidRPr="007A2874">
              <w:rPr>
                <w:sz w:val="22"/>
                <w:szCs w:val="22"/>
              </w:rPr>
              <w:t>DIAG_4_01 – Primary Diagnosis, 4 character</w:t>
            </w:r>
          </w:p>
          <w:p w14:paraId="597B707C" w14:textId="77777777" w:rsidR="007A2874" w:rsidRPr="007A2874" w:rsidRDefault="007A2874" w:rsidP="007A2874">
            <w:pPr>
              <w:spacing w:before="240"/>
              <w:rPr>
                <w:sz w:val="22"/>
                <w:szCs w:val="22"/>
              </w:rPr>
            </w:pPr>
            <w:r w:rsidRPr="007A2874">
              <w:rPr>
                <w:sz w:val="22"/>
                <w:szCs w:val="22"/>
              </w:rPr>
              <w:t>DISMETH – Discharge method</w:t>
            </w:r>
          </w:p>
          <w:p w14:paraId="6F972C38" w14:textId="77777777" w:rsidR="007A2874" w:rsidRPr="007A2874" w:rsidRDefault="007A2874" w:rsidP="007A2874">
            <w:pPr>
              <w:spacing w:before="240"/>
              <w:rPr>
                <w:sz w:val="22"/>
                <w:szCs w:val="22"/>
              </w:rPr>
            </w:pPr>
            <w:r w:rsidRPr="007A2874">
              <w:rPr>
                <w:sz w:val="22"/>
                <w:szCs w:val="22"/>
              </w:rPr>
              <w:t>EPIORDER – Episode number within a spell</w:t>
            </w:r>
          </w:p>
          <w:p w14:paraId="1588651F" w14:textId="77777777" w:rsidR="007A2874" w:rsidRPr="007A2874" w:rsidRDefault="007A2874" w:rsidP="007A2874">
            <w:pPr>
              <w:spacing w:before="240"/>
              <w:rPr>
                <w:sz w:val="22"/>
                <w:szCs w:val="22"/>
              </w:rPr>
            </w:pPr>
            <w:r w:rsidRPr="007A2874">
              <w:rPr>
                <w:sz w:val="22"/>
                <w:szCs w:val="22"/>
              </w:rPr>
              <w:t>EPISTAT – Status of Episode</w:t>
            </w:r>
          </w:p>
          <w:p w14:paraId="2C9C04A5" w14:textId="77777777" w:rsidR="007A2874" w:rsidRPr="007A2874" w:rsidRDefault="007A2874" w:rsidP="007A2874">
            <w:pPr>
              <w:spacing w:before="240"/>
              <w:rPr>
                <w:sz w:val="22"/>
                <w:szCs w:val="22"/>
              </w:rPr>
            </w:pPr>
            <w:r w:rsidRPr="007A2874">
              <w:rPr>
                <w:sz w:val="22"/>
                <w:szCs w:val="22"/>
              </w:rPr>
              <w:t>EPITYPE – Type of Episode</w:t>
            </w:r>
          </w:p>
          <w:p w14:paraId="786AF21F" w14:textId="77777777" w:rsidR="007A2874" w:rsidRPr="007A2874" w:rsidRDefault="007A2874" w:rsidP="007A2874">
            <w:pPr>
              <w:spacing w:before="240"/>
              <w:rPr>
                <w:sz w:val="22"/>
                <w:szCs w:val="22"/>
              </w:rPr>
            </w:pPr>
            <w:r w:rsidRPr="007A2874">
              <w:rPr>
                <w:sz w:val="22"/>
                <w:szCs w:val="22"/>
              </w:rPr>
              <w:t>OPERTN_4_01 – Main Operative Procedure, 4 character</w:t>
            </w:r>
          </w:p>
          <w:p w14:paraId="39D79AB4" w14:textId="77777777" w:rsidR="007A2874" w:rsidRPr="007A2874" w:rsidRDefault="007A2874" w:rsidP="007A2874">
            <w:pPr>
              <w:spacing w:before="240"/>
              <w:rPr>
                <w:sz w:val="22"/>
                <w:szCs w:val="22"/>
              </w:rPr>
            </w:pPr>
            <w:r w:rsidRPr="007A2874">
              <w:rPr>
                <w:sz w:val="22"/>
                <w:szCs w:val="22"/>
              </w:rPr>
              <w:t>SEX – Sex</w:t>
            </w:r>
          </w:p>
          <w:p w14:paraId="1F56C695" w14:textId="77777777" w:rsidR="007A2874" w:rsidRPr="007A2874" w:rsidRDefault="007A2874" w:rsidP="007A2874">
            <w:pPr>
              <w:spacing w:before="240"/>
              <w:rPr>
                <w:sz w:val="22"/>
                <w:szCs w:val="22"/>
              </w:rPr>
            </w:pPr>
            <w:r w:rsidRPr="007A2874">
              <w:rPr>
                <w:sz w:val="22"/>
                <w:szCs w:val="22"/>
              </w:rPr>
              <w:t>STARTAGE_CALC – Age at the start of the episode</w:t>
            </w:r>
          </w:p>
          <w:p w14:paraId="5F0CF7C7" w14:textId="77777777" w:rsidR="007A2874" w:rsidRPr="007A2874" w:rsidRDefault="007A2874" w:rsidP="007A2874">
            <w:pPr>
              <w:spacing w:before="240"/>
              <w:rPr>
                <w:sz w:val="22"/>
                <w:szCs w:val="22"/>
              </w:rPr>
            </w:pPr>
          </w:p>
          <w:p w14:paraId="0F8A693C" w14:textId="77777777" w:rsidR="007A2874" w:rsidRPr="007A2874" w:rsidRDefault="007A2874" w:rsidP="007A2874">
            <w:pPr>
              <w:spacing w:before="240"/>
              <w:rPr>
                <w:sz w:val="22"/>
                <w:szCs w:val="22"/>
              </w:rPr>
            </w:pPr>
            <w:r w:rsidRPr="007A2874">
              <w:rPr>
                <w:sz w:val="22"/>
                <w:szCs w:val="22"/>
              </w:rPr>
              <w:t>NACR:</w:t>
            </w:r>
          </w:p>
          <w:p w14:paraId="4BF3D167" w14:textId="77777777" w:rsidR="007A2874" w:rsidRPr="007A2874" w:rsidRDefault="007A2874" w:rsidP="007A2874">
            <w:pPr>
              <w:spacing w:before="240"/>
              <w:rPr>
                <w:sz w:val="22"/>
                <w:szCs w:val="22"/>
              </w:rPr>
            </w:pPr>
            <w:proofErr w:type="spellStart"/>
            <w:r w:rsidRPr="007A2874">
              <w:rPr>
                <w:sz w:val="22"/>
                <w:szCs w:val="22"/>
              </w:rPr>
              <w:lastRenderedPageBreak/>
              <w:t>ReferredDate</w:t>
            </w:r>
            <w:proofErr w:type="spellEnd"/>
            <w:r w:rsidRPr="007A2874">
              <w:rPr>
                <w:sz w:val="22"/>
                <w:szCs w:val="22"/>
              </w:rPr>
              <w:t xml:space="preserve"> – The date a person was referred to core cardiac rehabilitation. (From April 2015, this has been moved from initiating event to rehabilitation records)</w:t>
            </w:r>
          </w:p>
          <w:p w14:paraId="73E3713F" w14:textId="63B53581" w:rsidR="007A2874" w:rsidRPr="007A2874" w:rsidRDefault="007A2874" w:rsidP="007A2874">
            <w:pPr>
              <w:spacing w:before="240"/>
              <w:rPr>
                <w:sz w:val="22"/>
                <w:szCs w:val="22"/>
              </w:rPr>
            </w:pPr>
            <w:proofErr w:type="spellStart"/>
            <w:r w:rsidRPr="007A2874">
              <w:rPr>
                <w:sz w:val="22"/>
                <w:szCs w:val="22"/>
              </w:rPr>
              <w:t>StudyID</w:t>
            </w:r>
            <w:proofErr w:type="spellEnd"/>
          </w:p>
        </w:tc>
      </w:tr>
      <w:tr w:rsidR="007A2874" w:rsidRPr="007A2874" w14:paraId="0ED50B0C" w14:textId="77777777" w:rsidTr="0091378C">
        <w:tc>
          <w:tcPr>
            <w:tcW w:w="3383" w:type="dxa"/>
          </w:tcPr>
          <w:p w14:paraId="5206C8E3" w14:textId="77777777" w:rsidR="007A2874" w:rsidRPr="007A2874" w:rsidRDefault="007A2874" w:rsidP="007A2874">
            <w:pPr>
              <w:spacing w:before="240" w:after="0"/>
              <w:ind w:left="34"/>
              <w:rPr>
                <w:b/>
                <w:sz w:val="22"/>
                <w:szCs w:val="22"/>
              </w:rPr>
            </w:pPr>
            <w:r w:rsidRPr="007A2874">
              <w:rPr>
                <w:b/>
                <w:sz w:val="22"/>
                <w:szCs w:val="22"/>
              </w:rPr>
              <w:lastRenderedPageBreak/>
              <w:t>Data filters</w:t>
            </w:r>
          </w:p>
          <w:p w14:paraId="0A85B8DD" w14:textId="77777777" w:rsidR="007A2874" w:rsidRPr="007A2874" w:rsidRDefault="007A2874" w:rsidP="007A2874">
            <w:pPr>
              <w:spacing w:before="240"/>
              <w:rPr>
                <w:b/>
                <w:sz w:val="22"/>
                <w:szCs w:val="22"/>
              </w:rPr>
            </w:pPr>
          </w:p>
        </w:tc>
        <w:tc>
          <w:tcPr>
            <w:tcW w:w="6854" w:type="dxa"/>
          </w:tcPr>
          <w:p w14:paraId="69557E0F" w14:textId="77777777" w:rsidR="007A2874" w:rsidRPr="007A2874" w:rsidRDefault="007A2874" w:rsidP="007A2874">
            <w:pPr>
              <w:spacing w:before="240"/>
              <w:rPr>
                <w:sz w:val="22"/>
                <w:szCs w:val="22"/>
              </w:rPr>
            </w:pPr>
            <w:r w:rsidRPr="007A2874">
              <w:rPr>
                <w:sz w:val="22"/>
                <w:szCs w:val="22"/>
              </w:rPr>
              <w:t xml:space="preserve">The OPERTN_4_01 and DIAG_4_01 codes used in this indicator have been taken from the </w:t>
            </w:r>
            <w:proofErr w:type="spellStart"/>
            <w:r w:rsidRPr="007A2874">
              <w:rPr>
                <w:sz w:val="22"/>
                <w:szCs w:val="22"/>
              </w:rPr>
              <w:t>PbR</w:t>
            </w:r>
            <w:proofErr w:type="spellEnd"/>
            <w:r w:rsidRPr="007A2874">
              <w:rPr>
                <w:sz w:val="22"/>
                <w:szCs w:val="22"/>
              </w:rPr>
              <w:t xml:space="preserve"> post discharge tariff; these differ from the NHS Classification Service codes which contain a greater number of codes. The decision to use </w:t>
            </w:r>
            <w:proofErr w:type="spellStart"/>
            <w:r w:rsidRPr="007A2874">
              <w:rPr>
                <w:sz w:val="22"/>
                <w:szCs w:val="22"/>
              </w:rPr>
              <w:t>PbR</w:t>
            </w:r>
            <w:proofErr w:type="spellEnd"/>
            <w:r w:rsidRPr="007A2874">
              <w:rPr>
                <w:sz w:val="22"/>
                <w:szCs w:val="22"/>
              </w:rPr>
              <w:t xml:space="preserve"> codes was made in order to have a consistent set of diagnosis and procedures that CCGs were paid to provide the treatment for. The NHS Classification Service includes codes for Heart Failure which have not been used in this analysis, whilst the </w:t>
            </w:r>
            <w:proofErr w:type="spellStart"/>
            <w:r w:rsidRPr="007A2874">
              <w:rPr>
                <w:sz w:val="22"/>
                <w:szCs w:val="22"/>
              </w:rPr>
              <w:t>PbR</w:t>
            </w:r>
            <w:proofErr w:type="spellEnd"/>
            <w:r w:rsidRPr="007A2874">
              <w:rPr>
                <w:sz w:val="22"/>
                <w:szCs w:val="22"/>
              </w:rPr>
              <w:t xml:space="preserve"> codes includes </w:t>
            </w:r>
            <w:proofErr w:type="gramStart"/>
            <w:r w:rsidRPr="007A2874">
              <w:rPr>
                <w:sz w:val="22"/>
                <w:szCs w:val="22"/>
              </w:rPr>
              <w:t>a number of</w:t>
            </w:r>
            <w:proofErr w:type="gramEnd"/>
            <w:r w:rsidRPr="007A2874">
              <w:rPr>
                <w:sz w:val="22"/>
                <w:szCs w:val="22"/>
              </w:rPr>
              <w:t xml:space="preserve"> coronary artery related procedures which are not included in the NHS Classification Service advice. In 2011,12, the </w:t>
            </w:r>
            <w:proofErr w:type="spellStart"/>
            <w:r w:rsidRPr="007A2874">
              <w:rPr>
                <w:sz w:val="22"/>
                <w:szCs w:val="22"/>
              </w:rPr>
              <w:t>PbR</w:t>
            </w:r>
            <w:proofErr w:type="spellEnd"/>
            <w:r w:rsidRPr="007A2874">
              <w:rPr>
                <w:sz w:val="22"/>
                <w:szCs w:val="22"/>
              </w:rPr>
              <w:t xml:space="preserve"> codes included approximately 10,000 more FAEs than the NHS Classification Service codes, </w:t>
            </w:r>
          </w:p>
          <w:p w14:paraId="0FD1FE3D" w14:textId="77777777" w:rsidR="007A2874" w:rsidRPr="007A2874" w:rsidRDefault="007A2874" w:rsidP="007A2874">
            <w:pPr>
              <w:spacing w:before="240"/>
              <w:rPr>
                <w:sz w:val="22"/>
                <w:szCs w:val="22"/>
              </w:rPr>
            </w:pPr>
            <w:r w:rsidRPr="007A2874">
              <w:rPr>
                <w:sz w:val="22"/>
                <w:szCs w:val="22"/>
              </w:rPr>
              <w:t>ADMISORC – Not in (51, 52, 53)</w:t>
            </w:r>
          </w:p>
          <w:p w14:paraId="06131626" w14:textId="77777777" w:rsidR="007A2874" w:rsidRPr="007A2874" w:rsidRDefault="007A2874" w:rsidP="007A2874">
            <w:pPr>
              <w:spacing w:before="240"/>
              <w:rPr>
                <w:sz w:val="22"/>
                <w:szCs w:val="22"/>
              </w:rPr>
            </w:pPr>
            <w:r w:rsidRPr="007A2874">
              <w:rPr>
                <w:sz w:val="22"/>
                <w:szCs w:val="22"/>
              </w:rPr>
              <w:t>CCG_RESPONSIBILITY – Code is valid</w:t>
            </w:r>
          </w:p>
          <w:p w14:paraId="254554D2" w14:textId="77777777" w:rsidR="007A2874" w:rsidRPr="007A2874" w:rsidRDefault="007A2874" w:rsidP="007A2874">
            <w:pPr>
              <w:spacing w:before="240"/>
              <w:rPr>
                <w:sz w:val="22"/>
                <w:szCs w:val="22"/>
              </w:rPr>
            </w:pPr>
            <w:r w:rsidRPr="007A2874">
              <w:rPr>
                <w:sz w:val="22"/>
                <w:szCs w:val="22"/>
              </w:rPr>
              <w:t>CLASSPAT – In (1, 2)</w:t>
            </w:r>
          </w:p>
          <w:p w14:paraId="6FD3CBC9" w14:textId="77777777" w:rsidR="007A2874" w:rsidRPr="007A2874" w:rsidRDefault="007A2874" w:rsidP="007A2874">
            <w:pPr>
              <w:spacing w:before="240"/>
              <w:ind w:left="720"/>
              <w:rPr>
                <w:sz w:val="22"/>
                <w:szCs w:val="22"/>
              </w:rPr>
            </w:pPr>
            <w:r w:rsidRPr="007A2874">
              <w:rPr>
                <w:sz w:val="22"/>
                <w:szCs w:val="22"/>
              </w:rPr>
              <w:t>DIAG_4_01 – In (I210, I211, I212, I213, I214, I219, I220, I221, I228, I229, I500, I501, I509)</w:t>
            </w:r>
          </w:p>
          <w:p w14:paraId="2B3DD382" w14:textId="77777777" w:rsidR="007A2874" w:rsidRPr="007A2874" w:rsidRDefault="007A2874" w:rsidP="007A2874">
            <w:pPr>
              <w:spacing w:before="240"/>
              <w:ind w:left="720"/>
              <w:rPr>
                <w:sz w:val="22"/>
                <w:szCs w:val="22"/>
              </w:rPr>
            </w:pPr>
            <w:r w:rsidRPr="007A2874">
              <w:rPr>
                <w:sz w:val="22"/>
                <w:szCs w:val="22"/>
              </w:rPr>
              <w:t>Or</w:t>
            </w:r>
          </w:p>
          <w:p w14:paraId="7DE7F4DE" w14:textId="77777777" w:rsidR="007A2874" w:rsidRPr="007A2874" w:rsidRDefault="007A2874" w:rsidP="007A2874">
            <w:pPr>
              <w:spacing w:before="240"/>
              <w:ind w:left="720"/>
              <w:rPr>
                <w:sz w:val="22"/>
                <w:szCs w:val="22"/>
              </w:rPr>
            </w:pPr>
            <w:r w:rsidRPr="007A2874">
              <w:rPr>
                <w:sz w:val="22"/>
                <w:szCs w:val="22"/>
              </w:rPr>
              <w:t>OPERTN_4_01 – In (K401, K402, K403, K404, K405, K408, K409, K411, K412, K413, K414, K418, K419, K421, K422, K423, K424, K428, K429, K431, K432, K433, K434, K438, K439, K441, K442, K448, K449, K451, K452, K453, K454, K455, K456, K458, K459, K461, K462, K463, K464, K465, K468, K469, K491, K492, K493, K494, K498, K499, K501, K502, K503, K504, K508, K509, K751, K752, K753, K754, K758, K759)</w:t>
            </w:r>
          </w:p>
          <w:p w14:paraId="46A9F643" w14:textId="77777777" w:rsidR="007A2874" w:rsidRPr="007A2874" w:rsidRDefault="007A2874" w:rsidP="007A2874">
            <w:pPr>
              <w:spacing w:before="240"/>
              <w:rPr>
                <w:sz w:val="22"/>
                <w:szCs w:val="22"/>
              </w:rPr>
            </w:pPr>
            <w:r w:rsidRPr="007A2874">
              <w:rPr>
                <w:sz w:val="22"/>
                <w:szCs w:val="22"/>
              </w:rPr>
              <w:t>DISMETH – Not 4 or 5</w:t>
            </w:r>
          </w:p>
          <w:p w14:paraId="01594DDF" w14:textId="77777777" w:rsidR="007A2874" w:rsidRPr="007A2874" w:rsidRDefault="007A2874" w:rsidP="007A2874">
            <w:pPr>
              <w:spacing w:before="240"/>
              <w:rPr>
                <w:sz w:val="22"/>
                <w:szCs w:val="22"/>
              </w:rPr>
            </w:pPr>
            <w:r w:rsidRPr="007A2874">
              <w:rPr>
                <w:sz w:val="22"/>
                <w:szCs w:val="22"/>
              </w:rPr>
              <w:t>EPIORDER – = 1</w:t>
            </w:r>
          </w:p>
          <w:p w14:paraId="5A0D1C35" w14:textId="77777777" w:rsidR="007A2874" w:rsidRPr="007A2874" w:rsidRDefault="007A2874" w:rsidP="007A2874">
            <w:pPr>
              <w:spacing w:before="240"/>
              <w:rPr>
                <w:sz w:val="22"/>
                <w:szCs w:val="22"/>
              </w:rPr>
            </w:pPr>
            <w:r w:rsidRPr="007A2874">
              <w:rPr>
                <w:sz w:val="22"/>
                <w:szCs w:val="22"/>
              </w:rPr>
              <w:t>EPISTAT – = 3</w:t>
            </w:r>
          </w:p>
          <w:p w14:paraId="43FFFFF0" w14:textId="77777777" w:rsidR="007A2874" w:rsidRPr="007A2874" w:rsidRDefault="007A2874" w:rsidP="007A2874">
            <w:pPr>
              <w:spacing w:before="240"/>
              <w:rPr>
                <w:sz w:val="22"/>
                <w:szCs w:val="22"/>
              </w:rPr>
            </w:pPr>
            <w:r w:rsidRPr="007A2874">
              <w:rPr>
                <w:sz w:val="22"/>
                <w:szCs w:val="22"/>
              </w:rPr>
              <w:t>EPITYPE – = 1</w:t>
            </w:r>
          </w:p>
          <w:p w14:paraId="4F0A6198" w14:textId="77777777" w:rsidR="007A2874" w:rsidRPr="007A2874" w:rsidRDefault="007A2874" w:rsidP="007A2874">
            <w:pPr>
              <w:spacing w:before="240"/>
              <w:rPr>
                <w:sz w:val="22"/>
                <w:szCs w:val="22"/>
              </w:rPr>
            </w:pPr>
            <w:r w:rsidRPr="007A2874">
              <w:rPr>
                <w:sz w:val="22"/>
                <w:szCs w:val="22"/>
              </w:rPr>
              <w:t>SEX – In (1, 2)</w:t>
            </w:r>
          </w:p>
          <w:p w14:paraId="5C4EE207" w14:textId="77777777" w:rsidR="007A2874" w:rsidRPr="007A2874" w:rsidRDefault="007A2874" w:rsidP="007A2874">
            <w:pPr>
              <w:spacing w:before="240"/>
              <w:rPr>
                <w:sz w:val="22"/>
                <w:szCs w:val="22"/>
              </w:rPr>
            </w:pPr>
            <w:r w:rsidRPr="007A2874">
              <w:rPr>
                <w:sz w:val="22"/>
                <w:szCs w:val="22"/>
              </w:rPr>
              <w:t>STARTAGE_CALC – Between 0 and 120</w:t>
            </w:r>
          </w:p>
          <w:p w14:paraId="59421044" w14:textId="77777777" w:rsidR="007A2874" w:rsidRPr="007A2874" w:rsidRDefault="007A2874" w:rsidP="007A2874">
            <w:pPr>
              <w:spacing w:before="240"/>
              <w:rPr>
                <w:sz w:val="22"/>
                <w:szCs w:val="22"/>
              </w:rPr>
            </w:pPr>
          </w:p>
          <w:p w14:paraId="5676E5DB" w14:textId="77777777" w:rsidR="007A2874" w:rsidRPr="007A2874" w:rsidRDefault="007A2874" w:rsidP="007A2874">
            <w:pPr>
              <w:spacing w:before="240"/>
              <w:rPr>
                <w:sz w:val="22"/>
                <w:szCs w:val="22"/>
              </w:rPr>
            </w:pPr>
            <w:r w:rsidRPr="007A2874">
              <w:rPr>
                <w:sz w:val="22"/>
                <w:szCs w:val="22"/>
              </w:rPr>
              <w:t>NACR:</w:t>
            </w:r>
          </w:p>
          <w:p w14:paraId="2A5CE4A4" w14:textId="77777777" w:rsidR="007A2874" w:rsidRPr="007A2874" w:rsidRDefault="007A2874" w:rsidP="007A2874">
            <w:pPr>
              <w:spacing w:before="240"/>
              <w:rPr>
                <w:sz w:val="22"/>
                <w:szCs w:val="22"/>
              </w:rPr>
            </w:pPr>
            <w:proofErr w:type="spellStart"/>
            <w:r w:rsidRPr="007A2874">
              <w:rPr>
                <w:sz w:val="22"/>
                <w:szCs w:val="22"/>
              </w:rPr>
              <w:t>ReferredDate</w:t>
            </w:r>
            <w:proofErr w:type="spellEnd"/>
            <w:r w:rsidRPr="007A2874">
              <w:rPr>
                <w:sz w:val="22"/>
                <w:szCs w:val="22"/>
              </w:rPr>
              <w:t xml:space="preserve"> – Is not null and is within 5 days of ADMIDATE</w:t>
            </w:r>
          </w:p>
          <w:p w14:paraId="48BC3880" w14:textId="77777777" w:rsidR="007A2874" w:rsidRPr="007A2874" w:rsidRDefault="007A2874" w:rsidP="007A2874">
            <w:pPr>
              <w:spacing w:before="240"/>
              <w:rPr>
                <w:sz w:val="22"/>
                <w:szCs w:val="22"/>
              </w:rPr>
            </w:pPr>
            <w:r w:rsidRPr="007A2874">
              <w:rPr>
                <w:sz w:val="22"/>
                <w:szCs w:val="22"/>
              </w:rPr>
              <w:lastRenderedPageBreak/>
              <w:t>(</w:t>
            </w:r>
            <w:proofErr w:type="spellStart"/>
            <w:r w:rsidRPr="007A2874">
              <w:rPr>
                <w:sz w:val="22"/>
                <w:szCs w:val="22"/>
              </w:rPr>
              <w:t>ReferredDate</w:t>
            </w:r>
            <w:proofErr w:type="spellEnd"/>
            <w:r w:rsidRPr="007A2874">
              <w:rPr>
                <w:sz w:val="22"/>
                <w:szCs w:val="22"/>
              </w:rPr>
              <w:t xml:space="preserve"> between 1</w:t>
            </w:r>
            <w:r w:rsidRPr="007A2874">
              <w:rPr>
                <w:sz w:val="22"/>
                <w:szCs w:val="22"/>
                <w:vertAlign w:val="superscript"/>
              </w:rPr>
              <w:t>st</w:t>
            </w:r>
            <w:r w:rsidRPr="007A2874">
              <w:rPr>
                <w:sz w:val="22"/>
                <w:szCs w:val="22"/>
              </w:rPr>
              <w:t xml:space="preserve"> April YYYY and 5</w:t>
            </w:r>
            <w:r w:rsidRPr="007A2874">
              <w:rPr>
                <w:sz w:val="22"/>
                <w:szCs w:val="22"/>
                <w:vertAlign w:val="superscript"/>
              </w:rPr>
              <w:t>th</w:t>
            </w:r>
            <w:r w:rsidRPr="007A2874">
              <w:rPr>
                <w:sz w:val="22"/>
                <w:szCs w:val="22"/>
              </w:rPr>
              <w:t xml:space="preserve"> April YYYY+1, </w:t>
            </w:r>
            <w:proofErr w:type="spellStart"/>
            <w:proofErr w:type="gramStart"/>
            <w:r w:rsidRPr="007A2874">
              <w:rPr>
                <w:sz w:val="22"/>
                <w:szCs w:val="22"/>
              </w:rPr>
              <w:t>Datdif</w:t>
            </w:r>
            <w:proofErr w:type="spellEnd"/>
            <w:r w:rsidRPr="007A2874">
              <w:rPr>
                <w:sz w:val="22"/>
                <w:szCs w:val="22"/>
              </w:rPr>
              <w:t>(</w:t>
            </w:r>
            <w:proofErr w:type="gramEnd"/>
            <w:r w:rsidRPr="007A2874">
              <w:rPr>
                <w:sz w:val="22"/>
                <w:szCs w:val="22"/>
              </w:rPr>
              <w:t xml:space="preserve">ADMIDATE, </w:t>
            </w:r>
            <w:proofErr w:type="spellStart"/>
            <w:r w:rsidRPr="007A2874">
              <w:rPr>
                <w:sz w:val="22"/>
                <w:szCs w:val="22"/>
              </w:rPr>
              <w:t>ReferredDate</w:t>
            </w:r>
            <w:proofErr w:type="spellEnd"/>
            <w:r w:rsidRPr="007A2874">
              <w:rPr>
                <w:sz w:val="22"/>
                <w:szCs w:val="22"/>
              </w:rPr>
              <w:t>) between 0 and 4)</w:t>
            </w:r>
          </w:p>
          <w:p w14:paraId="77D066EE" w14:textId="77777777" w:rsidR="007A2874" w:rsidRPr="007A2874" w:rsidRDefault="007A2874" w:rsidP="007A2874">
            <w:pPr>
              <w:spacing w:before="240"/>
              <w:rPr>
                <w:sz w:val="22"/>
                <w:szCs w:val="22"/>
              </w:rPr>
            </w:pPr>
          </w:p>
          <w:p w14:paraId="1109AFE6" w14:textId="77777777" w:rsidR="007A2874" w:rsidRPr="007A2874" w:rsidRDefault="007A2874" w:rsidP="007A2874">
            <w:pPr>
              <w:spacing w:before="240"/>
              <w:rPr>
                <w:sz w:val="22"/>
                <w:szCs w:val="22"/>
              </w:rPr>
            </w:pPr>
            <w:r w:rsidRPr="007A2874">
              <w:rPr>
                <w:sz w:val="22"/>
                <w:szCs w:val="22"/>
              </w:rPr>
              <w:t>Process:</w:t>
            </w:r>
          </w:p>
          <w:p w14:paraId="3BADD2B6" w14:textId="77777777" w:rsidR="007A2874" w:rsidRPr="007A2874" w:rsidRDefault="007A2874" w:rsidP="007A2874">
            <w:pPr>
              <w:spacing w:before="240"/>
              <w:rPr>
                <w:sz w:val="22"/>
                <w:szCs w:val="22"/>
              </w:rPr>
            </w:pPr>
            <w:r w:rsidRPr="007A2874">
              <w:rPr>
                <w:sz w:val="22"/>
                <w:szCs w:val="22"/>
              </w:rPr>
              <w:t>Relevant HES records are selected</w:t>
            </w:r>
          </w:p>
          <w:p w14:paraId="167966E3" w14:textId="77777777" w:rsidR="007A2874" w:rsidRPr="007A2874" w:rsidRDefault="007A2874" w:rsidP="007A2874">
            <w:pPr>
              <w:spacing w:before="240"/>
              <w:rPr>
                <w:sz w:val="22"/>
                <w:szCs w:val="22"/>
              </w:rPr>
            </w:pPr>
            <w:r w:rsidRPr="007A2874">
              <w:rPr>
                <w:sz w:val="22"/>
                <w:szCs w:val="22"/>
              </w:rPr>
              <w:t xml:space="preserve">Duplicate EPIKEYs are removed from the NHS Digital DARS extract; remaining EPIKEYs are joined to the HES records to obtain the relevant </w:t>
            </w:r>
            <w:proofErr w:type="spellStart"/>
            <w:r w:rsidRPr="007A2874">
              <w:rPr>
                <w:sz w:val="22"/>
                <w:szCs w:val="22"/>
              </w:rPr>
              <w:t>StudyIDs</w:t>
            </w:r>
            <w:proofErr w:type="spellEnd"/>
            <w:r w:rsidRPr="007A2874">
              <w:rPr>
                <w:sz w:val="22"/>
                <w:szCs w:val="22"/>
              </w:rPr>
              <w:t>.</w:t>
            </w:r>
          </w:p>
          <w:p w14:paraId="4A6CD2FA" w14:textId="77777777" w:rsidR="007A2874" w:rsidRPr="007A2874" w:rsidRDefault="007A2874" w:rsidP="007A2874">
            <w:pPr>
              <w:spacing w:before="240"/>
              <w:rPr>
                <w:sz w:val="22"/>
                <w:szCs w:val="22"/>
              </w:rPr>
            </w:pPr>
            <w:r w:rsidRPr="007A2874">
              <w:rPr>
                <w:sz w:val="22"/>
                <w:szCs w:val="22"/>
              </w:rPr>
              <w:t xml:space="preserve">The </w:t>
            </w:r>
            <w:proofErr w:type="spellStart"/>
            <w:r w:rsidRPr="007A2874">
              <w:rPr>
                <w:sz w:val="22"/>
                <w:szCs w:val="22"/>
              </w:rPr>
              <w:t>HES+StudyID</w:t>
            </w:r>
            <w:proofErr w:type="spellEnd"/>
            <w:r w:rsidRPr="007A2874">
              <w:rPr>
                <w:sz w:val="22"/>
                <w:szCs w:val="22"/>
              </w:rPr>
              <w:t xml:space="preserve"> data is linked to NACR data, records are joined if the </w:t>
            </w:r>
            <w:proofErr w:type="spellStart"/>
            <w:r w:rsidRPr="007A2874">
              <w:rPr>
                <w:sz w:val="22"/>
                <w:szCs w:val="22"/>
              </w:rPr>
              <w:t>ReferredDate</w:t>
            </w:r>
            <w:proofErr w:type="spellEnd"/>
            <w:r w:rsidRPr="007A2874">
              <w:rPr>
                <w:sz w:val="22"/>
                <w:szCs w:val="22"/>
              </w:rPr>
              <w:t xml:space="preserve"> is within 5 days of the ADMIDATE. </w:t>
            </w:r>
          </w:p>
          <w:p w14:paraId="4711BEE4" w14:textId="4BE6A9B8" w:rsidR="007A2874" w:rsidRPr="007A2874" w:rsidRDefault="007A2874" w:rsidP="007A2874">
            <w:pPr>
              <w:spacing w:before="240"/>
              <w:rPr>
                <w:rFonts w:asciiTheme="majorHAnsi" w:hAnsiTheme="majorHAnsi" w:cstheme="majorHAnsi"/>
              </w:rPr>
            </w:pPr>
            <w:r w:rsidRPr="007A2874">
              <w:rPr>
                <w:sz w:val="22"/>
                <w:szCs w:val="22"/>
              </w:rPr>
              <w:t xml:space="preserve">If an episode is referred twice to cardiac rehabilitation within the </w:t>
            </w:r>
            <w:proofErr w:type="gramStart"/>
            <w:r w:rsidRPr="007A2874">
              <w:rPr>
                <w:sz w:val="22"/>
                <w:szCs w:val="22"/>
              </w:rPr>
              <w:t>5 day</w:t>
            </w:r>
            <w:proofErr w:type="gramEnd"/>
            <w:r w:rsidRPr="007A2874">
              <w:rPr>
                <w:sz w:val="22"/>
                <w:szCs w:val="22"/>
              </w:rPr>
              <w:t xml:space="preserve"> period, the earliest record is selected.</w:t>
            </w:r>
          </w:p>
        </w:tc>
      </w:tr>
      <w:tr w:rsidR="007A2874" w:rsidRPr="007A2874" w14:paraId="38257B62" w14:textId="77777777" w:rsidTr="0091378C">
        <w:tc>
          <w:tcPr>
            <w:tcW w:w="3383" w:type="dxa"/>
          </w:tcPr>
          <w:p w14:paraId="10FB3BF7" w14:textId="77777777" w:rsidR="007A2874" w:rsidRPr="007A2874" w:rsidRDefault="007A2874" w:rsidP="007A2874">
            <w:pPr>
              <w:spacing w:before="240"/>
              <w:ind w:left="34"/>
              <w:rPr>
                <w:b/>
                <w:sz w:val="22"/>
                <w:szCs w:val="22"/>
              </w:rPr>
            </w:pPr>
            <w:r w:rsidRPr="007A2874">
              <w:rPr>
                <w:b/>
                <w:sz w:val="22"/>
                <w:szCs w:val="22"/>
              </w:rPr>
              <w:lastRenderedPageBreak/>
              <w:t xml:space="preserve">Justifications of inclusions and exclusions </w:t>
            </w:r>
          </w:p>
          <w:p w14:paraId="76B841CE" w14:textId="113832A6" w:rsidR="007A2874" w:rsidRPr="007A2874" w:rsidRDefault="007A2874" w:rsidP="007A2874">
            <w:pPr>
              <w:spacing w:before="240" w:after="0"/>
              <w:ind w:left="34"/>
              <w:rPr>
                <w:b/>
                <w:sz w:val="22"/>
                <w:szCs w:val="22"/>
              </w:rPr>
            </w:pPr>
            <w:r w:rsidRPr="007A2874">
              <w:rPr>
                <w:sz w:val="22"/>
                <w:szCs w:val="22"/>
              </w:rPr>
              <w:t>and how these adhere to standard definitions</w:t>
            </w:r>
          </w:p>
        </w:tc>
        <w:tc>
          <w:tcPr>
            <w:tcW w:w="6854" w:type="dxa"/>
          </w:tcPr>
          <w:p w14:paraId="33FBBB75" w14:textId="77777777" w:rsidR="007A2874" w:rsidRPr="007A2874" w:rsidRDefault="007A2874" w:rsidP="007A2874">
            <w:pPr>
              <w:spacing w:before="240"/>
              <w:rPr>
                <w:sz w:val="22"/>
                <w:szCs w:val="22"/>
              </w:rPr>
            </w:pPr>
            <w:r w:rsidRPr="007A2874">
              <w:rPr>
                <w:sz w:val="22"/>
                <w:szCs w:val="22"/>
              </w:rPr>
              <w:t>ADMISORC – Excludes transfers from NHS hospital providers. This is a standard HES definition in the indicator set.</w:t>
            </w:r>
          </w:p>
          <w:p w14:paraId="5B535756" w14:textId="77777777" w:rsidR="007A2874" w:rsidRPr="007A2874" w:rsidRDefault="007A2874" w:rsidP="007A2874">
            <w:pPr>
              <w:spacing w:before="240"/>
              <w:rPr>
                <w:sz w:val="22"/>
                <w:szCs w:val="22"/>
              </w:rPr>
            </w:pPr>
            <w:r w:rsidRPr="007A2874">
              <w:rPr>
                <w:sz w:val="22"/>
                <w:szCs w:val="22"/>
              </w:rPr>
              <w:t>CCG_RESPONSIBILITY – Selects valid CCGs, this is a standard HES definition in the indicator set.</w:t>
            </w:r>
          </w:p>
          <w:p w14:paraId="274A644C" w14:textId="77777777" w:rsidR="007A2874" w:rsidRPr="007A2874" w:rsidRDefault="007A2874" w:rsidP="007A2874">
            <w:pPr>
              <w:spacing w:before="240"/>
              <w:rPr>
                <w:sz w:val="22"/>
                <w:szCs w:val="22"/>
              </w:rPr>
            </w:pPr>
            <w:r w:rsidRPr="007A2874">
              <w:rPr>
                <w:sz w:val="22"/>
                <w:szCs w:val="22"/>
              </w:rPr>
              <w:t xml:space="preserve">CLASSPAT – Selects both ordinary admissions and day cases. This is a standard definition in the indicator set when identifying non-emergencies. </w:t>
            </w:r>
          </w:p>
          <w:p w14:paraId="6BF67A38" w14:textId="77777777" w:rsidR="007A2874" w:rsidRPr="007A2874" w:rsidRDefault="007A2874" w:rsidP="007A2874">
            <w:pPr>
              <w:spacing w:before="240"/>
              <w:rPr>
                <w:sz w:val="22"/>
                <w:szCs w:val="22"/>
              </w:rPr>
            </w:pPr>
            <w:r w:rsidRPr="007A2874">
              <w:rPr>
                <w:sz w:val="22"/>
                <w:szCs w:val="22"/>
              </w:rPr>
              <w:t xml:space="preserve">DIAG_4_01 – These ICD-10 codes align with the </w:t>
            </w:r>
            <w:proofErr w:type="spellStart"/>
            <w:r w:rsidRPr="007A2874">
              <w:rPr>
                <w:sz w:val="22"/>
                <w:szCs w:val="22"/>
              </w:rPr>
              <w:t>PbR</w:t>
            </w:r>
            <w:proofErr w:type="spellEnd"/>
            <w:r w:rsidRPr="007A2874">
              <w:rPr>
                <w:sz w:val="22"/>
                <w:szCs w:val="22"/>
              </w:rPr>
              <w:t xml:space="preserve"> post discharge tariff:</w:t>
            </w:r>
          </w:p>
          <w:p w14:paraId="69BBA28A" w14:textId="77777777" w:rsidR="007A2874" w:rsidRPr="007A2874" w:rsidRDefault="007A2874" w:rsidP="007A2874">
            <w:pPr>
              <w:spacing w:after="0"/>
              <w:ind w:left="758" w:hanging="758"/>
              <w:rPr>
                <w:sz w:val="22"/>
                <w:szCs w:val="22"/>
              </w:rPr>
            </w:pPr>
            <w:r w:rsidRPr="007A2874">
              <w:rPr>
                <w:sz w:val="22"/>
                <w:szCs w:val="22"/>
              </w:rPr>
              <w:t>I21</w:t>
            </w:r>
            <w:r w:rsidRPr="007A2874">
              <w:t xml:space="preserve"> </w:t>
            </w:r>
            <w:r w:rsidRPr="007A2874">
              <w:rPr>
                <w:sz w:val="22"/>
                <w:szCs w:val="22"/>
              </w:rPr>
              <w:t>Acute myocardial infarction</w:t>
            </w:r>
          </w:p>
          <w:p w14:paraId="5E576D0F" w14:textId="77777777" w:rsidR="007A2874" w:rsidRPr="007A2874" w:rsidRDefault="007A2874" w:rsidP="007A2874">
            <w:pPr>
              <w:spacing w:after="0"/>
              <w:ind w:left="758" w:hanging="758"/>
              <w:rPr>
                <w:sz w:val="22"/>
                <w:szCs w:val="22"/>
              </w:rPr>
            </w:pPr>
            <w:r w:rsidRPr="007A2874">
              <w:rPr>
                <w:sz w:val="22"/>
                <w:szCs w:val="22"/>
              </w:rPr>
              <w:t>I22</w:t>
            </w:r>
            <w:r w:rsidRPr="007A2874">
              <w:t xml:space="preserve"> </w:t>
            </w:r>
            <w:r w:rsidRPr="007A2874">
              <w:rPr>
                <w:sz w:val="22"/>
                <w:szCs w:val="22"/>
              </w:rPr>
              <w:t>Subsequent myocardial infarction</w:t>
            </w:r>
          </w:p>
          <w:p w14:paraId="5AFFCBFD" w14:textId="77777777" w:rsidR="007A2874" w:rsidRPr="007A2874" w:rsidRDefault="007A2874" w:rsidP="007A2874">
            <w:pPr>
              <w:spacing w:after="0"/>
              <w:ind w:left="758" w:hanging="758"/>
              <w:rPr>
                <w:sz w:val="22"/>
                <w:szCs w:val="22"/>
              </w:rPr>
            </w:pPr>
            <w:r w:rsidRPr="007A2874">
              <w:rPr>
                <w:sz w:val="22"/>
                <w:szCs w:val="22"/>
              </w:rPr>
              <w:t>I50 Heart failure</w:t>
            </w:r>
          </w:p>
          <w:p w14:paraId="22418633" w14:textId="77777777" w:rsidR="007A2874" w:rsidRPr="007A2874" w:rsidRDefault="007A2874" w:rsidP="007A2874">
            <w:pPr>
              <w:spacing w:before="240"/>
              <w:rPr>
                <w:sz w:val="22"/>
                <w:szCs w:val="22"/>
              </w:rPr>
            </w:pPr>
            <w:r w:rsidRPr="007A2874">
              <w:rPr>
                <w:sz w:val="22"/>
                <w:szCs w:val="22"/>
              </w:rPr>
              <w:t xml:space="preserve">OPERTN_4_01 – These OPCS 4 codes align with the </w:t>
            </w:r>
            <w:proofErr w:type="spellStart"/>
            <w:r w:rsidRPr="007A2874">
              <w:rPr>
                <w:sz w:val="22"/>
                <w:szCs w:val="22"/>
              </w:rPr>
              <w:t>PbR</w:t>
            </w:r>
            <w:proofErr w:type="spellEnd"/>
            <w:r w:rsidRPr="007A2874">
              <w:rPr>
                <w:sz w:val="22"/>
                <w:szCs w:val="22"/>
              </w:rPr>
              <w:t xml:space="preserve"> post discharge tariff:</w:t>
            </w:r>
          </w:p>
          <w:p w14:paraId="46C60B79" w14:textId="77777777" w:rsidR="007A2874" w:rsidRPr="007A2874" w:rsidRDefault="007A2874" w:rsidP="007A2874">
            <w:pPr>
              <w:spacing w:after="0"/>
              <w:ind w:left="758" w:hanging="758"/>
              <w:rPr>
                <w:sz w:val="22"/>
                <w:szCs w:val="22"/>
              </w:rPr>
            </w:pPr>
            <w:r w:rsidRPr="007A2874">
              <w:rPr>
                <w:sz w:val="22"/>
                <w:szCs w:val="22"/>
              </w:rPr>
              <w:t>K40</w:t>
            </w:r>
            <w:r w:rsidRPr="007A2874">
              <w:rPr>
                <w:sz w:val="22"/>
                <w:szCs w:val="22"/>
              </w:rPr>
              <w:tab/>
              <w:t>Saphenous vein graft replacement of coronary artery</w:t>
            </w:r>
          </w:p>
          <w:p w14:paraId="36B2FC98" w14:textId="77777777" w:rsidR="007A2874" w:rsidRPr="007A2874" w:rsidRDefault="007A2874" w:rsidP="007A2874">
            <w:pPr>
              <w:spacing w:after="0"/>
              <w:ind w:left="758" w:hanging="758"/>
              <w:rPr>
                <w:sz w:val="22"/>
                <w:szCs w:val="22"/>
              </w:rPr>
            </w:pPr>
            <w:r w:rsidRPr="007A2874">
              <w:rPr>
                <w:sz w:val="22"/>
                <w:szCs w:val="22"/>
              </w:rPr>
              <w:t>K41</w:t>
            </w:r>
            <w:r w:rsidRPr="007A2874">
              <w:rPr>
                <w:sz w:val="22"/>
                <w:szCs w:val="22"/>
              </w:rPr>
              <w:tab/>
              <w:t>Other autograft replacement of coronary artery</w:t>
            </w:r>
          </w:p>
          <w:p w14:paraId="0B9132AE" w14:textId="77777777" w:rsidR="007A2874" w:rsidRPr="007A2874" w:rsidRDefault="007A2874" w:rsidP="007A2874">
            <w:pPr>
              <w:spacing w:after="0"/>
              <w:ind w:left="758" w:hanging="758"/>
              <w:rPr>
                <w:sz w:val="22"/>
                <w:szCs w:val="22"/>
              </w:rPr>
            </w:pPr>
            <w:r w:rsidRPr="007A2874">
              <w:rPr>
                <w:sz w:val="22"/>
                <w:szCs w:val="22"/>
              </w:rPr>
              <w:t>K42</w:t>
            </w:r>
            <w:r w:rsidRPr="007A2874">
              <w:rPr>
                <w:sz w:val="22"/>
                <w:szCs w:val="22"/>
              </w:rPr>
              <w:tab/>
              <w:t>Allograft replacement of coronary artery</w:t>
            </w:r>
          </w:p>
          <w:p w14:paraId="5C52006C" w14:textId="77777777" w:rsidR="007A2874" w:rsidRPr="007A2874" w:rsidRDefault="007A2874" w:rsidP="007A2874">
            <w:pPr>
              <w:spacing w:after="0"/>
              <w:ind w:left="758" w:hanging="758"/>
              <w:rPr>
                <w:sz w:val="22"/>
                <w:szCs w:val="22"/>
              </w:rPr>
            </w:pPr>
            <w:r w:rsidRPr="007A2874">
              <w:rPr>
                <w:sz w:val="22"/>
                <w:szCs w:val="22"/>
              </w:rPr>
              <w:t>K43</w:t>
            </w:r>
            <w:r w:rsidRPr="007A2874">
              <w:rPr>
                <w:sz w:val="22"/>
                <w:szCs w:val="22"/>
              </w:rPr>
              <w:tab/>
              <w:t>Prosthetic replacement of coronary artery</w:t>
            </w:r>
          </w:p>
          <w:p w14:paraId="50E70673" w14:textId="77777777" w:rsidR="007A2874" w:rsidRPr="007A2874" w:rsidRDefault="007A2874" w:rsidP="007A2874">
            <w:pPr>
              <w:spacing w:after="0"/>
              <w:ind w:left="758" w:hanging="758"/>
              <w:rPr>
                <w:sz w:val="22"/>
                <w:szCs w:val="22"/>
              </w:rPr>
            </w:pPr>
            <w:r w:rsidRPr="007A2874">
              <w:rPr>
                <w:sz w:val="22"/>
                <w:szCs w:val="22"/>
              </w:rPr>
              <w:t>K44</w:t>
            </w:r>
            <w:r w:rsidRPr="007A2874">
              <w:rPr>
                <w:sz w:val="22"/>
                <w:szCs w:val="22"/>
              </w:rPr>
              <w:tab/>
              <w:t>Other replacement of coronary artery</w:t>
            </w:r>
          </w:p>
          <w:p w14:paraId="49EF541A" w14:textId="77777777" w:rsidR="007A2874" w:rsidRPr="007A2874" w:rsidRDefault="007A2874" w:rsidP="007A2874">
            <w:pPr>
              <w:spacing w:after="0"/>
              <w:ind w:left="758" w:hanging="758"/>
              <w:rPr>
                <w:sz w:val="22"/>
                <w:szCs w:val="22"/>
              </w:rPr>
            </w:pPr>
            <w:r w:rsidRPr="007A2874">
              <w:rPr>
                <w:sz w:val="22"/>
                <w:szCs w:val="22"/>
              </w:rPr>
              <w:t>K45</w:t>
            </w:r>
            <w:r w:rsidRPr="007A2874">
              <w:rPr>
                <w:sz w:val="22"/>
                <w:szCs w:val="22"/>
              </w:rPr>
              <w:tab/>
              <w:t>Connection of thoracic artery to coronary artery</w:t>
            </w:r>
          </w:p>
          <w:p w14:paraId="7D7A399D" w14:textId="77777777" w:rsidR="007A2874" w:rsidRPr="007A2874" w:rsidRDefault="007A2874" w:rsidP="007A2874">
            <w:pPr>
              <w:spacing w:after="0"/>
              <w:ind w:left="758" w:hanging="758"/>
              <w:rPr>
                <w:sz w:val="22"/>
                <w:szCs w:val="22"/>
              </w:rPr>
            </w:pPr>
            <w:r w:rsidRPr="007A2874">
              <w:rPr>
                <w:sz w:val="22"/>
                <w:szCs w:val="22"/>
              </w:rPr>
              <w:t>K46</w:t>
            </w:r>
            <w:r w:rsidRPr="007A2874">
              <w:rPr>
                <w:sz w:val="22"/>
                <w:szCs w:val="22"/>
              </w:rPr>
              <w:tab/>
            </w:r>
            <w:proofErr w:type="gramStart"/>
            <w:r w:rsidRPr="007A2874">
              <w:rPr>
                <w:sz w:val="22"/>
                <w:szCs w:val="22"/>
              </w:rPr>
              <w:t>Other</w:t>
            </w:r>
            <w:proofErr w:type="gramEnd"/>
            <w:r w:rsidRPr="007A2874">
              <w:rPr>
                <w:sz w:val="22"/>
                <w:szCs w:val="22"/>
              </w:rPr>
              <w:t xml:space="preserve"> bypass of coronary artery</w:t>
            </w:r>
          </w:p>
          <w:p w14:paraId="550149E0" w14:textId="77777777" w:rsidR="007A2874" w:rsidRPr="007A2874" w:rsidRDefault="007A2874" w:rsidP="007A2874">
            <w:pPr>
              <w:spacing w:after="0"/>
              <w:ind w:left="758" w:hanging="758"/>
              <w:rPr>
                <w:sz w:val="22"/>
                <w:szCs w:val="22"/>
              </w:rPr>
            </w:pPr>
            <w:r w:rsidRPr="007A2874">
              <w:rPr>
                <w:sz w:val="22"/>
                <w:szCs w:val="22"/>
              </w:rPr>
              <w:t>K49</w:t>
            </w:r>
            <w:r w:rsidRPr="007A2874">
              <w:rPr>
                <w:sz w:val="22"/>
                <w:szCs w:val="22"/>
              </w:rPr>
              <w:tab/>
              <w:t>Transluminal balloon angioplasty of coronary artery</w:t>
            </w:r>
          </w:p>
          <w:p w14:paraId="2D7BEA5F" w14:textId="77777777" w:rsidR="007A2874" w:rsidRPr="007A2874" w:rsidRDefault="007A2874" w:rsidP="007A2874">
            <w:pPr>
              <w:spacing w:after="0"/>
              <w:ind w:left="758" w:hanging="758"/>
              <w:rPr>
                <w:sz w:val="22"/>
                <w:szCs w:val="22"/>
              </w:rPr>
            </w:pPr>
            <w:r w:rsidRPr="007A2874">
              <w:rPr>
                <w:sz w:val="22"/>
                <w:szCs w:val="22"/>
              </w:rPr>
              <w:t>K50</w:t>
            </w:r>
            <w:r w:rsidRPr="007A2874">
              <w:rPr>
                <w:sz w:val="22"/>
                <w:szCs w:val="22"/>
              </w:rPr>
              <w:tab/>
              <w:t>Other therapeutic transluminal operations on coronary artery</w:t>
            </w:r>
          </w:p>
          <w:p w14:paraId="05DB09BE" w14:textId="77777777" w:rsidR="007A2874" w:rsidRPr="007A2874" w:rsidRDefault="007A2874" w:rsidP="007A2874">
            <w:pPr>
              <w:spacing w:before="240"/>
              <w:rPr>
                <w:sz w:val="22"/>
                <w:szCs w:val="22"/>
              </w:rPr>
            </w:pPr>
            <w:r w:rsidRPr="007A2874">
              <w:rPr>
                <w:sz w:val="22"/>
                <w:szCs w:val="22"/>
              </w:rPr>
              <w:t>K75</w:t>
            </w:r>
            <w:r w:rsidRPr="007A2874">
              <w:rPr>
                <w:sz w:val="22"/>
                <w:szCs w:val="22"/>
              </w:rPr>
              <w:tab/>
              <w:t>Percutaneous transluminal balloon angioplasty and insertion of stent into coronary artery</w:t>
            </w:r>
          </w:p>
          <w:p w14:paraId="3F117F96" w14:textId="77777777" w:rsidR="007A2874" w:rsidRPr="007A2874" w:rsidRDefault="007A2874" w:rsidP="007A2874">
            <w:pPr>
              <w:spacing w:before="240"/>
              <w:rPr>
                <w:sz w:val="22"/>
                <w:szCs w:val="22"/>
              </w:rPr>
            </w:pPr>
            <w:r w:rsidRPr="007A2874">
              <w:rPr>
                <w:sz w:val="22"/>
                <w:szCs w:val="22"/>
              </w:rPr>
              <w:t>DISMETH – Excludes those that were discharged as dead or as stillbirth from the indicator. Standard readmissions definition</w:t>
            </w:r>
          </w:p>
          <w:p w14:paraId="1D5874DC" w14:textId="77777777" w:rsidR="007A2874" w:rsidRPr="007A2874" w:rsidRDefault="007A2874" w:rsidP="007A2874">
            <w:pPr>
              <w:spacing w:before="240"/>
              <w:rPr>
                <w:sz w:val="22"/>
                <w:szCs w:val="22"/>
              </w:rPr>
            </w:pPr>
            <w:r w:rsidRPr="007A2874">
              <w:rPr>
                <w:sz w:val="22"/>
                <w:szCs w:val="22"/>
              </w:rPr>
              <w:t>EPIORDER – Standard HES definition, selects the first admission in a spell, known as the admission episode.</w:t>
            </w:r>
          </w:p>
          <w:p w14:paraId="6587EDD1" w14:textId="77777777" w:rsidR="007A2874" w:rsidRPr="007A2874" w:rsidRDefault="007A2874" w:rsidP="007A2874">
            <w:pPr>
              <w:spacing w:before="240"/>
              <w:rPr>
                <w:sz w:val="22"/>
                <w:szCs w:val="22"/>
              </w:rPr>
            </w:pPr>
            <w:r w:rsidRPr="007A2874">
              <w:rPr>
                <w:sz w:val="22"/>
                <w:szCs w:val="22"/>
              </w:rPr>
              <w:lastRenderedPageBreak/>
              <w:t xml:space="preserve">EPISTAT – Standard HES definition, selects only episodes that have finished. </w:t>
            </w:r>
          </w:p>
          <w:p w14:paraId="2ABB5939" w14:textId="77777777" w:rsidR="007A2874" w:rsidRPr="007A2874" w:rsidRDefault="007A2874" w:rsidP="007A2874">
            <w:pPr>
              <w:spacing w:before="240"/>
              <w:rPr>
                <w:sz w:val="22"/>
                <w:szCs w:val="22"/>
              </w:rPr>
            </w:pPr>
            <w:r w:rsidRPr="007A2874">
              <w:rPr>
                <w:sz w:val="22"/>
                <w:szCs w:val="22"/>
              </w:rPr>
              <w:t>EPITYPE – Standard HES definition, selects general episodes only.</w:t>
            </w:r>
          </w:p>
          <w:p w14:paraId="705AA191" w14:textId="77777777" w:rsidR="007A2874" w:rsidRPr="007A2874" w:rsidRDefault="007A2874" w:rsidP="007A2874">
            <w:pPr>
              <w:spacing w:before="240"/>
              <w:rPr>
                <w:sz w:val="22"/>
                <w:szCs w:val="22"/>
              </w:rPr>
            </w:pPr>
            <w:r w:rsidRPr="007A2874">
              <w:rPr>
                <w:sz w:val="22"/>
                <w:szCs w:val="22"/>
              </w:rPr>
              <w:t>SEX – Selects valid genders only</w:t>
            </w:r>
          </w:p>
          <w:p w14:paraId="5FF52AEA" w14:textId="77777777" w:rsidR="007A2874" w:rsidRPr="007A2874" w:rsidRDefault="007A2874" w:rsidP="007A2874">
            <w:pPr>
              <w:spacing w:before="240"/>
              <w:rPr>
                <w:sz w:val="22"/>
                <w:szCs w:val="22"/>
              </w:rPr>
            </w:pPr>
            <w:r w:rsidRPr="007A2874">
              <w:rPr>
                <w:sz w:val="22"/>
                <w:szCs w:val="22"/>
              </w:rPr>
              <w:t>STARTAGE_CALC – Selects valid ages only</w:t>
            </w:r>
          </w:p>
          <w:p w14:paraId="5B7C3AEF" w14:textId="77777777" w:rsidR="007A2874" w:rsidRPr="007A2874" w:rsidRDefault="007A2874" w:rsidP="007A2874">
            <w:pPr>
              <w:spacing w:before="240"/>
              <w:rPr>
                <w:sz w:val="22"/>
                <w:szCs w:val="22"/>
              </w:rPr>
            </w:pPr>
          </w:p>
          <w:p w14:paraId="47EDBA31" w14:textId="77777777" w:rsidR="007A2874" w:rsidRPr="007A2874" w:rsidRDefault="007A2874" w:rsidP="007A2874">
            <w:pPr>
              <w:spacing w:before="240"/>
              <w:rPr>
                <w:sz w:val="22"/>
                <w:szCs w:val="22"/>
              </w:rPr>
            </w:pPr>
            <w:r w:rsidRPr="007A2874">
              <w:rPr>
                <w:sz w:val="22"/>
                <w:szCs w:val="22"/>
              </w:rPr>
              <w:t>NACR:</w:t>
            </w:r>
          </w:p>
          <w:p w14:paraId="15C16AA8" w14:textId="060CBBB4" w:rsidR="007A2874" w:rsidRPr="007A2874" w:rsidRDefault="007A2874" w:rsidP="007A2874">
            <w:pPr>
              <w:spacing w:before="240"/>
              <w:rPr>
                <w:sz w:val="22"/>
                <w:szCs w:val="22"/>
              </w:rPr>
            </w:pPr>
            <w:proofErr w:type="spellStart"/>
            <w:r w:rsidRPr="007A2874">
              <w:rPr>
                <w:sz w:val="22"/>
                <w:szCs w:val="22"/>
              </w:rPr>
              <w:t>ReferredDate</w:t>
            </w:r>
            <w:proofErr w:type="spellEnd"/>
            <w:r w:rsidRPr="007A2874">
              <w:rPr>
                <w:sz w:val="22"/>
                <w:szCs w:val="22"/>
              </w:rPr>
              <w:t xml:space="preserve"> – Selects valid referrals, selecting referrals that are within 5 days of admission allows for a consistent timeframe in which referrals can take place.</w:t>
            </w:r>
          </w:p>
        </w:tc>
      </w:tr>
      <w:tr w:rsidR="006367DE" w:rsidRPr="007A2874" w14:paraId="3924A5E7" w14:textId="77777777" w:rsidTr="0091378C">
        <w:tc>
          <w:tcPr>
            <w:tcW w:w="3383" w:type="dxa"/>
          </w:tcPr>
          <w:p w14:paraId="79F9CFD2" w14:textId="243A0776" w:rsidR="006367DE" w:rsidRPr="007A2874" w:rsidRDefault="006367DE" w:rsidP="006367DE">
            <w:pPr>
              <w:spacing w:before="240"/>
              <w:ind w:left="34"/>
              <w:rPr>
                <w:b/>
                <w:sz w:val="22"/>
                <w:szCs w:val="22"/>
              </w:rPr>
            </w:pPr>
            <w:r w:rsidRPr="007A2874">
              <w:rPr>
                <w:b/>
                <w:sz w:val="22"/>
                <w:szCs w:val="22"/>
              </w:rPr>
              <w:lastRenderedPageBreak/>
              <w:t>Data processing</w:t>
            </w:r>
          </w:p>
        </w:tc>
        <w:tc>
          <w:tcPr>
            <w:tcW w:w="6854" w:type="dxa"/>
          </w:tcPr>
          <w:p w14:paraId="7FA6B2C1" w14:textId="613D11AE" w:rsidR="006367DE" w:rsidRPr="007A2874" w:rsidRDefault="006367DE" w:rsidP="006367DE">
            <w:pPr>
              <w:spacing w:before="240"/>
              <w:rPr>
                <w:sz w:val="22"/>
                <w:szCs w:val="22"/>
              </w:rPr>
            </w:pPr>
            <w:r w:rsidRPr="007A2874">
              <w:rPr>
                <w:sz w:val="22"/>
                <w:szCs w:val="22"/>
              </w:rPr>
              <w:t>An extract of NACR data will be taken by the NHS Digital Clinical Audit team and linked to HES APC data by the NACR DARS team. The percentage referred calculation will be performed by the NHS Digital Clinical Indicators team.</w:t>
            </w:r>
          </w:p>
        </w:tc>
      </w:tr>
      <w:tr w:rsidR="006367DE" w:rsidRPr="007A2874" w14:paraId="24F94D74" w14:textId="77777777" w:rsidTr="0091378C">
        <w:tc>
          <w:tcPr>
            <w:tcW w:w="3383" w:type="dxa"/>
          </w:tcPr>
          <w:p w14:paraId="4E33C9D7" w14:textId="77777777" w:rsidR="006367DE" w:rsidRPr="007A2874" w:rsidRDefault="006367DE" w:rsidP="00D85A43">
            <w:pPr>
              <w:spacing w:before="240"/>
              <w:ind w:left="34"/>
              <w:rPr>
                <w:b/>
                <w:sz w:val="22"/>
                <w:szCs w:val="22"/>
              </w:rPr>
            </w:pPr>
            <w:r w:rsidRPr="007A2874">
              <w:rPr>
                <w:b/>
                <w:sz w:val="22"/>
                <w:szCs w:val="22"/>
              </w:rPr>
              <w:t>Numerator</w:t>
            </w:r>
          </w:p>
        </w:tc>
        <w:tc>
          <w:tcPr>
            <w:tcW w:w="6854" w:type="dxa"/>
          </w:tcPr>
          <w:p w14:paraId="33D325A2" w14:textId="77777777" w:rsidR="006367DE" w:rsidRPr="007A2874" w:rsidRDefault="006367DE" w:rsidP="00D85A43">
            <w:pPr>
              <w:spacing w:before="240"/>
              <w:rPr>
                <w:sz w:val="22"/>
                <w:szCs w:val="22"/>
              </w:rPr>
            </w:pPr>
            <w:r w:rsidRPr="007A2874">
              <w:rPr>
                <w:sz w:val="22"/>
                <w:szCs w:val="22"/>
              </w:rPr>
              <w:t>Of the denominator, the number of finished admission episodes (FAEs) that were referred to cardiac rehabilitation within 5 days of admission to hospital.</w:t>
            </w:r>
          </w:p>
          <w:p w14:paraId="46577A3D" w14:textId="77777777" w:rsidR="006367DE" w:rsidRPr="007A2874" w:rsidRDefault="006367DE" w:rsidP="00D85A43">
            <w:pPr>
              <w:spacing w:before="240"/>
              <w:rPr>
                <w:sz w:val="22"/>
                <w:szCs w:val="22"/>
              </w:rPr>
            </w:pPr>
            <w:r w:rsidRPr="007A2874">
              <w:rPr>
                <w:sz w:val="22"/>
                <w:szCs w:val="22"/>
              </w:rPr>
              <w:t>Neither the HES APC nor the NACR data sets have information on the time that an admission or activity occurred, only the date, as a result some admissions may have a slightly longer timeframe in which this referral can take place.</w:t>
            </w:r>
          </w:p>
        </w:tc>
      </w:tr>
      <w:tr w:rsidR="006367DE" w:rsidRPr="007A2874" w14:paraId="556924B5" w14:textId="77777777" w:rsidTr="0091378C">
        <w:tc>
          <w:tcPr>
            <w:tcW w:w="3383" w:type="dxa"/>
          </w:tcPr>
          <w:p w14:paraId="0B1D2613" w14:textId="77777777" w:rsidR="006367DE" w:rsidRPr="007A2874" w:rsidRDefault="006367DE" w:rsidP="00D85A43">
            <w:pPr>
              <w:spacing w:before="240"/>
              <w:ind w:left="34"/>
              <w:rPr>
                <w:b/>
                <w:sz w:val="22"/>
                <w:szCs w:val="22"/>
              </w:rPr>
            </w:pPr>
            <w:r w:rsidRPr="007A2874">
              <w:rPr>
                <w:b/>
                <w:sz w:val="22"/>
                <w:szCs w:val="22"/>
              </w:rPr>
              <w:t>Denominator</w:t>
            </w:r>
          </w:p>
        </w:tc>
        <w:tc>
          <w:tcPr>
            <w:tcW w:w="6854" w:type="dxa"/>
          </w:tcPr>
          <w:p w14:paraId="784A4C97" w14:textId="77777777" w:rsidR="006367DE" w:rsidRPr="007A2874" w:rsidRDefault="006367DE" w:rsidP="00D85A43">
            <w:pPr>
              <w:spacing w:before="240"/>
              <w:rPr>
                <w:sz w:val="22"/>
                <w:szCs w:val="22"/>
              </w:rPr>
            </w:pPr>
            <w:r w:rsidRPr="007A2874">
              <w:rPr>
                <w:sz w:val="22"/>
                <w:szCs w:val="22"/>
              </w:rPr>
              <w:t>The number of FAEs with a primary diagnosis of MI or heart failure, or a main operative procedure of PCI or CABG.</w:t>
            </w:r>
          </w:p>
        </w:tc>
      </w:tr>
      <w:tr w:rsidR="006367DE" w:rsidRPr="007A2874" w14:paraId="60BF8307" w14:textId="77777777" w:rsidTr="0091378C">
        <w:tc>
          <w:tcPr>
            <w:tcW w:w="3383" w:type="dxa"/>
          </w:tcPr>
          <w:p w14:paraId="3DB2044D" w14:textId="77777777" w:rsidR="006367DE" w:rsidRPr="007A2874" w:rsidRDefault="006367DE" w:rsidP="00D85A43">
            <w:pPr>
              <w:spacing w:before="240"/>
              <w:ind w:left="34"/>
              <w:rPr>
                <w:b/>
                <w:sz w:val="22"/>
                <w:szCs w:val="22"/>
              </w:rPr>
            </w:pPr>
            <w:r w:rsidRPr="007A2874">
              <w:rPr>
                <w:b/>
                <w:sz w:val="22"/>
                <w:szCs w:val="22"/>
              </w:rPr>
              <w:t>Computation</w:t>
            </w:r>
          </w:p>
        </w:tc>
        <w:tc>
          <w:tcPr>
            <w:tcW w:w="6854" w:type="dxa"/>
          </w:tcPr>
          <w:p w14:paraId="715BE1ED" w14:textId="77777777" w:rsidR="006367DE" w:rsidRPr="007A2874" w:rsidRDefault="006367DE" w:rsidP="00D85A43">
            <w:pPr>
              <w:spacing w:before="240"/>
              <w:rPr>
                <w:sz w:val="22"/>
                <w:szCs w:val="22"/>
              </w:rPr>
            </w:pPr>
            <w:r w:rsidRPr="007A2874">
              <w:rPr>
                <w:sz w:val="22"/>
                <w:szCs w:val="22"/>
              </w:rPr>
              <w:t xml:space="preserve">The percentage </w:t>
            </w:r>
            <w:r w:rsidRPr="007A2874">
              <w:rPr>
                <w:rFonts w:ascii="Times New Roman" w:hAnsi="Times New Roman"/>
                <w:i/>
                <w:sz w:val="22"/>
                <w:szCs w:val="22"/>
              </w:rPr>
              <w:t>p</w:t>
            </w:r>
            <w:r w:rsidRPr="007A2874">
              <w:rPr>
                <w:sz w:val="22"/>
                <w:szCs w:val="22"/>
              </w:rPr>
              <w:t xml:space="preserve"> is given by:</w:t>
            </w:r>
            <w:r w:rsidRPr="007A2874">
              <w:rPr>
                <w:sz w:val="22"/>
                <w:szCs w:val="22"/>
              </w:rPr>
              <w:tab/>
            </w:r>
            <w:r w:rsidRPr="007A2874">
              <w:rPr>
                <w:sz w:val="22"/>
                <w:szCs w:val="22"/>
              </w:rPr>
              <w:tab/>
            </w:r>
            <w:r w:rsidRPr="007A2874">
              <w:rPr>
                <w:sz w:val="22"/>
                <w:szCs w:val="22"/>
              </w:rPr>
              <w:tab/>
            </w:r>
          </w:p>
          <w:p w14:paraId="6CF726C6" w14:textId="77777777" w:rsidR="006367DE" w:rsidRPr="007A2874" w:rsidRDefault="006367DE" w:rsidP="00D85A43">
            <w:pPr>
              <w:spacing w:before="240"/>
              <w:rPr>
                <w:rFonts w:ascii="Cambria Math" w:hAnsi="Cambria Math"/>
                <w:sz w:val="22"/>
                <w:szCs w:val="22"/>
                <w:oMath/>
              </w:rPr>
            </w:pPr>
            <m:oMathPara>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O</m:t>
                    </m:r>
                  </m:num>
                  <m:den>
                    <m:r>
                      <w:rPr>
                        <w:rFonts w:ascii="Cambria Math" w:hAnsi="Cambria Math"/>
                        <w:sz w:val="22"/>
                        <w:szCs w:val="22"/>
                      </w:rPr>
                      <m:t>n</m:t>
                    </m:r>
                  </m:den>
                </m:f>
                <m:r>
                  <w:rPr>
                    <w:rFonts w:ascii="Cambria Math" w:hAnsi="Cambria Math"/>
                    <w:sz w:val="22"/>
                    <w:szCs w:val="22"/>
                  </w:rPr>
                  <m:t>×100</m:t>
                </m:r>
              </m:oMath>
            </m:oMathPara>
          </w:p>
          <w:p w14:paraId="60976680" w14:textId="77777777" w:rsidR="006367DE" w:rsidRPr="007A2874" w:rsidRDefault="006367DE" w:rsidP="00D85A43">
            <w:pPr>
              <w:spacing w:before="240"/>
              <w:rPr>
                <w:sz w:val="22"/>
                <w:szCs w:val="22"/>
              </w:rPr>
            </w:pPr>
            <w:r w:rsidRPr="007A2874">
              <w:rPr>
                <w:sz w:val="22"/>
                <w:szCs w:val="22"/>
              </w:rPr>
              <w:t>where:</w:t>
            </w:r>
          </w:p>
          <w:p w14:paraId="2B441DFC" w14:textId="77777777" w:rsidR="006367DE" w:rsidRPr="007A2874" w:rsidRDefault="006367DE" w:rsidP="00D85A43">
            <w:pPr>
              <w:spacing w:before="240"/>
              <w:rPr>
                <w:sz w:val="22"/>
                <w:szCs w:val="22"/>
              </w:rPr>
            </w:pPr>
            <w:r w:rsidRPr="007A2874">
              <w:rPr>
                <w:rFonts w:ascii="Times New Roman" w:hAnsi="Times New Roman"/>
                <w:i/>
                <w:sz w:val="22"/>
                <w:szCs w:val="22"/>
              </w:rPr>
              <w:t>O</w:t>
            </w:r>
            <w:r w:rsidRPr="007A2874">
              <w:rPr>
                <w:sz w:val="22"/>
                <w:szCs w:val="22"/>
              </w:rPr>
              <w:t xml:space="preserve"> is the numerator; the number in the denominator that are referred to cardiac rehabilitation within 5 days of admission to </w:t>
            </w:r>
            <w:proofErr w:type="gramStart"/>
            <w:r w:rsidRPr="007A2874">
              <w:rPr>
                <w:sz w:val="22"/>
                <w:szCs w:val="22"/>
              </w:rPr>
              <w:t>hospital;</w:t>
            </w:r>
            <w:proofErr w:type="gramEnd"/>
            <w:r w:rsidRPr="007A2874">
              <w:rPr>
                <w:sz w:val="22"/>
                <w:szCs w:val="22"/>
              </w:rPr>
              <w:t xml:space="preserve"> </w:t>
            </w:r>
          </w:p>
          <w:p w14:paraId="6F3F0C15" w14:textId="77777777" w:rsidR="006367DE" w:rsidRPr="007A2874" w:rsidRDefault="006367DE" w:rsidP="00D85A43">
            <w:pPr>
              <w:spacing w:before="240"/>
              <w:rPr>
                <w:sz w:val="22"/>
                <w:szCs w:val="22"/>
              </w:rPr>
            </w:pPr>
            <w:r w:rsidRPr="007A2874">
              <w:rPr>
                <w:rFonts w:ascii="Times New Roman" w:hAnsi="Times New Roman"/>
                <w:i/>
                <w:sz w:val="22"/>
                <w:szCs w:val="22"/>
              </w:rPr>
              <w:t>n</w:t>
            </w:r>
            <w:r w:rsidRPr="007A2874">
              <w:rPr>
                <w:sz w:val="22"/>
                <w:szCs w:val="22"/>
              </w:rPr>
              <w:t xml:space="preserve"> is the denominator; the number of FAEs with a primary diagnosis of MI or heart failure, or a main operative procedure of PCI or CABG</w:t>
            </w:r>
          </w:p>
        </w:tc>
      </w:tr>
      <w:tr w:rsidR="006367DE" w:rsidRPr="007A2874" w14:paraId="72CA9911" w14:textId="77777777" w:rsidTr="0091378C">
        <w:tc>
          <w:tcPr>
            <w:tcW w:w="3383" w:type="dxa"/>
          </w:tcPr>
          <w:p w14:paraId="2E12980F" w14:textId="77777777" w:rsidR="006367DE" w:rsidRPr="007A2874" w:rsidRDefault="006367DE" w:rsidP="00D85A43">
            <w:pPr>
              <w:spacing w:before="240"/>
              <w:ind w:left="34"/>
              <w:rPr>
                <w:b/>
                <w:sz w:val="22"/>
                <w:szCs w:val="22"/>
              </w:rPr>
            </w:pPr>
            <w:r w:rsidRPr="007A2874">
              <w:rPr>
                <w:b/>
                <w:sz w:val="22"/>
                <w:szCs w:val="22"/>
              </w:rPr>
              <w:t>Risk adjustment or standardisation type and methodology</w:t>
            </w:r>
          </w:p>
        </w:tc>
        <w:tc>
          <w:tcPr>
            <w:tcW w:w="6854" w:type="dxa"/>
          </w:tcPr>
          <w:sdt>
            <w:sdtPr>
              <w:rPr>
                <w:b/>
                <w:sz w:val="22"/>
                <w:szCs w:val="22"/>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A603C3C" w14:textId="77777777" w:rsidR="006367DE" w:rsidRPr="007A2874" w:rsidRDefault="006367DE" w:rsidP="00D85A43">
                <w:pPr>
                  <w:spacing w:before="240"/>
                  <w:rPr>
                    <w:sz w:val="22"/>
                    <w:szCs w:val="22"/>
                  </w:rPr>
                </w:pPr>
                <w:r w:rsidRPr="007A2874">
                  <w:rPr>
                    <w:b/>
                    <w:sz w:val="22"/>
                    <w:szCs w:val="22"/>
                  </w:rPr>
                  <w:t>None</w:t>
                </w:r>
              </w:p>
            </w:sdtContent>
          </w:sdt>
          <w:p w14:paraId="78F399E4" w14:textId="77777777" w:rsidR="006367DE" w:rsidRPr="007A2874" w:rsidRDefault="006367DE" w:rsidP="00D85A43">
            <w:pPr>
              <w:spacing w:before="240"/>
              <w:rPr>
                <w:i/>
                <w:sz w:val="22"/>
                <w:szCs w:val="22"/>
              </w:rPr>
            </w:pPr>
            <w:r w:rsidRPr="007A2874">
              <w:rPr>
                <w:i/>
                <w:sz w:val="22"/>
                <w:szCs w:val="22"/>
              </w:rPr>
              <w:t>Variables and methodology:</w:t>
            </w:r>
          </w:p>
          <w:p w14:paraId="3463C6B3" w14:textId="77777777" w:rsidR="006367DE" w:rsidRPr="007A2874" w:rsidRDefault="006367DE" w:rsidP="00D85A43">
            <w:pPr>
              <w:spacing w:before="240"/>
              <w:rPr>
                <w:sz w:val="22"/>
                <w:szCs w:val="22"/>
              </w:rPr>
            </w:pPr>
          </w:p>
        </w:tc>
      </w:tr>
      <w:tr w:rsidR="006367DE" w:rsidRPr="007A2874" w14:paraId="4A8EB72E" w14:textId="77777777" w:rsidTr="0091378C">
        <w:tc>
          <w:tcPr>
            <w:tcW w:w="3383" w:type="dxa"/>
          </w:tcPr>
          <w:p w14:paraId="615F0B6C" w14:textId="77777777" w:rsidR="006367DE" w:rsidRPr="007A2874" w:rsidRDefault="006367DE" w:rsidP="00D85A43">
            <w:pPr>
              <w:spacing w:before="240"/>
              <w:ind w:left="34"/>
              <w:rPr>
                <w:b/>
                <w:sz w:val="22"/>
                <w:szCs w:val="22"/>
              </w:rPr>
            </w:pPr>
            <w:r w:rsidRPr="007A2874">
              <w:rPr>
                <w:b/>
                <w:sz w:val="22"/>
                <w:szCs w:val="22"/>
              </w:rPr>
              <w:lastRenderedPageBreak/>
              <w:t>Justification of risk adjustment type and variables</w:t>
            </w:r>
          </w:p>
          <w:p w14:paraId="16461DF5" w14:textId="77777777" w:rsidR="006367DE" w:rsidRPr="007A2874" w:rsidRDefault="006367DE" w:rsidP="00D85A43">
            <w:pPr>
              <w:ind w:left="34"/>
              <w:rPr>
                <w:sz w:val="22"/>
                <w:szCs w:val="22"/>
              </w:rPr>
            </w:pPr>
            <w:r w:rsidRPr="007A2874">
              <w:rPr>
                <w:sz w:val="22"/>
                <w:szCs w:val="22"/>
              </w:rPr>
              <w:t>or why risk adjustment is not used</w:t>
            </w:r>
          </w:p>
        </w:tc>
        <w:tc>
          <w:tcPr>
            <w:tcW w:w="6854" w:type="dxa"/>
          </w:tcPr>
          <w:p w14:paraId="1AF7ECD0" w14:textId="77777777" w:rsidR="006367DE" w:rsidRPr="007A2874" w:rsidRDefault="006367DE" w:rsidP="00D85A43">
            <w:pPr>
              <w:spacing w:before="240"/>
              <w:rPr>
                <w:sz w:val="22"/>
                <w:szCs w:val="22"/>
              </w:rPr>
            </w:pPr>
            <w:r w:rsidRPr="007A2874">
              <w:rPr>
                <w:sz w:val="22"/>
                <w:szCs w:val="22"/>
              </w:rPr>
              <w:t xml:space="preserve">Cardiac rehabilitation should be offered to all eligible cases. The codes used to identify relevant diagnoses and procedures have been taken from the </w:t>
            </w:r>
            <w:proofErr w:type="spellStart"/>
            <w:r w:rsidRPr="007A2874">
              <w:rPr>
                <w:sz w:val="22"/>
                <w:szCs w:val="22"/>
              </w:rPr>
              <w:t>PbR</w:t>
            </w:r>
            <w:proofErr w:type="spellEnd"/>
            <w:r w:rsidRPr="007A2874">
              <w:rPr>
                <w:sz w:val="22"/>
                <w:szCs w:val="22"/>
              </w:rPr>
              <w:t xml:space="preserve"> cardiac rehabilitation post discharge tariff, suggesting that all these cases should be referred to cardiac rehabilitation.</w:t>
            </w:r>
          </w:p>
          <w:p w14:paraId="3444B2DE" w14:textId="77777777" w:rsidR="006367DE" w:rsidRPr="007A2874" w:rsidRDefault="006367DE" w:rsidP="00D85A43">
            <w:pPr>
              <w:spacing w:before="240"/>
              <w:rPr>
                <w:sz w:val="22"/>
                <w:szCs w:val="22"/>
              </w:rPr>
            </w:pPr>
            <w:r w:rsidRPr="007A2874">
              <w:rPr>
                <w:sz w:val="22"/>
                <w:szCs w:val="22"/>
              </w:rPr>
              <w:t xml:space="preserve">A person’s age or gender does not render them ineligible for cardiac rehabilitation, </w:t>
            </w:r>
            <w:proofErr w:type="gramStart"/>
            <w:r w:rsidRPr="007A2874">
              <w:rPr>
                <w:sz w:val="22"/>
                <w:szCs w:val="22"/>
              </w:rPr>
              <w:t>therefore</w:t>
            </w:r>
            <w:proofErr w:type="gramEnd"/>
            <w:r w:rsidRPr="007A2874">
              <w:rPr>
                <w:sz w:val="22"/>
                <w:szCs w:val="22"/>
              </w:rPr>
              <w:t xml:space="preserve"> to standardise for these variables may introduce a bias into the indicator.</w:t>
            </w:r>
          </w:p>
        </w:tc>
      </w:tr>
      <w:tr w:rsidR="006367DE" w:rsidRPr="007A2874" w14:paraId="2A7A3E68" w14:textId="77777777" w:rsidTr="0091378C">
        <w:tc>
          <w:tcPr>
            <w:tcW w:w="3383" w:type="dxa"/>
          </w:tcPr>
          <w:p w14:paraId="601632F4" w14:textId="77777777" w:rsidR="006367DE" w:rsidRPr="007A2874" w:rsidRDefault="006367DE" w:rsidP="00D85A43">
            <w:pPr>
              <w:spacing w:before="240"/>
              <w:ind w:left="34"/>
              <w:rPr>
                <w:b/>
                <w:sz w:val="22"/>
                <w:szCs w:val="22"/>
              </w:rPr>
            </w:pPr>
            <w:r w:rsidRPr="007A2874">
              <w:rPr>
                <w:b/>
                <w:sz w:val="22"/>
                <w:szCs w:val="22"/>
              </w:rPr>
              <w:t>Confidence interval / control limit use and methodology</w:t>
            </w:r>
          </w:p>
        </w:tc>
        <w:tc>
          <w:tcPr>
            <w:tcW w:w="6854" w:type="dxa"/>
          </w:tcPr>
          <w:sdt>
            <w:sdtPr>
              <w:rPr>
                <w:sz w:val="22"/>
                <w:szCs w:val="22"/>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4EADB346" w14:textId="77777777" w:rsidR="006367DE" w:rsidRPr="007A2874" w:rsidRDefault="006367DE" w:rsidP="00D85A43">
                <w:pPr>
                  <w:spacing w:before="240"/>
                  <w:rPr>
                    <w:sz w:val="22"/>
                    <w:szCs w:val="22"/>
                  </w:rPr>
                </w:pPr>
                <w:r w:rsidRPr="007A2874">
                  <w:rPr>
                    <w:sz w:val="22"/>
                    <w:szCs w:val="22"/>
                  </w:rPr>
                  <w:t>Confidence Intervals</w:t>
                </w:r>
              </w:p>
            </w:sdtContent>
          </w:sdt>
          <w:p w14:paraId="78C36F33" w14:textId="77777777" w:rsidR="006367DE" w:rsidRPr="007A2874" w:rsidRDefault="006367DE" w:rsidP="00D85A43">
            <w:pPr>
              <w:spacing w:before="240"/>
              <w:rPr>
                <w:i/>
                <w:sz w:val="22"/>
                <w:szCs w:val="22"/>
              </w:rPr>
            </w:pPr>
            <w:r w:rsidRPr="007A2874">
              <w:rPr>
                <w:i/>
                <w:sz w:val="22"/>
                <w:szCs w:val="22"/>
              </w:rPr>
              <w:t>Methodology:</w:t>
            </w:r>
          </w:p>
          <w:p w14:paraId="7C8DF182" w14:textId="77777777" w:rsidR="006367DE" w:rsidRPr="007A2874" w:rsidRDefault="006367DE" w:rsidP="00D85A43">
            <w:pPr>
              <w:rPr>
                <w:sz w:val="22"/>
                <w:szCs w:val="22"/>
              </w:rPr>
            </w:pPr>
            <w:r w:rsidRPr="007A2874">
              <w:rPr>
                <w:sz w:val="22"/>
                <w:szCs w:val="22"/>
              </w:rPr>
              <w:t>Using the Wilson Score method</w:t>
            </w:r>
            <w:r w:rsidRPr="007A2874">
              <w:rPr>
                <w:rStyle w:val="FootnoteReference"/>
                <w:sz w:val="22"/>
                <w:szCs w:val="22"/>
              </w:rPr>
              <w:footnoteReference w:id="7"/>
            </w:r>
            <w:r w:rsidRPr="007A2874">
              <w:rPr>
                <w:sz w:val="22"/>
                <w:szCs w:val="22"/>
                <w:vertAlign w:val="superscript"/>
              </w:rPr>
              <w:t>,</w:t>
            </w:r>
            <w:r w:rsidRPr="007A2874">
              <w:rPr>
                <w:rStyle w:val="FootnoteReference"/>
                <w:sz w:val="22"/>
                <w:szCs w:val="22"/>
              </w:rPr>
              <w:footnoteReference w:id="8"/>
            </w:r>
            <w:r w:rsidRPr="007A2874">
              <w:rPr>
                <w:sz w:val="22"/>
                <w:szCs w:val="22"/>
              </w:rPr>
              <w:t>, the 100(1–</w:t>
            </w:r>
            <w:r w:rsidRPr="007A2874">
              <w:rPr>
                <w:rFonts w:ascii="Times New Roman" w:hAnsi="Times New Roman"/>
                <w:i/>
                <w:iCs/>
                <w:sz w:val="22"/>
                <w:szCs w:val="22"/>
              </w:rPr>
              <w:t xml:space="preserve"> </w:t>
            </w:r>
            <w:proofErr w:type="gramStart"/>
            <w:r w:rsidRPr="007A2874">
              <w:rPr>
                <w:rFonts w:ascii="Times New Roman" w:hAnsi="Times New Roman"/>
                <w:i/>
                <w:iCs/>
                <w:sz w:val="22"/>
                <w:szCs w:val="22"/>
              </w:rPr>
              <w:t>α</w:t>
            </w:r>
            <w:r w:rsidRPr="007A2874">
              <w:rPr>
                <w:sz w:val="22"/>
                <w:szCs w:val="22"/>
              </w:rPr>
              <w:t>)%</w:t>
            </w:r>
            <w:proofErr w:type="gramEnd"/>
            <w:r w:rsidRPr="007A2874">
              <w:rPr>
                <w:sz w:val="22"/>
                <w:szCs w:val="22"/>
              </w:rPr>
              <w:t xml:space="preserve"> confidence limits are given by:</w:t>
            </w:r>
          </w:p>
          <w:p w14:paraId="6C76FD56" w14:textId="77777777" w:rsidR="006367DE" w:rsidRPr="007A2874" w:rsidRDefault="00D963CC" w:rsidP="00D85A43">
            <w:pPr>
              <w:rPr>
                <w:i/>
                <w:sz w:val="22"/>
                <w:szCs w:val="22"/>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lower</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2O+</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 z</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+4Oq</m:t>
                        </m:r>
                      </m:e>
                    </m:rad>
                  </m:num>
                  <m:den>
                    <m:r>
                      <w:rPr>
                        <w:rFonts w:ascii="Cambria Math" w:hAnsi="Cambria Math"/>
                        <w:sz w:val="22"/>
                        <w:szCs w:val="22"/>
                      </w:rPr>
                      <m:t>2</m:t>
                    </m:r>
                    <m:d>
                      <m:dPr>
                        <m:ctrlPr>
                          <w:rPr>
                            <w:rFonts w:ascii="Cambria Math" w:hAnsi="Cambria Math"/>
                            <w:i/>
                            <w:sz w:val="22"/>
                            <w:szCs w:val="22"/>
                          </w:rPr>
                        </m:ctrlPr>
                      </m:dPr>
                      <m:e>
                        <m:r>
                          <w:rPr>
                            <w:rFonts w:ascii="Cambria Math" w:hAnsi="Cambria Math"/>
                            <w:sz w:val="22"/>
                            <w:szCs w:val="22"/>
                          </w:rPr>
                          <m:t>n+</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e>
                    </m:d>
                  </m:den>
                </m:f>
                <m:r>
                  <w:rPr>
                    <w:rFonts w:ascii="Cambria Math" w:hAnsi="Cambria Math"/>
                    <w:sz w:val="22"/>
                    <w:szCs w:val="22"/>
                  </w:rPr>
                  <m:t>×100</m:t>
                </m:r>
              </m:oMath>
            </m:oMathPara>
          </w:p>
          <w:p w14:paraId="2BE1C8D9" w14:textId="77777777" w:rsidR="006367DE" w:rsidRPr="007A2874" w:rsidRDefault="00D963CC" w:rsidP="00D85A43">
            <w:pPr>
              <w:rPr>
                <w:i/>
                <w:sz w:val="22"/>
                <w:szCs w:val="22"/>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upper</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2O+</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 z</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+4Oq</m:t>
                        </m:r>
                      </m:e>
                    </m:rad>
                  </m:num>
                  <m:den>
                    <m:r>
                      <w:rPr>
                        <w:rFonts w:ascii="Cambria Math" w:hAnsi="Cambria Math"/>
                        <w:sz w:val="22"/>
                        <w:szCs w:val="22"/>
                      </w:rPr>
                      <m:t>2</m:t>
                    </m:r>
                    <m:d>
                      <m:dPr>
                        <m:ctrlPr>
                          <w:rPr>
                            <w:rFonts w:ascii="Cambria Math" w:hAnsi="Cambria Math"/>
                            <w:i/>
                            <w:sz w:val="22"/>
                            <w:szCs w:val="22"/>
                          </w:rPr>
                        </m:ctrlPr>
                      </m:dPr>
                      <m:e>
                        <m:r>
                          <w:rPr>
                            <w:rFonts w:ascii="Cambria Math" w:hAnsi="Cambria Math"/>
                            <w:sz w:val="22"/>
                            <w:szCs w:val="22"/>
                          </w:rPr>
                          <m:t>n+</m:t>
                        </m:r>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e>
                    </m:d>
                  </m:den>
                </m:f>
                <m:r>
                  <w:rPr>
                    <w:rFonts w:ascii="Cambria Math" w:hAnsi="Cambria Math"/>
                    <w:sz w:val="22"/>
                    <w:szCs w:val="22"/>
                  </w:rPr>
                  <m:t>×100</m:t>
                </m:r>
              </m:oMath>
            </m:oMathPara>
          </w:p>
          <w:p w14:paraId="0FE3095F" w14:textId="77777777" w:rsidR="006367DE" w:rsidRPr="007A2874" w:rsidRDefault="006367DE" w:rsidP="00D85A43">
            <w:pPr>
              <w:rPr>
                <w:sz w:val="22"/>
                <w:szCs w:val="22"/>
              </w:rPr>
            </w:pPr>
            <w:r w:rsidRPr="007A2874">
              <w:rPr>
                <w:sz w:val="22"/>
                <w:szCs w:val="22"/>
              </w:rPr>
              <w:t>where:</w:t>
            </w:r>
            <w:r w:rsidRPr="007A2874">
              <w:rPr>
                <w:sz w:val="22"/>
                <w:szCs w:val="22"/>
              </w:rPr>
              <w:tab/>
            </w:r>
          </w:p>
          <w:p w14:paraId="13EB4181" w14:textId="77777777" w:rsidR="006367DE" w:rsidRPr="007A2874" w:rsidRDefault="006367DE" w:rsidP="00D85A43">
            <w:pPr>
              <w:rPr>
                <w:sz w:val="22"/>
                <w:szCs w:val="22"/>
              </w:rPr>
            </w:pPr>
            <w:r w:rsidRPr="007A2874">
              <w:rPr>
                <w:rFonts w:ascii="Times New Roman" w:hAnsi="Times New Roman"/>
                <w:i/>
                <w:sz w:val="22"/>
                <w:szCs w:val="22"/>
              </w:rPr>
              <w:t xml:space="preserve">q </w:t>
            </w:r>
            <w:r w:rsidRPr="007A2874">
              <w:rPr>
                <w:sz w:val="22"/>
                <w:szCs w:val="22"/>
              </w:rPr>
              <w:t>is 1–</w:t>
            </w:r>
            <w:proofErr w:type="gramStart"/>
            <w:r w:rsidRPr="007A2874">
              <w:rPr>
                <w:rFonts w:ascii="Times New Roman" w:hAnsi="Times New Roman"/>
                <w:i/>
                <w:sz w:val="22"/>
                <w:szCs w:val="22"/>
              </w:rPr>
              <w:t>p</w:t>
            </w:r>
            <w:r w:rsidRPr="007A2874">
              <w:rPr>
                <w:sz w:val="22"/>
                <w:szCs w:val="22"/>
              </w:rPr>
              <w:t>;</w:t>
            </w:r>
            <w:proofErr w:type="gramEnd"/>
          </w:p>
          <w:p w14:paraId="433CA9FC" w14:textId="77777777" w:rsidR="006367DE" w:rsidRPr="007A2874" w:rsidRDefault="006367DE" w:rsidP="00D85A43">
            <w:pPr>
              <w:rPr>
                <w:sz w:val="22"/>
                <w:szCs w:val="22"/>
              </w:rPr>
            </w:pPr>
            <w:r w:rsidRPr="007A2874">
              <w:rPr>
                <w:rFonts w:ascii="Times New Roman" w:hAnsi="Times New Roman"/>
                <w:i/>
                <w:sz w:val="22"/>
                <w:szCs w:val="22"/>
              </w:rPr>
              <w:t xml:space="preserve">z </w:t>
            </w:r>
            <w:r w:rsidRPr="007A2874">
              <w:rPr>
                <w:sz w:val="22"/>
                <w:szCs w:val="22"/>
              </w:rPr>
              <w:t>is the 100(1–</w:t>
            </w:r>
            <w:r w:rsidRPr="007A2874">
              <w:rPr>
                <w:rFonts w:ascii="Times New Roman" w:hAnsi="Times New Roman"/>
                <w:i/>
                <w:iCs/>
                <w:sz w:val="22"/>
                <w:szCs w:val="22"/>
              </w:rPr>
              <w:t xml:space="preserve"> α</w:t>
            </w:r>
            <w:r w:rsidRPr="007A2874">
              <w:rPr>
                <w:sz w:val="22"/>
                <w:szCs w:val="22"/>
              </w:rPr>
              <w:t xml:space="preserve"> /</w:t>
            </w:r>
            <w:proofErr w:type="gramStart"/>
            <w:r w:rsidRPr="007A2874">
              <w:rPr>
                <w:sz w:val="22"/>
                <w:szCs w:val="22"/>
              </w:rPr>
              <w:t>2)</w:t>
            </w:r>
            <w:proofErr w:type="spellStart"/>
            <w:r w:rsidRPr="007A2874">
              <w:rPr>
                <w:sz w:val="22"/>
                <w:szCs w:val="22"/>
              </w:rPr>
              <w:t>th</w:t>
            </w:r>
            <w:proofErr w:type="spellEnd"/>
            <w:proofErr w:type="gramEnd"/>
            <w:r w:rsidRPr="007A2874">
              <w:rPr>
                <w:sz w:val="22"/>
                <w:szCs w:val="22"/>
              </w:rPr>
              <w:t xml:space="preserve"> percentile value from the Standard Normal distribution.</w:t>
            </w:r>
            <w:r w:rsidRPr="007A2874">
              <w:rPr>
                <w:sz w:val="22"/>
                <w:szCs w:val="22"/>
              </w:rPr>
              <w:tab/>
            </w:r>
            <w:r w:rsidRPr="007A2874">
              <w:rPr>
                <w:sz w:val="22"/>
                <w:szCs w:val="22"/>
              </w:rPr>
              <w:tab/>
            </w:r>
            <w:r w:rsidRPr="007A2874">
              <w:rPr>
                <w:sz w:val="22"/>
                <w:szCs w:val="22"/>
              </w:rPr>
              <w:tab/>
            </w:r>
          </w:p>
          <w:p w14:paraId="09520443" w14:textId="77777777" w:rsidR="006367DE" w:rsidRPr="007A2874" w:rsidRDefault="006367DE" w:rsidP="00D85A43">
            <w:pPr>
              <w:spacing w:before="240"/>
              <w:rPr>
                <w:i/>
                <w:sz w:val="22"/>
                <w:szCs w:val="22"/>
              </w:rPr>
            </w:pPr>
            <w:r w:rsidRPr="007A2874">
              <w:rPr>
                <w:sz w:val="22"/>
                <w:szCs w:val="22"/>
              </w:rPr>
              <w:t xml:space="preserve">For example, for a 95% confidence interval, </w:t>
            </w:r>
            <w:r w:rsidRPr="007A2874">
              <w:rPr>
                <w:rFonts w:ascii="Times New Roman" w:hAnsi="Times New Roman"/>
                <w:i/>
                <w:iCs/>
                <w:sz w:val="22"/>
                <w:szCs w:val="22"/>
              </w:rPr>
              <w:t>α</w:t>
            </w:r>
            <w:r w:rsidRPr="007A2874">
              <w:rPr>
                <w:sz w:val="22"/>
                <w:szCs w:val="22"/>
              </w:rPr>
              <w:t xml:space="preserve"> = 0.05 and </w:t>
            </w:r>
            <w:r w:rsidRPr="007A2874">
              <w:rPr>
                <w:rFonts w:ascii="Times New Roman" w:hAnsi="Times New Roman"/>
                <w:i/>
                <w:sz w:val="22"/>
                <w:szCs w:val="22"/>
              </w:rPr>
              <w:t>z</w:t>
            </w:r>
            <w:r w:rsidRPr="007A2874">
              <w:rPr>
                <w:sz w:val="22"/>
                <w:szCs w:val="22"/>
              </w:rPr>
              <w:t xml:space="preserve"> = 1.96 (i.e. the 97.5th percentile value from the Standard Normal distribution)</w:t>
            </w:r>
            <w:r w:rsidRPr="007A2874">
              <w:rPr>
                <w:rStyle w:val="FootnoteReference"/>
                <w:sz w:val="22"/>
                <w:szCs w:val="22"/>
              </w:rPr>
              <w:footnoteReference w:id="9"/>
            </w:r>
            <w:r w:rsidRPr="007A2874">
              <w:rPr>
                <w:sz w:val="22"/>
                <w:szCs w:val="22"/>
              </w:rPr>
              <w:t>.</w:t>
            </w:r>
          </w:p>
        </w:tc>
      </w:tr>
      <w:tr w:rsidR="006367DE" w:rsidRPr="007A2874" w14:paraId="0C4F6752" w14:textId="77777777" w:rsidTr="0091378C">
        <w:tc>
          <w:tcPr>
            <w:tcW w:w="3383" w:type="dxa"/>
          </w:tcPr>
          <w:p w14:paraId="2EB8DADF" w14:textId="77777777" w:rsidR="006367DE" w:rsidRPr="007A2874" w:rsidRDefault="006367DE" w:rsidP="00D85A43">
            <w:pPr>
              <w:spacing w:before="240"/>
              <w:ind w:left="34"/>
              <w:rPr>
                <w:b/>
                <w:sz w:val="22"/>
                <w:szCs w:val="22"/>
              </w:rPr>
            </w:pPr>
            <w:r w:rsidRPr="007A2874">
              <w:rPr>
                <w:b/>
                <w:sz w:val="22"/>
                <w:szCs w:val="22"/>
              </w:rPr>
              <w:t>Justification of confidence intervals / control limits used</w:t>
            </w:r>
          </w:p>
        </w:tc>
        <w:tc>
          <w:tcPr>
            <w:tcW w:w="6854" w:type="dxa"/>
          </w:tcPr>
          <w:p w14:paraId="04B1749B" w14:textId="77777777" w:rsidR="006367DE" w:rsidRPr="007A2874" w:rsidRDefault="006367DE" w:rsidP="00D85A43">
            <w:pPr>
              <w:spacing w:before="240"/>
              <w:rPr>
                <w:sz w:val="22"/>
                <w:szCs w:val="22"/>
              </w:rPr>
            </w:pPr>
            <w:r w:rsidRPr="007A2874">
              <w:rPr>
                <w:sz w:val="22"/>
                <w:szCs w:val="22"/>
              </w:rPr>
              <w:t>Confidence intervals are used, recognising the existence of natural variation between the CCG populations.</w:t>
            </w:r>
          </w:p>
          <w:p w14:paraId="26D31EC0" w14:textId="77777777" w:rsidR="006367DE" w:rsidRPr="007A2874" w:rsidRDefault="006367DE" w:rsidP="00D85A43">
            <w:pPr>
              <w:spacing w:before="240"/>
              <w:rPr>
                <w:sz w:val="22"/>
                <w:szCs w:val="22"/>
              </w:rPr>
            </w:pPr>
            <w:r w:rsidRPr="007A2874">
              <w:rPr>
                <w:sz w:val="22"/>
                <w:szCs w:val="22"/>
              </w:rPr>
              <w:t>The preferred PHE confidence interval method for proportions is the Wilson Score method</w:t>
            </w:r>
            <w:r w:rsidRPr="007A2874">
              <w:rPr>
                <w:rStyle w:val="FootnoteReference"/>
                <w:sz w:val="22"/>
                <w:szCs w:val="22"/>
              </w:rPr>
              <w:footnoteReference w:id="10"/>
            </w:r>
            <w:r w:rsidRPr="007A2874">
              <w:rPr>
                <w:sz w:val="22"/>
                <w:szCs w:val="22"/>
              </w:rPr>
              <w:t xml:space="preserve"> which has been evaluated and recommended by Newcombe and Altman</w:t>
            </w:r>
            <w:r w:rsidRPr="007A2874">
              <w:rPr>
                <w:rStyle w:val="FootnoteReference"/>
                <w:sz w:val="22"/>
                <w:szCs w:val="22"/>
              </w:rPr>
              <w:footnoteReference w:id="11"/>
            </w:r>
            <w:r w:rsidRPr="007A2874">
              <w:rPr>
                <w:sz w:val="22"/>
                <w:szCs w:val="22"/>
                <w:vertAlign w:val="superscript"/>
              </w:rPr>
              <w:t>;</w:t>
            </w:r>
            <w:r w:rsidRPr="007A2874">
              <w:rPr>
                <w:rStyle w:val="FootnoteReference"/>
                <w:sz w:val="22"/>
                <w:szCs w:val="22"/>
              </w:rPr>
              <w:footnoteReference w:id="12"/>
            </w:r>
            <w:r w:rsidRPr="007A2874">
              <w:rPr>
                <w:sz w:val="22"/>
                <w:szCs w:val="22"/>
              </w:rPr>
              <w:t>. It can be used with any data values and, unlike some methods, it does not fail to give an interval when the numerator count, and therefore the proportion, is zero</w:t>
            </w:r>
            <w:r w:rsidRPr="007A2874">
              <w:rPr>
                <w:rStyle w:val="FootnoteReference"/>
                <w:sz w:val="22"/>
                <w:szCs w:val="22"/>
              </w:rPr>
              <w:footnoteReference w:id="13"/>
            </w:r>
            <w:r w:rsidRPr="007A2874">
              <w:rPr>
                <w:sz w:val="22"/>
                <w:szCs w:val="22"/>
              </w:rPr>
              <w:t>.</w:t>
            </w:r>
          </w:p>
        </w:tc>
      </w:tr>
      <w:tr w:rsidR="006367DE" w:rsidRPr="007A2874" w14:paraId="4E087190" w14:textId="77777777" w:rsidTr="0091378C">
        <w:tc>
          <w:tcPr>
            <w:tcW w:w="3383" w:type="dxa"/>
          </w:tcPr>
          <w:p w14:paraId="3A467476" w14:textId="5FDF757B" w:rsidR="006367DE" w:rsidRPr="007A2874" w:rsidRDefault="006367DE" w:rsidP="006367DE">
            <w:pPr>
              <w:spacing w:before="240"/>
              <w:ind w:left="34"/>
              <w:rPr>
                <w:b/>
                <w:sz w:val="22"/>
                <w:szCs w:val="22"/>
              </w:rPr>
            </w:pPr>
            <w:r w:rsidRPr="007A2874">
              <w:rPr>
                <w:b/>
                <w:sz w:val="22"/>
                <w:szCs w:val="22"/>
              </w:rPr>
              <w:t>Presentation of indicator</w:t>
            </w:r>
          </w:p>
        </w:tc>
        <w:tc>
          <w:tcPr>
            <w:tcW w:w="6854" w:type="dxa"/>
          </w:tcPr>
          <w:p w14:paraId="1AAACF85" w14:textId="77777777" w:rsidR="006367DE" w:rsidRPr="007A2874" w:rsidRDefault="006367DE" w:rsidP="006367DE">
            <w:pPr>
              <w:spacing w:before="240"/>
              <w:rPr>
                <w:sz w:val="22"/>
                <w:szCs w:val="22"/>
              </w:rPr>
            </w:pPr>
            <w:r w:rsidRPr="007A2874">
              <w:rPr>
                <w:sz w:val="22"/>
                <w:szCs w:val="22"/>
              </w:rPr>
              <w:t xml:space="preserve">The indicator is to be presented on the NHS Digital Indicator Portal in a consistent format with other CCG OIS indicators. It is accompanied by a Specification and Quality Statement. </w:t>
            </w:r>
          </w:p>
          <w:p w14:paraId="25E7E102" w14:textId="77777777" w:rsidR="006367DE" w:rsidRPr="007A2874" w:rsidRDefault="006367DE" w:rsidP="006367DE">
            <w:pPr>
              <w:spacing w:before="240"/>
              <w:rPr>
                <w:sz w:val="22"/>
                <w:szCs w:val="22"/>
              </w:rPr>
            </w:pPr>
            <w:r w:rsidRPr="007A2874">
              <w:rPr>
                <w:sz w:val="22"/>
                <w:szCs w:val="22"/>
              </w:rPr>
              <w:lastRenderedPageBreak/>
              <w:t xml:space="preserve">The data is presented with a detailed header including information on the statistic presented, the reporting period, level of coverage, publication date, data sources, and any further notes to be aware of. Drop-down filtering is also available. The data will be reported annually. </w:t>
            </w:r>
          </w:p>
          <w:p w14:paraId="3BEEAA4F" w14:textId="588A2209" w:rsidR="006367DE" w:rsidRPr="007A2874" w:rsidRDefault="006367DE" w:rsidP="006367DE">
            <w:pPr>
              <w:spacing w:before="240"/>
              <w:rPr>
                <w:sz w:val="22"/>
                <w:szCs w:val="22"/>
              </w:rPr>
            </w:pPr>
            <w:r w:rsidRPr="007A2874">
              <w:rPr>
                <w:sz w:val="22"/>
                <w:szCs w:val="22"/>
              </w:rPr>
              <w:t>The specific fields to be presented in data are as follows:</w:t>
            </w:r>
          </w:p>
        </w:tc>
      </w:tr>
    </w:tbl>
    <w:p w14:paraId="06D4BBF0" w14:textId="77777777" w:rsidR="007A2874" w:rsidRPr="007A2874" w:rsidRDefault="007A2874"/>
    <w:tbl>
      <w:tblPr>
        <w:tblStyle w:val="TableGridLight"/>
        <w:tblW w:w="10237" w:type="dxa"/>
        <w:tblLook w:val="0020" w:firstRow="1" w:lastRow="0" w:firstColumn="0" w:lastColumn="0" w:noHBand="0" w:noVBand="0"/>
      </w:tblPr>
      <w:tblGrid>
        <w:gridCol w:w="2503"/>
        <w:gridCol w:w="7734"/>
      </w:tblGrid>
      <w:tr w:rsidR="007A2874" w:rsidRPr="007A2874" w14:paraId="3E195C0B" w14:textId="77777777" w:rsidTr="00D85A43">
        <w:trPr>
          <w:trHeight w:val="314"/>
        </w:trPr>
        <w:tc>
          <w:tcPr>
            <w:tcW w:w="2503" w:type="dxa"/>
          </w:tcPr>
          <w:p w14:paraId="06508C2F" w14:textId="77777777" w:rsidR="00493A03" w:rsidRPr="007A2874" w:rsidRDefault="00493A03" w:rsidP="007A2874">
            <w:pPr>
              <w:tabs>
                <w:tab w:val="right" w:pos="14580"/>
              </w:tabs>
              <w:spacing w:before="60" w:after="60"/>
              <w:ind w:right="-108"/>
              <w:textboxTightWrap w:val="allLines"/>
              <w:rPr>
                <w:rFonts w:ascii="Calibri" w:eastAsia="SimSun" w:hAnsi="Calibri" w:cs="Calibri"/>
                <w:b/>
                <w:bCs/>
                <w:sz w:val="16"/>
                <w:szCs w:val="16"/>
                <w:lang w:eastAsia="en-GB"/>
              </w:rPr>
            </w:pPr>
            <w:permStart w:id="2014075562" w:edGrp="everyone" w:colFirst="2" w:colLast="2"/>
            <w:permEnd w:id="873476260"/>
            <w:r w:rsidRPr="007A2874">
              <w:rPr>
                <w:rFonts w:ascii="Calibri" w:hAnsi="Calibri" w:cs="Calibri"/>
                <w:b/>
                <w:sz w:val="16"/>
                <w:szCs w:val="16"/>
                <w:lang w:eastAsia="en-GB"/>
              </w:rPr>
              <w:t>Column Name</w:t>
            </w:r>
          </w:p>
        </w:tc>
        <w:tc>
          <w:tcPr>
            <w:tcW w:w="7734" w:type="dxa"/>
          </w:tcPr>
          <w:p w14:paraId="5B1E8D23" w14:textId="77777777" w:rsidR="00493A03" w:rsidRPr="007A2874" w:rsidRDefault="00493A03" w:rsidP="007A2874">
            <w:pPr>
              <w:tabs>
                <w:tab w:val="right" w:pos="14580"/>
              </w:tabs>
              <w:spacing w:before="60" w:after="60"/>
              <w:ind w:right="-108"/>
              <w:textboxTightWrap w:val="allLines"/>
              <w:rPr>
                <w:rFonts w:ascii="Calibri" w:eastAsia="SimSun" w:hAnsi="Calibri" w:cs="Calibri"/>
                <w:b/>
                <w:bCs/>
                <w:sz w:val="16"/>
                <w:szCs w:val="16"/>
                <w:lang w:eastAsia="en-GB"/>
              </w:rPr>
            </w:pPr>
            <w:r w:rsidRPr="007A2874">
              <w:rPr>
                <w:rFonts w:ascii="Calibri" w:eastAsia="SimSun" w:hAnsi="Calibri" w:cs="Calibri"/>
                <w:b/>
                <w:bCs/>
                <w:sz w:val="16"/>
                <w:szCs w:val="16"/>
                <w:lang w:eastAsia="en-GB"/>
              </w:rPr>
              <w:t>Output</w:t>
            </w:r>
          </w:p>
        </w:tc>
      </w:tr>
      <w:tr w:rsidR="007A2874" w:rsidRPr="007A2874" w14:paraId="02289FD7" w14:textId="77777777" w:rsidTr="00D85A43">
        <w:trPr>
          <w:trHeight w:val="275"/>
        </w:trPr>
        <w:tc>
          <w:tcPr>
            <w:tcW w:w="2503" w:type="dxa"/>
          </w:tcPr>
          <w:p w14:paraId="6DECF426"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lang w:eastAsia="en-GB"/>
              </w:rPr>
              <w:t>Reporting period</w:t>
            </w:r>
          </w:p>
        </w:tc>
        <w:tc>
          <w:tcPr>
            <w:tcW w:w="7734" w:type="dxa"/>
          </w:tcPr>
          <w:p w14:paraId="365F540F"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Period of coverage (years/rolling quarter)</w:t>
            </w:r>
          </w:p>
        </w:tc>
      </w:tr>
      <w:tr w:rsidR="007A2874" w:rsidRPr="007A2874" w14:paraId="27FADBF2" w14:textId="77777777" w:rsidTr="00D85A43">
        <w:trPr>
          <w:trHeight w:val="281"/>
        </w:trPr>
        <w:tc>
          <w:tcPr>
            <w:tcW w:w="2503" w:type="dxa"/>
          </w:tcPr>
          <w:p w14:paraId="6B88AD28"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Breakdown</w:t>
            </w:r>
          </w:p>
        </w:tc>
        <w:tc>
          <w:tcPr>
            <w:tcW w:w="7734" w:type="dxa"/>
          </w:tcPr>
          <w:p w14:paraId="7567BE42"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National (all registered patients in England), CCG</w:t>
            </w:r>
          </w:p>
        </w:tc>
      </w:tr>
      <w:tr w:rsidR="007A2874" w:rsidRPr="007A2874" w14:paraId="4C94A1DD" w14:textId="77777777" w:rsidTr="00D85A43">
        <w:trPr>
          <w:trHeight w:val="214"/>
        </w:trPr>
        <w:tc>
          <w:tcPr>
            <w:tcW w:w="2503" w:type="dxa"/>
          </w:tcPr>
          <w:p w14:paraId="5DD49107"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ONS code</w:t>
            </w:r>
          </w:p>
        </w:tc>
        <w:tc>
          <w:tcPr>
            <w:tcW w:w="7734" w:type="dxa"/>
          </w:tcPr>
          <w:p w14:paraId="3ECCA9A3"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ONS geography code</w:t>
            </w:r>
          </w:p>
        </w:tc>
      </w:tr>
      <w:tr w:rsidR="007A2874" w:rsidRPr="007A2874" w14:paraId="327EEC60" w14:textId="77777777" w:rsidTr="00D85A43">
        <w:trPr>
          <w:trHeight w:val="214"/>
        </w:trPr>
        <w:tc>
          <w:tcPr>
            <w:tcW w:w="2503" w:type="dxa"/>
          </w:tcPr>
          <w:p w14:paraId="7D127858"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Level</w:t>
            </w:r>
          </w:p>
        </w:tc>
        <w:tc>
          <w:tcPr>
            <w:tcW w:w="7734" w:type="dxa"/>
          </w:tcPr>
          <w:p w14:paraId="489FB8BC"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CCG code</w:t>
            </w:r>
          </w:p>
        </w:tc>
      </w:tr>
      <w:tr w:rsidR="007A2874" w:rsidRPr="007A2874" w14:paraId="1DAF70D0" w14:textId="77777777" w:rsidTr="00D85A43">
        <w:trPr>
          <w:trHeight w:val="163"/>
        </w:trPr>
        <w:tc>
          <w:tcPr>
            <w:tcW w:w="2503" w:type="dxa"/>
          </w:tcPr>
          <w:p w14:paraId="4A3EDDD1"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Level description</w:t>
            </w:r>
          </w:p>
        </w:tc>
        <w:tc>
          <w:tcPr>
            <w:tcW w:w="7734" w:type="dxa"/>
          </w:tcPr>
          <w:p w14:paraId="68D06494"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CCG name</w:t>
            </w:r>
          </w:p>
        </w:tc>
      </w:tr>
      <w:tr w:rsidR="007A2874" w:rsidRPr="007A2874" w14:paraId="5448C702" w14:textId="77777777" w:rsidTr="00D85A43">
        <w:trPr>
          <w:trHeight w:val="562"/>
        </w:trPr>
        <w:tc>
          <w:tcPr>
            <w:tcW w:w="2503" w:type="dxa"/>
          </w:tcPr>
          <w:p w14:paraId="6E879661"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Percentage</w:t>
            </w:r>
          </w:p>
        </w:tc>
        <w:tc>
          <w:tcPr>
            <w:tcW w:w="7734" w:type="dxa"/>
          </w:tcPr>
          <w:p w14:paraId="62A0F7A1"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Percentage of FAEs with a primary diagnosis of MI or heart failure or a main operative procedure of PCI or CABG who were referred to cardiac rehabilitation</w:t>
            </w:r>
          </w:p>
        </w:tc>
      </w:tr>
      <w:tr w:rsidR="007A2874" w:rsidRPr="007A2874" w14:paraId="37D85618" w14:textId="77777777" w:rsidTr="00D85A43">
        <w:trPr>
          <w:trHeight w:val="135"/>
        </w:trPr>
        <w:tc>
          <w:tcPr>
            <w:tcW w:w="2503" w:type="dxa"/>
          </w:tcPr>
          <w:p w14:paraId="07078AAC"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CI lower (%)</w:t>
            </w:r>
          </w:p>
        </w:tc>
        <w:tc>
          <w:tcPr>
            <w:tcW w:w="7734" w:type="dxa"/>
          </w:tcPr>
          <w:p w14:paraId="475F8E06"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Lower 95% confidence interval</w:t>
            </w:r>
          </w:p>
        </w:tc>
      </w:tr>
      <w:tr w:rsidR="007A2874" w:rsidRPr="007A2874" w14:paraId="160621E8" w14:textId="77777777" w:rsidTr="00D85A43">
        <w:trPr>
          <w:trHeight w:val="238"/>
        </w:trPr>
        <w:tc>
          <w:tcPr>
            <w:tcW w:w="2503" w:type="dxa"/>
          </w:tcPr>
          <w:p w14:paraId="016BAF5D"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CI upper (%)</w:t>
            </w:r>
          </w:p>
        </w:tc>
        <w:tc>
          <w:tcPr>
            <w:tcW w:w="7734" w:type="dxa"/>
          </w:tcPr>
          <w:p w14:paraId="1B3331B1"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Upper 95% confidence interval</w:t>
            </w:r>
          </w:p>
        </w:tc>
      </w:tr>
      <w:tr w:rsidR="007A2874" w:rsidRPr="007A2874" w14:paraId="2CBDBD1B" w14:textId="77777777" w:rsidTr="00D85A43">
        <w:trPr>
          <w:trHeight w:val="200"/>
        </w:trPr>
        <w:tc>
          <w:tcPr>
            <w:tcW w:w="2503" w:type="dxa"/>
          </w:tcPr>
          <w:p w14:paraId="044F6EA8"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Denominator</w:t>
            </w:r>
          </w:p>
        </w:tc>
        <w:tc>
          <w:tcPr>
            <w:tcW w:w="7734" w:type="dxa"/>
          </w:tcPr>
          <w:p w14:paraId="7654C2AF"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The number of FAEs with a primary diagnosis of MI or heart failure or a main operative procedure of PCI or CABG</w:t>
            </w:r>
          </w:p>
        </w:tc>
      </w:tr>
      <w:tr w:rsidR="007A2874" w:rsidRPr="007A2874" w14:paraId="7D1A6CAC" w14:textId="77777777" w:rsidTr="00D85A43">
        <w:trPr>
          <w:trHeight w:val="484"/>
        </w:trPr>
        <w:tc>
          <w:tcPr>
            <w:tcW w:w="2503" w:type="dxa"/>
          </w:tcPr>
          <w:p w14:paraId="060C8AE8" w14:textId="77777777" w:rsidR="00493A03" w:rsidRPr="007A2874" w:rsidRDefault="00493A03" w:rsidP="007A2874">
            <w:pPr>
              <w:spacing w:before="120" w:after="0"/>
              <w:jc w:val="both"/>
              <w:textboxTightWrap w:val="none"/>
              <w:rPr>
                <w:rFonts w:ascii="Calibri" w:hAnsi="Calibri" w:cs="Calibri"/>
                <w:sz w:val="16"/>
                <w:szCs w:val="16"/>
                <w:lang w:eastAsia="en-GB"/>
              </w:rPr>
            </w:pPr>
            <w:r w:rsidRPr="007A2874">
              <w:rPr>
                <w:rFonts w:ascii="Calibri" w:hAnsi="Calibri" w:cs="Calibri"/>
                <w:sz w:val="16"/>
                <w:szCs w:val="16"/>
                <w:lang w:eastAsia="en-GB"/>
              </w:rPr>
              <w:t>Numerator</w:t>
            </w:r>
          </w:p>
        </w:tc>
        <w:tc>
          <w:tcPr>
            <w:tcW w:w="7734" w:type="dxa"/>
          </w:tcPr>
          <w:p w14:paraId="2A398E72" w14:textId="77777777" w:rsidR="00493A03" w:rsidRPr="007A2874" w:rsidRDefault="00493A03" w:rsidP="007A2874">
            <w:pPr>
              <w:spacing w:before="120" w:after="0"/>
              <w:jc w:val="both"/>
              <w:textboxTightWrap w:val="none"/>
              <w:rPr>
                <w:rFonts w:ascii="Calibri" w:hAnsi="Calibri" w:cs="Calibri"/>
                <w:sz w:val="16"/>
                <w:szCs w:val="16"/>
              </w:rPr>
            </w:pPr>
            <w:r w:rsidRPr="007A2874">
              <w:rPr>
                <w:rFonts w:ascii="Calibri" w:hAnsi="Calibri" w:cs="Calibri"/>
                <w:sz w:val="16"/>
                <w:szCs w:val="16"/>
              </w:rPr>
              <w:t xml:space="preserve">Of the denominator, the number of FAEs that were referred to cardiac rehabilitation. </w:t>
            </w:r>
          </w:p>
        </w:tc>
      </w:tr>
    </w:tbl>
    <w:p w14:paraId="1FF5C7EE" w14:textId="7C7D55B9" w:rsidR="00493A03" w:rsidRDefault="00493A03"/>
    <w:tbl>
      <w:tblPr>
        <w:tblStyle w:val="TableGrid"/>
        <w:tblW w:w="10237" w:type="dxa"/>
        <w:tblLook w:val="04A0" w:firstRow="1" w:lastRow="0" w:firstColumn="1" w:lastColumn="0" w:noHBand="0" w:noVBand="1"/>
      </w:tblPr>
      <w:tblGrid>
        <w:gridCol w:w="3383"/>
        <w:gridCol w:w="6854"/>
      </w:tblGrid>
      <w:tr w:rsidR="0091378C" w:rsidRPr="007A2874" w14:paraId="1E44E6BA" w14:textId="77777777" w:rsidTr="0091378C">
        <w:tc>
          <w:tcPr>
            <w:tcW w:w="3383" w:type="dxa"/>
          </w:tcPr>
          <w:p w14:paraId="4745C335" w14:textId="77777777" w:rsidR="0091378C" w:rsidRPr="007A2874" w:rsidRDefault="0091378C" w:rsidP="0091378C">
            <w:pPr>
              <w:spacing w:before="240"/>
              <w:ind w:left="34"/>
              <w:rPr>
                <w:b/>
                <w:sz w:val="22"/>
                <w:szCs w:val="22"/>
              </w:rPr>
            </w:pPr>
            <w:r w:rsidRPr="007A2874">
              <w:rPr>
                <w:b/>
                <w:sz w:val="22"/>
                <w:szCs w:val="22"/>
              </w:rPr>
              <w:t>Contextual information provided alongside indicator</w:t>
            </w:r>
          </w:p>
          <w:p w14:paraId="75314AA2" w14:textId="5A5E9E0C" w:rsidR="0091378C" w:rsidRPr="007A2874" w:rsidRDefault="0091378C" w:rsidP="0091378C">
            <w:pPr>
              <w:spacing w:before="240"/>
              <w:ind w:left="34"/>
              <w:rPr>
                <w:b/>
                <w:sz w:val="22"/>
                <w:szCs w:val="22"/>
              </w:rPr>
            </w:pPr>
            <w:r w:rsidRPr="007A2874">
              <w:rPr>
                <w:sz w:val="22"/>
                <w:szCs w:val="22"/>
              </w:rPr>
              <w:t>with justification</w:t>
            </w:r>
          </w:p>
        </w:tc>
        <w:tc>
          <w:tcPr>
            <w:tcW w:w="6854" w:type="dxa"/>
          </w:tcPr>
          <w:p w14:paraId="7F092E5F" w14:textId="7AE20B5F" w:rsidR="0091378C" w:rsidRPr="007A2874" w:rsidRDefault="0091378C" w:rsidP="0091378C">
            <w:pPr>
              <w:spacing w:before="240"/>
              <w:rPr>
                <w:sz w:val="22"/>
                <w:szCs w:val="22"/>
              </w:rPr>
            </w:pPr>
            <w:r w:rsidRPr="007A2874">
              <w:rPr>
                <w:sz w:val="22"/>
                <w:szCs w:val="22"/>
              </w:rPr>
              <w:t>None</w:t>
            </w:r>
          </w:p>
        </w:tc>
      </w:tr>
      <w:tr w:rsidR="0091378C" w:rsidRPr="007A2874" w14:paraId="46282474" w14:textId="77777777" w:rsidTr="0091378C">
        <w:tc>
          <w:tcPr>
            <w:tcW w:w="3383" w:type="dxa"/>
          </w:tcPr>
          <w:p w14:paraId="23E3BE3D" w14:textId="0D0B3EE6" w:rsidR="0091378C" w:rsidRPr="007A2874" w:rsidRDefault="0091378C" w:rsidP="0091378C">
            <w:pPr>
              <w:spacing w:before="240"/>
              <w:ind w:left="34"/>
              <w:rPr>
                <w:b/>
                <w:sz w:val="22"/>
                <w:szCs w:val="22"/>
              </w:rPr>
            </w:pPr>
            <w:r w:rsidRPr="007A2874">
              <w:rPr>
                <w:b/>
                <w:sz w:val="22"/>
                <w:szCs w:val="22"/>
              </w:rPr>
              <w:t>Calculation and data source of contextual information</w:t>
            </w:r>
          </w:p>
        </w:tc>
        <w:tc>
          <w:tcPr>
            <w:tcW w:w="6854" w:type="dxa"/>
          </w:tcPr>
          <w:p w14:paraId="7305F22A" w14:textId="0378BF59" w:rsidR="0091378C" w:rsidRPr="007A2874" w:rsidRDefault="0091378C" w:rsidP="0091378C">
            <w:pPr>
              <w:spacing w:before="240"/>
              <w:rPr>
                <w:sz w:val="22"/>
                <w:szCs w:val="22"/>
              </w:rPr>
            </w:pPr>
            <w:r w:rsidRPr="007A2874">
              <w:rPr>
                <w:sz w:val="22"/>
                <w:szCs w:val="22"/>
              </w:rPr>
              <w:t>n/a</w:t>
            </w:r>
          </w:p>
        </w:tc>
      </w:tr>
      <w:tr w:rsidR="0091378C" w:rsidRPr="007A2874" w14:paraId="15D5A4B2" w14:textId="77777777" w:rsidTr="0091378C">
        <w:tc>
          <w:tcPr>
            <w:tcW w:w="3383" w:type="dxa"/>
          </w:tcPr>
          <w:p w14:paraId="401BEF45" w14:textId="77777777" w:rsidR="0091378C" w:rsidRPr="007A2874" w:rsidRDefault="0091378C" w:rsidP="0091378C">
            <w:pPr>
              <w:spacing w:before="240"/>
              <w:ind w:left="34"/>
              <w:rPr>
                <w:b/>
                <w:sz w:val="22"/>
                <w:szCs w:val="22"/>
              </w:rPr>
            </w:pPr>
            <w:r w:rsidRPr="007A2874">
              <w:rPr>
                <w:b/>
                <w:sz w:val="22"/>
                <w:szCs w:val="22"/>
              </w:rPr>
              <w:t>Use of bandings, benchmarks or targets</w:t>
            </w:r>
          </w:p>
          <w:p w14:paraId="715EC77B" w14:textId="0AB70329" w:rsidR="0091378C" w:rsidRPr="007A2874" w:rsidRDefault="0091378C" w:rsidP="0091378C">
            <w:pPr>
              <w:spacing w:before="240"/>
              <w:ind w:left="34"/>
              <w:rPr>
                <w:b/>
                <w:sz w:val="22"/>
                <w:szCs w:val="22"/>
              </w:rPr>
            </w:pPr>
            <w:r w:rsidRPr="007A2874">
              <w:rPr>
                <w:sz w:val="22"/>
                <w:szCs w:val="22"/>
              </w:rPr>
              <w:t>with justification</w:t>
            </w:r>
          </w:p>
        </w:tc>
        <w:tc>
          <w:tcPr>
            <w:tcW w:w="6854" w:type="dxa"/>
          </w:tcPr>
          <w:p w14:paraId="2A00EE3F" w14:textId="77777777" w:rsidR="0091378C" w:rsidRPr="007A2874" w:rsidRDefault="0091378C" w:rsidP="0091378C">
            <w:pPr>
              <w:spacing w:before="240"/>
              <w:rPr>
                <w:sz w:val="22"/>
                <w:szCs w:val="22"/>
              </w:rPr>
            </w:pPr>
            <w:r w:rsidRPr="007A2874">
              <w:rPr>
                <w:sz w:val="22"/>
                <w:szCs w:val="22"/>
              </w:rPr>
              <w:t xml:space="preserve">None. </w:t>
            </w:r>
          </w:p>
          <w:p w14:paraId="00C0C321" w14:textId="77777777" w:rsidR="0091378C" w:rsidRPr="007A2874" w:rsidRDefault="0091378C" w:rsidP="0091378C">
            <w:pPr>
              <w:spacing w:before="240"/>
              <w:rPr>
                <w:sz w:val="22"/>
                <w:szCs w:val="22"/>
              </w:rPr>
            </w:pPr>
            <w:r w:rsidRPr="007A2874">
              <w:rPr>
                <w:sz w:val="22"/>
                <w:szCs w:val="22"/>
              </w:rPr>
              <w:t xml:space="preserve">The indicator is to be presented without target or ranking. If a CCG believes their figure to be disproportionately low, for example when compared to the national figure, the factors contributing to this can be investigated and appropriate action can be taken. </w:t>
            </w:r>
          </w:p>
          <w:p w14:paraId="5C17BDB5" w14:textId="7E0A6D1A" w:rsidR="0091378C" w:rsidRPr="007A2874" w:rsidRDefault="0091378C" w:rsidP="0091378C">
            <w:pPr>
              <w:spacing w:before="240"/>
              <w:rPr>
                <w:sz w:val="22"/>
                <w:szCs w:val="22"/>
              </w:rPr>
            </w:pPr>
            <w:r w:rsidRPr="007A2874">
              <w:rPr>
                <w:sz w:val="22"/>
                <w:szCs w:val="22"/>
              </w:rPr>
              <w:t>It is noted that the CVD OS introduced ambitions of 65% uptake of cardiac rehabilitation following a MI, PCI, or CABG, and 33% uptake following heart failure. However, these indicators do not measure uptake and as such it would be misguided to compare a CCGs referral score to these figures.</w:t>
            </w:r>
          </w:p>
        </w:tc>
      </w:tr>
      <w:tr w:rsidR="0091378C" w:rsidRPr="007A2874" w14:paraId="03F4D88C" w14:textId="77777777" w:rsidTr="0091378C">
        <w:tc>
          <w:tcPr>
            <w:tcW w:w="3383" w:type="dxa"/>
          </w:tcPr>
          <w:p w14:paraId="6324207D" w14:textId="77777777" w:rsidR="0091378C" w:rsidRPr="007A2874" w:rsidRDefault="0091378C" w:rsidP="0091378C">
            <w:pPr>
              <w:spacing w:before="240"/>
              <w:ind w:left="34"/>
              <w:rPr>
                <w:b/>
                <w:sz w:val="22"/>
                <w:szCs w:val="22"/>
              </w:rPr>
            </w:pPr>
            <w:r w:rsidRPr="007A2874">
              <w:rPr>
                <w:b/>
                <w:sz w:val="22"/>
                <w:szCs w:val="22"/>
              </w:rPr>
              <w:t>Banding, benchmark or target methodology</w:t>
            </w:r>
          </w:p>
          <w:p w14:paraId="0554F464" w14:textId="7BFF4D00" w:rsidR="0091378C" w:rsidRPr="007A2874" w:rsidRDefault="0091378C" w:rsidP="0091378C">
            <w:pPr>
              <w:spacing w:before="240"/>
              <w:ind w:left="34"/>
              <w:rPr>
                <w:b/>
                <w:sz w:val="22"/>
                <w:szCs w:val="22"/>
              </w:rPr>
            </w:pPr>
            <w:r w:rsidRPr="007A2874">
              <w:rPr>
                <w:sz w:val="22"/>
                <w:szCs w:val="22"/>
              </w:rPr>
              <w:t>if appropriate</w:t>
            </w:r>
          </w:p>
        </w:tc>
        <w:tc>
          <w:tcPr>
            <w:tcW w:w="6854" w:type="dxa"/>
          </w:tcPr>
          <w:p w14:paraId="27305335" w14:textId="0C39E0EE" w:rsidR="0091378C" w:rsidRPr="007A2874" w:rsidRDefault="0091378C" w:rsidP="0091378C">
            <w:pPr>
              <w:spacing w:before="240"/>
              <w:rPr>
                <w:sz w:val="22"/>
                <w:szCs w:val="22"/>
              </w:rPr>
            </w:pPr>
            <w:r w:rsidRPr="007A2874">
              <w:rPr>
                <w:sz w:val="22"/>
                <w:szCs w:val="22"/>
              </w:rPr>
              <w:t>n/a</w:t>
            </w:r>
          </w:p>
        </w:tc>
      </w:tr>
      <w:tr w:rsidR="0091378C" w:rsidRPr="007A2874" w14:paraId="27D68FBE" w14:textId="77777777" w:rsidTr="0091378C">
        <w:tc>
          <w:tcPr>
            <w:tcW w:w="3383" w:type="dxa"/>
          </w:tcPr>
          <w:p w14:paraId="3C9603D4" w14:textId="367D6630" w:rsidR="0091378C" w:rsidRPr="007A2874" w:rsidRDefault="0091378C" w:rsidP="0091378C">
            <w:pPr>
              <w:spacing w:before="240"/>
              <w:ind w:left="34"/>
              <w:rPr>
                <w:b/>
                <w:sz w:val="22"/>
                <w:szCs w:val="22"/>
              </w:rPr>
            </w:pPr>
            <w:r w:rsidRPr="007A2874">
              <w:rPr>
                <w:b/>
                <w:sz w:val="22"/>
                <w:szCs w:val="22"/>
              </w:rPr>
              <w:t>Interpretation guidelines</w:t>
            </w:r>
          </w:p>
        </w:tc>
        <w:tc>
          <w:tcPr>
            <w:tcW w:w="6854" w:type="dxa"/>
          </w:tcPr>
          <w:p w14:paraId="03C61C0E" w14:textId="77777777" w:rsidR="0091378C" w:rsidRPr="007A2874" w:rsidRDefault="0091378C" w:rsidP="0091378C">
            <w:pPr>
              <w:spacing w:before="240"/>
              <w:rPr>
                <w:sz w:val="22"/>
                <w:szCs w:val="22"/>
              </w:rPr>
            </w:pPr>
            <w:r w:rsidRPr="007A2874">
              <w:rPr>
                <w:sz w:val="22"/>
                <w:szCs w:val="22"/>
              </w:rPr>
              <w:t xml:space="preserve">The indicator will be presented alongside an indicator for completion of cardiac rehabilitation, which reports the number of referrals to </w:t>
            </w:r>
            <w:r w:rsidRPr="007A2874">
              <w:rPr>
                <w:sz w:val="22"/>
                <w:szCs w:val="22"/>
              </w:rPr>
              <w:lastRenderedPageBreak/>
              <w:t>cardiac rehabilitation that go on to complete core delivery of cardiac rehabilitation.</w:t>
            </w:r>
          </w:p>
          <w:p w14:paraId="622EE5AE" w14:textId="77777777" w:rsidR="0091378C" w:rsidRPr="007A2874" w:rsidRDefault="0091378C" w:rsidP="0091378C">
            <w:pPr>
              <w:spacing w:before="240"/>
              <w:rPr>
                <w:sz w:val="22"/>
                <w:szCs w:val="22"/>
              </w:rPr>
            </w:pPr>
            <w:r w:rsidRPr="007A2874">
              <w:rPr>
                <w:sz w:val="22"/>
                <w:szCs w:val="22"/>
              </w:rPr>
              <w:t>The two indicators in conjunction aim to provide a view of the cardiac rehabilitation pathway. The referral indicator gives insight to the percentage of cases that could benefit from cardiac rehabilitation that are referred, whilst the completion indicator demonstrates the percentage of referrals that go on to complete cardiac rehabilitation.</w:t>
            </w:r>
          </w:p>
          <w:p w14:paraId="3C2E1E93" w14:textId="77777777" w:rsidR="0091378C" w:rsidRPr="007A2874" w:rsidRDefault="0091378C" w:rsidP="0091378C">
            <w:pPr>
              <w:spacing w:before="240"/>
              <w:rPr>
                <w:sz w:val="22"/>
                <w:szCs w:val="22"/>
              </w:rPr>
            </w:pPr>
            <w:r w:rsidRPr="007A2874">
              <w:rPr>
                <w:sz w:val="22"/>
                <w:szCs w:val="22"/>
              </w:rPr>
              <w:t>A CCG may have a high referral rate, but due to the set-up of the programme, its location, or an inability to cater to a user’s needs the CCG may have a low completion rate.</w:t>
            </w:r>
          </w:p>
          <w:p w14:paraId="5057C97D" w14:textId="77777777" w:rsidR="0091378C" w:rsidRPr="007A2874" w:rsidRDefault="0091378C" w:rsidP="0091378C">
            <w:pPr>
              <w:spacing w:before="240"/>
              <w:rPr>
                <w:sz w:val="22"/>
                <w:szCs w:val="22"/>
              </w:rPr>
            </w:pPr>
            <w:r w:rsidRPr="007A2874">
              <w:rPr>
                <w:sz w:val="22"/>
                <w:szCs w:val="22"/>
              </w:rPr>
              <w:t>A link to the completion of cardiac rehabilitation indicator will be provided in the indicator metadata, these indicators can be looked at together (along with other sources of information) in order to judge a CCGs performance.</w:t>
            </w:r>
          </w:p>
          <w:p w14:paraId="52D9A351" w14:textId="77777777" w:rsidR="0091378C" w:rsidRPr="007A2874" w:rsidRDefault="0091378C" w:rsidP="0091378C">
            <w:pPr>
              <w:spacing w:before="240"/>
              <w:rPr>
                <w:sz w:val="22"/>
                <w:szCs w:val="22"/>
              </w:rPr>
            </w:pPr>
            <w:r w:rsidRPr="007A2874">
              <w:rPr>
                <w:sz w:val="22"/>
                <w:szCs w:val="22"/>
              </w:rPr>
              <w:t xml:space="preserve">A high percentage of FAEs with a primary diagnosis of MI or heart failure or a main operative procedure of PCI or CABG that were referred to cardiac rehabilitation is desirable. However, this indicator makes no judgement as to what an acceptable level of referrals is. </w:t>
            </w:r>
          </w:p>
          <w:p w14:paraId="621DAF2F" w14:textId="025B2B47" w:rsidR="0091378C" w:rsidRPr="007A2874" w:rsidRDefault="0091378C" w:rsidP="0091378C">
            <w:pPr>
              <w:spacing w:before="240"/>
              <w:rPr>
                <w:sz w:val="22"/>
                <w:szCs w:val="22"/>
              </w:rPr>
            </w:pPr>
            <w:r w:rsidRPr="007A2874">
              <w:rPr>
                <w:sz w:val="22"/>
                <w:szCs w:val="22"/>
              </w:rPr>
              <w:t xml:space="preserve">The indicator requires careful interpretation and should not be viewed in isolation but instead be considered alongside information from other indicators, such as the corresponding cardiac rehabilitation completion indicator and various sources, such as the NACR reports: </w:t>
            </w:r>
            <w:hyperlink r:id="rId16" w:history="1">
              <w:r w:rsidRPr="007A2874">
                <w:rPr>
                  <w:rStyle w:val="Hyperlink"/>
                  <w:rFonts w:ascii="Arial" w:hAnsi="Arial"/>
                  <w:color w:val="auto"/>
                  <w:sz w:val="22"/>
                  <w:szCs w:val="22"/>
                </w:rPr>
                <w:t>http://www.cardiacrehabilitation.org.uk/</w:t>
              </w:r>
            </w:hyperlink>
            <w:r w:rsidRPr="007A2874">
              <w:rPr>
                <w:rStyle w:val="Hyperlink"/>
                <w:rFonts w:ascii="Arial" w:hAnsi="Arial"/>
                <w:color w:val="auto"/>
                <w:sz w:val="22"/>
                <w:szCs w:val="22"/>
              </w:rPr>
              <w:t>.</w:t>
            </w:r>
            <w:r w:rsidRPr="007A2874">
              <w:rPr>
                <w:sz w:val="22"/>
                <w:szCs w:val="22"/>
              </w:rPr>
              <w:t xml:space="preserve"> However, a point to note is that these reports include estimated data and as such will not be directly comparable. The data reported in this indicator does not make use of estimated figures.</w:t>
            </w:r>
          </w:p>
        </w:tc>
      </w:tr>
      <w:tr w:rsidR="0091378C" w:rsidRPr="007A2874" w14:paraId="1EE6E79F" w14:textId="77777777" w:rsidTr="0091378C">
        <w:tc>
          <w:tcPr>
            <w:tcW w:w="3383" w:type="dxa"/>
          </w:tcPr>
          <w:p w14:paraId="5B10DF99" w14:textId="1B507E9A" w:rsidR="0091378C" w:rsidRPr="007A2874" w:rsidRDefault="0091378C" w:rsidP="0091378C">
            <w:pPr>
              <w:spacing w:before="240"/>
              <w:ind w:left="34"/>
              <w:rPr>
                <w:b/>
                <w:sz w:val="22"/>
                <w:szCs w:val="22"/>
              </w:rPr>
            </w:pPr>
            <w:r w:rsidRPr="007A2874">
              <w:rPr>
                <w:b/>
                <w:sz w:val="22"/>
                <w:szCs w:val="22"/>
              </w:rPr>
              <w:lastRenderedPageBreak/>
              <w:t>Limitations and potential bias</w:t>
            </w:r>
          </w:p>
        </w:tc>
        <w:tc>
          <w:tcPr>
            <w:tcW w:w="6854" w:type="dxa"/>
          </w:tcPr>
          <w:p w14:paraId="7A15AA7D" w14:textId="77777777" w:rsidR="0091378C" w:rsidRPr="007A2874" w:rsidRDefault="0091378C" w:rsidP="0091378C">
            <w:pPr>
              <w:spacing w:before="240"/>
              <w:rPr>
                <w:sz w:val="22"/>
                <w:szCs w:val="22"/>
              </w:rPr>
            </w:pPr>
            <w:r w:rsidRPr="007A2874">
              <w:rPr>
                <w:sz w:val="22"/>
                <w:szCs w:val="22"/>
              </w:rPr>
              <w:t xml:space="preserve">The NACR is not a mandatory collection and as such has an inherent issue with missing data. Data is currently provided by 70% of all cardiac rehabilitation programmes with varying degrees of data completeness. It is hypothesised that this data coverage issue will improve if the collection was mandated. There is some inconsistency in the level of reporting, it is difficult to determine whether a case is not present in the referral count due to the patient not being referred or the programme failing to submit data about the referral. This may manifest itself in the indicator as CCGs with low referral rates may </w:t>
            </w:r>
            <w:proofErr w:type="gramStart"/>
            <w:r w:rsidRPr="007A2874">
              <w:rPr>
                <w:sz w:val="22"/>
                <w:szCs w:val="22"/>
              </w:rPr>
              <w:t>actually be</w:t>
            </w:r>
            <w:proofErr w:type="gramEnd"/>
            <w:r w:rsidRPr="007A2874">
              <w:rPr>
                <w:sz w:val="22"/>
                <w:szCs w:val="22"/>
              </w:rPr>
              <w:t xml:space="preserve"> areas of poor coverage or data quality and will as such have consequences for the interpretation of the indicator. The NACR team, the BACPR, and the BHF regional teams are working to ensure that data entry is of the highest quality. The BACPR/NACR national accreditation scheme is helping to drive this initiative. </w:t>
            </w:r>
          </w:p>
          <w:p w14:paraId="2C3A87BB" w14:textId="77777777" w:rsidR="0091378C" w:rsidRPr="007A2874" w:rsidRDefault="0091378C" w:rsidP="0091378C">
            <w:pPr>
              <w:spacing w:before="240"/>
              <w:rPr>
                <w:sz w:val="22"/>
                <w:szCs w:val="22"/>
              </w:rPr>
            </w:pPr>
            <w:r w:rsidRPr="007A2874">
              <w:rPr>
                <w:sz w:val="22"/>
                <w:szCs w:val="22"/>
              </w:rPr>
              <w:t xml:space="preserve">The distribution of cardiac rehabilitation programmes is not even, some CCGs have multiple rehabilitation programmes, whilst others have few. As a result, when activity is disaggregated by CCG, the referral rate may be influenced by the proportion of cardiac rehabilitation programmes. This will be included in the indicator quality statement. </w:t>
            </w:r>
          </w:p>
          <w:p w14:paraId="5C75D065" w14:textId="77777777" w:rsidR="0091378C" w:rsidRPr="007A2874" w:rsidRDefault="0091378C" w:rsidP="0091378C">
            <w:pPr>
              <w:spacing w:before="240"/>
              <w:rPr>
                <w:sz w:val="22"/>
                <w:szCs w:val="22"/>
              </w:rPr>
            </w:pPr>
            <w:r w:rsidRPr="007A2874">
              <w:rPr>
                <w:sz w:val="22"/>
                <w:szCs w:val="22"/>
              </w:rPr>
              <w:lastRenderedPageBreak/>
              <w:t xml:space="preserve">For the period 1st April 2011 to 31st March 2012, there are 148,157 eligible FAEs in the HES data set. For the equivalent period in the NACR data, 1st April 2011 to 5th April 2012, there are 77,393 distinct </w:t>
            </w:r>
            <w:proofErr w:type="spellStart"/>
            <w:r w:rsidRPr="007A2874">
              <w:rPr>
                <w:sz w:val="22"/>
                <w:szCs w:val="22"/>
              </w:rPr>
              <w:t>StudyIDs</w:t>
            </w:r>
            <w:proofErr w:type="spellEnd"/>
            <w:r w:rsidRPr="007A2874">
              <w:rPr>
                <w:sz w:val="22"/>
                <w:szCs w:val="22"/>
              </w:rPr>
              <w:t xml:space="preserve">. Following linkage of the two data sets, 41,188 (53.2%) of NACR records are retained. This number is further reduced when the NACR records are limited to those that are relevant to the indicator, to 21,970 distinct </w:t>
            </w:r>
            <w:proofErr w:type="spellStart"/>
            <w:r w:rsidRPr="007A2874">
              <w:rPr>
                <w:sz w:val="22"/>
                <w:szCs w:val="22"/>
              </w:rPr>
              <w:t>StudyIDs</w:t>
            </w:r>
            <w:proofErr w:type="spellEnd"/>
            <w:r w:rsidRPr="007A2874">
              <w:rPr>
                <w:sz w:val="22"/>
                <w:szCs w:val="22"/>
              </w:rPr>
              <w:t xml:space="preserve">. This reduction also </w:t>
            </w:r>
            <w:proofErr w:type="gramStart"/>
            <w:r w:rsidRPr="007A2874">
              <w:rPr>
                <w:sz w:val="22"/>
                <w:szCs w:val="22"/>
              </w:rPr>
              <w:t>has an effect on</w:t>
            </w:r>
            <w:proofErr w:type="gramEnd"/>
            <w:r w:rsidRPr="007A2874">
              <w:rPr>
                <w:sz w:val="22"/>
                <w:szCs w:val="22"/>
              </w:rPr>
              <w:t xml:space="preserve"> the cardiac rehabilitation completion indicator. The NACR believe this data loss will be reduced with the new data system.</w:t>
            </w:r>
          </w:p>
          <w:p w14:paraId="2EC8AD20" w14:textId="77777777" w:rsidR="0091378C" w:rsidRPr="007A2874" w:rsidRDefault="0091378C" w:rsidP="0091378C">
            <w:pPr>
              <w:spacing w:before="240"/>
              <w:rPr>
                <w:sz w:val="22"/>
                <w:szCs w:val="22"/>
              </w:rPr>
            </w:pPr>
            <w:r w:rsidRPr="007A2874">
              <w:rPr>
                <w:sz w:val="22"/>
                <w:szCs w:val="22"/>
              </w:rPr>
              <w:t xml:space="preserve">NACR records are linked to the closest HES episode within the time period. There is not enough information contained on the NACR record to ensure that it is linked with the correct source HES episode, the linkage performed here allows for an approximation of activity. </w:t>
            </w:r>
          </w:p>
          <w:p w14:paraId="63A676D2" w14:textId="77777777" w:rsidR="0091378C" w:rsidRPr="007A2874" w:rsidRDefault="0091378C" w:rsidP="0091378C">
            <w:pPr>
              <w:spacing w:before="240"/>
              <w:rPr>
                <w:sz w:val="22"/>
                <w:szCs w:val="22"/>
              </w:rPr>
            </w:pPr>
            <w:r w:rsidRPr="007A2874">
              <w:rPr>
                <w:sz w:val="22"/>
                <w:szCs w:val="22"/>
              </w:rPr>
              <w:t>Heart failure and PCI are included as in-scope for this indicator, in 2011-12 however, patients with heart failure were deemed ineligible for 40 cardiac rehabilitation programmes, and patients who had a PCI were ineligible for 15 programmes. These exclusions may affect the referral rates for CCGs that have a larger proportion of these patients and programmes, the number of programmes that exclude these cases is reducing year on year.</w:t>
            </w:r>
          </w:p>
          <w:p w14:paraId="04293A19" w14:textId="77777777" w:rsidR="0091378C" w:rsidRPr="007A2874" w:rsidRDefault="0091378C" w:rsidP="0091378C">
            <w:pPr>
              <w:spacing w:before="240"/>
              <w:rPr>
                <w:sz w:val="22"/>
                <w:szCs w:val="22"/>
              </w:rPr>
            </w:pPr>
            <w:r w:rsidRPr="007A2874">
              <w:rPr>
                <w:sz w:val="22"/>
                <w:szCs w:val="22"/>
              </w:rPr>
              <w:t xml:space="preserve">The ambition of 65% uptake following a MI, PCI or CABG, and 33% uptake following heart failure set out in the CVD OS may cause issues for the interpretation of this indicator. Whilst these are not </w:t>
            </w:r>
            <w:proofErr w:type="gramStart"/>
            <w:r w:rsidRPr="007A2874">
              <w:rPr>
                <w:sz w:val="22"/>
                <w:szCs w:val="22"/>
              </w:rPr>
              <w:t>targets</w:t>
            </w:r>
            <w:proofErr w:type="gramEnd"/>
            <w:r w:rsidRPr="007A2874">
              <w:rPr>
                <w:sz w:val="22"/>
                <w:szCs w:val="22"/>
              </w:rPr>
              <w:t>, the ambitions reflect an improvement on current performance, which is currently much lower. CCGs with a larger proportion of heart failure patients who are fulfilling the 33% uptake ambition will have a lower rate overall than CCGs who have a lower proportion of heart failure patients who are fulfilling the 65% uptake ambition. Due to the complexities of linkage and data quality issues, CCGs may never reach these ambitions when measured by this indicator.</w:t>
            </w:r>
          </w:p>
          <w:p w14:paraId="3CA68276" w14:textId="77777777" w:rsidR="0091378C" w:rsidRPr="007A2874" w:rsidRDefault="0091378C" w:rsidP="0091378C">
            <w:pPr>
              <w:spacing w:before="240"/>
              <w:rPr>
                <w:sz w:val="22"/>
                <w:szCs w:val="22"/>
              </w:rPr>
            </w:pPr>
            <w:r w:rsidRPr="007A2874">
              <w:rPr>
                <w:sz w:val="22"/>
                <w:szCs w:val="22"/>
              </w:rPr>
              <w:t xml:space="preserve">The codes used to identify the diagnoses and procedures been taken from the </w:t>
            </w:r>
            <w:proofErr w:type="spellStart"/>
            <w:r w:rsidRPr="007A2874">
              <w:rPr>
                <w:sz w:val="22"/>
                <w:szCs w:val="22"/>
              </w:rPr>
              <w:t>PbR</w:t>
            </w:r>
            <w:proofErr w:type="spellEnd"/>
            <w:r w:rsidRPr="007A2874">
              <w:rPr>
                <w:sz w:val="22"/>
                <w:szCs w:val="22"/>
              </w:rPr>
              <w:t xml:space="preserve"> cardiac rehabilitation post discharge tariff. These codes are slightly different from the ones supplied by the NHS Classification Service. The decision to use the </w:t>
            </w:r>
            <w:proofErr w:type="spellStart"/>
            <w:r w:rsidRPr="007A2874">
              <w:rPr>
                <w:sz w:val="22"/>
                <w:szCs w:val="22"/>
              </w:rPr>
              <w:t>PbR</w:t>
            </w:r>
            <w:proofErr w:type="spellEnd"/>
            <w:r w:rsidRPr="007A2874">
              <w:rPr>
                <w:sz w:val="22"/>
                <w:szCs w:val="22"/>
              </w:rPr>
              <w:t xml:space="preserve"> codes has been made to ensure that CCGs are being measured on what they are paid to deliver.</w:t>
            </w:r>
          </w:p>
          <w:p w14:paraId="315EDA3B" w14:textId="5AE7B73E" w:rsidR="0091378C" w:rsidRPr="007A2874" w:rsidRDefault="0091378C" w:rsidP="0091378C">
            <w:pPr>
              <w:spacing w:before="240"/>
              <w:rPr>
                <w:sz w:val="22"/>
                <w:szCs w:val="22"/>
              </w:rPr>
            </w:pPr>
            <w:r w:rsidRPr="007A2874">
              <w:rPr>
                <w:sz w:val="22"/>
                <w:szCs w:val="22"/>
              </w:rPr>
              <w:t>Neither the HES APC nor the NACR data sets have information on the time that an admission or activity occurred, only the date, as a result some admissions may have a slightly longer timeframe in which this referral can take place.</w:t>
            </w:r>
          </w:p>
        </w:tc>
      </w:tr>
      <w:tr w:rsidR="0091378C" w:rsidRPr="007A2874" w14:paraId="4F2AA805" w14:textId="77777777" w:rsidTr="0091378C">
        <w:tc>
          <w:tcPr>
            <w:tcW w:w="3383" w:type="dxa"/>
          </w:tcPr>
          <w:p w14:paraId="3FD025E3" w14:textId="2AA0DD16" w:rsidR="0091378C" w:rsidRPr="007A2874" w:rsidRDefault="0091378C" w:rsidP="0091378C">
            <w:pPr>
              <w:spacing w:before="240"/>
              <w:ind w:left="34"/>
              <w:rPr>
                <w:b/>
                <w:sz w:val="22"/>
                <w:szCs w:val="22"/>
              </w:rPr>
            </w:pPr>
            <w:r w:rsidRPr="007A2874">
              <w:rPr>
                <w:b/>
                <w:sz w:val="22"/>
                <w:szCs w:val="22"/>
              </w:rPr>
              <w:lastRenderedPageBreak/>
              <w:t>Improvement actions</w:t>
            </w:r>
          </w:p>
        </w:tc>
        <w:tc>
          <w:tcPr>
            <w:tcW w:w="6854" w:type="dxa"/>
          </w:tcPr>
          <w:p w14:paraId="784E64A3" w14:textId="77777777" w:rsidR="0091378C" w:rsidRPr="007A2874" w:rsidRDefault="0091378C" w:rsidP="0091378C">
            <w:pPr>
              <w:spacing w:before="240"/>
              <w:rPr>
                <w:sz w:val="22"/>
                <w:szCs w:val="22"/>
              </w:rPr>
            </w:pPr>
            <w:r w:rsidRPr="007A2874">
              <w:rPr>
                <w:sz w:val="22"/>
                <w:szCs w:val="22"/>
              </w:rPr>
              <w:t xml:space="preserve">The indicator requires careful interpretation and should not be viewed in isolation, but instead be considered alongside information from other indicators and alternative sources, such as the corresponding cardiac rehabilitation completion indicator or the source NACR publication. CCGs can use this indicator in context to identify if any improvements are needed to their delivery of service, </w:t>
            </w:r>
            <w:r w:rsidRPr="007A2874">
              <w:rPr>
                <w:sz w:val="22"/>
                <w:szCs w:val="22"/>
              </w:rPr>
              <w:lastRenderedPageBreak/>
              <w:t>further information will be required in order to determine what, where, and how these services should improve.</w:t>
            </w:r>
          </w:p>
          <w:p w14:paraId="7277C4A3" w14:textId="77777777" w:rsidR="0091378C" w:rsidRPr="007A2874" w:rsidRDefault="0091378C" w:rsidP="0091378C">
            <w:pPr>
              <w:spacing w:before="240"/>
              <w:rPr>
                <w:sz w:val="22"/>
                <w:szCs w:val="22"/>
              </w:rPr>
            </w:pPr>
            <w:r w:rsidRPr="007A2874">
              <w:rPr>
                <w:sz w:val="22"/>
                <w:szCs w:val="22"/>
              </w:rPr>
              <w:t xml:space="preserve">If a CCG would like to increase the number of referrals to cardiac rehabilitation, it may consider commissioning additional services and reassessing its referral pathway.  </w:t>
            </w:r>
          </w:p>
          <w:p w14:paraId="2F4A444A" w14:textId="77BF9221" w:rsidR="0091378C" w:rsidRPr="007A2874" w:rsidRDefault="0091378C" w:rsidP="0091378C">
            <w:pPr>
              <w:spacing w:before="240"/>
              <w:rPr>
                <w:sz w:val="22"/>
                <w:szCs w:val="22"/>
              </w:rPr>
            </w:pPr>
            <w:r w:rsidRPr="007A2874">
              <w:rPr>
                <w:sz w:val="22"/>
                <w:szCs w:val="22"/>
              </w:rPr>
              <w:t>Improvements could be made by enhancing aspects of the services CCGs commission for patients. This could come in the form of raising awareness of cardiac rehabilitation and its benefits for people who have had a cardiac event</w:t>
            </w:r>
          </w:p>
        </w:tc>
      </w:tr>
      <w:tr w:rsidR="0091378C" w:rsidRPr="007A2874" w14:paraId="218E4757" w14:textId="77777777" w:rsidTr="0091378C">
        <w:tc>
          <w:tcPr>
            <w:tcW w:w="3383" w:type="dxa"/>
          </w:tcPr>
          <w:p w14:paraId="2E7E8F77" w14:textId="4BC84142" w:rsidR="0091378C" w:rsidRPr="007A2874" w:rsidRDefault="0091378C" w:rsidP="0091378C">
            <w:pPr>
              <w:spacing w:before="240"/>
              <w:ind w:left="34"/>
              <w:rPr>
                <w:b/>
                <w:sz w:val="22"/>
                <w:szCs w:val="22"/>
              </w:rPr>
            </w:pPr>
            <w:r w:rsidRPr="007A2874">
              <w:rPr>
                <w:b/>
                <w:sz w:val="22"/>
                <w:szCs w:val="22"/>
              </w:rPr>
              <w:lastRenderedPageBreak/>
              <w:t>Evidence of variability</w:t>
            </w:r>
          </w:p>
        </w:tc>
        <w:tc>
          <w:tcPr>
            <w:tcW w:w="6854" w:type="dxa"/>
          </w:tcPr>
          <w:p w14:paraId="5C7C6B39" w14:textId="77777777" w:rsidR="0091378C" w:rsidRPr="007A2874" w:rsidRDefault="0091378C" w:rsidP="0091378C">
            <w:pPr>
              <w:spacing w:before="240"/>
              <w:rPr>
                <w:sz w:val="22"/>
                <w:szCs w:val="22"/>
              </w:rPr>
            </w:pPr>
            <w:r w:rsidRPr="007A2874">
              <w:rPr>
                <w:sz w:val="22"/>
                <w:szCs w:val="22"/>
              </w:rPr>
              <w:t xml:space="preserve">At the national level in 2011-12, there were 148,157 FAEs with a primary diagnosis of MI or heart failure, or a main operative procedure of PCI or CABG. Of these, 22,393 were referred to cardiac rehabilitation within 5 days (15.3%). </w:t>
            </w:r>
          </w:p>
          <w:p w14:paraId="48528A3E" w14:textId="7A530136" w:rsidR="0091378C" w:rsidRPr="007A2874" w:rsidRDefault="0091378C" w:rsidP="0091378C">
            <w:pPr>
              <w:spacing w:before="240"/>
              <w:rPr>
                <w:sz w:val="22"/>
                <w:szCs w:val="22"/>
              </w:rPr>
            </w:pPr>
            <w:r w:rsidRPr="007A2874">
              <w:rPr>
                <w:sz w:val="22"/>
                <w:szCs w:val="22"/>
              </w:rPr>
              <w:t xml:space="preserve">Of the unsuppressed values, the number of FAEs ranges from 175 to 3,199, and the number of referrals ranges from 0 to 724. Zero CCGs have a supressed number of FAEs, 18 CCGs have a supressed number of referrals. The rate is suppressed for 18 CCGs. </w:t>
            </w:r>
          </w:p>
        </w:tc>
      </w:tr>
    </w:tbl>
    <w:p w14:paraId="6F4E9ED4" w14:textId="77777777" w:rsidR="0091378C" w:rsidRPr="007A2874" w:rsidRDefault="0091378C"/>
    <w:p w14:paraId="35213491" w14:textId="77777777" w:rsidR="00493A03" w:rsidRPr="007A2874" w:rsidRDefault="00493A03"/>
    <w:permEnd w:id="2014075562"/>
    <w:p w14:paraId="332C5A26" w14:textId="722259A2" w:rsidR="00D85A43" w:rsidRDefault="00D85A43">
      <w:pPr>
        <w:spacing w:after="0"/>
        <w:textboxTightWrap w:val="none"/>
      </w:pPr>
      <w:r>
        <w:br w:type="page"/>
      </w:r>
    </w:p>
    <w:p w14:paraId="2AD58640" w14:textId="77777777" w:rsidR="007A2874" w:rsidRPr="007A2874" w:rsidRDefault="007A2874"/>
    <w:tbl>
      <w:tblPr>
        <w:tblStyle w:val="TableGridLight"/>
        <w:tblW w:w="5800" w:type="dxa"/>
        <w:tblLook w:val="04A0" w:firstRow="1" w:lastRow="0" w:firstColumn="1" w:lastColumn="0" w:noHBand="0" w:noVBand="1"/>
      </w:tblPr>
      <w:tblGrid>
        <w:gridCol w:w="958"/>
        <w:gridCol w:w="957"/>
        <w:gridCol w:w="1014"/>
        <w:gridCol w:w="957"/>
        <w:gridCol w:w="957"/>
        <w:gridCol w:w="957"/>
      </w:tblGrid>
      <w:tr w:rsidR="007A2874" w:rsidRPr="007A2874" w14:paraId="0957958B" w14:textId="77777777" w:rsidTr="007A2874">
        <w:trPr>
          <w:trHeight w:val="300"/>
        </w:trPr>
        <w:tc>
          <w:tcPr>
            <w:tcW w:w="958" w:type="dxa"/>
            <w:noWrap/>
            <w:hideMark/>
          </w:tcPr>
          <w:p w14:paraId="640D868B" w14:textId="6FB6BD43" w:rsidR="007A2874" w:rsidRPr="007A2874" w:rsidRDefault="00772A5C" w:rsidP="007A2874">
            <w:pPr>
              <w:spacing w:before="120" w:after="120" w:line="276" w:lineRule="auto"/>
              <w:rPr>
                <w:rFonts w:ascii="Calibri" w:hAnsi="Calibri" w:cs="Calibri"/>
                <w:b/>
                <w:sz w:val="16"/>
                <w:szCs w:val="16"/>
              </w:rPr>
            </w:pPr>
            <w:r w:rsidRPr="007A2874">
              <w:br w:type="page"/>
            </w:r>
            <w:r w:rsidR="007A2874" w:rsidRPr="007A2874">
              <w:rPr>
                <w:rFonts w:ascii="Calibri" w:hAnsi="Calibri" w:cs="Calibri"/>
                <w:b/>
                <w:sz w:val="16"/>
                <w:szCs w:val="16"/>
              </w:rPr>
              <w:t>CCG</w:t>
            </w:r>
          </w:p>
        </w:tc>
        <w:tc>
          <w:tcPr>
            <w:tcW w:w="957" w:type="dxa"/>
            <w:noWrap/>
            <w:hideMark/>
          </w:tcPr>
          <w:p w14:paraId="75EF6300" w14:textId="77777777" w:rsidR="007A2874" w:rsidRPr="007A2874" w:rsidRDefault="007A2874" w:rsidP="007A2874">
            <w:pPr>
              <w:spacing w:before="120" w:after="120" w:line="276" w:lineRule="auto"/>
              <w:jc w:val="right"/>
              <w:rPr>
                <w:rFonts w:ascii="Calibri" w:hAnsi="Calibri" w:cs="Calibri"/>
                <w:b/>
                <w:sz w:val="16"/>
                <w:szCs w:val="16"/>
              </w:rPr>
            </w:pPr>
            <w:r w:rsidRPr="007A2874">
              <w:rPr>
                <w:rFonts w:ascii="Calibri" w:hAnsi="Calibri" w:cs="Calibri"/>
                <w:b/>
                <w:sz w:val="16"/>
                <w:szCs w:val="16"/>
              </w:rPr>
              <w:t>FAEs</w:t>
            </w:r>
          </w:p>
        </w:tc>
        <w:tc>
          <w:tcPr>
            <w:tcW w:w="1014" w:type="dxa"/>
            <w:noWrap/>
            <w:hideMark/>
          </w:tcPr>
          <w:p w14:paraId="7BB5F567" w14:textId="77777777" w:rsidR="007A2874" w:rsidRPr="007A2874" w:rsidRDefault="007A2874" w:rsidP="007A2874">
            <w:pPr>
              <w:spacing w:before="120" w:after="120" w:line="276" w:lineRule="auto"/>
              <w:jc w:val="right"/>
              <w:rPr>
                <w:rFonts w:ascii="Calibri" w:hAnsi="Calibri" w:cs="Calibri"/>
                <w:b/>
                <w:sz w:val="16"/>
                <w:szCs w:val="16"/>
              </w:rPr>
            </w:pPr>
            <w:r w:rsidRPr="007A2874">
              <w:rPr>
                <w:rFonts w:ascii="Calibri" w:hAnsi="Calibri" w:cs="Calibri"/>
                <w:b/>
                <w:sz w:val="16"/>
                <w:szCs w:val="16"/>
              </w:rPr>
              <w:t>Referrals</w:t>
            </w:r>
          </w:p>
        </w:tc>
        <w:tc>
          <w:tcPr>
            <w:tcW w:w="957" w:type="dxa"/>
            <w:noWrap/>
            <w:hideMark/>
          </w:tcPr>
          <w:p w14:paraId="0E945ABF" w14:textId="77777777" w:rsidR="007A2874" w:rsidRPr="007A2874" w:rsidRDefault="007A2874" w:rsidP="007A2874">
            <w:pPr>
              <w:spacing w:before="120" w:after="120" w:line="276" w:lineRule="auto"/>
              <w:jc w:val="right"/>
              <w:rPr>
                <w:rFonts w:ascii="Calibri" w:hAnsi="Calibri" w:cs="Calibri"/>
                <w:b/>
                <w:sz w:val="16"/>
                <w:szCs w:val="16"/>
              </w:rPr>
            </w:pPr>
            <w:r w:rsidRPr="007A2874">
              <w:rPr>
                <w:rFonts w:ascii="Calibri" w:hAnsi="Calibri" w:cs="Calibri"/>
                <w:b/>
                <w:sz w:val="16"/>
                <w:szCs w:val="16"/>
              </w:rPr>
              <w:t>%</w:t>
            </w:r>
          </w:p>
        </w:tc>
        <w:tc>
          <w:tcPr>
            <w:tcW w:w="957" w:type="dxa"/>
            <w:noWrap/>
            <w:hideMark/>
          </w:tcPr>
          <w:p w14:paraId="6C69FB45" w14:textId="77777777" w:rsidR="007A2874" w:rsidRPr="007A2874" w:rsidRDefault="007A2874" w:rsidP="007A2874">
            <w:pPr>
              <w:spacing w:before="120" w:after="120" w:line="276" w:lineRule="auto"/>
              <w:jc w:val="right"/>
              <w:rPr>
                <w:rFonts w:ascii="Calibri" w:hAnsi="Calibri" w:cs="Calibri"/>
                <w:b/>
                <w:sz w:val="16"/>
                <w:szCs w:val="16"/>
              </w:rPr>
            </w:pPr>
            <w:r w:rsidRPr="007A2874">
              <w:rPr>
                <w:rFonts w:ascii="Calibri" w:hAnsi="Calibri" w:cs="Calibri"/>
                <w:b/>
                <w:sz w:val="16"/>
                <w:szCs w:val="16"/>
              </w:rPr>
              <w:t>Lower CI (%)</w:t>
            </w:r>
          </w:p>
        </w:tc>
        <w:tc>
          <w:tcPr>
            <w:tcW w:w="957" w:type="dxa"/>
            <w:noWrap/>
            <w:hideMark/>
          </w:tcPr>
          <w:p w14:paraId="38D97483" w14:textId="77777777" w:rsidR="007A2874" w:rsidRPr="007A2874" w:rsidRDefault="007A2874" w:rsidP="007A2874">
            <w:pPr>
              <w:spacing w:before="120" w:after="120" w:line="276" w:lineRule="auto"/>
              <w:jc w:val="right"/>
              <w:rPr>
                <w:rFonts w:ascii="Calibri" w:hAnsi="Calibri" w:cs="Calibri"/>
                <w:b/>
                <w:sz w:val="16"/>
                <w:szCs w:val="16"/>
              </w:rPr>
            </w:pPr>
            <w:r w:rsidRPr="007A2874">
              <w:rPr>
                <w:rFonts w:ascii="Calibri" w:hAnsi="Calibri" w:cs="Calibri"/>
                <w:b/>
                <w:sz w:val="16"/>
                <w:szCs w:val="16"/>
              </w:rPr>
              <w:t>Upper CI (%)</w:t>
            </w:r>
          </w:p>
        </w:tc>
      </w:tr>
      <w:tr w:rsidR="007A2874" w:rsidRPr="007A2874" w14:paraId="26C08810" w14:textId="77777777" w:rsidTr="007A2874">
        <w:trPr>
          <w:trHeight w:val="300"/>
        </w:trPr>
        <w:tc>
          <w:tcPr>
            <w:tcW w:w="958" w:type="dxa"/>
            <w:noWrap/>
            <w:hideMark/>
          </w:tcPr>
          <w:p w14:paraId="0010A1B5"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CCG1</w:t>
            </w:r>
          </w:p>
        </w:tc>
        <w:tc>
          <w:tcPr>
            <w:tcW w:w="957" w:type="dxa"/>
            <w:noWrap/>
            <w:hideMark/>
          </w:tcPr>
          <w:p w14:paraId="191856AD"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272</w:t>
            </w:r>
          </w:p>
        </w:tc>
        <w:tc>
          <w:tcPr>
            <w:tcW w:w="1014" w:type="dxa"/>
            <w:noWrap/>
            <w:hideMark/>
          </w:tcPr>
          <w:p w14:paraId="55C1EDFC"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w:t>
            </w:r>
          </w:p>
        </w:tc>
        <w:tc>
          <w:tcPr>
            <w:tcW w:w="957" w:type="dxa"/>
            <w:noWrap/>
            <w:hideMark/>
          </w:tcPr>
          <w:p w14:paraId="0BD3BA74"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0.0%</w:t>
            </w:r>
          </w:p>
        </w:tc>
        <w:tc>
          <w:tcPr>
            <w:tcW w:w="957" w:type="dxa"/>
            <w:noWrap/>
            <w:hideMark/>
          </w:tcPr>
          <w:p w14:paraId="54A4B69A"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0.0%</w:t>
            </w:r>
          </w:p>
        </w:tc>
        <w:tc>
          <w:tcPr>
            <w:tcW w:w="957" w:type="dxa"/>
            <w:noWrap/>
            <w:hideMark/>
          </w:tcPr>
          <w:p w14:paraId="4DFE1034"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1.4%</w:t>
            </w:r>
          </w:p>
        </w:tc>
      </w:tr>
      <w:tr w:rsidR="007A2874" w:rsidRPr="007A2874" w14:paraId="620BBBE8" w14:textId="77777777" w:rsidTr="007A2874">
        <w:trPr>
          <w:trHeight w:val="300"/>
        </w:trPr>
        <w:tc>
          <w:tcPr>
            <w:tcW w:w="958" w:type="dxa"/>
            <w:noWrap/>
            <w:hideMark/>
          </w:tcPr>
          <w:p w14:paraId="43309A3D"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w:t>
            </w:r>
          </w:p>
        </w:tc>
        <w:tc>
          <w:tcPr>
            <w:tcW w:w="957" w:type="dxa"/>
            <w:noWrap/>
            <w:hideMark/>
          </w:tcPr>
          <w:p w14:paraId="3A99FA7D"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287</w:t>
            </w:r>
          </w:p>
        </w:tc>
        <w:tc>
          <w:tcPr>
            <w:tcW w:w="1014" w:type="dxa"/>
            <w:noWrap/>
            <w:hideMark/>
          </w:tcPr>
          <w:p w14:paraId="402B6F9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w:t>
            </w:r>
          </w:p>
        </w:tc>
        <w:tc>
          <w:tcPr>
            <w:tcW w:w="957" w:type="dxa"/>
            <w:noWrap/>
            <w:hideMark/>
          </w:tcPr>
          <w:p w14:paraId="5D63E59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0.0%</w:t>
            </w:r>
          </w:p>
        </w:tc>
        <w:tc>
          <w:tcPr>
            <w:tcW w:w="957" w:type="dxa"/>
            <w:noWrap/>
            <w:hideMark/>
          </w:tcPr>
          <w:p w14:paraId="5C6AC7FC"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0.0%</w:t>
            </w:r>
          </w:p>
        </w:tc>
        <w:tc>
          <w:tcPr>
            <w:tcW w:w="957" w:type="dxa"/>
            <w:noWrap/>
            <w:hideMark/>
          </w:tcPr>
          <w:p w14:paraId="0787065C"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1.3%</w:t>
            </w:r>
          </w:p>
        </w:tc>
      </w:tr>
      <w:tr w:rsidR="007A2874" w:rsidRPr="007A2874" w14:paraId="331555C0" w14:textId="77777777" w:rsidTr="007A2874">
        <w:trPr>
          <w:trHeight w:val="300"/>
        </w:trPr>
        <w:tc>
          <w:tcPr>
            <w:tcW w:w="958" w:type="dxa"/>
            <w:noWrap/>
            <w:hideMark/>
          </w:tcPr>
          <w:p w14:paraId="77348DDE"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CCG3</w:t>
            </w:r>
          </w:p>
        </w:tc>
        <w:tc>
          <w:tcPr>
            <w:tcW w:w="957" w:type="dxa"/>
            <w:noWrap/>
            <w:hideMark/>
          </w:tcPr>
          <w:p w14:paraId="36336EA4"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326</w:t>
            </w:r>
          </w:p>
        </w:tc>
        <w:tc>
          <w:tcPr>
            <w:tcW w:w="1014" w:type="dxa"/>
            <w:noWrap/>
            <w:hideMark/>
          </w:tcPr>
          <w:p w14:paraId="6E28601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w:t>
            </w:r>
          </w:p>
        </w:tc>
        <w:tc>
          <w:tcPr>
            <w:tcW w:w="957" w:type="dxa"/>
            <w:noWrap/>
            <w:hideMark/>
          </w:tcPr>
          <w:p w14:paraId="1DFC573C"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0.0%</w:t>
            </w:r>
          </w:p>
        </w:tc>
        <w:tc>
          <w:tcPr>
            <w:tcW w:w="957" w:type="dxa"/>
            <w:noWrap/>
            <w:hideMark/>
          </w:tcPr>
          <w:p w14:paraId="74AB67D8"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0.0%</w:t>
            </w:r>
          </w:p>
        </w:tc>
        <w:tc>
          <w:tcPr>
            <w:tcW w:w="957" w:type="dxa"/>
            <w:noWrap/>
            <w:hideMark/>
          </w:tcPr>
          <w:p w14:paraId="6EBBBB82"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1.2%</w:t>
            </w:r>
          </w:p>
        </w:tc>
      </w:tr>
      <w:tr w:rsidR="007A2874" w:rsidRPr="007A2874" w14:paraId="0D047C03" w14:textId="77777777" w:rsidTr="007A2874">
        <w:trPr>
          <w:trHeight w:val="300"/>
        </w:trPr>
        <w:tc>
          <w:tcPr>
            <w:tcW w:w="958" w:type="dxa"/>
            <w:noWrap/>
            <w:hideMark/>
          </w:tcPr>
          <w:p w14:paraId="54877367"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CCG4</w:t>
            </w:r>
          </w:p>
        </w:tc>
        <w:tc>
          <w:tcPr>
            <w:tcW w:w="957" w:type="dxa"/>
            <w:noWrap/>
            <w:hideMark/>
          </w:tcPr>
          <w:p w14:paraId="6B630949"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570</w:t>
            </w:r>
          </w:p>
        </w:tc>
        <w:tc>
          <w:tcPr>
            <w:tcW w:w="1014" w:type="dxa"/>
            <w:noWrap/>
            <w:hideMark/>
          </w:tcPr>
          <w:p w14:paraId="516831AD"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w:t>
            </w:r>
          </w:p>
        </w:tc>
        <w:tc>
          <w:tcPr>
            <w:tcW w:w="957" w:type="dxa"/>
            <w:noWrap/>
            <w:hideMark/>
          </w:tcPr>
          <w:p w14:paraId="254692F0"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0.0%</w:t>
            </w:r>
          </w:p>
        </w:tc>
        <w:tc>
          <w:tcPr>
            <w:tcW w:w="957" w:type="dxa"/>
            <w:noWrap/>
            <w:hideMark/>
          </w:tcPr>
          <w:p w14:paraId="1F7FD9E8"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0.0%</w:t>
            </w:r>
          </w:p>
        </w:tc>
        <w:tc>
          <w:tcPr>
            <w:tcW w:w="957" w:type="dxa"/>
            <w:noWrap/>
            <w:hideMark/>
          </w:tcPr>
          <w:p w14:paraId="06D74F29"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0.7%</w:t>
            </w:r>
          </w:p>
        </w:tc>
      </w:tr>
      <w:tr w:rsidR="007A2874" w:rsidRPr="007A2874" w14:paraId="78D1C911" w14:textId="77777777" w:rsidTr="007A2874">
        <w:trPr>
          <w:trHeight w:val="300"/>
        </w:trPr>
        <w:tc>
          <w:tcPr>
            <w:tcW w:w="958" w:type="dxa"/>
            <w:noWrap/>
            <w:hideMark/>
          </w:tcPr>
          <w:p w14:paraId="001647B3"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CCG5</w:t>
            </w:r>
          </w:p>
        </w:tc>
        <w:tc>
          <w:tcPr>
            <w:tcW w:w="957" w:type="dxa"/>
            <w:noWrap/>
            <w:hideMark/>
          </w:tcPr>
          <w:p w14:paraId="71C951E0"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714</w:t>
            </w:r>
          </w:p>
        </w:tc>
        <w:tc>
          <w:tcPr>
            <w:tcW w:w="1014" w:type="dxa"/>
            <w:noWrap/>
            <w:hideMark/>
          </w:tcPr>
          <w:p w14:paraId="5356F2E4"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w:t>
            </w:r>
          </w:p>
        </w:tc>
        <w:tc>
          <w:tcPr>
            <w:tcW w:w="957" w:type="dxa"/>
            <w:noWrap/>
            <w:hideMark/>
          </w:tcPr>
          <w:p w14:paraId="49B0E753"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0.0%</w:t>
            </w:r>
          </w:p>
        </w:tc>
        <w:tc>
          <w:tcPr>
            <w:tcW w:w="957" w:type="dxa"/>
            <w:noWrap/>
            <w:hideMark/>
          </w:tcPr>
          <w:p w14:paraId="22A73478"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0.0%</w:t>
            </w:r>
          </w:p>
        </w:tc>
        <w:tc>
          <w:tcPr>
            <w:tcW w:w="957" w:type="dxa"/>
            <w:noWrap/>
            <w:hideMark/>
          </w:tcPr>
          <w:p w14:paraId="0394A6DB"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0.5%</w:t>
            </w:r>
          </w:p>
        </w:tc>
      </w:tr>
      <w:tr w:rsidR="007A2874" w:rsidRPr="007A2874" w14:paraId="4207B05A" w14:textId="77777777" w:rsidTr="007A2874">
        <w:trPr>
          <w:trHeight w:val="300"/>
        </w:trPr>
        <w:tc>
          <w:tcPr>
            <w:tcW w:w="958" w:type="dxa"/>
            <w:noWrap/>
            <w:hideMark/>
          </w:tcPr>
          <w:p w14:paraId="231B8325"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CCG6</w:t>
            </w:r>
          </w:p>
        </w:tc>
        <w:tc>
          <w:tcPr>
            <w:tcW w:w="957" w:type="dxa"/>
            <w:noWrap/>
            <w:hideMark/>
          </w:tcPr>
          <w:p w14:paraId="7182E08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175</w:t>
            </w:r>
          </w:p>
        </w:tc>
        <w:tc>
          <w:tcPr>
            <w:tcW w:w="1014" w:type="dxa"/>
            <w:noWrap/>
            <w:hideMark/>
          </w:tcPr>
          <w:p w14:paraId="44ED97A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69E0BDDC"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6DE07DFB"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584DF6F3"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r>
      <w:tr w:rsidR="007A2874" w:rsidRPr="007A2874" w14:paraId="323A1342" w14:textId="77777777" w:rsidTr="007A2874">
        <w:trPr>
          <w:trHeight w:val="300"/>
        </w:trPr>
        <w:tc>
          <w:tcPr>
            <w:tcW w:w="958" w:type="dxa"/>
            <w:noWrap/>
            <w:hideMark/>
          </w:tcPr>
          <w:p w14:paraId="3C055200"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CCG7</w:t>
            </w:r>
          </w:p>
        </w:tc>
        <w:tc>
          <w:tcPr>
            <w:tcW w:w="957" w:type="dxa"/>
            <w:noWrap/>
            <w:hideMark/>
          </w:tcPr>
          <w:p w14:paraId="332793A8"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232</w:t>
            </w:r>
          </w:p>
        </w:tc>
        <w:tc>
          <w:tcPr>
            <w:tcW w:w="1014" w:type="dxa"/>
            <w:noWrap/>
            <w:hideMark/>
          </w:tcPr>
          <w:p w14:paraId="10585CB7"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28E9934D"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23C4BB0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4D46DA86"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r>
      <w:tr w:rsidR="007A2874" w:rsidRPr="007A2874" w14:paraId="6EF427B5" w14:textId="77777777" w:rsidTr="007A2874">
        <w:trPr>
          <w:trHeight w:val="300"/>
        </w:trPr>
        <w:tc>
          <w:tcPr>
            <w:tcW w:w="958" w:type="dxa"/>
            <w:noWrap/>
            <w:hideMark/>
          </w:tcPr>
          <w:p w14:paraId="790196E0"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CCG8</w:t>
            </w:r>
          </w:p>
        </w:tc>
        <w:tc>
          <w:tcPr>
            <w:tcW w:w="957" w:type="dxa"/>
            <w:noWrap/>
            <w:hideMark/>
          </w:tcPr>
          <w:p w14:paraId="4D060FA7"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251</w:t>
            </w:r>
          </w:p>
        </w:tc>
        <w:tc>
          <w:tcPr>
            <w:tcW w:w="1014" w:type="dxa"/>
            <w:noWrap/>
            <w:hideMark/>
          </w:tcPr>
          <w:p w14:paraId="7C93524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3AC975F8"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5DBF79D8"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15B229A4"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r>
      <w:tr w:rsidR="007A2874" w:rsidRPr="007A2874" w14:paraId="7F4958E7" w14:textId="77777777" w:rsidTr="007A2874">
        <w:trPr>
          <w:trHeight w:val="300"/>
        </w:trPr>
        <w:tc>
          <w:tcPr>
            <w:tcW w:w="958" w:type="dxa"/>
            <w:noWrap/>
            <w:hideMark/>
          </w:tcPr>
          <w:p w14:paraId="27A42E43"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CCG9</w:t>
            </w:r>
          </w:p>
        </w:tc>
        <w:tc>
          <w:tcPr>
            <w:tcW w:w="957" w:type="dxa"/>
            <w:noWrap/>
            <w:hideMark/>
          </w:tcPr>
          <w:p w14:paraId="608F7C35"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279</w:t>
            </w:r>
          </w:p>
        </w:tc>
        <w:tc>
          <w:tcPr>
            <w:tcW w:w="1014" w:type="dxa"/>
            <w:noWrap/>
            <w:hideMark/>
          </w:tcPr>
          <w:p w14:paraId="7B9CDC1C"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4BB51CBA"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7E1BDD77"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0E0C0C87"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r>
      <w:tr w:rsidR="007A2874" w:rsidRPr="007A2874" w14:paraId="55008C5D" w14:textId="77777777" w:rsidTr="007A2874">
        <w:trPr>
          <w:trHeight w:val="300"/>
        </w:trPr>
        <w:tc>
          <w:tcPr>
            <w:tcW w:w="958" w:type="dxa"/>
            <w:noWrap/>
            <w:hideMark/>
          </w:tcPr>
          <w:p w14:paraId="3BE48929"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CCG10</w:t>
            </w:r>
          </w:p>
        </w:tc>
        <w:tc>
          <w:tcPr>
            <w:tcW w:w="957" w:type="dxa"/>
            <w:noWrap/>
            <w:hideMark/>
          </w:tcPr>
          <w:p w14:paraId="496EAB75"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389</w:t>
            </w:r>
          </w:p>
        </w:tc>
        <w:tc>
          <w:tcPr>
            <w:tcW w:w="1014" w:type="dxa"/>
            <w:noWrap/>
            <w:hideMark/>
          </w:tcPr>
          <w:p w14:paraId="35B47EDF"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687402E8"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45A06C93"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c>
          <w:tcPr>
            <w:tcW w:w="957" w:type="dxa"/>
            <w:noWrap/>
            <w:hideMark/>
          </w:tcPr>
          <w:p w14:paraId="36722BA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w:t>
            </w:r>
          </w:p>
        </w:tc>
      </w:tr>
      <w:tr w:rsidR="007A2874" w:rsidRPr="007A2874" w14:paraId="1BD234A7" w14:textId="77777777" w:rsidTr="007A2874">
        <w:trPr>
          <w:trHeight w:val="300"/>
        </w:trPr>
        <w:tc>
          <w:tcPr>
            <w:tcW w:w="958" w:type="dxa"/>
            <w:noWrap/>
            <w:hideMark/>
          </w:tcPr>
          <w:p w14:paraId="1115B390" w14:textId="77777777" w:rsidR="007A2874" w:rsidRPr="007A2874" w:rsidRDefault="007A2874" w:rsidP="007A2874">
            <w:pPr>
              <w:spacing w:after="0"/>
              <w:textboxTightWrap w:val="none"/>
              <w:rPr>
                <w:rFonts w:ascii="Calibri" w:hAnsi="Calibri" w:cs="Calibri"/>
                <w:sz w:val="16"/>
                <w:szCs w:val="16"/>
                <w:lang w:eastAsia="en-GB"/>
              </w:rPr>
            </w:pPr>
          </w:p>
        </w:tc>
        <w:tc>
          <w:tcPr>
            <w:tcW w:w="957" w:type="dxa"/>
            <w:noWrap/>
            <w:hideMark/>
          </w:tcPr>
          <w:p w14:paraId="089664BF" w14:textId="77777777" w:rsidR="007A2874" w:rsidRPr="007A2874" w:rsidRDefault="007A2874" w:rsidP="007A2874">
            <w:pPr>
              <w:spacing w:after="0"/>
              <w:jc w:val="right"/>
              <w:textboxTightWrap w:val="none"/>
              <w:rPr>
                <w:rFonts w:ascii="Calibri" w:hAnsi="Calibri" w:cs="Calibri"/>
                <w:sz w:val="16"/>
                <w:szCs w:val="16"/>
                <w:lang w:eastAsia="en-GB"/>
              </w:rPr>
            </w:pPr>
          </w:p>
        </w:tc>
        <w:tc>
          <w:tcPr>
            <w:tcW w:w="1014" w:type="dxa"/>
            <w:noWrap/>
            <w:hideMark/>
          </w:tcPr>
          <w:p w14:paraId="0CA3A72A" w14:textId="77777777" w:rsidR="007A2874" w:rsidRPr="007A2874" w:rsidRDefault="007A2874" w:rsidP="007A2874">
            <w:pPr>
              <w:spacing w:after="0"/>
              <w:jc w:val="right"/>
              <w:textboxTightWrap w:val="none"/>
              <w:rPr>
                <w:rFonts w:ascii="Calibri" w:hAnsi="Calibri" w:cs="Calibri"/>
                <w:sz w:val="16"/>
                <w:szCs w:val="16"/>
                <w:lang w:eastAsia="en-GB"/>
              </w:rPr>
            </w:pPr>
          </w:p>
        </w:tc>
        <w:tc>
          <w:tcPr>
            <w:tcW w:w="957" w:type="dxa"/>
            <w:noWrap/>
            <w:hideMark/>
          </w:tcPr>
          <w:p w14:paraId="7D50BD70" w14:textId="77777777" w:rsidR="007A2874" w:rsidRPr="007A2874" w:rsidRDefault="007A2874" w:rsidP="007A2874">
            <w:pPr>
              <w:spacing w:after="0"/>
              <w:jc w:val="right"/>
              <w:textboxTightWrap w:val="none"/>
              <w:rPr>
                <w:rFonts w:ascii="Calibri" w:hAnsi="Calibri" w:cs="Calibri"/>
                <w:sz w:val="16"/>
                <w:szCs w:val="16"/>
                <w:lang w:eastAsia="en-GB"/>
              </w:rPr>
            </w:pPr>
          </w:p>
        </w:tc>
        <w:tc>
          <w:tcPr>
            <w:tcW w:w="957" w:type="dxa"/>
            <w:noWrap/>
            <w:hideMark/>
          </w:tcPr>
          <w:p w14:paraId="1D8060F5" w14:textId="77777777" w:rsidR="007A2874" w:rsidRPr="007A2874" w:rsidRDefault="007A2874" w:rsidP="007A2874">
            <w:pPr>
              <w:spacing w:after="0"/>
              <w:jc w:val="right"/>
              <w:textboxTightWrap w:val="none"/>
              <w:rPr>
                <w:rFonts w:ascii="Calibri" w:hAnsi="Calibri" w:cs="Calibri"/>
                <w:sz w:val="16"/>
                <w:szCs w:val="16"/>
                <w:lang w:eastAsia="en-GB"/>
              </w:rPr>
            </w:pPr>
          </w:p>
          <w:p w14:paraId="611466CD" w14:textId="77777777" w:rsidR="007A2874" w:rsidRPr="007A2874" w:rsidRDefault="007A2874" w:rsidP="007A2874">
            <w:pPr>
              <w:spacing w:after="0"/>
              <w:jc w:val="right"/>
              <w:textboxTightWrap w:val="none"/>
              <w:rPr>
                <w:rFonts w:ascii="Calibri" w:hAnsi="Calibri" w:cs="Calibri"/>
                <w:sz w:val="16"/>
                <w:szCs w:val="16"/>
                <w:lang w:eastAsia="en-GB"/>
              </w:rPr>
            </w:pPr>
          </w:p>
          <w:p w14:paraId="66B8B178" w14:textId="77777777" w:rsidR="007A2874" w:rsidRPr="007A2874" w:rsidRDefault="007A2874" w:rsidP="007A2874">
            <w:pPr>
              <w:spacing w:after="0"/>
              <w:jc w:val="center"/>
              <w:textboxTightWrap w:val="none"/>
              <w:rPr>
                <w:rFonts w:ascii="Calibri" w:hAnsi="Calibri" w:cs="Calibri"/>
                <w:sz w:val="16"/>
                <w:szCs w:val="16"/>
                <w:lang w:eastAsia="en-GB"/>
              </w:rPr>
            </w:pPr>
          </w:p>
        </w:tc>
        <w:tc>
          <w:tcPr>
            <w:tcW w:w="957" w:type="dxa"/>
            <w:noWrap/>
            <w:hideMark/>
          </w:tcPr>
          <w:p w14:paraId="567D311E" w14:textId="77777777" w:rsidR="007A2874" w:rsidRPr="007A2874" w:rsidRDefault="007A2874" w:rsidP="007A2874">
            <w:pPr>
              <w:spacing w:after="0"/>
              <w:jc w:val="right"/>
              <w:textboxTightWrap w:val="none"/>
              <w:rPr>
                <w:rFonts w:ascii="Calibri" w:hAnsi="Calibri" w:cs="Calibri"/>
                <w:sz w:val="16"/>
                <w:szCs w:val="16"/>
                <w:lang w:eastAsia="en-GB"/>
              </w:rPr>
            </w:pPr>
          </w:p>
        </w:tc>
      </w:tr>
      <w:tr w:rsidR="007A2874" w:rsidRPr="007A2874" w14:paraId="7882049B" w14:textId="77777777" w:rsidTr="007A2874">
        <w:trPr>
          <w:trHeight w:val="300"/>
        </w:trPr>
        <w:tc>
          <w:tcPr>
            <w:tcW w:w="958" w:type="dxa"/>
            <w:noWrap/>
            <w:hideMark/>
          </w:tcPr>
          <w:p w14:paraId="6A3A9B98" w14:textId="77777777" w:rsidR="007A2874" w:rsidRPr="007A2874" w:rsidRDefault="007A2874" w:rsidP="007A2874">
            <w:pPr>
              <w:spacing w:before="120" w:after="120" w:line="276" w:lineRule="auto"/>
              <w:rPr>
                <w:rFonts w:ascii="Calibri" w:hAnsi="Calibri" w:cs="Calibri"/>
                <w:b/>
                <w:sz w:val="16"/>
                <w:szCs w:val="16"/>
              </w:rPr>
            </w:pPr>
            <w:r w:rsidRPr="007A2874">
              <w:rPr>
                <w:rFonts w:ascii="Calibri" w:hAnsi="Calibri" w:cs="Calibri"/>
                <w:b/>
                <w:sz w:val="16"/>
                <w:szCs w:val="16"/>
              </w:rPr>
              <w:t>CCG</w:t>
            </w:r>
          </w:p>
        </w:tc>
        <w:tc>
          <w:tcPr>
            <w:tcW w:w="957" w:type="dxa"/>
            <w:noWrap/>
            <w:hideMark/>
          </w:tcPr>
          <w:p w14:paraId="65700782" w14:textId="77777777" w:rsidR="007A2874" w:rsidRPr="007A2874" w:rsidRDefault="007A2874" w:rsidP="007A2874">
            <w:pPr>
              <w:spacing w:before="120" w:after="120" w:line="276" w:lineRule="auto"/>
              <w:rPr>
                <w:rFonts w:ascii="Calibri" w:hAnsi="Calibri" w:cs="Calibri"/>
                <w:b/>
                <w:sz w:val="16"/>
                <w:szCs w:val="16"/>
              </w:rPr>
            </w:pPr>
            <w:r w:rsidRPr="007A2874">
              <w:rPr>
                <w:rFonts w:ascii="Calibri" w:hAnsi="Calibri" w:cs="Calibri"/>
                <w:b/>
                <w:sz w:val="16"/>
                <w:szCs w:val="16"/>
              </w:rPr>
              <w:t>FAEs</w:t>
            </w:r>
          </w:p>
        </w:tc>
        <w:tc>
          <w:tcPr>
            <w:tcW w:w="1014" w:type="dxa"/>
            <w:noWrap/>
            <w:hideMark/>
          </w:tcPr>
          <w:p w14:paraId="15DCF8A5" w14:textId="77777777" w:rsidR="007A2874" w:rsidRPr="007A2874" w:rsidRDefault="007A2874" w:rsidP="007A2874">
            <w:pPr>
              <w:spacing w:before="120" w:after="120" w:line="276" w:lineRule="auto"/>
              <w:rPr>
                <w:rFonts w:ascii="Calibri" w:hAnsi="Calibri" w:cs="Calibri"/>
                <w:b/>
                <w:sz w:val="16"/>
                <w:szCs w:val="16"/>
              </w:rPr>
            </w:pPr>
            <w:r w:rsidRPr="007A2874">
              <w:rPr>
                <w:rFonts w:ascii="Calibri" w:hAnsi="Calibri" w:cs="Calibri"/>
                <w:b/>
                <w:sz w:val="16"/>
                <w:szCs w:val="16"/>
              </w:rPr>
              <w:t>Referrals</w:t>
            </w:r>
          </w:p>
        </w:tc>
        <w:tc>
          <w:tcPr>
            <w:tcW w:w="957" w:type="dxa"/>
            <w:noWrap/>
            <w:hideMark/>
          </w:tcPr>
          <w:p w14:paraId="593B936D" w14:textId="77777777" w:rsidR="007A2874" w:rsidRPr="007A2874" w:rsidRDefault="007A2874" w:rsidP="007A2874">
            <w:pPr>
              <w:spacing w:before="120" w:after="120" w:line="276" w:lineRule="auto"/>
              <w:rPr>
                <w:rFonts w:ascii="Calibri" w:hAnsi="Calibri" w:cs="Calibri"/>
                <w:b/>
                <w:sz w:val="16"/>
                <w:szCs w:val="16"/>
              </w:rPr>
            </w:pPr>
            <w:r w:rsidRPr="007A2874">
              <w:rPr>
                <w:rFonts w:ascii="Calibri" w:hAnsi="Calibri" w:cs="Calibri"/>
                <w:b/>
                <w:sz w:val="16"/>
                <w:szCs w:val="16"/>
              </w:rPr>
              <w:t>%</w:t>
            </w:r>
          </w:p>
        </w:tc>
        <w:tc>
          <w:tcPr>
            <w:tcW w:w="957" w:type="dxa"/>
            <w:noWrap/>
            <w:hideMark/>
          </w:tcPr>
          <w:p w14:paraId="5D93B35C" w14:textId="77777777" w:rsidR="007A2874" w:rsidRPr="007A2874" w:rsidRDefault="007A2874" w:rsidP="007A2874">
            <w:pPr>
              <w:spacing w:before="120" w:after="120" w:line="276" w:lineRule="auto"/>
              <w:rPr>
                <w:rFonts w:ascii="Calibri" w:hAnsi="Calibri" w:cs="Calibri"/>
                <w:b/>
                <w:sz w:val="16"/>
                <w:szCs w:val="16"/>
              </w:rPr>
            </w:pPr>
            <w:r w:rsidRPr="007A2874">
              <w:rPr>
                <w:rFonts w:ascii="Calibri" w:hAnsi="Calibri" w:cs="Calibri"/>
                <w:b/>
                <w:sz w:val="16"/>
                <w:szCs w:val="16"/>
              </w:rPr>
              <w:t>Lower CI (%)</w:t>
            </w:r>
          </w:p>
        </w:tc>
        <w:tc>
          <w:tcPr>
            <w:tcW w:w="957" w:type="dxa"/>
            <w:noWrap/>
            <w:hideMark/>
          </w:tcPr>
          <w:p w14:paraId="0654A672" w14:textId="77777777" w:rsidR="007A2874" w:rsidRPr="007A2874" w:rsidRDefault="007A2874" w:rsidP="007A2874">
            <w:pPr>
              <w:spacing w:before="120" w:after="120" w:line="276" w:lineRule="auto"/>
              <w:rPr>
                <w:rFonts w:ascii="Calibri" w:hAnsi="Calibri" w:cs="Calibri"/>
                <w:b/>
                <w:sz w:val="16"/>
                <w:szCs w:val="16"/>
              </w:rPr>
            </w:pPr>
            <w:r w:rsidRPr="007A2874">
              <w:rPr>
                <w:rFonts w:ascii="Calibri" w:hAnsi="Calibri" w:cs="Calibri"/>
                <w:b/>
                <w:sz w:val="16"/>
                <w:szCs w:val="16"/>
              </w:rPr>
              <w:t>Upper CI (%)</w:t>
            </w:r>
          </w:p>
        </w:tc>
      </w:tr>
      <w:tr w:rsidR="007A2874" w:rsidRPr="007A2874" w14:paraId="6420BF2A" w14:textId="77777777" w:rsidTr="007A2874">
        <w:trPr>
          <w:trHeight w:val="300"/>
        </w:trPr>
        <w:tc>
          <w:tcPr>
            <w:tcW w:w="958" w:type="dxa"/>
            <w:noWrap/>
            <w:hideMark/>
          </w:tcPr>
          <w:p w14:paraId="2EF79A0F"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CCG202</w:t>
            </w:r>
          </w:p>
        </w:tc>
        <w:tc>
          <w:tcPr>
            <w:tcW w:w="957" w:type="dxa"/>
            <w:noWrap/>
            <w:hideMark/>
          </w:tcPr>
          <w:p w14:paraId="6BDDECB7"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2010</w:t>
            </w:r>
          </w:p>
        </w:tc>
        <w:tc>
          <w:tcPr>
            <w:tcW w:w="1014" w:type="dxa"/>
            <w:noWrap/>
            <w:hideMark/>
          </w:tcPr>
          <w:p w14:paraId="3BCF1C52"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729</w:t>
            </w:r>
          </w:p>
        </w:tc>
        <w:tc>
          <w:tcPr>
            <w:tcW w:w="957" w:type="dxa"/>
            <w:noWrap/>
            <w:hideMark/>
          </w:tcPr>
          <w:p w14:paraId="137E48BD"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36.3%</w:t>
            </w:r>
          </w:p>
        </w:tc>
        <w:tc>
          <w:tcPr>
            <w:tcW w:w="957" w:type="dxa"/>
            <w:noWrap/>
            <w:hideMark/>
          </w:tcPr>
          <w:p w14:paraId="6EB9310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34.2%</w:t>
            </w:r>
          </w:p>
        </w:tc>
        <w:tc>
          <w:tcPr>
            <w:tcW w:w="957" w:type="dxa"/>
            <w:noWrap/>
            <w:hideMark/>
          </w:tcPr>
          <w:p w14:paraId="519BE158"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38.4%</w:t>
            </w:r>
          </w:p>
        </w:tc>
      </w:tr>
      <w:tr w:rsidR="007A2874" w:rsidRPr="007A2874" w14:paraId="543B774E" w14:textId="77777777" w:rsidTr="007A2874">
        <w:trPr>
          <w:trHeight w:val="300"/>
        </w:trPr>
        <w:tc>
          <w:tcPr>
            <w:tcW w:w="958" w:type="dxa"/>
            <w:noWrap/>
            <w:hideMark/>
          </w:tcPr>
          <w:p w14:paraId="57529210"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CCG203</w:t>
            </w:r>
          </w:p>
        </w:tc>
        <w:tc>
          <w:tcPr>
            <w:tcW w:w="957" w:type="dxa"/>
            <w:noWrap/>
            <w:hideMark/>
          </w:tcPr>
          <w:p w14:paraId="15BA478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564</w:t>
            </w:r>
          </w:p>
        </w:tc>
        <w:tc>
          <w:tcPr>
            <w:tcW w:w="1014" w:type="dxa"/>
            <w:noWrap/>
            <w:hideMark/>
          </w:tcPr>
          <w:p w14:paraId="2657E0F6"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213</w:t>
            </w:r>
          </w:p>
        </w:tc>
        <w:tc>
          <w:tcPr>
            <w:tcW w:w="957" w:type="dxa"/>
            <w:noWrap/>
            <w:hideMark/>
          </w:tcPr>
          <w:p w14:paraId="145E170F"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37.8%</w:t>
            </w:r>
          </w:p>
        </w:tc>
        <w:tc>
          <w:tcPr>
            <w:tcW w:w="957" w:type="dxa"/>
            <w:noWrap/>
            <w:hideMark/>
          </w:tcPr>
          <w:p w14:paraId="78A75E2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33.9%</w:t>
            </w:r>
          </w:p>
        </w:tc>
        <w:tc>
          <w:tcPr>
            <w:tcW w:w="957" w:type="dxa"/>
            <w:noWrap/>
            <w:hideMark/>
          </w:tcPr>
          <w:p w14:paraId="47D512B5"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41.8%</w:t>
            </w:r>
          </w:p>
        </w:tc>
      </w:tr>
      <w:tr w:rsidR="007A2874" w:rsidRPr="007A2874" w14:paraId="1CA98361" w14:textId="77777777" w:rsidTr="007A2874">
        <w:trPr>
          <w:trHeight w:val="300"/>
        </w:trPr>
        <w:tc>
          <w:tcPr>
            <w:tcW w:w="958" w:type="dxa"/>
            <w:noWrap/>
            <w:hideMark/>
          </w:tcPr>
          <w:p w14:paraId="085CC51B"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CCG204</w:t>
            </w:r>
          </w:p>
        </w:tc>
        <w:tc>
          <w:tcPr>
            <w:tcW w:w="957" w:type="dxa"/>
            <w:noWrap/>
            <w:hideMark/>
          </w:tcPr>
          <w:p w14:paraId="6A024126"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431</w:t>
            </w:r>
          </w:p>
        </w:tc>
        <w:tc>
          <w:tcPr>
            <w:tcW w:w="1014" w:type="dxa"/>
            <w:noWrap/>
            <w:hideMark/>
          </w:tcPr>
          <w:p w14:paraId="738A2C50"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164</w:t>
            </w:r>
          </w:p>
        </w:tc>
        <w:tc>
          <w:tcPr>
            <w:tcW w:w="957" w:type="dxa"/>
            <w:noWrap/>
            <w:hideMark/>
          </w:tcPr>
          <w:p w14:paraId="16D2ED47"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38.1%</w:t>
            </w:r>
          </w:p>
        </w:tc>
        <w:tc>
          <w:tcPr>
            <w:tcW w:w="957" w:type="dxa"/>
            <w:noWrap/>
            <w:hideMark/>
          </w:tcPr>
          <w:p w14:paraId="34E58C25"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33.6%</w:t>
            </w:r>
          </w:p>
        </w:tc>
        <w:tc>
          <w:tcPr>
            <w:tcW w:w="957" w:type="dxa"/>
            <w:noWrap/>
            <w:hideMark/>
          </w:tcPr>
          <w:p w14:paraId="653E28A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42.7%</w:t>
            </w:r>
          </w:p>
        </w:tc>
      </w:tr>
      <w:tr w:rsidR="007A2874" w:rsidRPr="007A2874" w14:paraId="3BEB3F38" w14:textId="77777777" w:rsidTr="007A2874">
        <w:trPr>
          <w:trHeight w:val="300"/>
        </w:trPr>
        <w:tc>
          <w:tcPr>
            <w:tcW w:w="958" w:type="dxa"/>
            <w:noWrap/>
            <w:hideMark/>
          </w:tcPr>
          <w:p w14:paraId="2E21E061"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CCG205</w:t>
            </w:r>
          </w:p>
        </w:tc>
        <w:tc>
          <w:tcPr>
            <w:tcW w:w="957" w:type="dxa"/>
            <w:noWrap/>
            <w:hideMark/>
          </w:tcPr>
          <w:p w14:paraId="64A9AF4B"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638</w:t>
            </w:r>
          </w:p>
        </w:tc>
        <w:tc>
          <w:tcPr>
            <w:tcW w:w="1014" w:type="dxa"/>
            <w:noWrap/>
            <w:hideMark/>
          </w:tcPr>
          <w:p w14:paraId="5CB6CA14"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243</w:t>
            </w:r>
          </w:p>
        </w:tc>
        <w:tc>
          <w:tcPr>
            <w:tcW w:w="957" w:type="dxa"/>
            <w:noWrap/>
            <w:hideMark/>
          </w:tcPr>
          <w:p w14:paraId="6B73487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38.1%</w:t>
            </w:r>
          </w:p>
        </w:tc>
        <w:tc>
          <w:tcPr>
            <w:tcW w:w="957" w:type="dxa"/>
            <w:noWrap/>
            <w:hideMark/>
          </w:tcPr>
          <w:p w14:paraId="40AEF576"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34.4%</w:t>
            </w:r>
          </w:p>
        </w:tc>
        <w:tc>
          <w:tcPr>
            <w:tcW w:w="957" w:type="dxa"/>
            <w:noWrap/>
            <w:hideMark/>
          </w:tcPr>
          <w:p w14:paraId="130B849D"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41.9%</w:t>
            </w:r>
          </w:p>
        </w:tc>
      </w:tr>
      <w:tr w:rsidR="007A2874" w:rsidRPr="007A2874" w14:paraId="76BD0D00" w14:textId="77777777" w:rsidTr="007A2874">
        <w:trPr>
          <w:trHeight w:val="300"/>
        </w:trPr>
        <w:tc>
          <w:tcPr>
            <w:tcW w:w="958" w:type="dxa"/>
            <w:noWrap/>
            <w:hideMark/>
          </w:tcPr>
          <w:p w14:paraId="4AE52C6C"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CCG206</w:t>
            </w:r>
          </w:p>
        </w:tc>
        <w:tc>
          <w:tcPr>
            <w:tcW w:w="957" w:type="dxa"/>
            <w:noWrap/>
            <w:hideMark/>
          </w:tcPr>
          <w:p w14:paraId="54E60659"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628</w:t>
            </w:r>
          </w:p>
        </w:tc>
        <w:tc>
          <w:tcPr>
            <w:tcW w:w="1014" w:type="dxa"/>
            <w:noWrap/>
            <w:hideMark/>
          </w:tcPr>
          <w:p w14:paraId="178E596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243</w:t>
            </w:r>
          </w:p>
        </w:tc>
        <w:tc>
          <w:tcPr>
            <w:tcW w:w="957" w:type="dxa"/>
            <w:noWrap/>
            <w:hideMark/>
          </w:tcPr>
          <w:p w14:paraId="4B0797EF"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38.7%</w:t>
            </w:r>
          </w:p>
        </w:tc>
        <w:tc>
          <w:tcPr>
            <w:tcW w:w="957" w:type="dxa"/>
            <w:noWrap/>
            <w:hideMark/>
          </w:tcPr>
          <w:p w14:paraId="7D5C806A"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35.0%</w:t>
            </w:r>
          </w:p>
        </w:tc>
        <w:tc>
          <w:tcPr>
            <w:tcW w:w="957" w:type="dxa"/>
            <w:noWrap/>
            <w:hideMark/>
          </w:tcPr>
          <w:p w14:paraId="60B7657B"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42.6%</w:t>
            </w:r>
          </w:p>
        </w:tc>
      </w:tr>
      <w:tr w:rsidR="007A2874" w:rsidRPr="007A2874" w14:paraId="6E292537" w14:textId="77777777" w:rsidTr="007A2874">
        <w:trPr>
          <w:trHeight w:val="300"/>
        </w:trPr>
        <w:tc>
          <w:tcPr>
            <w:tcW w:w="958" w:type="dxa"/>
            <w:noWrap/>
            <w:hideMark/>
          </w:tcPr>
          <w:p w14:paraId="4DA8B9BA"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CCG207</w:t>
            </w:r>
          </w:p>
        </w:tc>
        <w:tc>
          <w:tcPr>
            <w:tcW w:w="957" w:type="dxa"/>
            <w:noWrap/>
            <w:hideMark/>
          </w:tcPr>
          <w:p w14:paraId="5CE9F0C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272</w:t>
            </w:r>
          </w:p>
        </w:tc>
        <w:tc>
          <w:tcPr>
            <w:tcW w:w="1014" w:type="dxa"/>
            <w:noWrap/>
            <w:hideMark/>
          </w:tcPr>
          <w:p w14:paraId="15C7FFA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111</w:t>
            </w:r>
          </w:p>
        </w:tc>
        <w:tc>
          <w:tcPr>
            <w:tcW w:w="957" w:type="dxa"/>
            <w:noWrap/>
            <w:hideMark/>
          </w:tcPr>
          <w:p w14:paraId="34A87ED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40.8%</w:t>
            </w:r>
          </w:p>
        </w:tc>
        <w:tc>
          <w:tcPr>
            <w:tcW w:w="957" w:type="dxa"/>
            <w:noWrap/>
            <w:hideMark/>
          </w:tcPr>
          <w:p w14:paraId="3F15F224"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35.1%</w:t>
            </w:r>
          </w:p>
        </w:tc>
        <w:tc>
          <w:tcPr>
            <w:tcW w:w="957" w:type="dxa"/>
            <w:noWrap/>
            <w:hideMark/>
          </w:tcPr>
          <w:p w14:paraId="47F71D3A"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46.7%</w:t>
            </w:r>
          </w:p>
        </w:tc>
      </w:tr>
      <w:tr w:rsidR="007A2874" w:rsidRPr="007A2874" w14:paraId="597F02A9" w14:textId="77777777" w:rsidTr="007A2874">
        <w:trPr>
          <w:trHeight w:val="300"/>
        </w:trPr>
        <w:tc>
          <w:tcPr>
            <w:tcW w:w="958" w:type="dxa"/>
            <w:noWrap/>
            <w:hideMark/>
          </w:tcPr>
          <w:p w14:paraId="3B85A571"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CCG208</w:t>
            </w:r>
          </w:p>
        </w:tc>
        <w:tc>
          <w:tcPr>
            <w:tcW w:w="957" w:type="dxa"/>
            <w:noWrap/>
            <w:hideMark/>
          </w:tcPr>
          <w:p w14:paraId="1128C0A3"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523</w:t>
            </w:r>
          </w:p>
        </w:tc>
        <w:tc>
          <w:tcPr>
            <w:tcW w:w="1014" w:type="dxa"/>
            <w:noWrap/>
            <w:hideMark/>
          </w:tcPr>
          <w:p w14:paraId="6372E5DC"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214</w:t>
            </w:r>
          </w:p>
        </w:tc>
        <w:tc>
          <w:tcPr>
            <w:tcW w:w="957" w:type="dxa"/>
            <w:noWrap/>
            <w:hideMark/>
          </w:tcPr>
          <w:p w14:paraId="49E90F0D"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40.9%</w:t>
            </w:r>
          </w:p>
        </w:tc>
        <w:tc>
          <w:tcPr>
            <w:tcW w:w="957" w:type="dxa"/>
            <w:noWrap/>
            <w:hideMark/>
          </w:tcPr>
          <w:p w14:paraId="0CF32F4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36.8%</w:t>
            </w:r>
          </w:p>
        </w:tc>
        <w:tc>
          <w:tcPr>
            <w:tcW w:w="957" w:type="dxa"/>
            <w:noWrap/>
            <w:hideMark/>
          </w:tcPr>
          <w:p w14:paraId="686A850C"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45.2%</w:t>
            </w:r>
          </w:p>
        </w:tc>
      </w:tr>
      <w:tr w:rsidR="007A2874" w:rsidRPr="007A2874" w14:paraId="0DC33991" w14:textId="77777777" w:rsidTr="007A2874">
        <w:trPr>
          <w:trHeight w:val="300"/>
        </w:trPr>
        <w:tc>
          <w:tcPr>
            <w:tcW w:w="958" w:type="dxa"/>
            <w:noWrap/>
            <w:hideMark/>
          </w:tcPr>
          <w:p w14:paraId="7895FD69"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CCG209</w:t>
            </w:r>
          </w:p>
        </w:tc>
        <w:tc>
          <w:tcPr>
            <w:tcW w:w="957" w:type="dxa"/>
            <w:noWrap/>
            <w:hideMark/>
          </w:tcPr>
          <w:p w14:paraId="2D27943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731</w:t>
            </w:r>
          </w:p>
        </w:tc>
        <w:tc>
          <w:tcPr>
            <w:tcW w:w="1014" w:type="dxa"/>
            <w:noWrap/>
            <w:hideMark/>
          </w:tcPr>
          <w:p w14:paraId="626CD6C4"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310</w:t>
            </w:r>
          </w:p>
        </w:tc>
        <w:tc>
          <w:tcPr>
            <w:tcW w:w="957" w:type="dxa"/>
            <w:noWrap/>
            <w:hideMark/>
          </w:tcPr>
          <w:p w14:paraId="04781B89"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42.4%</w:t>
            </w:r>
          </w:p>
        </w:tc>
        <w:tc>
          <w:tcPr>
            <w:tcW w:w="957" w:type="dxa"/>
            <w:noWrap/>
            <w:hideMark/>
          </w:tcPr>
          <w:p w14:paraId="0EC513B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38.9%</w:t>
            </w:r>
          </w:p>
        </w:tc>
        <w:tc>
          <w:tcPr>
            <w:tcW w:w="957" w:type="dxa"/>
            <w:noWrap/>
            <w:hideMark/>
          </w:tcPr>
          <w:p w14:paraId="39911444"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46.0%</w:t>
            </w:r>
          </w:p>
        </w:tc>
      </w:tr>
      <w:tr w:rsidR="007A2874" w:rsidRPr="007A2874" w14:paraId="2F8D6157" w14:textId="77777777" w:rsidTr="007A2874">
        <w:trPr>
          <w:trHeight w:val="300"/>
        </w:trPr>
        <w:tc>
          <w:tcPr>
            <w:tcW w:w="958" w:type="dxa"/>
            <w:noWrap/>
            <w:hideMark/>
          </w:tcPr>
          <w:p w14:paraId="15842062"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CCG210</w:t>
            </w:r>
          </w:p>
        </w:tc>
        <w:tc>
          <w:tcPr>
            <w:tcW w:w="957" w:type="dxa"/>
            <w:noWrap/>
            <w:hideMark/>
          </w:tcPr>
          <w:p w14:paraId="08DB05A1"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362</w:t>
            </w:r>
          </w:p>
        </w:tc>
        <w:tc>
          <w:tcPr>
            <w:tcW w:w="1014" w:type="dxa"/>
            <w:noWrap/>
            <w:hideMark/>
          </w:tcPr>
          <w:p w14:paraId="5573A38A"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161</w:t>
            </w:r>
          </w:p>
        </w:tc>
        <w:tc>
          <w:tcPr>
            <w:tcW w:w="957" w:type="dxa"/>
            <w:noWrap/>
            <w:hideMark/>
          </w:tcPr>
          <w:p w14:paraId="5055CBDC"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44.5%</w:t>
            </w:r>
          </w:p>
        </w:tc>
        <w:tc>
          <w:tcPr>
            <w:tcW w:w="957" w:type="dxa"/>
            <w:noWrap/>
            <w:hideMark/>
          </w:tcPr>
          <w:p w14:paraId="067A91E3"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39.4%</w:t>
            </w:r>
          </w:p>
        </w:tc>
        <w:tc>
          <w:tcPr>
            <w:tcW w:w="957" w:type="dxa"/>
            <w:noWrap/>
            <w:hideMark/>
          </w:tcPr>
          <w:p w14:paraId="273B7893"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49.6%</w:t>
            </w:r>
          </w:p>
        </w:tc>
      </w:tr>
      <w:tr w:rsidR="007A2874" w:rsidRPr="007A2874" w14:paraId="6D6CC705" w14:textId="77777777" w:rsidTr="007A2874">
        <w:trPr>
          <w:trHeight w:val="300"/>
        </w:trPr>
        <w:tc>
          <w:tcPr>
            <w:tcW w:w="958" w:type="dxa"/>
            <w:noWrap/>
            <w:hideMark/>
          </w:tcPr>
          <w:p w14:paraId="5DDC1A73" w14:textId="77777777" w:rsidR="007A2874" w:rsidRPr="007A2874" w:rsidRDefault="007A2874" w:rsidP="007A2874">
            <w:pPr>
              <w:spacing w:after="0"/>
              <w:textboxTightWrap w:val="none"/>
              <w:rPr>
                <w:rFonts w:ascii="Calibri" w:hAnsi="Calibri" w:cs="Calibri"/>
                <w:sz w:val="16"/>
                <w:szCs w:val="16"/>
                <w:lang w:eastAsia="en-GB"/>
              </w:rPr>
            </w:pPr>
            <w:r w:rsidRPr="007A2874">
              <w:rPr>
                <w:rFonts w:ascii="Calibri" w:hAnsi="Calibri" w:cs="Calibri"/>
                <w:sz w:val="16"/>
                <w:szCs w:val="16"/>
                <w:lang w:eastAsia="en-GB"/>
              </w:rPr>
              <w:t>CCG211</w:t>
            </w:r>
          </w:p>
        </w:tc>
        <w:tc>
          <w:tcPr>
            <w:tcW w:w="957" w:type="dxa"/>
            <w:noWrap/>
            <w:hideMark/>
          </w:tcPr>
          <w:p w14:paraId="5FEF916E"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311</w:t>
            </w:r>
          </w:p>
        </w:tc>
        <w:tc>
          <w:tcPr>
            <w:tcW w:w="1014" w:type="dxa"/>
            <w:noWrap/>
            <w:hideMark/>
          </w:tcPr>
          <w:p w14:paraId="04AB1922"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141</w:t>
            </w:r>
          </w:p>
        </w:tc>
        <w:tc>
          <w:tcPr>
            <w:tcW w:w="957" w:type="dxa"/>
            <w:noWrap/>
            <w:hideMark/>
          </w:tcPr>
          <w:p w14:paraId="32EFDD9B"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45.3%</w:t>
            </w:r>
          </w:p>
        </w:tc>
        <w:tc>
          <w:tcPr>
            <w:tcW w:w="957" w:type="dxa"/>
            <w:noWrap/>
            <w:hideMark/>
          </w:tcPr>
          <w:p w14:paraId="37155C40"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39.9%</w:t>
            </w:r>
          </w:p>
        </w:tc>
        <w:tc>
          <w:tcPr>
            <w:tcW w:w="957" w:type="dxa"/>
            <w:noWrap/>
            <w:hideMark/>
          </w:tcPr>
          <w:p w14:paraId="4980CE07" w14:textId="77777777" w:rsidR="007A2874" w:rsidRPr="007A2874" w:rsidRDefault="007A2874" w:rsidP="007A2874">
            <w:pPr>
              <w:spacing w:after="0"/>
              <w:jc w:val="right"/>
              <w:textboxTightWrap w:val="none"/>
              <w:rPr>
                <w:rFonts w:ascii="Calibri" w:hAnsi="Calibri" w:cs="Calibri"/>
                <w:sz w:val="16"/>
                <w:szCs w:val="16"/>
                <w:lang w:eastAsia="en-GB"/>
              </w:rPr>
            </w:pPr>
            <w:r w:rsidRPr="007A2874">
              <w:rPr>
                <w:rFonts w:ascii="Calibri" w:hAnsi="Calibri" w:cs="Calibri"/>
                <w:sz w:val="16"/>
                <w:szCs w:val="16"/>
                <w:lang w:eastAsia="en-GB"/>
              </w:rPr>
              <w:t>50.9%</w:t>
            </w:r>
          </w:p>
        </w:tc>
      </w:tr>
    </w:tbl>
    <w:p w14:paraId="6C367CF8" w14:textId="00C49007" w:rsidR="00772A5C" w:rsidRDefault="00772A5C"/>
    <w:p w14:paraId="36FDA831" w14:textId="5D6277D1" w:rsidR="00D85A43" w:rsidRDefault="00D85A43" w:rsidP="00D85A43">
      <w:pPr>
        <w:spacing w:before="240"/>
        <w:rPr>
          <w:sz w:val="22"/>
          <w:szCs w:val="22"/>
        </w:rPr>
      </w:pPr>
      <w:r w:rsidRPr="007A2874">
        <w:rPr>
          <w:sz w:val="22"/>
          <w:szCs w:val="22"/>
        </w:rPr>
        <w:t>The following graphs will not be presented as part of the indicator.</w:t>
      </w:r>
    </w:p>
    <w:p w14:paraId="5612BB41" w14:textId="77777777" w:rsidR="00D85A43" w:rsidRPr="007A2874" w:rsidRDefault="00D85A43" w:rsidP="00D85A43">
      <w:pPr>
        <w:spacing w:before="240"/>
        <w:rPr>
          <w:sz w:val="22"/>
          <w:szCs w:val="22"/>
        </w:rPr>
      </w:pPr>
      <w:r w:rsidRPr="007A2874">
        <w:rPr>
          <w:sz w:val="22"/>
          <w:szCs w:val="22"/>
        </w:rPr>
        <w:t xml:space="preserve">It would be expected that 95% of data points would be within 2 standard deviations of the England figure. Of the 193 unsuppressed CCGs, 168 (87.0%) are outside of the 2 standard deviations limit. </w:t>
      </w:r>
    </w:p>
    <w:p w14:paraId="27A685B4" w14:textId="77777777" w:rsidR="00D85A43" w:rsidRPr="007A2874" w:rsidRDefault="00D85A43" w:rsidP="00D85A43">
      <w:pPr>
        <w:spacing w:before="240"/>
        <w:rPr>
          <w:sz w:val="22"/>
          <w:szCs w:val="22"/>
        </w:rPr>
      </w:pPr>
      <w:r w:rsidRPr="007A2874">
        <w:rPr>
          <w:sz w:val="22"/>
          <w:szCs w:val="22"/>
        </w:rPr>
        <w:t xml:space="preserve">It is possible that the variation comes down to issues with data quality, unmatched records, and the uneven distribution of cardiac rehabilitation programmes. </w:t>
      </w:r>
    </w:p>
    <w:p w14:paraId="259B68DD" w14:textId="3A64231B" w:rsidR="00D85A43" w:rsidRPr="007A2874" w:rsidRDefault="00D85A43" w:rsidP="00D85A43">
      <w:pPr>
        <w:spacing w:before="240"/>
        <w:rPr>
          <w:sz w:val="22"/>
          <w:szCs w:val="22"/>
        </w:rPr>
      </w:pPr>
      <w:r w:rsidRPr="007A2874">
        <w:rPr>
          <w:sz w:val="22"/>
          <w:szCs w:val="22"/>
        </w:rPr>
        <w:t>Analysis into longer timeframes has been conducted. Of the 148,156 FAEs in the denominator, 25,927 were referred within 7 days, 32,164 were referred within 14 days, and 35,841 were referred within 30 days. The use of longer referral time periods does not capture significant amounts of extra activity, so the referral period will remain 5 days from admission.</w:t>
      </w:r>
    </w:p>
    <w:p w14:paraId="5A6D87C0" w14:textId="58446FDD" w:rsidR="00D85A43" w:rsidRPr="007A2874" w:rsidRDefault="00D85A43">
      <w:r w:rsidRPr="007A2874">
        <w:rPr>
          <w:noProof/>
          <w:lang w:eastAsia="en-GB"/>
        </w:rPr>
        <w:lastRenderedPageBreak/>
        <w:drawing>
          <wp:inline distT="0" distB="0" distL="0" distR="0" wp14:anchorId="54845A2F" wp14:editId="0319B425">
            <wp:extent cx="4322618" cy="2743200"/>
            <wp:effectExtent l="0" t="0" r="0" b="0"/>
            <wp:docPr id="4" name="Chart 4" descr="Graph showing percentage of MI / heart failure diagnoses, or a main operative procedure of PCI or CABG, who were referred to cardiac rehabilitation within 5 days (15.3%).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F37FD2" w14:textId="62E2C06D" w:rsidR="00493A03" w:rsidRDefault="007A2874">
      <w:r w:rsidRPr="007A2874">
        <w:rPr>
          <w:noProof/>
          <w:lang w:eastAsia="en-GB"/>
        </w:rPr>
        <w:drawing>
          <wp:inline distT="0" distB="0" distL="0" distR="0" wp14:anchorId="608BF78A" wp14:editId="71579FCD">
            <wp:extent cx="4322618" cy="2766950"/>
            <wp:effectExtent l="0" t="0" r="0" b="0"/>
            <wp:docPr id="7" name="Chart 7" descr="Funnel plot showing standard devi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FD0697" w14:textId="759A3771" w:rsidR="0091378C" w:rsidRDefault="0091378C"/>
    <w:tbl>
      <w:tblPr>
        <w:tblStyle w:val="TableGrid"/>
        <w:tblW w:w="10237" w:type="dxa"/>
        <w:tblLook w:val="04A0" w:firstRow="1" w:lastRow="0" w:firstColumn="1" w:lastColumn="0" w:noHBand="0" w:noVBand="1"/>
      </w:tblPr>
      <w:tblGrid>
        <w:gridCol w:w="3383"/>
        <w:gridCol w:w="6854"/>
      </w:tblGrid>
      <w:tr w:rsidR="0091378C" w:rsidRPr="007A2874" w14:paraId="6F17C6C7" w14:textId="77777777" w:rsidTr="00D85A43">
        <w:tc>
          <w:tcPr>
            <w:tcW w:w="3383" w:type="dxa"/>
          </w:tcPr>
          <w:p w14:paraId="197F1AD6" w14:textId="7ED18B78" w:rsidR="0091378C" w:rsidRPr="007A2874" w:rsidRDefault="0091378C" w:rsidP="0091378C">
            <w:pPr>
              <w:spacing w:before="240"/>
              <w:ind w:left="34"/>
              <w:rPr>
                <w:b/>
                <w:sz w:val="22"/>
                <w:szCs w:val="22"/>
              </w:rPr>
            </w:pPr>
            <w:r w:rsidRPr="007A2874">
              <w:rPr>
                <w:b/>
                <w:sz w:val="22"/>
                <w:szCs w:val="22"/>
              </w:rPr>
              <w:t>Similar existing indicators</w:t>
            </w:r>
          </w:p>
        </w:tc>
        <w:tc>
          <w:tcPr>
            <w:tcW w:w="6854" w:type="dxa"/>
          </w:tcPr>
          <w:p w14:paraId="4B1E93C5" w14:textId="47E06EBC" w:rsidR="0091378C" w:rsidRPr="007A2874" w:rsidRDefault="0091378C" w:rsidP="0091378C">
            <w:pPr>
              <w:spacing w:before="240"/>
              <w:rPr>
                <w:sz w:val="22"/>
                <w:szCs w:val="22"/>
              </w:rPr>
            </w:pPr>
            <w:r w:rsidRPr="007A2874">
              <w:rPr>
                <w:sz w:val="22"/>
                <w:szCs w:val="22"/>
              </w:rPr>
              <w:t xml:space="preserve">There are currently no indicators in the CCG OIS, the wider NHS Digital Indicator Portal, or the Public Health Outcomes Framework that relate to cardiac rehabilitation. Data is available in the NACR annual </w:t>
            </w:r>
            <w:proofErr w:type="gramStart"/>
            <w:r w:rsidRPr="007A2874">
              <w:rPr>
                <w:sz w:val="22"/>
                <w:szCs w:val="22"/>
              </w:rPr>
              <w:t>reports,</w:t>
            </w:r>
            <w:proofErr w:type="gramEnd"/>
            <w:r w:rsidRPr="007A2874">
              <w:rPr>
                <w:sz w:val="22"/>
                <w:szCs w:val="22"/>
              </w:rPr>
              <w:t xml:space="preserve"> however these are not strictly comparable as these reports are at person level and include estimated figures.</w:t>
            </w:r>
          </w:p>
        </w:tc>
      </w:tr>
      <w:tr w:rsidR="0091378C" w:rsidRPr="007A2874" w14:paraId="09F50EAB" w14:textId="77777777" w:rsidTr="00D85A43">
        <w:tc>
          <w:tcPr>
            <w:tcW w:w="3383" w:type="dxa"/>
          </w:tcPr>
          <w:p w14:paraId="2D3164B9" w14:textId="1940731E" w:rsidR="0091378C" w:rsidRPr="007A2874" w:rsidRDefault="0091378C" w:rsidP="0091378C">
            <w:pPr>
              <w:spacing w:before="240"/>
              <w:ind w:left="34"/>
              <w:rPr>
                <w:b/>
                <w:sz w:val="22"/>
                <w:szCs w:val="22"/>
              </w:rPr>
            </w:pPr>
            <w:r w:rsidRPr="007A2874">
              <w:rPr>
                <w:b/>
                <w:sz w:val="22"/>
                <w:szCs w:val="22"/>
              </w:rPr>
              <w:t>Coherence and comparability</w:t>
            </w:r>
          </w:p>
        </w:tc>
        <w:tc>
          <w:tcPr>
            <w:tcW w:w="6854" w:type="dxa"/>
          </w:tcPr>
          <w:p w14:paraId="588CF3D4" w14:textId="77777777" w:rsidR="0091378C" w:rsidRPr="007A2874" w:rsidRDefault="0091378C" w:rsidP="0091378C">
            <w:pPr>
              <w:spacing w:before="240"/>
              <w:rPr>
                <w:sz w:val="22"/>
                <w:szCs w:val="22"/>
              </w:rPr>
            </w:pPr>
            <w:r w:rsidRPr="007A2874">
              <w:rPr>
                <w:sz w:val="22"/>
                <w:szCs w:val="22"/>
              </w:rPr>
              <w:t xml:space="preserve">The ICD-10 and OPCS-4 codes that are used to identify the relevant diagnosis and procedure codes for this indicator have been taken from the </w:t>
            </w:r>
            <w:proofErr w:type="spellStart"/>
            <w:r w:rsidRPr="007A2874">
              <w:rPr>
                <w:sz w:val="22"/>
                <w:szCs w:val="22"/>
              </w:rPr>
              <w:t>PbR</w:t>
            </w:r>
            <w:proofErr w:type="spellEnd"/>
            <w:r w:rsidRPr="007A2874">
              <w:rPr>
                <w:sz w:val="22"/>
                <w:szCs w:val="22"/>
              </w:rPr>
              <w:t xml:space="preserve"> post discharge tariff for cardiac rehabilitation. As a </w:t>
            </w:r>
            <w:proofErr w:type="gramStart"/>
            <w:r w:rsidRPr="007A2874">
              <w:rPr>
                <w:sz w:val="22"/>
                <w:szCs w:val="22"/>
              </w:rPr>
              <w:t>result</w:t>
            </w:r>
            <w:proofErr w:type="gramEnd"/>
            <w:r w:rsidRPr="007A2874">
              <w:rPr>
                <w:sz w:val="22"/>
                <w:szCs w:val="22"/>
              </w:rPr>
              <w:t xml:space="preserve"> the indicators are measuring what the CCGs are being paid to offer.</w:t>
            </w:r>
          </w:p>
          <w:p w14:paraId="5AF1D13E" w14:textId="3272F31E" w:rsidR="0091378C" w:rsidRPr="007A2874" w:rsidRDefault="0091378C" w:rsidP="0091378C">
            <w:pPr>
              <w:spacing w:before="240"/>
              <w:rPr>
                <w:sz w:val="22"/>
                <w:szCs w:val="22"/>
              </w:rPr>
            </w:pPr>
            <w:r w:rsidRPr="007A2874">
              <w:rPr>
                <w:sz w:val="22"/>
                <w:szCs w:val="22"/>
              </w:rPr>
              <w:t xml:space="preserve">This indicator is not comparable with the NACR annual reports as these </w:t>
            </w:r>
            <w:proofErr w:type="gramStart"/>
            <w:r w:rsidRPr="007A2874">
              <w:rPr>
                <w:sz w:val="22"/>
                <w:szCs w:val="22"/>
              </w:rPr>
              <w:t>contain</w:t>
            </w:r>
            <w:proofErr w:type="gramEnd"/>
            <w:r w:rsidRPr="007A2874">
              <w:rPr>
                <w:sz w:val="22"/>
                <w:szCs w:val="22"/>
              </w:rPr>
              <w:t xml:space="preserve"> estimated data. Estimated data is not included in this indicator as it cannot be verified; this indicator may highlight awareness of the data set and improve its data quality, thus reducing the need to rely on estimated data in the annual report.</w:t>
            </w:r>
          </w:p>
        </w:tc>
      </w:tr>
      <w:tr w:rsidR="0091378C" w:rsidRPr="007A2874" w14:paraId="33A2AAF9" w14:textId="77777777" w:rsidTr="00D85A43">
        <w:tc>
          <w:tcPr>
            <w:tcW w:w="3383" w:type="dxa"/>
          </w:tcPr>
          <w:p w14:paraId="154344EC" w14:textId="0285E661" w:rsidR="0091378C" w:rsidRPr="007A2874" w:rsidRDefault="0091378C" w:rsidP="0091378C">
            <w:pPr>
              <w:spacing w:before="240"/>
              <w:ind w:left="34"/>
              <w:rPr>
                <w:b/>
                <w:sz w:val="22"/>
                <w:szCs w:val="22"/>
              </w:rPr>
            </w:pPr>
            <w:r w:rsidRPr="007A2874">
              <w:rPr>
                <w:b/>
                <w:sz w:val="22"/>
                <w:szCs w:val="22"/>
              </w:rPr>
              <w:lastRenderedPageBreak/>
              <w:t>Undesired behaviours and/or gaming</w:t>
            </w:r>
          </w:p>
        </w:tc>
        <w:tc>
          <w:tcPr>
            <w:tcW w:w="6854" w:type="dxa"/>
          </w:tcPr>
          <w:p w14:paraId="50B7BB8B" w14:textId="65E3DB7F" w:rsidR="0091378C" w:rsidRPr="007A2874" w:rsidRDefault="0091378C" w:rsidP="0091378C">
            <w:pPr>
              <w:spacing w:before="240"/>
              <w:rPr>
                <w:sz w:val="22"/>
                <w:szCs w:val="22"/>
              </w:rPr>
            </w:pPr>
            <w:r w:rsidRPr="007A2874">
              <w:rPr>
                <w:sz w:val="22"/>
                <w:szCs w:val="22"/>
              </w:rPr>
              <w:t xml:space="preserve">In order to remove patients from the indicator, hospitals could record patients as having a diagnosis or procedure in a secondary position, rather than a primary one. This may have the effect of increasing the proportion of referred </w:t>
            </w:r>
            <w:proofErr w:type="gramStart"/>
            <w:r w:rsidRPr="007A2874">
              <w:rPr>
                <w:sz w:val="22"/>
                <w:szCs w:val="22"/>
              </w:rPr>
              <w:t>cases, but</w:t>
            </w:r>
            <w:proofErr w:type="gramEnd"/>
            <w:r w:rsidRPr="007A2874">
              <w:rPr>
                <w:sz w:val="22"/>
                <w:szCs w:val="22"/>
              </w:rPr>
              <w:t xml:space="preserve"> may also affect the payment a hospital receives. The financial incentives associated with the </w:t>
            </w:r>
            <w:proofErr w:type="spellStart"/>
            <w:r w:rsidRPr="007A2874">
              <w:rPr>
                <w:sz w:val="22"/>
                <w:szCs w:val="22"/>
              </w:rPr>
              <w:t>PbR</w:t>
            </w:r>
            <w:proofErr w:type="spellEnd"/>
            <w:r w:rsidRPr="007A2874">
              <w:rPr>
                <w:sz w:val="22"/>
                <w:szCs w:val="22"/>
              </w:rPr>
              <w:t xml:space="preserve"> are likely to be greater than any potential bias due to being part of the CCG OIS.</w:t>
            </w:r>
          </w:p>
        </w:tc>
      </w:tr>
      <w:tr w:rsidR="0091378C" w:rsidRPr="007A2874" w14:paraId="2C07D279" w14:textId="77777777" w:rsidTr="00D85A43">
        <w:tc>
          <w:tcPr>
            <w:tcW w:w="3383" w:type="dxa"/>
          </w:tcPr>
          <w:p w14:paraId="077DBDB8" w14:textId="0BC91127" w:rsidR="0091378C" w:rsidRPr="007A2874" w:rsidRDefault="0091378C" w:rsidP="0091378C">
            <w:pPr>
              <w:spacing w:before="240"/>
              <w:ind w:left="34"/>
              <w:rPr>
                <w:b/>
                <w:sz w:val="22"/>
                <w:szCs w:val="22"/>
              </w:rPr>
            </w:pPr>
            <w:r w:rsidRPr="007A2874">
              <w:rPr>
                <w:b/>
                <w:sz w:val="22"/>
                <w:szCs w:val="22"/>
              </w:rPr>
              <w:t>Approach to indicator review</w:t>
            </w:r>
          </w:p>
        </w:tc>
        <w:tc>
          <w:tcPr>
            <w:tcW w:w="6854" w:type="dxa"/>
          </w:tcPr>
          <w:p w14:paraId="3BA3AFF4" w14:textId="77777777" w:rsidR="0091378C" w:rsidRPr="007A2874" w:rsidRDefault="0091378C" w:rsidP="0091378C">
            <w:pPr>
              <w:spacing w:before="240"/>
              <w:rPr>
                <w:sz w:val="22"/>
                <w:szCs w:val="22"/>
              </w:rPr>
            </w:pPr>
            <w:r w:rsidRPr="007A2874">
              <w:rPr>
                <w:sz w:val="22"/>
                <w:szCs w:val="22"/>
              </w:rPr>
              <w:t xml:space="preserve">As this indicator was previously given the assurance rating ‘Use </w:t>
            </w:r>
            <w:proofErr w:type="gramStart"/>
            <w:r w:rsidRPr="007A2874">
              <w:rPr>
                <w:sz w:val="22"/>
                <w:szCs w:val="22"/>
              </w:rPr>
              <w:t>With</w:t>
            </w:r>
            <w:proofErr w:type="gramEnd"/>
            <w:r w:rsidRPr="007A2874">
              <w:rPr>
                <w:sz w:val="22"/>
                <w:szCs w:val="22"/>
              </w:rPr>
              <w:t xml:space="preserve"> Caution – Data Quality Issues’, the previous review period was set to one year. Following this indicator review, the review period will be set by the Indicator Governance Board (IGB). Prior to the review period lapsing the Indicator and Methodology Assurance Service (IMAS) will </w:t>
            </w:r>
            <w:proofErr w:type="spellStart"/>
            <w:r w:rsidRPr="007A2874">
              <w:rPr>
                <w:sz w:val="22"/>
                <w:szCs w:val="22"/>
              </w:rPr>
              <w:t>liase</w:t>
            </w:r>
            <w:proofErr w:type="spellEnd"/>
            <w:r w:rsidRPr="007A2874">
              <w:rPr>
                <w:sz w:val="22"/>
                <w:szCs w:val="22"/>
              </w:rPr>
              <w:t xml:space="preserve"> with the Clinical Indicators (CI) team to initiate the review process.</w:t>
            </w:r>
          </w:p>
          <w:p w14:paraId="7DE3ECFE" w14:textId="11A1F29E" w:rsidR="0091378C" w:rsidRPr="007A2874" w:rsidRDefault="0091378C" w:rsidP="0091378C">
            <w:pPr>
              <w:spacing w:before="240"/>
              <w:rPr>
                <w:sz w:val="22"/>
                <w:szCs w:val="22"/>
              </w:rPr>
            </w:pPr>
            <w:r w:rsidRPr="007A2874">
              <w:rPr>
                <w:sz w:val="22"/>
                <w:szCs w:val="22"/>
              </w:rPr>
              <w:t xml:space="preserve">User feedback and comments on this indicator are welcomed via NHS Digital Enquiries </w:t>
            </w:r>
            <w:hyperlink r:id="rId19" w:history="1">
              <w:r w:rsidRPr="007A2874">
                <w:rPr>
                  <w:rStyle w:val="Hyperlink"/>
                  <w:rFonts w:ascii="Arial" w:hAnsi="Arial"/>
                  <w:color w:val="auto"/>
                  <w:sz w:val="22"/>
                  <w:szCs w:val="22"/>
                </w:rPr>
                <w:t>enquiries@nhsdigital.nhs.uk</w:t>
              </w:r>
            </w:hyperlink>
            <w:r w:rsidRPr="007A2874">
              <w:rPr>
                <w:sz w:val="22"/>
                <w:szCs w:val="22"/>
              </w:rPr>
              <w:t xml:space="preserve"> or the Clinical Indicators mailbox </w:t>
            </w:r>
            <w:hyperlink r:id="rId20" w:history="1">
              <w:r w:rsidRPr="007A2874">
                <w:rPr>
                  <w:rStyle w:val="Hyperlink"/>
                  <w:rFonts w:ascii="Arial" w:hAnsi="Arial"/>
                  <w:color w:val="auto"/>
                  <w:sz w:val="22"/>
                  <w:szCs w:val="22"/>
                </w:rPr>
                <w:t>clinical.indicators@nhs.net</w:t>
              </w:r>
            </w:hyperlink>
          </w:p>
        </w:tc>
      </w:tr>
      <w:tr w:rsidR="0091378C" w:rsidRPr="007A2874" w14:paraId="29280E72" w14:textId="77777777" w:rsidTr="00D85A43">
        <w:tc>
          <w:tcPr>
            <w:tcW w:w="3383" w:type="dxa"/>
          </w:tcPr>
          <w:p w14:paraId="0E86D99B" w14:textId="00BEE2DD" w:rsidR="0091378C" w:rsidRPr="007A2874" w:rsidRDefault="0091378C" w:rsidP="0091378C">
            <w:pPr>
              <w:spacing w:before="240"/>
              <w:ind w:left="34"/>
              <w:rPr>
                <w:b/>
                <w:sz w:val="22"/>
                <w:szCs w:val="22"/>
              </w:rPr>
            </w:pPr>
            <w:r w:rsidRPr="007A2874">
              <w:rPr>
                <w:b/>
                <w:sz w:val="22"/>
                <w:szCs w:val="22"/>
              </w:rPr>
              <w:t>Disclosure control</w:t>
            </w:r>
          </w:p>
        </w:tc>
        <w:tc>
          <w:tcPr>
            <w:tcW w:w="6854" w:type="dxa"/>
          </w:tcPr>
          <w:p w14:paraId="3611FBA6" w14:textId="77777777" w:rsidR="0091378C" w:rsidRPr="007A2874" w:rsidRDefault="0091378C" w:rsidP="0091378C">
            <w:pPr>
              <w:spacing w:before="240"/>
              <w:rPr>
                <w:sz w:val="22"/>
                <w:szCs w:val="22"/>
              </w:rPr>
            </w:pPr>
            <w:r w:rsidRPr="007A2874">
              <w:rPr>
                <w:sz w:val="22"/>
                <w:szCs w:val="22"/>
              </w:rPr>
              <w:t>When publishing the data, if the indicator is calculated from a value of 1 to 5, the value and percentage is suppressed to ensure an individual’s identity is not at risk of being disclosed. If there is only one value suppressed in this way, the rate based upon the next lowest numerator is also suppressed; this reduces the risk of the first suppressed number being identifiable in isolation.</w:t>
            </w:r>
          </w:p>
          <w:p w14:paraId="6656C09C" w14:textId="6AEFCE18" w:rsidR="0091378C" w:rsidRPr="007A2874" w:rsidRDefault="0091378C" w:rsidP="0091378C">
            <w:pPr>
              <w:spacing w:before="240"/>
              <w:rPr>
                <w:sz w:val="22"/>
                <w:szCs w:val="22"/>
              </w:rPr>
            </w:pPr>
            <w:r w:rsidRPr="007A2874">
              <w:rPr>
                <w:sz w:val="22"/>
                <w:szCs w:val="22"/>
              </w:rPr>
              <w:t>Percentages are rounded to one decimal place before publication.</w:t>
            </w:r>
          </w:p>
        </w:tc>
      </w:tr>
      <w:tr w:rsidR="0091378C" w:rsidRPr="007A2874" w14:paraId="4D58F6E6" w14:textId="77777777" w:rsidTr="00D85A43">
        <w:tc>
          <w:tcPr>
            <w:tcW w:w="3383" w:type="dxa"/>
          </w:tcPr>
          <w:p w14:paraId="01FEA124" w14:textId="6904A786" w:rsidR="0091378C" w:rsidRPr="007A2874" w:rsidRDefault="0091378C" w:rsidP="0091378C">
            <w:pPr>
              <w:spacing w:before="240"/>
              <w:ind w:left="34"/>
              <w:rPr>
                <w:b/>
                <w:sz w:val="22"/>
                <w:szCs w:val="22"/>
              </w:rPr>
            </w:pPr>
            <w:r w:rsidRPr="007A2874">
              <w:rPr>
                <w:b/>
                <w:sz w:val="22"/>
                <w:szCs w:val="22"/>
              </w:rPr>
              <w:t>Copyright</w:t>
            </w:r>
          </w:p>
        </w:tc>
        <w:tc>
          <w:tcPr>
            <w:tcW w:w="6854" w:type="dxa"/>
          </w:tcPr>
          <w:p w14:paraId="20789781" w14:textId="729BB4F1" w:rsidR="0091378C" w:rsidRPr="007A2874" w:rsidRDefault="0091378C" w:rsidP="0091378C">
            <w:pPr>
              <w:spacing w:before="240"/>
              <w:rPr>
                <w:sz w:val="22"/>
                <w:szCs w:val="22"/>
              </w:rPr>
            </w:pPr>
            <w:r w:rsidRPr="007A2874">
              <w:rPr>
                <w:sz w:val="22"/>
                <w:szCs w:val="22"/>
              </w:rPr>
              <w:t>Copyright © 2016, NHS Digital. All rights reserved.</w:t>
            </w:r>
          </w:p>
        </w:tc>
      </w:tr>
    </w:tbl>
    <w:p w14:paraId="384DCE28" w14:textId="1BEAA1C9" w:rsidR="0091378C" w:rsidRDefault="0091378C"/>
    <w:p w14:paraId="134D59EA" w14:textId="77777777" w:rsidR="0091378C" w:rsidRPr="007A2874" w:rsidRDefault="0091378C"/>
    <w:p w14:paraId="6C367D21" w14:textId="52B99D49" w:rsidR="00C157D5" w:rsidRPr="007A2874" w:rsidRDefault="00C157D5" w:rsidP="009F6E97"/>
    <w:p w14:paraId="35D3D588" w14:textId="77777777" w:rsidR="00C157D5" w:rsidRPr="007A2874" w:rsidRDefault="00C157D5">
      <w:pPr>
        <w:spacing w:after="0"/>
        <w:textboxTightWrap w:val="none"/>
      </w:pPr>
      <w:r w:rsidRPr="007A2874">
        <w:br w:type="page"/>
      </w:r>
    </w:p>
    <w:p w14:paraId="5F3E39C4" w14:textId="7EF73BB6" w:rsidR="00C157D5" w:rsidRPr="007A2874" w:rsidRDefault="00C157D5" w:rsidP="007A2874">
      <w:pPr>
        <w:jc w:val="center"/>
      </w:pPr>
    </w:p>
    <w:p w14:paraId="4808ECA2" w14:textId="196AD234" w:rsidR="007A2874" w:rsidRPr="007A2874" w:rsidRDefault="007A2874" w:rsidP="007A2874">
      <w:pPr>
        <w:pStyle w:val="NormalWeb"/>
        <w:spacing w:before="0" w:beforeAutospacing="0" w:after="0" w:afterAutospacing="0"/>
        <w:jc w:val="center"/>
        <w:rPr>
          <w:rFonts w:asciiTheme="minorHAnsi" w:eastAsiaTheme="majorEastAsia" w:hAnsiTheme="minorHAnsi" w:cstheme="minorHAnsi"/>
          <w:sz w:val="72"/>
          <w:szCs w:val="80"/>
        </w:rPr>
      </w:pPr>
      <w:r w:rsidRPr="007A2874">
        <w:rPr>
          <w:rFonts w:asciiTheme="minorHAnsi" w:eastAsiaTheme="majorEastAsia" w:hAnsiTheme="minorHAnsi" w:cstheme="minorHAnsi"/>
          <w:sz w:val="72"/>
          <w:szCs w:val="80"/>
        </w:rPr>
        <w:t>Indicator Assurance Report</w:t>
      </w:r>
    </w:p>
    <w:p w14:paraId="39384BA4" w14:textId="77777777" w:rsidR="00D85A43" w:rsidRDefault="00D85A43" w:rsidP="007A2874">
      <w:pPr>
        <w:pStyle w:val="NormalWeb"/>
        <w:spacing w:before="0" w:beforeAutospacing="0" w:after="0" w:afterAutospacing="0"/>
        <w:rPr>
          <w:rFonts w:ascii="Arial" w:eastAsia="+mn-ea" w:hAnsi="Arial" w:cs="Arial"/>
          <w:b/>
          <w:position w:val="1"/>
          <w:sz w:val="32"/>
          <w:szCs w:val="26"/>
        </w:rPr>
      </w:pPr>
    </w:p>
    <w:p w14:paraId="713B0125" w14:textId="7A8E1E96" w:rsidR="00C157D5" w:rsidRPr="007A2874" w:rsidRDefault="00C157D5" w:rsidP="007A2874">
      <w:pPr>
        <w:pStyle w:val="NormalWeb"/>
        <w:spacing w:before="0" w:beforeAutospacing="0" w:after="0" w:afterAutospacing="0"/>
        <w:rPr>
          <w:rFonts w:ascii="Arial" w:eastAsia="+mn-ea" w:hAnsi="Arial" w:cs="Arial"/>
          <w:b/>
          <w:position w:val="1"/>
          <w:sz w:val="32"/>
          <w:szCs w:val="26"/>
        </w:rPr>
      </w:pPr>
      <w:r w:rsidRPr="007A2874">
        <w:rPr>
          <w:rFonts w:ascii="Arial" w:eastAsia="+mn-ea" w:hAnsi="Arial" w:cs="Arial"/>
          <w:b/>
          <w:position w:val="1"/>
          <w:sz w:val="32"/>
          <w:szCs w:val="26"/>
        </w:rPr>
        <w:t>Final Assurance Rating from the Indicator Governance Board – 10/02/2016</w:t>
      </w:r>
    </w:p>
    <w:p w14:paraId="7FA7ECB0" w14:textId="77777777" w:rsidR="00C157D5" w:rsidRPr="007A2874" w:rsidRDefault="00C157D5" w:rsidP="007A2874">
      <w:pPr>
        <w:pStyle w:val="NormalWeb"/>
        <w:spacing w:before="0" w:beforeAutospacing="0" w:after="0" w:afterAutospacing="0"/>
        <w:rPr>
          <w:rFonts w:ascii="Arial" w:eastAsia="+mn-ea" w:hAnsi="Arial" w:cs="Arial"/>
          <w:b/>
          <w:position w:val="1"/>
          <w:sz w:val="26"/>
          <w:szCs w:val="26"/>
        </w:rPr>
      </w:pPr>
    </w:p>
    <w:tbl>
      <w:tblPr>
        <w:tblStyle w:val="TableGrid"/>
        <w:tblW w:w="10314" w:type="dxa"/>
        <w:tblLook w:val="04A0" w:firstRow="1" w:lastRow="0" w:firstColumn="1" w:lastColumn="0" w:noHBand="0" w:noVBand="1"/>
      </w:tblPr>
      <w:tblGrid>
        <w:gridCol w:w="3369"/>
        <w:gridCol w:w="6945"/>
      </w:tblGrid>
      <w:tr w:rsidR="007A2874" w:rsidRPr="007A2874" w14:paraId="1E96E389" w14:textId="77777777" w:rsidTr="007A2874">
        <w:trPr>
          <w:trHeight w:val="359"/>
        </w:trPr>
        <w:tc>
          <w:tcPr>
            <w:tcW w:w="3369" w:type="dxa"/>
            <w:tcBorders>
              <w:top w:val="nil"/>
              <w:left w:val="nil"/>
              <w:bottom w:val="nil"/>
              <w:right w:val="nil"/>
            </w:tcBorders>
            <w:shd w:val="clear" w:color="auto" w:fill="ACD7FF" w:themeFill="accent1" w:themeFillTint="33"/>
          </w:tcPr>
          <w:p w14:paraId="68300CB4"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16643D78"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position w:val="1"/>
                    <w:sz w:val="22"/>
                    <w:szCs w:val="22"/>
                  </w:rPr>
                  <w:t>Initial assurance</w:t>
                </w:r>
              </w:p>
            </w:tc>
          </w:sdtContent>
        </w:sdt>
      </w:tr>
      <w:tr w:rsidR="007A2874" w:rsidRPr="007A2874" w14:paraId="2F5F72FA" w14:textId="77777777" w:rsidTr="007A2874">
        <w:trPr>
          <w:trHeight w:val="557"/>
        </w:trPr>
        <w:tc>
          <w:tcPr>
            <w:tcW w:w="3369" w:type="dxa"/>
            <w:tcBorders>
              <w:top w:val="nil"/>
              <w:left w:val="nil"/>
              <w:bottom w:val="nil"/>
              <w:right w:val="nil"/>
            </w:tcBorders>
            <w:shd w:val="clear" w:color="auto" w:fill="ACD7FF" w:themeFill="accent1" w:themeFillTint="33"/>
          </w:tcPr>
          <w:p w14:paraId="1DA3C86D"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b/>
                <w:position w:val="1"/>
                <w:sz w:val="22"/>
                <w:szCs w:val="22"/>
              </w:rPr>
              <w:t>Iteration</w:t>
            </w:r>
          </w:p>
        </w:tc>
        <w:sdt>
          <w:sdtPr>
            <w:rPr>
              <w:rFonts w:ascii="Arial" w:eastAsia="+mn-ea" w:hAnsi="Arial" w:cs="Arial"/>
              <w:position w:val="1"/>
              <w:sz w:val="22"/>
              <w:szCs w:val="22"/>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EndPr/>
          <w:sdtContent>
            <w:tc>
              <w:tcPr>
                <w:tcW w:w="6945" w:type="dxa"/>
                <w:tcBorders>
                  <w:top w:val="nil"/>
                  <w:left w:val="nil"/>
                  <w:bottom w:val="nil"/>
                  <w:right w:val="nil"/>
                </w:tcBorders>
              </w:tcPr>
              <w:p w14:paraId="2F4CC648"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position w:val="1"/>
                    <w:sz w:val="22"/>
                    <w:szCs w:val="22"/>
                  </w:rPr>
                  <w:t>1st IGB meeting</w:t>
                </w:r>
              </w:p>
            </w:tc>
          </w:sdtContent>
        </w:sdt>
      </w:tr>
    </w:tbl>
    <w:p w14:paraId="7BCAAAD9" w14:textId="77777777" w:rsidR="00C157D5" w:rsidRPr="007A2874" w:rsidRDefault="00C157D5" w:rsidP="007A2874"/>
    <w:p w14:paraId="2909325B" w14:textId="77777777" w:rsidR="00C157D5" w:rsidRPr="007A2874" w:rsidRDefault="00D963CC" w:rsidP="007A2874">
      <w:pPr>
        <w:spacing w:after="0"/>
        <w:jc w:val="center"/>
        <w:rPr>
          <w:rFonts w:eastAsia="+mn-ea" w:cs="Arial"/>
          <w:b/>
          <w:position w:val="1"/>
          <w:sz w:val="26"/>
          <w:szCs w:val="26"/>
          <w:lang w:eastAsia="en-GB"/>
        </w:rPr>
      </w:pPr>
      <w:r>
        <w:rPr>
          <w:rFonts w:eastAsia="+mn-ea" w:cs="Arial"/>
          <w:b/>
          <w:position w:val="1"/>
          <w:sz w:val="26"/>
          <w:szCs w:val="26"/>
          <w:lang w:eastAsia="en-GB"/>
        </w:rPr>
        <w:pict w14:anchorId="6BA97B52">
          <v:rect id="_x0000_i1025" style="width:503.2pt;height:1.5pt" o:hralign="center" o:hrstd="t" o:hr="t" fillcolor="#a0a0a0" stroked="f"/>
        </w:pic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189"/>
        <w:gridCol w:w="3751"/>
      </w:tblGrid>
      <w:tr w:rsidR="00D85A43" w:rsidRPr="007A2874" w14:paraId="61A80B20" w14:textId="77777777" w:rsidTr="00D85A43">
        <w:tc>
          <w:tcPr>
            <w:tcW w:w="3924" w:type="dxa"/>
            <w:vAlign w:val="center"/>
          </w:tcPr>
          <w:p w14:paraId="658F17CF" w14:textId="121CBB72" w:rsidR="00D85A43" w:rsidRPr="00D85A43" w:rsidRDefault="00D85A43" w:rsidP="00D85A43">
            <w:pPr>
              <w:spacing w:before="120"/>
              <w:rPr>
                <w:rFonts w:eastAsia="+mn-ea"/>
                <w:b/>
                <w:position w:val="1"/>
                <w:sz w:val="26"/>
                <w:szCs w:val="26"/>
              </w:rPr>
            </w:pPr>
            <w:r w:rsidRPr="007A2874">
              <w:rPr>
                <w:rFonts w:eastAsia="+mn-ea"/>
                <w:b/>
                <w:position w:val="1"/>
                <w:sz w:val="26"/>
                <w:szCs w:val="26"/>
              </w:rPr>
              <w:t>Ratings Against Assessment Criteria</w:t>
            </w:r>
          </w:p>
        </w:tc>
        <w:tc>
          <w:tcPr>
            <w:tcW w:w="2189" w:type="dxa"/>
            <w:vAlign w:val="center"/>
          </w:tcPr>
          <w:p w14:paraId="3D914FB1" w14:textId="77777777" w:rsidR="00D85A43" w:rsidRPr="007A2874" w:rsidRDefault="00D85A43" w:rsidP="007A2874">
            <w:pPr>
              <w:spacing w:line="360" w:lineRule="auto"/>
              <w:rPr>
                <w:rFonts w:eastAsia="+mn-ea"/>
                <w:b/>
                <w:noProof/>
                <w:position w:val="1"/>
                <w:sz w:val="32"/>
                <w:szCs w:val="40"/>
                <w:lang w:eastAsia="en-GB"/>
              </w:rPr>
            </w:pPr>
          </w:p>
        </w:tc>
        <w:tc>
          <w:tcPr>
            <w:tcW w:w="3751" w:type="dxa"/>
            <w:vAlign w:val="center"/>
          </w:tcPr>
          <w:p w14:paraId="0AAB1DEF" w14:textId="44D6B6BA" w:rsidR="00D85A43" w:rsidRPr="00D85A43" w:rsidRDefault="00D85A43" w:rsidP="00D85A43">
            <w:pPr>
              <w:spacing w:line="360" w:lineRule="auto"/>
              <w:jc w:val="center"/>
              <w:rPr>
                <w:rFonts w:eastAsia="+mn-ea"/>
                <w:b/>
                <w:position w:val="1"/>
                <w:sz w:val="26"/>
                <w:szCs w:val="26"/>
              </w:rPr>
            </w:pPr>
            <w:r w:rsidRPr="007A2874">
              <w:rPr>
                <w:rFonts w:eastAsia="+mn-ea"/>
                <w:b/>
                <w:position w:val="1"/>
                <w:sz w:val="26"/>
                <w:szCs w:val="26"/>
              </w:rPr>
              <w:t>Overall Rating</w:t>
            </w:r>
            <w:r>
              <w:rPr>
                <w:rFonts w:eastAsia="+mn-ea"/>
                <w:b/>
                <w:position w:val="1"/>
                <w:sz w:val="26"/>
                <w:szCs w:val="26"/>
              </w:rPr>
              <w:t xml:space="preserve"> – use with caution – data quality issue</w:t>
            </w:r>
          </w:p>
        </w:tc>
      </w:tr>
      <w:tr w:rsidR="00D85A43" w:rsidRPr="007A2874" w14:paraId="54A22300" w14:textId="77777777" w:rsidTr="00D85A43">
        <w:tc>
          <w:tcPr>
            <w:tcW w:w="3924" w:type="dxa"/>
            <w:vAlign w:val="center"/>
            <w:hideMark/>
          </w:tcPr>
          <w:p w14:paraId="4F1F5FB2" w14:textId="77777777" w:rsidR="00D85A43" w:rsidRPr="007A2874" w:rsidRDefault="00D85A43" w:rsidP="007A2874">
            <w:pPr>
              <w:spacing w:line="360" w:lineRule="auto"/>
              <w:rPr>
                <w:rFonts w:eastAsia="+mn-ea"/>
                <w:position w:val="1"/>
                <w:sz w:val="26"/>
                <w:szCs w:val="26"/>
              </w:rPr>
            </w:pPr>
            <w:r w:rsidRPr="007A2874">
              <w:rPr>
                <w:rFonts w:eastAsia="+mn-ea"/>
                <w:position w:val="1"/>
                <w:szCs w:val="40"/>
              </w:rPr>
              <w:t>Clarity</w:t>
            </w:r>
          </w:p>
        </w:tc>
        <w:tc>
          <w:tcPr>
            <w:tcW w:w="2189" w:type="dxa"/>
            <w:vAlign w:val="center"/>
            <w:hideMark/>
          </w:tcPr>
          <w:p w14:paraId="01A71EDD" w14:textId="67E84A48" w:rsidR="00D85A43" w:rsidRPr="007A2874" w:rsidRDefault="00D85A43" w:rsidP="007A2874">
            <w:pPr>
              <w:spacing w:line="360" w:lineRule="auto"/>
              <w:rPr>
                <w:rFonts w:eastAsia="+mn-ea"/>
                <w:b/>
                <w:position w:val="1"/>
                <w:sz w:val="26"/>
                <w:szCs w:val="26"/>
              </w:rPr>
            </w:pPr>
            <w:r w:rsidRPr="007A2874">
              <w:rPr>
                <w:rFonts w:cstheme="minorHAnsi"/>
                <w:b/>
              </w:rPr>
              <w:t>Fit for use</w:t>
            </w:r>
          </w:p>
        </w:tc>
        <w:tc>
          <w:tcPr>
            <w:tcW w:w="3751" w:type="dxa"/>
            <w:vAlign w:val="center"/>
            <w:hideMark/>
          </w:tcPr>
          <w:p w14:paraId="0357A6AE" w14:textId="734FADFF" w:rsidR="00D85A43" w:rsidRPr="007A2874" w:rsidRDefault="00D85A43" w:rsidP="007A2874">
            <w:pPr>
              <w:spacing w:before="100" w:beforeAutospacing="1" w:after="100" w:afterAutospacing="1" w:line="360" w:lineRule="auto"/>
              <w:jc w:val="center"/>
              <w:rPr>
                <w:rFonts w:eastAsia="+mn-ea"/>
                <w:b/>
                <w:position w:val="1"/>
                <w:sz w:val="26"/>
                <w:szCs w:val="26"/>
              </w:rPr>
            </w:pPr>
          </w:p>
        </w:tc>
      </w:tr>
      <w:tr w:rsidR="00D85A43" w:rsidRPr="007A2874" w14:paraId="4383C4CF" w14:textId="77777777" w:rsidTr="00D85A43">
        <w:tc>
          <w:tcPr>
            <w:tcW w:w="3924" w:type="dxa"/>
            <w:vAlign w:val="center"/>
            <w:hideMark/>
          </w:tcPr>
          <w:p w14:paraId="6B258867" w14:textId="77777777" w:rsidR="00D85A43" w:rsidRPr="007A2874" w:rsidRDefault="00D85A43" w:rsidP="007A2874">
            <w:pPr>
              <w:spacing w:line="360" w:lineRule="auto"/>
              <w:rPr>
                <w:rFonts w:eastAsia="+mn-ea"/>
                <w:position w:val="1"/>
                <w:sz w:val="26"/>
                <w:szCs w:val="26"/>
              </w:rPr>
            </w:pPr>
            <w:r w:rsidRPr="007A2874">
              <w:rPr>
                <w:rFonts w:eastAsia="+mn-ea"/>
                <w:position w:val="1"/>
                <w:szCs w:val="40"/>
              </w:rPr>
              <w:t>Rationale</w:t>
            </w:r>
          </w:p>
        </w:tc>
        <w:tc>
          <w:tcPr>
            <w:tcW w:w="2189" w:type="dxa"/>
            <w:vAlign w:val="center"/>
            <w:hideMark/>
          </w:tcPr>
          <w:p w14:paraId="19EECA5C" w14:textId="276FE6C2" w:rsidR="00D85A43" w:rsidRPr="007A2874" w:rsidRDefault="00D85A43" w:rsidP="007A2874">
            <w:pPr>
              <w:spacing w:line="360" w:lineRule="auto"/>
              <w:rPr>
                <w:rFonts w:eastAsia="+mn-ea"/>
                <w:b/>
                <w:position w:val="1"/>
                <w:sz w:val="26"/>
                <w:szCs w:val="26"/>
              </w:rPr>
            </w:pPr>
            <w:r w:rsidRPr="007A2874">
              <w:rPr>
                <w:rFonts w:cstheme="minorHAnsi"/>
                <w:b/>
              </w:rPr>
              <w:t>Fit for use</w:t>
            </w:r>
          </w:p>
        </w:tc>
        <w:tc>
          <w:tcPr>
            <w:tcW w:w="0" w:type="auto"/>
            <w:vAlign w:val="center"/>
            <w:hideMark/>
          </w:tcPr>
          <w:p w14:paraId="78D5F779" w14:textId="77777777" w:rsidR="00D85A43" w:rsidRPr="007A2874" w:rsidRDefault="00D85A43" w:rsidP="007A2874">
            <w:pPr>
              <w:spacing w:line="360" w:lineRule="auto"/>
              <w:rPr>
                <w:rFonts w:eastAsia="+mn-ea"/>
                <w:b/>
                <w:position w:val="1"/>
                <w:sz w:val="26"/>
                <w:szCs w:val="26"/>
              </w:rPr>
            </w:pPr>
          </w:p>
        </w:tc>
      </w:tr>
      <w:tr w:rsidR="00D85A43" w:rsidRPr="007A2874" w14:paraId="7AFE91A7" w14:textId="77777777" w:rsidTr="00D85A43">
        <w:tc>
          <w:tcPr>
            <w:tcW w:w="3924" w:type="dxa"/>
            <w:vAlign w:val="center"/>
            <w:hideMark/>
          </w:tcPr>
          <w:p w14:paraId="312209C0" w14:textId="77777777" w:rsidR="00D85A43" w:rsidRPr="007A2874" w:rsidRDefault="00D85A43" w:rsidP="007A2874">
            <w:pPr>
              <w:spacing w:line="360" w:lineRule="auto"/>
              <w:rPr>
                <w:rFonts w:eastAsia="+mn-ea"/>
                <w:position w:val="1"/>
                <w:sz w:val="26"/>
                <w:szCs w:val="26"/>
              </w:rPr>
            </w:pPr>
            <w:r w:rsidRPr="007A2874">
              <w:rPr>
                <w:rFonts w:eastAsia="+mn-ea"/>
                <w:position w:val="1"/>
                <w:szCs w:val="40"/>
              </w:rPr>
              <w:t>Data</w:t>
            </w:r>
          </w:p>
        </w:tc>
        <w:tc>
          <w:tcPr>
            <w:tcW w:w="2189" w:type="dxa"/>
            <w:vAlign w:val="center"/>
            <w:hideMark/>
          </w:tcPr>
          <w:p w14:paraId="01DCC858" w14:textId="111B1959" w:rsidR="00D85A43" w:rsidRPr="007A2874" w:rsidRDefault="00D85A43" w:rsidP="007A2874">
            <w:pPr>
              <w:spacing w:line="360" w:lineRule="auto"/>
              <w:rPr>
                <w:rFonts w:eastAsia="+mn-ea"/>
                <w:b/>
                <w:position w:val="1"/>
                <w:sz w:val="26"/>
                <w:szCs w:val="26"/>
              </w:rPr>
            </w:pPr>
            <w:r w:rsidRPr="007A2874">
              <w:rPr>
                <w:rFonts w:cstheme="minorHAnsi"/>
                <w:b/>
              </w:rPr>
              <w:t>Use with caution – data quality</w:t>
            </w:r>
          </w:p>
        </w:tc>
        <w:tc>
          <w:tcPr>
            <w:tcW w:w="0" w:type="auto"/>
            <w:vAlign w:val="center"/>
            <w:hideMark/>
          </w:tcPr>
          <w:p w14:paraId="0DFE9749" w14:textId="77777777" w:rsidR="00D85A43" w:rsidRPr="007A2874" w:rsidRDefault="00D85A43" w:rsidP="007A2874">
            <w:pPr>
              <w:spacing w:line="360" w:lineRule="auto"/>
              <w:rPr>
                <w:rFonts w:eastAsia="+mn-ea"/>
                <w:b/>
                <w:position w:val="1"/>
                <w:sz w:val="26"/>
                <w:szCs w:val="26"/>
              </w:rPr>
            </w:pPr>
          </w:p>
        </w:tc>
      </w:tr>
      <w:tr w:rsidR="00D85A43" w:rsidRPr="007A2874" w14:paraId="7A1512CA" w14:textId="77777777" w:rsidTr="00D85A43">
        <w:tc>
          <w:tcPr>
            <w:tcW w:w="3924" w:type="dxa"/>
            <w:vAlign w:val="center"/>
            <w:hideMark/>
          </w:tcPr>
          <w:p w14:paraId="1326A51D" w14:textId="77777777" w:rsidR="00D85A43" w:rsidRPr="007A2874" w:rsidRDefault="00D85A43" w:rsidP="007A2874">
            <w:pPr>
              <w:spacing w:line="360" w:lineRule="auto"/>
              <w:rPr>
                <w:rFonts w:eastAsia="+mn-ea"/>
                <w:position w:val="1"/>
                <w:sz w:val="26"/>
                <w:szCs w:val="26"/>
              </w:rPr>
            </w:pPr>
            <w:r w:rsidRPr="007A2874">
              <w:rPr>
                <w:rFonts w:eastAsia="+mn-ea"/>
                <w:position w:val="1"/>
                <w:szCs w:val="40"/>
              </w:rPr>
              <w:t>Construction</w:t>
            </w:r>
          </w:p>
        </w:tc>
        <w:tc>
          <w:tcPr>
            <w:tcW w:w="2189" w:type="dxa"/>
            <w:vAlign w:val="center"/>
            <w:hideMark/>
          </w:tcPr>
          <w:p w14:paraId="4C98FD4F" w14:textId="263D56B4" w:rsidR="00D85A43" w:rsidRPr="007A2874" w:rsidRDefault="00D85A43" w:rsidP="007A2874">
            <w:pPr>
              <w:spacing w:line="360" w:lineRule="auto"/>
              <w:rPr>
                <w:rFonts w:eastAsia="+mn-ea"/>
                <w:b/>
                <w:position w:val="1"/>
                <w:sz w:val="26"/>
                <w:szCs w:val="26"/>
              </w:rPr>
            </w:pPr>
            <w:r w:rsidRPr="007A2874">
              <w:rPr>
                <w:rFonts w:cstheme="minorHAnsi"/>
                <w:b/>
              </w:rPr>
              <w:t>Fit for use</w:t>
            </w:r>
          </w:p>
        </w:tc>
        <w:tc>
          <w:tcPr>
            <w:tcW w:w="0" w:type="auto"/>
            <w:vAlign w:val="center"/>
            <w:hideMark/>
          </w:tcPr>
          <w:p w14:paraId="243AAD3F" w14:textId="77777777" w:rsidR="00D85A43" w:rsidRPr="007A2874" w:rsidRDefault="00D85A43" w:rsidP="007A2874">
            <w:pPr>
              <w:spacing w:line="360" w:lineRule="auto"/>
              <w:rPr>
                <w:rFonts w:eastAsia="+mn-ea"/>
                <w:b/>
                <w:position w:val="1"/>
                <w:sz w:val="26"/>
                <w:szCs w:val="26"/>
              </w:rPr>
            </w:pPr>
          </w:p>
        </w:tc>
      </w:tr>
      <w:tr w:rsidR="00D85A43" w:rsidRPr="007A2874" w14:paraId="37382E28" w14:textId="77777777" w:rsidTr="00D85A43">
        <w:tc>
          <w:tcPr>
            <w:tcW w:w="3924" w:type="dxa"/>
            <w:vAlign w:val="center"/>
            <w:hideMark/>
          </w:tcPr>
          <w:p w14:paraId="157EC579" w14:textId="77777777" w:rsidR="00D85A43" w:rsidRPr="007A2874" w:rsidRDefault="00D85A43" w:rsidP="007A2874">
            <w:pPr>
              <w:spacing w:line="360" w:lineRule="auto"/>
              <w:rPr>
                <w:rFonts w:eastAsia="+mn-ea"/>
                <w:position w:val="1"/>
                <w:sz w:val="26"/>
                <w:szCs w:val="26"/>
              </w:rPr>
            </w:pPr>
            <w:r w:rsidRPr="007A2874">
              <w:rPr>
                <w:rFonts w:eastAsia="+mn-ea"/>
                <w:position w:val="1"/>
                <w:szCs w:val="40"/>
              </w:rPr>
              <w:t>Presentation and Interpretation</w:t>
            </w:r>
          </w:p>
        </w:tc>
        <w:tc>
          <w:tcPr>
            <w:tcW w:w="2189" w:type="dxa"/>
            <w:vAlign w:val="center"/>
            <w:hideMark/>
          </w:tcPr>
          <w:p w14:paraId="3B6A70A0" w14:textId="073D0E51" w:rsidR="00D85A43" w:rsidRPr="007A2874" w:rsidRDefault="00D85A43" w:rsidP="007A2874">
            <w:pPr>
              <w:spacing w:line="360" w:lineRule="auto"/>
              <w:rPr>
                <w:rFonts w:eastAsia="+mn-ea"/>
                <w:b/>
                <w:position w:val="1"/>
                <w:sz w:val="26"/>
                <w:szCs w:val="26"/>
              </w:rPr>
            </w:pPr>
            <w:r w:rsidRPr="007A2874">
              <w:rPr>
                <w:rFonts w:cstheme="minorHAnsi"/>
                <w:b/>
              </w:rPr>
              <w:t>Fit for use</w:t>
            </w:r>
          </w:p>
        </w:tc>
        <w:tc>
          <w:tcPr>
            <w:tcW w:w="3751" w:type="dxa"/>
            <w:hideMark/>
          </w:tcPr>
          <w:p w14:paraId="7D6F7068" w14:textId="08A28BA6" w:rsidR="00D85A43" w:rsidRPr="007A2874" w:rsidRDefault="00D85A43" w:rsidP="007A2874">
            <w:pPr>
              <w:spacing w:line="360" w:lineRule="auto"/>
              <w:jc w:val="center"/>
              <w:rPr>
                <w:rFonts w:eastAsia="+mn-ea"/>
                <w:b/>
                <w:position w:val="1"/>
                <w:sz w:val="26"/>
                <w:szCs w:val="26"/>
              </w:rPr>
            </w:pPr>
          </w:p>
        </w:tc>
      </w:tr>
      <w:tr w:rsidR="00D85A43" w:rsidRPr="007A2874" w14:paraId="7E6EA9C1" w14:textId="77777777" w:rsidTr="00D85A43">
        <w:tc>
          <w:tcPr>
            <w:tcW w:w="3924" w:type="dxa"/>
            <w:vAlign w:val="center"/>
            <w:hideMark/>
          </w:tcPr>
          <w:p w14:paraId="014F8F6C" w14:textId="77777777" w:rsidR="00D85A43" w:rsidRPr="007A2874" w:rsidRDefault="00D85A43" w:rsidP="007A2874">
            <w:pPr>
              <w:spacing w:line="360" w:lineRule="auto"/>
              <w:rPr>
                <w:rFonts w:eastAsia="+mn-ea"/>
                <w:position w:val="1"/>
                <w:sz w:val="26"/>
                <w:szCs w:val="26"/>
              </w:rPr>
            </w:pPr>
            <w:r w:rsidRPr="007A2874">
              <w:rPr>
                <w:rFonts w:eastAsia="+mn-ea"/>
                <w:position w:val="1"/>
                <w:szCs w:val="40"/>
              </w:rPr>
              <w:t>Risks and Usefulness</w:t>
            </w:r>
          </w:p>
        </w:tc>
        <w:tc>
          <w:tcPr>
            <w:tcW w:w="2189" w:type="dxa"/>
            <w:vAlign w:val="center"/>
            <w:hideMark/>
          </w:tcPr>
          <w:p w14:paraId="643DE25F" w14:textId="6AD74750" w:rsidR="00D85A43" w:rsidRPr="007A2874" w:rsidRDefault="00D85A43" w:rsidP="007A2874">
            <w:pPr>
              <w:spacing w:line="360" w:lineRule="auto"/>
              <w:rPr>
                <w:rFonts w:eastAsia="+mn-ea"/>
                <w:b/>
                <w:position w:val="1"/>
                <w:sz w:val="26"/>
                <w:szCs w:val="26"/>
              </w:rPr>
            </w:pPr>
            <w:r w:rsidRPr="007A2874">
              <w:rPr>
                <w:rFonts w:cstheme="minorHAnsi"/>
                <w:b/>
              </w:rPr>
              <w:t>Fit for use</w:t>
            </w:r>
          </w:p>
        </w:tc>
        <w:tc>
          <w:tcPr>
            <w:tcW w:w="0" w:type="auto"/>
            <w:vAlign w:val="center"/>
            <w:hideMark/>
          </w:tcPr>
          <w:p w14:paraId="352242EF" w14:textId="77777777" w:rsidR="00D85A43" w:rsidRPr="007A2874" w:rsidRDefault="00D85A43" w:rsidP="007A2874">
            <w:pPr>
              <w:spacing w:line="360" w:lineRule="auto"/>
              <w:rPr>
                <w:rFonts w:eastAsia="+mn-ea"/>
                <w:b/>
                <w:position w:val="1"/>
                <w:sz w:val="26"/>
                <w:szCs w:val="26"/>
              </w:rPr>
            </w:pPr>
          </w:p>
        </w:tc>
      </w:tr>
    </w:tbl>
    <w:p w14:paraId="767356A2" w14:textId="77777777" w:rsidR="00C157D5" w:rsidRPr="007A2874" w:rsidRDefault="00C157D5" w:rsidP="007A2874">
      <w:pPr>
        <w:pStyle w:val="NormalWeb"/>
        <w:spacing w:before="0" w:beforeAutospacing="0" w:after="0" w:afterAutospacing="0"/>
        <w:rPr>
          <w:rFonts w:ascii="Arial" w:eastAsia="+mn-ea" w:hAnsi="Arial" w:cs="Arial"/>
          <w:b/>
          <w:position w:val="1"/>
          <w:sz w:val="26"/>
          <w:szCs w:val="26"/>
        </w:rPr>
      </w:pPr>
    </w:p>
    <w:p w14:paraId="41CF7911" w14:textId="77777777" w:rsidR="00C157D5" w:rsidRPr="007A2874" w:rsidRDefault="00C157D5" w:rsidP="007A2874">
      <w:pPr>
        <w:pStyle w:val="NormalWeb"/>
        <w:spacing w:before="0" w:beforeAutospacing="0" w:after="0" w:afterAutospacing="0"/>
        <w:rPr>
          <w:rFonts w:ascii="Arial" w:eastAsia="+mn-ea" w:hAnsi="Arial" w:cs="Arial"/>
          <w:b/>
          <w:position w:val="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6612"/>
      </w:tblGrid>
      <w:tr w:rsidR="007A2874" w:rsidRPr="007A2874" w14:paraId="704C0E52" w14:textId="77777777" w:rsidTr="007A2874">
        <w:tc>
          <w:tcPr>
            <w:tcW w:w="3369" w:type="dxa"/>
            <w:shd w:val="clear" w:color="auto" w:fill="ACD7FF" w:themeFill="accent1" w:themeFillTint="33"/>
          </w:tcPr>
          <w:p w14:paraId="4F645086" w14:textId="77777777" w:rsidR="00C157D5" w:rsidRPr="007A2874" w:rsidRDefault="00C157D5" w:rsidP="007A2874">
            <w:pPr>
              <w:pStyle w:val="NormalWeb"/>
              <w:spacing w:before="120" w:beforeAutospacing="0" w:after="0" w:afterAutospacing="0"/>
              <w:rPr>
                <w:rFonts w:ascii="Arial" w:eastAsia="+mn-ea" w:hAnsi="Arial" w:cs="Arial"/>
                <w:b/>
                <w:position w:val="1"/>
                <w:sz w:val="22"/>
                <w:szCs w:val="22"/>
              </w:rPr>
            </w:pPr>
            <w:r w:rsidRPr="007A2874">
              <w:rPr>
                <w:rFonts w:ascii="Arial" w:eastAsia="+mn-ea" w:hAnsi="Arial" w:cs="Arial"/>
                <w:b/>
                <w:position w:val="1"/>
                <w:sz w:val="22"/>
                <w:szCs w:val="22"/>
              </w:rPr>
              <w:t>Outcome</w:t>
            </w:r>
          </w:p>
        </w:tc>
        <w:sdt>
          <w:sdtPr>
            <w:rPr>
              <w:rFonts w:ascii="Arial" w:eastAsia="+mn-ea" w:hAnsi="Arial" w:cs="Arial"/>
              <w:b/>
              <w:position w:val="1"/>
              <w:sz w:val="22"/>
              <w:szCs w:val="22"/>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tiy Assured Indicators" w:value="This indicator has not been approved for inclusion in the National Library of Qualtiy Assured Indicators"/>
              <w:listItem w:displayText="This indicator is pending sign-off from the IGB Chair" w:value="This indicator is pending sign-off from the IGB Chair"/>
              <w:listItem w:displayText="This indicator has been sent back to MRG following IGB assessment" w:value="This indicator has been sent back to MRG following IGB assessment"/>
            </w:dropDownList>
          </w:sdtPr>
          <w:sdtEndPr/>
          <w:sdtContent>
            <w:tc>
              <w:tcPr>
                <w:tcW w:w="6911" w:type="dxa"/>
              </w:tcPr>
              <w:p w14:paraId="56720C3B" w14:textId="77777777" w:rsidR="00C157D5" w:rsidRPr="007A2874" w:rsidRDefault="00C157D5" w:rsidP="007A2874">
                <w:pPr>
                  <w:pStyle w:val="NormalWeb"/>
                  <w:spacing w:before="0" w:beforeAutospacing="0" w:after="0" w:afterAutospacing="0"/>
                  <w:rPr>
                    <w:rFonts w:ascii="Arial" w:eastAsia="+mn-ea" w:hAnsi="Arial" w:cs="Arial"/>
                    <w:b/>
                    <w:position w:val="1"/>
                    <w:sz w:val="26"/>
                    <w:szCs w:val="26"/>
                  </w:rPr>
                </w:pPr>
                <w:r w:rsidRPr="007A2874">
                  <w:rPr>
                    <w:rFonts w:ascii="Arial" w:eastAsia="+mn-ea" w:hAnsi="Arial" w:cs="Arial"/>
                    <w:b/>
                    <w:position w:val="1"/>
                    <w:sz w:val="22"/>
                    <w:szCs w:val="22"/>
                  </w:rPr>
                  <w:t>This indicator has been approved for inclusion in the National Library of Quality Assured Indicators</w:t>
                </w:r>
              </w:p>
            </w:tc>
          </w:sdtContent>
        </w:sdt>
      </w:tr>
    </w:tbl>
    <w:p w14:paraId="30CE464B" w14:textId="77777777" w:rsidR="00C157D5" w:rsidRPr="007A2874" w:rsidRDefault="00C157D5" w:rsidP="007A2874">
      <w:pPr>
        <w:pStyle w:val="NormalWeb"/>
        <w:spacing w:before="0" w:beforeAutospacing="0" w:after="0" w:afterAutospacing="0"/>
        <w:rPr>
          <w:rFonts w:ascii="Arial" w:eastAsia="+mn-ea" w:hAnsi="Arial" w:cs="Arial"/>
          <w:b/>
          <w:position w:val="1"/>
          <w:sz w:val="26"/>
          <w:szCs w:val="26"/>
        </w:rPr>
      </w:pPr>
    </w:p>
    <w:p w14:paraId="746B714D" w14:textId="77777777" w:rsidR="00C157D5" w:rsidRPr="007A2874" w:rsidRDefault="00C157D5" w:rsidP="007A2874">
      <w:pPr>
        <w:pStyle w:val="NormalWeb"/>
        <w:spacing w:before="0" w:beforeAutospacing="0" w:after="0" w:afterAutospacing="0"/>
        <w:rPr>
          <w:rFonts w:ascii="Arial" w:eastAsia="+mn-ea" w:hAnsi="Arial" w:cs="Arial"/>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7A2874" w:rsidRPr="007A2874" w14:paraId="204E162A" w14:textId="77777777" w:rsidTr="007A2874">
        <w:tc>
          <w:tcPr>
            <w:tcW w:w="10280" w:type="dxa"/>
            <w:shd w:val="clear" w:color="auto" w:fill="ACD7FF" w:themeFill="accent1" w:themeFillTint="33"/>
          </w:tcPr>
          <w:p w14:paraId="58E690CE" w14:textId="77777777" w:rsidR="00C157D5" w:rsidRPr="007A2874" w:rsidRDefault="00C157D5" w:rsidP="007A2874">
            <w:pPr>
              <w:pStyle w:val="NormalWeb"/>
              <w:spacing w:before="0" w:beforeAutospacing="0" w:after="0" w:afterAutospacing="0"/>
              <w:rPr>
                <w:rFonts w:ascii="Arial" w:eastAsia="+mn-ea" w:hAnsi="Arial" w:cs="Arial"/>
                <w:b/>
                <w:position w:val="1"/>
                <w:sz w:val="26"/>
                <w:szCs w:val="26"/>
              </w:rPr>
            </w:pPr>
            <w:r w:rsidRPr="007A2874">
              <w:rPr>
                <w:rFonts w:ascii="Arial" w:eastAsia="+mn-ea" w:hAnsi="Arial" w:cs="Arial"/>
                <w:b/>
                <w:position w:val="1"/>
                <w:sz w:val="26"/>
                <w:szCs w:val="26"/>
              </w:rPr>
              <w:t>Key findings from Assurance</w:t>
            </w:r>
          </w:p>
        </w:tc>
      </w:tr>
      <w:tr w:rsidR="00C157D5" w:rsidRPr="007A2874" w14:paraId="02B9F38E" w14:textId="77777777" w:rsidTr="007A2874">
        <w:tc>
          <w:tcPr>
            <w:tcW w:w="10280" w:type="dxa"/>
          </w:tcPr>
          <w:p w14:paraId="6EB50F3D" w14:textId="77777777" w:rsidR="00C157D5" w:rsidRPr="007A2874" w:rsidRDefault="00C157D5" w:rsidP="007A2874">
            <w:pPr>
              <w:pStyle w:val="ListParagraph"/>
              <w:rPr>
                <w:rFonts w:eastAsia="+mn-ea" w:cs="Arial"/>
                <w:position w:val="1"/>
                <w:lang w:eastAsia="en-GB"/>
              </w:rPr>
            </w:pPr>
          </w:p>
          <w:p w14:paraId="33168A07" w14:textId="77777777" w:rsidR="00C157D5" w:rsidRPr="007A2874" w:rsidRDefault="00C157D5" w:rsidP="00C157D5">
            <w:pPr>
              <w:pStyle w:val="ListParagraph"/>
              <w:numPr>
                <w:ilvl w:val="0"/>
                <w:numId w:val="8"/>
              </w:numPr>
              <w:spacing w:after="0"/>
              <w:contextualSpacing/>
              <w:textboxTightWrap w:val="none"/>
              <w:rPr>
                <w:rFonts w:eastAsia="+mn-ea" w:cs="Arial"/>
                <w:position w:val="1"/>
                <w:lang w:eastAsia="en-GB"/>
              </w:rPr>
            </w:pPr>
            <w:r w:rsidRPr="007A2874">
              <w:rPr>
                <w:rFonts w:eastAsia="+mn-ea" w:cs="Arial"/>
                <w:position w:val="1"/>
                <w:lang w:eastAsia="en-GB"/>
              </w:rPr>
              <w:t>IGB agrees with the conclusions reached by MRG as set out in the appraisal log with no further comments raised by Board members. The indicator is assured for inclusion in the Library and is put forward for review in 1 year to assess if data coverage has improved as expected.</w:t>
            </w:r>
          </w:p>
        </w:tc>
      </w:tr>
    </w:tbl>
    <w:p w14:paraId="32C14D3A" w14:textId="77777777" w:rsidR="00C157D5" w:rsidRPr="007A2874" w:rsidRDefault="00C157D5" w:rsidP="007A2874">
      <w:pPr>
        <w:pStyle w:val="NormalWeb"/>
        <w:spacing w:before="0" w:beforeAutospacing="0" w:after="0" w:afterAutospacing="0"/>
        <w:rPr>
          <w:rFonts w:ascii="Arial" w:eastAsia="+mn-ea" w:hAnsi="Arial" w:cs="Arial"/>
          <w:position w:val="1"/>
          <w:sz w:val="22"/>
          <w:szCs w:val="22"/>
        </w:rPr>
      </w:pPr>
    </w:p>
    <w:p w14:paraId="3CBC7E38" w14:textId="77777777" w:rsidR="00C157D5" w:rsidRPr="007A2874" w:rsidRDefault="00C157D5" w:rsidP="007A2874">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7A2874" w:rsidRPr="007A2874" w14:paraId="35BE042D" w14:textId="77777777" w:rsidTr="007A2874">
        <w:tc>
          <w:tcPr>
            <w:tcW w:w="3369" w:type="dxa"/>
            <w:shd w:val="clear" w:color="auto" w:fill="ACD7FF" w:themeFill="accent1" w:themeFillTint="33"/>
          </w:tcPr>
          <w:p w14:paraId="2642F426" w14:textId="77777777" w:rsidR="00C157D5" w:rsidRPr="007A2874" w:rsidRDefault="00C157D5" w:rsidP="007A2874">
            <w:pPr>
              <w:pStyle w:val="NormalWeb"/>
              <w:spacing w:before="60" w:beforeAutospacing="0" w:after="60" w:afterAutospacing="0"/>
              <w:rPr>
                <w:rFonts w:ascii="Arial" w:eastAsia="+mn-ea" w:hAnsi="Arial" w:cs="Arial"/>
                <w:b/>
                <w:position w:val="1"/>
                <w:sz w:val="22"/>
                <w:szCs w:val="22"/>
              </w:rPr>
            </w:pPr>
            <w:r w:rsidRPr="007A2874">
              <w:rPr>
                <w:rFonts w:ascii="Arial" w:eastAsia="+mn-ea" w:hAnsi="Arial" w:cs="Arial"/>
                <w:b/>
                <w:position w:val="1"/>
                <w:sz w:val="22"/>
                <w:szCs w:val="22"/>
              </w:rPr>
              <w:t>Approval date</w:t>
            </w:r>
          </w:p>
        </w:tc>
        <w:sdt>
          <w:sdtPr>
            <w:rPr>
              <w:rFonts w:ascii="Arial" w:eastAsia="+mn-ea" w:hAnsi="Arial" w:cs="Arial"/>
              <w:position w:val="1"/>
              <w:sz w:val="22"/>
              <w:szCs w:val="22"/>
            </w:rPr>
            <w:id w:val="-1263764361"/>
            <w:date w:fullDate="2016-02-10T00:00:00Z">
              <w:dateFormat w:val="dd/MM/yyyy"/>
              <w:lid w:val="en-GB"/>
              <w:storeMappedDataAs w:val="dateTime"/>
              <w:calendar w:val="gregorian"/>
            </w:date>
          </w:sdtPr>
          <w:sdtEndPr/>
          <w:sdtContent>
            <w:tc>
              <w:tcPr>
                <w:tcW w:w="6945" w:type="dxa"/>
              </w:tcPr>
              <w:p w14:paraId="719D2C6B" w14:textId="77777777" w:rsidR="00C157D5" w:rsidRPr="007A2874" w:rsidRDefault="00C157D5" w:rsidP="007A2874">
                <w:pPr>
                  <w:pStyle w:val="NormalWeb"/>
                  <w:spacing w:before="60" w:beforeAutospacing="0" w:after="60" w:afterAutospacing="0"/>
                  <w:rPr>
                    <w:rFonts w:ascii="Arial" w:eastAsia="+mn-ea" w:hAnsi="Arial" w:cs="Arial"/>
                    <w:position w:val="1"/>
                    <w:sz w:val="22"/>
                    <w:szCs w:val="22"/>
                  </w:rPr>
                </w:pPr>
                <w:r w:rsidRPr="007A2874">
                  <w:rPr>
                    <w:rFonts w:ascii="Arial" w:eastAsia="+mn-ea" w:hAnsi="Arial" w:cs="Arial"/>
                    <w:position w:val="1"/>
                    <w:sz w:val="22"/>
                    <w:szCs w:val="22"/>
                  </w:rPr>
                  <w:t>10/02/2016</w:t>
                </w:r>
              </w:p>
            </w:tc>
          </w:sdtContent>
        </w:sdt>
      </w:tr>
      <w:tr w:rsidR="007A2874" w:rsidRPr="007A2874" w14:paraId="3035D46E" w14:textId="77777777" w:rsidTr="007A2874">
        <w:tc>
          <w:tcPr>
            <w:tcW w:w="3369" w:type="dxa"/>
            <w:shd w:val="clear" w:color="auto" w:fill="ACD7FF" w:themeFill="accent1" w:themeFillTint="33"/>
          </w:tcPr>
          <w:p w14:paraId="55B2FD33" w14:textId="77777777" w:rsidR="00C157D5" w:rsidRPr="007A2874" w:rsidRDefault="00C157D5" w:rsidP="007A2874">
            <w:pPr>
              <w:pStyle w:val="NormalWeb"/>
              <w:spacing w:before="60" w:beforeAutospacing="0" w:after="60" w:afterAutospacing="0"/>
              <w:rPr>
                <w:rFonts w:ascii="Arial" w:eastAsia="+mn-ea" w:hAnsi="Arial" w:cs="Arial"/>
                <w:b/>
                <w:position w:val="1"/>
                <w:sz w:val="22"/>
                <w:szCs w:val="22"/>
              </w:rPr>
            </w:pPr>
            <w:r w:rsidRPr="007A2874">
              <w:rPr>
                <w:rFonts w:ascii="Arial" w:eastAsia="+mn-ea" w:hAnsi="Arial" w:cs="Arial"/>
                <w:b/>
                <w:position w:val="1"/>
                <w:sz w:val="22"/>
                <w:szCs w:val="22"/>
              </w:rPr>
              <w:t>Review date</w:t>
            </w:r>
          </w:p>
        </w:tc>
        <w:sdt>
          <w:sdtPr>
            <w:rPr>
              <w:rFonts w:ascii="Arial" w:eastAsia="+mn-ea" w:hAnsi="Arial" w:cs="Arial"/>
              <w:position w:val="1"/>
              <w:sz w:val="22"/>
              <w:szCs w:val="22"/>
            </w:rPr>
            <w:id w:val="1112320836"/>
            <w:date w:fullDate="2017-02-10T00:00:00Z">
              <w:dateFormat w:val="dd/MM/yyyy"/>
              <w:lid w:val="en-GB"/>
              <w:storeMappedDataAs w:val="dateTime"/>
              <w:calendar w:val="gregorian"/>
            </w:date>
          </w:sdtPr>
          <w:sdtEndPr/>
          <w:sdtContent>
            <w:tc>
              <w:tcPr>
                <w:tcW w:w="6945" w:type="dxa"/>
              </w:tcPr>
              <w:p w14:paraId="4EA878F9" w14:textId="77777777" w:rsidR="00C157D5" w:rsidRPr="007A2874" w:rsidRDefault="00C157D5" w:rsidP="007A2874">
                <w:pPr>
                  <w:pStyle w:val="NormalWeb"/>
                  <w:spacing w:before="60" w:beforeAutospacing="0" w:after="60" w:afterAutospacing="0"/>
                  <w:rPr>
                    <w:rFonts w:ascii="Arial" w:eastAsia="+mn-ea" w:hAnsi="Arial" w:cs="Arial"/>
                    <w:position w:val="1"/>
                    <w:sz w:val="22"/>
                    <w:szCs w:val="22"/>
                  </w:rPr>
                </w:pPr>
                <w:r w:rsidRPr="007A2874">
                  <w:rPr>
                    <w:rFonts w:ascii="Arial" w:eastAsia="+mn-ea" w:hAnsi="Arial" w:cs="Arial"/>
                    <w:position w:val="1"/>
                    <w:sz w:val="22"/>
                    <w:szCs w:val="22"/>
                  </w:rPr>
                  <w:t>10/02/2017</w:t>
                </w:r>
              </w:p>
            </w:tc>
          </w:sdtContent>
        </w:sdt>
      </w:tr>
    </w:tbl>
    <w:p w14:paraId="1C234FFD" w14:textId="77777777" w:rsidR="00C157D5" w:rsidRPr="007A2874" w:rsidRDefault="00C157D5" w:rsidP="007A2874">
      <w:pPr>
        <w:pStyle w:val="NormalWeb"/>
        <w:spacing w:before="0" w:beforeAutospacing="0" w:after="0" w:afterAutospacing="0"/>
        <w:rPr>
          <w:rFonts w:ascii="Arial" w:eastAsia="+mn-ea" w:hAnsi="Arial" w:cs="Arial"/>
          <w:position w:val="1"/>
          <w:sz w:val="22"/>
          <w:szCs w:val="22"/>
        </w:rPr>
      </w:pPr>
    </w:p>
    <w:p w14:paraId="11C05017" w14:textId="77777777" w:rsidR="00C157D5" w:rsidRPr="007A2874" w:rsidRDefault="00C157D5" w:rsidP="007A2874">
      <w:pPr>
        <w:pStyle w:val="NormalWeb"/>
        <w:spacing w:before="0" w:beforeAutospacing="0" w:after="0" w:afterAutospacing="0"/>
        <w:rPr>
          <w:rFonts w:ascii="Arial" w:eastAsia="+mn-ea" w:hAnsi="Arial" w:cs="Arial"/>
          <w:b/>
          <w:position w:val="1"/>
          <w:sz w:val="32"/>
          <w:szCs w:val="32"/>
        </w:rPr>
      </w:pPr>
      <w:r w:rsidRPr="007A2874">
        <w:br w:type="page"/>
      </w:r>
      <w:r w:rsidRPr="007A2874">
        <w:rPr>
          <w:rFonts w:ascii="Arial" w:eastAsia="+mn-ea" w:hAnsi="Arial" w:cs="Arial"/>
          <w:b/>
          <w:position w:val="1"/>
          <w:sz w:val="32"/>
          <w:szCs w:val="32"/>
        </w:rPr>
        <w:lastRenderedPageBreak/>
        <w:t xml:space="preserve">Details of Methodology Appraisal - </w:t>
      </w:r>
      <w:sdt>
        <w:sdtPr>
          <w:rPr>
            <w:rFonts w:ascii="Arial" w:eastAsia="+mn-ea" w:hAnsi="Arial" w:cs="Arial"/>
            <w:b/>
            <w:position w:val="1"/>
            <w:sz w:val="32"/>
            <w:szCs w:val="32"/>
          </w:rPr>
          <w:id w:val="1730420586"/>
          <w:date w:fullDate="2016-01-06T00:00:00Z">
            <w:dateFormat w:val="dd/MM/yyyy"/>
            <w:lid w:val="en-GB"/>
            <w:storeMappedDataAs w:val="dateTime"/>
            <w:calendar w:val="gregorian"/>
          </w:date>
        </w:sdtPr>
        <w:sdtEndPr/>
        <w:sdtContent>
          <w:r w:rsidRPr="007A2874">
            <w:rPr>
              <w:rFonts w:ascii="Arial" w:eastAsia="+mn-ea" w:hAnsi="Arial" w:cs="Arial"/>
              <w:b/>
              <w:position w:val="1"/>
              <w:sz w:val="32"/>
              <w:szCs w:val="32"/>
            </w:rPr>
            <w:t>06/01/2016</w:t>
          </w:r>
        </w:sdtContent>
      </w:sdt>
      <w:r w:rsidRPr="007A2874">
        <w:rPr>
          <w:rFonts w:ascii="Arial" w:eastAsia="+mn-ea" w:hAnsi="Arial" w:cs="Arial"/>
          <w:b/>
          <w:position w:val="1"/>
          <w:sz w:val="32"/>
          <w:szCs w:val="32"/>
        </w:rPr>
        <w:t>, 04/02/2016</w:t>
      </w:r>
    </w:p>
    <w:p w14:paraId="19CD3828" w14:textId="77777777" w:rsidR="00C157D5" w:rsidRPr="007A2874" w:rsidRDefault="00C157D5" w:rsidP="007A2874">
      <w:pPr>
        <w:pStyle w:val="NormalWeb"/>
        <w:spacing w:before="0" w:beforeAutospacing="0" w:after="0" w:afterAutospacing="0"/>
        <w:rPr>
          <w:rFonts w:ascii="Arial" w:eastAsia="+mn-ea" w:hAnsi="Arial" w:cs="Arial"/>
          <w:b/>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7A2874" w:rsidRPr="007A2874" w14:paraId="6A0A670B" w14:textId="77777777" w:rsidTr="007A2874">
        <w:tc>
          <w:tcPr>
            <w:tcW w:w="3369" w:type="dxa"/>
            <w:shd w:val="clear" w:color="auto" w:fill="ACD7FF" w:themeFill="accent1" w:themeFillTint="33"/>
          </w:tcPr>
          <w:p w14:paraId="70F01A0A" w14:textId="77777777" w:rsidR="00C157D5" w:rsidRPr="007A2874" w:rsidRDefault="00C157D5" w:rsidP="007A2874">
            <w:pPr>
              <w:pStyle w:val="NormalWeb"/>
              <w:spacing w:beforeLines="60" w:before="144" w:beforeAutospacing="0" w:afterLines="60" w:after="144" w:afterAutospacing="0"/>
              <w:rPr>
                <w:rFonts w:ascii="Arial" w:eastAsia="+mn-ea" w:hAnsi="Arial" w:cs="Arial"/>
                <w:b/>
                <w:position w:val="1"/>
                <w:sz w:val="22"/>
                <w:szCs w:val="22"/>
              </w:rPr>
            </w:pPr>
            <w:r w:rsidRPr="007A2874">
              <w:rPr>
                <w:rFonts w:ascii="Arial" w:eastAsia="+mn-ea" w:hAnsi="Arial" w:cs="Arial"/>
                <w:b/>
                <w:position w:val="1"/>
                <w:sz w:val="22"/>
                <w:szCs w:val="22"/>
              </w:rPr>
              <w:t>Methodology appraisal body</w:t>
            </w:r>
          </w:p>
        </w:tc>
        <w:tc>
          <w:tcPr>
            <w:tcW w:w="6945" w:type="dxa"/>
          </w:tcPr>
          <w:p w14:paraId="4623E4B9" w14:textId="77777777" w:rsidR="00C157D5" w:rsidRPr="007A2874" w:rsidRDefault="00D963CC" w:rsidP="007A2874">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HSCIC's Indicator &amp; Methodology Assurance Service" w:value="HSCIC's Indicator &amp; Methodology Assurance Service"/>
                </w:dropDownList>
              </w:sdtPr>
              <w:sdtEndPr/>
              <w:sdtContent>
                <w:r w:rsidR="00C157D5" w:rsidRPr="007A2874">
                  <w:rPr>
                    <w:rFonts w:ascii="Arial" w:eastAsia="+mn-ea" w:hAnsi="Arial" w:cs="Arial"/>
                    <w:position w:val="1"/>
                    <w:sz w:val="22"/>
                    <w:szCs w:val="22"/>
                  </w:rPr>
                  <w:t>HSCIC's Indicator &amp; Methodology Assurance Service</w:t>
                </w:r>
              </w:sdtContent>
            </w:sdt>
          </w:p>
        </w:tc>
      </w:tr>
      <w:tr w:rsidR="007A2874" w:rsidRPr="007A2874" w14:paraId="07C69ED7" w14:textId="77777777" w:rsidTr="007A2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ACD7FF" w:themeFill="accent1" w:themeFillTint="33"/>
          </w:tcPr>
          <w:p w14:paraId="2C200908"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6407514B"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position w:val="1"/>
                    <w:sz w:val="22"/>
                    <w:szCs w:val="22"/>
                  </w:rPr>
                  <w:t>Initial assurance</w:t>
                </w:r>
              </w:p>
            </w:tc>
          </w:sdtContent>
        </w:sdt>
      </w:tr>
      <w:tr w:rsidR="007A2874" w:rsidRPr="007A2874" w14:paraId="13CCD86C" w14:textId="77777777" w:rsidTr="007A2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ACD7FF" w:themeFill="accent1" w:themeFillTint="33"/>
          </w:tcPr>
          <w:p w14:paraId="69C8437E"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b/>
                <w:position w:val="1"/>
                <w:sz w:val="22"/>
                <w:szCs w:val="22"/>
              </w:rPr>
              <w:t>Iteration</w:t>
            </w:r>
          </w:p>
        </w:tc>
        <w:sdt>
          <w:sdtPr>
            <w:rPr>
              <w:rFonts w:ascii="Arial" w:eastAsia="+mn-ea" w:hAnsi="Arial" w:cs="Arial"/>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42D22B1D"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position w:val="1"/>
                    <w:sz w:val="22"/>
                    <w:szCs w:val="22"/>
                  </w:rPr>
                  <w:t>Update from MRG Chair</w:t>
                </w:r>
              </w:p>
            </w:tc>
          </w:sdtContent>
        </w:sdt>
      </w:tr>
    </w:tbl>
    <w:p w14:paraId="34975564" w14:textId="77777777" w:rsidR="00C157D5" w:rsidRPr="007A2874" w:rsidRDefault="00C157D5" w:rsidP="007A2874"/>
    <w:p w14:paraId="2CB3B2F9" w14:textId="79805749" w:rsidR="00C157D5" w:rsidRDefault="00C157D5" w:rsidP="007A2874">
      <w:pPr>
        <w:spacing w:after="0"/>
        <w:rPr>
          <w:rFonts w:eastAsia="+mn-ea" w:cs="Arial"/>
          <w:b/>
          <w:i/>
          <w:position w:val="1"/>
          <w:sz w:val="26"/>
          <w:szCs w:val="26"/>
          <w:lang w:eastAsia="en-GB"/>
        </w:rPr>
      </w:pPr>
      <w:r w:rsidRPr="007A2874">
        <w:rPr>
          <w:rFonts w:eastAsia="+mn-ea" w:cs="Arial"/>
          <w:b/>
          <w:i/>
          <w:position w:val="1"/>
          <w:sz w:val="26"/>
          <w:szCs w:val="26"/>
          <w:lang w:eastAsia="en-GB"/>
        </w:rPr>
        <w:t>Suggested Assurance Rating by Methodology Appraisal Body</w:t>
      </w:r>
    </w:p>
    <w:p w14:paraId="4BA194DD" w14:textId="77777777" w:rsidR="00D85A43" w:rsidRDefault="00D85A43" w:rsidP="007A2874">
      <w:pPr>
        <w:spacing w:after="0"/>
        <w:rPr>
          <w:rFonts w:eastAsia="+mn-ea" w:cs="Arial"/>
          <w:b/>
          <w:i/>
          <w:position w:val="1"/>
          <w:sz w:val="26"/>
          <w:szCs w:val="26"/>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189"/>
        <w:gridCol w:w="3751"/>
      </w:tblGrid>
      <w:tr w:rsidR="00D85A43" w:rsidRPr="007A2874" w14:paraId="35B6B4B4" w14:textId="77777777" w:rsidTr="00D85A43">
        <w:tc>
          <w:tcPr>
            <w:tcW w:w="3924" w:type="dxa"/>
            <w:vAlign w:val="center"/>
          </w:tcPr>
          <w:p w14:paraId="21D962DE" w14:textId="77777777" w:rsidR="00D85A43" w:rsidRPr="00D85A43" w:rsidRDefault="00D85A43" w:rsidP="00D85A43">
            <w:pPr>
              <w:spacing w:before="120"/>
              <w:rPr>
                <w:rFonts w:eastAsia="+mn-ea"/>
                <w:b/>
                <w:position w:val="1"/>
                <w:sz w:val="26"/>
                <w:szCs w:val="26"/>
              </w:rPr>
            </w:pPr>
            <w:r w:rsidRPr="007A2874">
              <w:rPr>
                <w:rFonts w:eastAsia="+mn-ea"/>
                <w:b/>
                <w:position w:val="1"/>
                <w:sz w:val="26"/>
                <w:szCs w:val="26"/>
              </w:rPr>
              <w:t>Ratings Against Assessment Criteria</w:t>
            </w:r>
          </w:p>
        </w:tc>
        <w:tc>
          <w:tcPr>
            <w:tcW w:w="2189" w:type="dxa"/>
            <w:vAlign w:val="center"/>
          </w:tcPr>
          <w:p w14:paraId="2BB2AFCC" w14:textId="77777777" w:rsidR="00D85A43" w:rsidRPr="007A2874" w:rsidRDefault="00D85A43" w:rsidP="00D85A43">
            <w:pPr>
              <w:spacing w:line="360" w:lineRule="auto"/>
              <w:rPr>
                <w:rFonts w:eastAsia="+mn-ea"/>
                <w:b/>
                <w:noProof/>
                <w:position w:val="1"/>
                <w:sz w:val="32"/>
                <w:szCs w:val="40"/>
                <w:lang w:eastAsia="en-GB"/>
              </w:rPr>
            </w:pPr>
          </w:p>
        </w:tc>
        <w:tc>
          <w:tcPr>
            <w:tcW w:w="3751" w:type="dxa"/>
            <w:vAlign w:val="center"/>
          </w:tcPr>
          <w:p w14:paraId="010EF417" w14:textId="77777777" w:rsidR="00D85A43" w:rsidRPr="00D85A43" w:rsidRDefault="00D85A43" w:rsidP="00D85A43">
            <w:pPr>
              <w:spacing w:line="360" w:lineRule="auto"/>
              <w:jc w:val="center"/>
              <w:rPr>
                <w:rFonts w:eastAsia="+mn-ea"/>
                <w:b/>
                <w:position w:val="1"/>
                <w:sz w:val="26"/>
                <w:szCs w:val="26"/>
              </w:rPr>
            </w:pPr>
            <w:r w:rsidRPr="007A2874">
              <w:rPr>
                <w:rFonts w:eastAsia="+mn-ea"/>
                <w:b/>
                <w:position w:val="1"/>
                <w:sz w:val="26"/>
                <w:szCs w:val="26"/>
              </w:rPr>
              <w:t>Overall Rating</w:t>
            </w:r>
            <w:r>
              <w:rPr>
                <w:rFonts w:eastAsia="+mn-ea"/>
                <w:b/>
                <w:position w:val="1"/>
                <w:sz w:val="26"/>
                <w:szCs w:val="26"/>
              </w:rPr>
              <w:t xml:space="preserve"> – use with caution – data quality issue</w:t>
            </w:r>
          </w:p>
        </w:tc>
      </w:tr>
      <w:tr w:rsidR="00D85A43" w:rsidRPr="007A2874" w14:paraId="3DCBD3CF" w14:textId="77777777" w:rsidTr="00D85A43">
        <w:tc>
          <w:tcPr>
            <w:tcW w:w="3924" w:type="dxa"/>
            <w:vAlign w:val="center"/>
            <w:hideMark/>
          </w:tcPr>
          <w:p w14:paraId="3D3F2686"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Clarity</w:t>
            </w:r>
          </w:p>
        </w:tc>
        <w:tc>
          <w:tcPr>
            <w:tcW w:w="2189" w:type="dxa"/>
            <w:vAlign w:val="center"/>
            <w:hideMark/>
          </w:tcPr>
          <w:p w14:paraId="3AB5AC69" w14:textId="77777777" w:rsidR="00D85A43" w:rsidRPr="007A2874" w:rsidRDefault="00D85A43" w:rsidP="00D85A43">
            <w:pPr>
              <w:spacing w:line="360" w:lineRule="auto"/>
              <w:rPr>
                <w:rFonts w:eastAsia="+mn-ea"/>
                <w:b/>
                <w:position w:val="1"/>
                <w:sz w:val="26"/>
                <w:szCs w:val="26"/>
              </w:rPr>
            </w:pPr>
            <w:r w:rsidRPr="007A2874">
              <w:rPr>
                <w:rFonts w:cstheme="minorHAnsi"/>
                <w:b/>
              </w:rPr>
              <w:t>Fit for use</w:t>
            </w:r>
          </w:p>
        </w:tc>
        <w:tc>
          <w:tcPr>
            <w:tcW w:w="3751" w:type="dxa"/>
            <w:vAlign w:val="center"/>
            <w:hideMark/>
          </w:tcPr>
          <w:p w14:paraId="66A407CB" w14:textId="77777777" w:rsidR="00D85A43" w:rsidRPr="007A2874" w:rsidRDefault="00D85A43" w:rsidP="00D85A43">
            <w:pPr>
              <w:spacing w:before="100" w:beforeAutospacing="1" w:after="100" w:afterAutospacing="1" w:line="360" w:lineRule="auto"/>
              <w:jc w:val="center"/>
              <w:rPr>
                <w:rFonts w:eastAsia="+mn-ea"/>
                <w:b/>
                <w:position w:val="1"/>
                <w:sz w:val="26"/>
                <w:szCs w:val="26"/>
              </w:rPr>
            </w:pPr>
          </w:p>
        </w:tc>
      </w:tr>
      <w:tr w:rsidR="00D85A43" w:rsidRPr="007A2874" w14:paraId="1F6A2007" w14:textId="77777777" w:rsidTr="00D85A43">
        <w:tc>
          <w:tcPr>
            <w:tcW w:w="3924" w:type="dxa"/>
            <w:vAlign w:val="center"/>
            <w:hideMark/>
          </w:tcPr>
          <w:p w14:paraId="4F89769A"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Rationale</w:t>
            </w:r>
          </w:p>
        </w:tc>
        <w:tc>
          <w:tcPr>
            <w:tcW w:w="2189" w:type="dxa"/>
            <w:vAlign w:val="center"/>
            <w:hideMark/>
          </w:tcPr>
          <w:p w14:paraId="6797D9F2" w14:textId="77777777" w:rsidR="00D85A43" w:rsidRPr="007A2874" w:rsidRDefault="00D85A43" w:rsidP="00D85A43">
            <w:pPr>
              <w:spacing w:line="360" w:lineRule="auto"/>
              <w:rPr>
                <w:rFonts w:eastAsia="+mn-ea"/>
                <w:b/>
                <w:position w:val="1"/>
                <w:sz w:val="26"/>
                <w:szCs w:val="26"/>
              </w:rPr>
            </w:pPr>
            <w:r w:rsidRPr="007A2874">
              <w:rPr>
                <w:rFonts w:cstheme="minorHAnsi"/>
                <w:b/>
              </w:rPr>
              <w:t>Fit for use</w:t>
            </w:r>
          </w:p>
        </w:tc>
        <w:tc>
          <w:tcPr>
            <w:tcW w:w="0" w:type="auto"/>
            <w:vAlign w:val="center"/>
            <w:hideMark/>
          </w:tcPr>
          <w:p w14:paraId="4790F740" w14:textId="77777777" w:rsidR="00D85A43" w:rsidRPr="007A2874" w:rsidRDefault="00D85A43" w:rsidP="00D85A43">
            <w:pPr>
              <w:spacing w:line="360" w:lineRule="auto"/>
              <w:rPr>
                <w:rFonts w:eastAsia="+mn-ea"/>
                <w:b/>
                <w:position w:val="1"/>
                <w:sz w:val="26"/>
                <w:szCs w:val="26"/>
              </w:rPr>
            </w:pPr>
          </w:p>
        </w:tc>
      </w:tr>
      <w:tr w:rsidR="00D85A43" w:rsidRPr="007A2874" w14:paraId="08F81C12" w14:textId="77777777" w:rsidTr="00D85A43">
        <w:tc>
          <w:tcPr>
            <w:tcW w:w="3924" w:type="dxa"/>
            <w:vAlign w:val="center"/>
            <w:hideMark/>
          </w:tcPr>
          <w:p w14:paraId="455B74D9"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Data</w:t>
            </w:r>
          </w:p>
        </w:tc>
        <w:tc>
          <w:tcPr>
            <w:tcW w:w="2189" w:type="dxa"/>
            <w:vAlign w:val="center"/>
            <w:hideMark/>
          </w:tcPr>
          <w:p w14:paraId="609E8D89" w14:textId="77777777" w:rsidR="00D85A43" w:rsidRPr="007A2874" w:rsidRDefault="00D85A43" w:rsidP="00D85A43">
            <w:pPr>
              <w:spacing w:line="360" w:lineRule="auto"/>
              <w:rPr>
                <w:rFonts w:eastAsia="+mn-ea"/>
                <w:b/>
                <w:position w:val="1"/>
                <w:sz w:val="26"/>
                <w:szCs w:val="26"/>
              </w:rPr>
            </w:pPr>
            <w:r w:rsidRPr="007A2874">
              <w:rPr>
                <w:rFonts w:cstheme="minorHAnsi"/>
                <w:b/>
              </w:rPr>
              <w:t>Use with caution – data quality</w:t>
            </w:r>
          </w:p>
        </w:tc>
        <w:tc>
          <w:tcPr>
            <w:tcW w:w="0" w:type="auto"/>
            <w:vAlign w:val="center"/>
            <w:hideMark/>
          </w:tcPr>
          <w:p w14:paraId="3DA89F68" w14:textId="77777777" w:rsidR="00D85A43" w:rsidRPr="007A2874" w:rsidRDefault="00D85A43" w:rsidP="00D85A43">
            <w:pPr>
              <w:spacing w:line="360" w:lineRule="auto"/>
              <w:rPr>
                <w:rFonts w:eastAsia="+mn-ea"/>
                <w:b/>
                <w:position w:val="1"/>
                <w:sz w:val="26"/>
                <w:szCs w:val="26"/>
              </w:rPr>
            </w:pPr>
          </w:p>
        </w:tc>
      </w:tr>
      <w:tr w:rsidR="00D85A43" w:rsidRPr="007A2874" w14:paraId="0F966171" w14:textId="77777777" w:rsidTr="00D85A43">
        <w:tc>
          <w:tcPr>
            <w:tcW w:w="3924" w:type="dxa"/>
            <w:vAlign w:val="center"/>
            <w:hideMark/>
          </w:tcPr>
          <w:p w14:paraId="3159965D"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Construction</w:t>
            </w:r>
          </w:p>
        </w:tc>
        <w:tc>
          <w:tcPr>
            <w:tcW w:w="2189" w:type="dxa"/>
            <w:vAlign w:val="center"/>
            <w:hideMark/>
          </w:tcPr>
          <w:p w14:paraId="54EA2DA0" w14:textId="77777777" w:rsidR="00D85A43" w:rsidRPr="007A2874" w:rsidRDefault="00D85A43" w:rsidP="00D85A43">
            <w:pPr>
              <w:spacing w:line="360" w:lineRule="auto"/>
              <w:rPr>
                <w:rFonts w:eastAsia="+mn-ea"/>
                <w:b/>
                <w:position w:val="1"/>
                <w:sz w:val="26"/>
                <w:szCs w:val="26"/>
              </w:rPr>
            </w:pPr>
            <w:r w:rsidRPr="007A2874">
              <w:rPr>
                <w:rFonts w:cstheme="minorHAnsi"/>
                <w:b/>
              </w:rPr>
              <w:t>Fit for use</w:t>
            </w:r>
          </w:p>
        </w:tc>
        <w:tc>
          <w:tcPr>
            <w:tcW w:w="0" w:type="auto"/>
            <w:vAlign w:val="center"/>
            <w:hideMark/>
          </w:tcPr>
          <w:p w14:paraId="36E523AC" w14:textId="77777777" w:rsidR="00D85A43" w:rsidRPr="007A2874" w:rsidRDefault="00D85A43" w:rsidP="00D85A43">
            <w:pPr>
              <w:spacing w:line="360" w:lineRule="auto"/>
              <w:rPr>
                <w:rFonts w:eastAsia="+mn-ea"/>
                <w:b/>
                <w:position w:val="1"/>
                <w:sz w:val="26"/>
                <w:szCs w:val="26"/>
              </w:rPr>
            </w:pPr>
          </w:p>
        </w:tc>
      </w:tr>
      <w:tr w:rsidR="00D85A43" w:rsidRPr="007A2874" w14:paraId="31E5915A" w14:textId="77777777" w:rsidTr="00D85A43">
        <w:tc>
          <w:tcPr>
            <w:tcW w:w="3924" w:type="dxa"/>
            <w:vAlign w:val="center"/>
            <w:hideMark/>
          </w:tcPr>
          <w:p w14:paraId="1724EB5E"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Presentation and Interpretation</w:t>
            </w:r>
          </w:p>
        </w:tc>
        <w:tc>
          <w:tcPr>
            <w:tcW w:w="2189" w:type="dxa"/>
            <w:vAlign w:val="center"/>
            <w:hideMark/>
          </w:tcPr>
          <w:p w14:paraId="7E663B47" w14:textId="77777777" w:rsidR="00D85A43" w:rsidRPr="007A2874" w:rsidRDefault="00D85A43" w:rsidP="00D85A43">
            <w:pPr>
              <w:spacing w:line="360" w:lineRule="auto"/>
              <w:rPr>
                <w:rFonts w:eastAsia="+mn-ea"/>
                <w:b/>
                <w:position w:val="1"/>
                <w:sz w:val="26"/>
                <w:szCs w:val="26"/>
              </w:rPr>
            </w:pPr>
            <w:r w:rsidRPr="007A2874">
              <w:rPr>
                <w:rFonts w:cstheme="minorHAnsi"/>
                <w:b/>
              </w:rPr>
              <w:t>Fit for use</w:t>
            </w:r>
          </w:p>
        </w:tc>
        <w:tc>
          <w:tcPr>
            <w:tcW w:w="3751" w:type="dxa"/>
            <w:hideMark/>
          </w:tcPr>
          <w:p w14:paraId="32FD1399" w14:textId="77777777" w:rsidR="00D85A43" w:rsidRPr="007A2874" w:rsidRDefault="00D85A43" w:rsidP="00D85A43">
            <w:pPr>
              <w:spacing w:line="360" w:lineRule="auto"/>
              <w:jc w:val="center"/>
              <w:rPr>
                <w:rFonts w:eastAsia="+mn-ea"/>
                <w:b/>
                <w:position w:val="1"/>
                <w:sz w:val="26"/>
                <w:szCs w:val="26"/>
              </w:rPr>
            </w:pPr>
          </w:p>
        </w:tc>
      </w:tr>
      <w:tr w:rsidR="00D85A43" w:rsidRPr="007A2874" w14:paraId="5DBEBDB3" w14:textId="77777777" w:rsidTr="00D85A43">
        <w:tc>
          <w:tcPr>
            <w:tcW w:w="3924" w:type="dxa"/>
            <w:vAlign w:val="center"/>
            <w:hideMark/>
          </w:tcPr>
          <w:p w14:paraId="4F05E916"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Risks and Usefulness</w:t>
            </w:r>
          </w:p>
        </w:tc>
        <w:tc>
          <w:tcPr>
            <w:tcW w:w="2189" w:type="dxa"/>
            <w:vAlign w:val="center"/>
            <w:hideMark/>
          </w:tcPr>
          <w:p w14:paraId="30CBBE18" w14:textId="77777777" w:rsidR="00D85A43" w:rsidRPr="007A2874" w:rsidRDefault="00D85A43" w:rsidP="00D85A43">
            <w:pPr>
              <w:spacing w:line="360" w:lineRule="auto"/>
              <w:rPr>
                <w:rFonts w:eastAsia="+mn-ea"/>
                <w:b/>
                <w:position w:val="1"/>
                <w:sz w:val="26"/>
                <w:szCs w:val="26"/>
              </w:rPr>
            </w:pPr>
            <w:r w:rsidRPr="007A2874">
              <w:rPr>
                <w:rFonts w:cstheme="minorHAnsi"/>
                <w:b/>
              </w:rPr>
              <w:t>Fit for use</w:t>
            </w:r>
          </w:p>
        </w:tc>
        <w:tc>
          <w:tcPr>
            <w:tcW w:w="0" w:type="auto"/>
            <w:vAlign w:val="center"/>
            <w:hideMark/>
          </w:tcPr>
          <w:p w14:paraId="1348750A" w14:textId="77777777" w:rsidR="00D85A43" w:rsidRPr="007A2874" w:rsidRDefault="00D85A43" w:rsidP="00D85A43">
            <w:pPr>
              <w:spacing w:line="360" w:lineRule="auto"/>
              <w:rPr>
                <w:rFonts w:eastAsia="+mn-ea"/>
                <w:b/>
                <w:position w:val="1"/>
                <w:sz w:val="26"/>
                <w:szCs w:val="26"/>
              </w:rPr>
            </w:pPr>
          </w:p>
        </w:tc>
      </w:tr>
    </w:tbl>
    <w:p w14:paraId="3A28C121" w14:textId="77777777" w:rsidR="00D85A43" w:rsidRPr="007A2874" w:rsidRDefault="00D85A43" w:rsidP="007A2874">
      <w:pPr>
        <w:spacing w:after="0"/>
        <w:rPr>
          <w:rFonts w:eastAsia="+mn-ea" w:cs="Arial"/>
          <w:b/>
          <w:i/>
          <w:position w:val="1"/>
          <w:sz w:val="26"/>
          <w:szCs w:val="26"/>
          <w:lang w:eastAsia="en-GB"/>
        </w:rPr>
      </w:pPr>
    </w:p>
    <w:p w14:paraId="04E5C58A" w14:textId="77777777" w:rsidR="00C157D5" w:rsidRPr="007A2874" w:rsidRDefault="00D963CC" w:rsidP="007A2874">
      <w:pPr>
        <w:spacing w:after="0"/>
        <w:jc w:val="center"/>
        <w:rPr>
          <w:rFonts w:eastAsia="+mn-ea" w:cs="Arial"/>
          <w:b/>
          <w:position w:val="1"/>
          <w:sz w:val="26"/>
          <w:szCs w:val="26"/>
          <w:lang w:eastAsia="en-GB"/>
        </w:rPr>
      </w:pPr>
      <w:r>
        <w:rPr>
          <w:rFonts w:eastAsia="+mn-ea" w:cs="Arial"/>
          <w:b/>
          <w:position w:val="1"/>
          <w:sz w:val="26"/>
          <w:szCs w:val="26"/>
          <w:lang w:eastAsia="en-GB"/>
        </w:rPr>
        <w:pict w14:anchorId="58619073">
          <v:rect id="_x0000_i1026" style="width:503.2pt;height:1.5pt" o:hralign="center" o:hrstd="t" o:hr="t" fillcolor="#a0a0a0" stroked="f"/>
        </w:pict>
      </w:r>
    </w:p>
    <w:p w14:paraId="40307F3E" w14:textId="77777777" w:rsidR="00C157D5" w:rsidRPr="007A2874" w:rsidRDefault="00C157D5" w:rsidP="007A2874">
      <w:pPr>
        <w:spacing w:after="0"/>
        <w:rPr>
          <w:rFonts w:eastAsia="+mn-ea"/>
          <w:b/>
          <w:position w:val="1"/>
          <w:sz w:val="26"/>
        </w:rPr>
      </w:pPr>
    </w:p>
    <w:p w14:paraId="1F8E34B5" w14:textId="77777777" w:rsidR="00C157D5" w:rsidRPr="007A2874" w:rsidRDefault="00C157D5" w:rsidP="007A2874">
      <w:pPr>
        <w:spacing w:after="0"/>
        <w:rPr>
          <w:rFonts w:eastAsia="+mn-ea"/>
          <w:b/>
          <w:position w:val="1"/>
        </w:rPr>
      </w:pPr>
      <w:r w:rsidRPr="007A2874">
        <w:rPr>
          <w:rFonts w:eastAsia="+mn-ea"/>
          <w:b/>
          <w:position w:val="1"/>
        </w:rPr>
        <w:t>Updated information supplied to MRG Chair:</w:t>
      </w:r>
    </w:p>
    <w:p w14:paraId="2D88CCA9" w14:textId="77777777" w:rsidR="00C157D5" w:rsidRPr="007A2874" w:rsidRDefault="00C157D5" w:rsidP="007A2874">
      <w:pPr>
        <w:spacing w:after="0"/>
        <w:rPr>
          <w:rFonts w:eastAsia="+mn-ea"/>
          <w:b/>
          <w:position w:val="1"/>
        </w:rPr>
      </w:pPr>
    </w:p>
    <w:p w14:paraId="74203F1E" w14:textId="77777777" w:rsidR="00C157D5" w:rsidRPr="007A2874" w:rsidRDefault="00C157D5" w:rsidP="007A2874">
      <w:pPr>
        <w:spacing w:after="0"/>
        <w:rPr>
          <w:rFonts w:cstheme="minorHAnsi"/>
          <w:szCs w:val="23"/>
          <w:lang w:eastAsia="en-GB"/>
        </w:rPr>
      </w:pPr>
      <w:r w:rsidRPr="007A2874">
        <w:rPr>
          <w:rFonts w:eastAsia="+mn-ea" w:cstheme="minorHAnsi"/>
          <w:position w:val="1"/>
        </w:rPr>
        <w:t xml:space="preserve">Following recommendations set out in the first MRG meeting, the applicant provided additional information and amended the form. </w:t>
      </w:r>
      <w:proofErr w:type="gramStart"/>
      <w:r w:rsidRPr="007A2874">
        <w:rPr>
          <w:rFonts w:cstheme="minorHAnsi"/>
          <w:szCs w:val="23"/>
          <w:lang w:eastAsia="en-GB"/>
        </w:rPr>
        <w:t>In light of</w:t>
      </w:r>
      <w:proofErr w:type="gramEnd"/>
      <w:r w:rsidRPr="007A2874">
        <w:rPr>
          <w:rFonts w:cstheme="minorHAnsi"/>
          <w:szCs w:val="23"/>
          <w:lang w:eastAsia="en-GB"/>
        </w:rPr>
        <w:t xml:space="preserve"> these changes made by the applicant, the MRG Chair and Vice Chair have revised the ratings for both the ‘Rationale’, ‘Construction’ and ‘Presentation and Interpretation’ as fit for use.</w:t>
      </w:r>
    </w:p>
    <w:p w14:paraId="142245EE" w14:textId="77777777" w:rsidR="00C157D5" w:rsidRPr="007A2874" w:rsidRDefault="00C157D5" w:rsidP="007A2874">
      <w:pPr>
        <w:spacing w:before="240"/>
        <w:rPr>
          <w:rFonts w:eastAsia="+mn-ea" w:cs="Arial"/>
          <w:b/>
          <w:position w:val="1"/>
          <w:szCs w:val="40"/>
        </w:rPr>
      </w:pPr>
      <w:r w:rsidRPr="007A2874">
        <w:rPr>
          <w:rFonts w:eastAsia="+mn-ea" w:cs="Arial"/>
          <w:b/>
          <w:position w:val="1"/>
          <w:szCs w:val="40"/>
        </w:rPr>
        <w:t>Summary Recommendation to IGB:</w:t>
      </w:r>
    </w:p>
    <w:sdt>
      <w:sdtPr>
        <w:rPr>
          <w:lang w:eastAsia="en-GB"/>
        </w:rPr>
        <w:alias w:val="Summary Recommendation to IGB"/>
        <w:tag w:val="Summary Recommendation to IGB"/>
        <w:id w:val="-1131632571"/>
      </w:sdtPr>
      <w:sdtEndPr/>
      <w:sdtContent>
        <w:p w14:paraId="01E181D3" w14:textId="77777777" w:rsidR="00C157D5" w:rsidRPr="007A2874" w:rsidRDefault="00C157D5" w:rsidP="007A2874">
          <w:pPr>
            <w:spacing w:before="240"/>
            <w:rPr>
              <w:rFonts w:cstheme="minorHAnsi"/>
              <w:lang w:eastAsia="en-GB"/>
            </w:rPr>
          </w:pPr>
          <w:r w:rsidRPr="007A2874">
            <w:rPr>
              <w:rFonts w:cstheme="minorHAnsi"/>
              <w:szCs w:val="23"/>
              <w:lang w:eastAsia="en-GB"/>
            </w:rPr>
            <w:t xml:space="preserve">MRG members are prepared to endorse the indicator for inclusion in the Library of Quality Assured Indicators. Noting that data quality is still improving MRG recommend the indicator is reviewed within 1 year to review data coverage with the expectation that the level of assurance will be improved. </w:t>
          </w:r>
        </w:p>
      </w:sdtContent>
    </w:sdt>
    <w:p w14:paraId="433E1E45" w14:textId="77777777" w:rsidR="00C157D5" w:rsidRPr="007A2874" w:rsidRDefault="00C157D5" w:rsidP="007A2874"/>
    <w:p w14:paraId="411C13C3" w14:textId="77777777" w:rsidR="00C157D5" w:rsidRPr="007A2874" w:rsidRDefault="00C157D5" w:rsidP="007A2874">
      <w:pPr>
        <w:rPr>
          <w:rFonts w:asciiTheme="majorHAnsi" w:hAnsiTheme="majorHAnsi" w:cstheme="majorBidi"/>
          <w:b/>
          <w:spacing w:val="5"/>
          <w:kern w:val="28"/>
          <w:szCs w:val="23"/>
        </w:rPr>
      </w:pPr>
      <w:r w:rsidRPr="007A2874">
        <w:rPr>
          <w:b/>
          <w:szCs w:val="23"/>
        </w:rPr>
        <w:t>Please find a detailed description of recommendations and actions in the appraisal log at the end of the document.</w:t>
      </w:r>
    </w:p>
    <w:p w14:paraId="6D2EF063" w14:textId="77777777" w:rsidR="00C157D5" w:rsidRPr="007A2874" w:rsidRDefault="00C157D5" w:rsidP="007A2874">
      <w:r w:rsidRPr="007A2874">
        <w:br w:type="page"/>
      </w:r>
    </w:p>
    <w:p w14:paraId="3CC8E9EB" w14:textId="77777777" w:rsidR="00C157D5" w:rsidRPr="007A2874" w:rsidRDefault="00C157D5" w:rsidP="007A2874">
      <w:pPr>
        <w:pStyle w:val="NormalWeb"/>
        <w:spacing w:before="0" w:beforeAutospacing="0" w:after="0" w:afterAutospacing="0"/>
        <w:rPr>
          <w:rFonts w:ascii="Arial" w:eastAsia="+mn-ea" w:hAnsi="Arial" w:cs="Arial"/>
          <w:b/>
          <w:position w:val="1"/>
          <w:sz w:val="32"/>
          <w:szCs w:val="32"/>
        </w:rPr>
      </w:pPr>
      <w:r w:rsidRPr="007A2874">
        <w:rPr>
          <w:rFonts w:ascii="Arial" w:eastAsia="+mn-ea" w:hAnsi="Arial" w:cs="Arial"/>
          <w:b/>
          <w:position w:val="1"/>
          <w:sz w:val="32"/>
          <w:szCs w:val="32"/>
        </w:rPr>
        <w:lastRenderedPageBreak/>
        <w:t xml:space="preserve">Details of Methodology Appraisal - </w:t>
      </w:r>
      <w:sdt>
        <w:sdtPr>
          <w:rPr>
            <w:rFonts w:ascii="Arial" w:eastAsia="+mn-ea" w:hAnsi="Arial" w:cs="Arial"/>
            <w:b/>
            <w:position w:val="1"/>
            <w:sz w:val="32"/>
            <w:szCs w:val="32"/>
          </w:rPr>
          <w:id w:val="-15469250"/>
          <w:date w:fullDate="2015-11-26T00:00:00Z">
            <w:dateFormat w:val="dd/MM/yyyy"/>
            <w:lid w:val="en-GB"/>
            <w:storeMappedDataAs w:val="dateTime"/>
            <w:calendar w:val="gregorian"/>
          </w:date>
        </w:sdtPr>
        <w:sdtEndPr/>
        <w:sdtContent>
          <w:r w:rsidRPr="007A2874">
            <w:rPr>
              <w:rFonts w:ascii="Arial" w:eastAsia="+mn-ea" w:hAnsi="Arial" w:cs="Arial"/>
              <w:b/>
              <w:position w:val="1"/>
              <w:sz w:val="32"/>
              <w:szCs w:val="32"/>
            </w:rPr>
            <w:t>26/11/2015</w:t>
          </w:r>
        </w:sdtContent>
      </w:sdt>
    </w:p>
    <w:p w14:paraId="02C2C234" w14:textId="77777777" w:rsidR="00C157D5" w:rsidRPr="007A2874" w:rsidRDefault="00C157D5" w:rsidP="007A2874">
      <w:pPr>
        <w:pStyle w:val="NormalWeb"/>
        <w:spacing w:before="0" w:beforeAutospacing="0" w:after="0" w:afterAutospacing="0"/>
        <w:rPr>
          <w:rFonts w:ascii="Arial" w:eastAsia="+mn-ea" w:hAnsi="Arial" w:cs="Arial"/>
          <w:b/>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7A2874" w:rsidRPr="007A2874" w14:paraId="48893217" w14:textId="77777777" w:rsidTr="007A2874">
        <w:tc>
          <w:tcPr>
            <w:tcW w:w="3369" w:type="dxa"/>
            <w:shd w:val="clear" w:color="auto" w:fill="ACD7FF" w:themeFill="accent1" w:themeFillTint="33"/>
          </w:tcPr>
          <w:p w14:paraId="04A0F29A" w14:textId="77777777" w:rsidR="00C157D5" w:rsidRPr="007A2874" w:rsidRDefault="00C157D5" w:rsidP="007A2874">
            <w:pPr>
              <w:pStyle w:val="NormalWeb"/>
              <w:spacing w:beforeLines="60" w:before="144" w:beforeAutospacing="0" w:afterLines="60" w:after="144" w:afterAutospacing="0"/>
              <w:rPr>
                <w:rFonts w:ascii="Arial" w:eastAsia="+mn-ea" w:hAnsi="Arial" w:cs="Arial"/>
                <w:b/>
                <w:position w:val="1"/>
                <w:sz w:val="22"/>
                <w:szCs w:val="22"/>
              </w:rPr>
            </w:pPr>
            <w:r w:rsidRPr="007A2874">
              <w:rPr>
                <w:rFonts w:ascii="Arial" w:eastAsia="+mn-ea" w:hAnsi="Arial" w:cs="Arial"/>
                <w:b/>
                <w:position w:val="1"/>
                <w:sz w:val="22"/>
                <w:szCs w:val="22"/>
              </w:rPr>
              <w:t>Methodology appraisal body</w:t>
            </w:r>
          </w:p>
        </w:tc>
        <w:tc>
          <w:tcPr>
            <w:tcW w:w="6945" w:type="dxa"/>
          </w:tcPr>
          <w:p w14:paraId="2D87A9C8" w14:textId="77777777" w:rsidR="00C157D5" w:rsidRPr="007A2874" w:rsidRDefault="00D963CC" w:rsidP="007A2874">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746196676"/>
                <w:dropDownList>
                  <w:listItem w:value="Choose an item."/>
                  <w:listItem w:displayText="HSCIC's Indicator &amp; Methodology Assurance Service" w:value="HSCIC's Indicator &amp; Methodology Assurance Service"/>
                </w:dropDownList>
              </w:sdtPr>
              <w:sdtEndPr/>
              <w:sdtContent>
                <w:r w:rsidR="00C157D5" w:rsidRPr="007A2874">
                  <w:rPr>
                    <w:rFonts w:ascii="Arial" w:eastAsia="+mn-ea" w:hAnsi="Arial" w:cs="Arial"/>
                    <w:position w:val="1"/>
                    <w:sz w:val="22"/>
                    <w:szCs w:val="22"/>
                  </w:rPr>
                  <w:t>HSCIC's Indicator &amp; Methodology Assurance Service</w:t>
                </w:r>
              </w:sdtContent>
            </w:sdt>
          </w:p>
        </w:tc>
      </w:tr>
      <w:tr w:rsidR="007A2874" w:rsidRPr="007A2874" w14:paraId="75CDADA0" w14:textId="77777777" w:rsidTr="007A2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ACD7FF" w:themeFill="accent1" w:themeFillTint="33"/>
          </w:tcPr>
          <w:p w14:paraId="52538225"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1002898441"/>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68B4A93E"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position w:val="1"/>
                    <w:sz w:val="22"/>
                    <w:szCs w:val="22"/>
                  </w:rPr>
                  <w:t>Initial assurance</w:t>
                </w:r>
              </w:p>
            </w:tc>
          </w:sdtContent>
        </w:sdt>
      </w:tr>
      <w:tr w:rsidR="007A2874" w:rsidRPr="007A2874" w14:paraId="0675F460" w14:textId="77777777" w:rsidTr="007A2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ACD7FF" w:themeFill="accent1" w:themeFillTint="33"/>
          </w:tcPr>
          <w:p w14:paraId="6E8AC7DC"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b/>
                <w:position w:val="1"/>
                <w:sz w:val="22"/>
                <w:szCs w:val="22"/>
              </w:rPr>
              <w:t>Iteration</w:t>
            </w:r>
          </w:p>
        </w:tc>
        <w:sdt>
          <w:sdtPr>
            <w:rPr>
              <w:rFonts w:ascii="Arial" w:eastAsia="+mn-ea" w:hAnsi="Arial" w:cs="Arial"/>
              <w:position w:val="1"/>
              <w:sz w:val="22"/>
              <w:szCs w:val="22"/>
            </w:rPr>
            <w:id w:val="1560052994"/>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dropDownList>
          </w:sdtPr>
          <w:sdtEndPr/>
          <w:sdtContent>
            <w:tc>
              <w:tcPr>
                <w:tcW w:w="6945" w:type="dxa"/>
                <w:tcBorders>
                  <w:top w:val="nil"/>
                  <w:left w:val="nil"/>
                  <w:bottom w:val="nil"/>
                  <w:right w:val="nil"/>
                </w:tcBorders>
              </w:tcPr>
              <w:p w14:paraId="5D22431F" w14:textId="77777777" w:rsidR="00C157D5" w:rsidRPr="007A2874" w:rsidRDefault="00C157D5" w:rsidP="007A2874">
                <w:pPr>
                  <w:pStyle w:val="NormalWeb"/>
                  <w:spacing w:beforeLines="60" w:before="144" w:beforeAutospacing="0" w:afterLines="60" w:after="144" w:afterAutospacing="0"/>
                  <w:rPr>
                    <w:rFonts w:ascii="Arial" w:eastAsia="+mn-ea" w:hAnsi="Arial" w:cs="Arial"/>
                    <w:position w:val="1"/>
                    <w:sz w:val="22"/>
                    <w:szCs w:val="22"/>
                  </w:rPr>
                </w:pPr>
                <w:r w:rsidRPr="007A2874">
                  <w:rPr>
                    <w:rFonts w:ascii="Arial" w:eastAsia="+mn-ea" w:hAnsi="Arial" w:cs="Arial"/>
                    <w:position w:val="1"/>
                    <w:sz w:val="22"/>
                    <w:szCs w:val="22"/>
                  </w:rPr>
                  <w:t>1st MRG meeting</w:t>
                </w:r>
              </w:p>
            </w:tc>
          </w:sdtContent>
        </w:sdt>
      </w:tr>
    </w:tbl>
    <w:p w14:paraId="762CC0DE" w14:textId="77777777" w:rsidR="00C157D5" w:rsidRPr="007A2874" w:rsidRDefault="00C157D5" w:rsidP="007A2874"/>
    <w:p w14:paraId="2DEFF51E" w14:textId="32C4BDCF" w:rsidR="00C157D5" w:rsidRDefault="00C157D5" w:rsidP="007A2874">
      <w:pPr>
        <w:spacing w:after="0"/>
        <w:rPr>
          <w:rFonts w:eastAsia="+mn-ea" w:cs="Arial"/>
          <w:b/>
          <w:i/>
          <w:position w:val="1"/>
          <w:sz w:val="26"/>
          <w:szCs w:val="26"/>
          <w:lang w:eastAsia="en-GB"/>
        </w:rPr>
      </w:pPr>
      <w:r w:rsidRPr="007A2874">
        <w:rPr>
          <w:rFonts w:eastAsia="+mn-ea" w:cs="Arial"/>
          <w:b/>
          <w:i/>
          <w:position w:val="1"/>
          <w:sz w:val="26"/>
          <w:szCs w:val="26"/>
          <w:lang w:eastAsia="en-GB"/>
        </w:rPr>
        <w:t>Suggested Assurance Rating by Methodology Appraisal Body</w:t>
      </w:r>
    </w:p>
    <w:p w14:paraId="40B26BF1" w14:textId="576637C2" w:rsidR="00D85A43" w:rsidRDefault="00D85A43" w:rsidP="007A2874">
      <w:pPr>
        <w:spacing w:after="0"/>
        <w:rPr>
          <w:rFonts w:eastAsia="+mn-ea" w:cs="Arial"/>
          <w:b/>
          <w:i/>
          <w:position w:val="1"/>
          <w:sz w:val="26"/>
          <w:szCs w:val="26"/>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189"/>
        <w:gridCol w:w="3751"/>
      </w:tblGrid>
      <w:tr w:rsidR="00D85A43" w:rsidRPr="007A2874" w14:paraId="12802488" w14:textId="77777777" w:rsidTr="00D85A43">
        <w:tc>
          <w:tcPr>
            <w:tcW w:w="3924" w:type="dxa"/>
            <w:vAlign w:val="center"/>
          </w:tcPr>
          <w:p w14:paraId="518B3C59" w14:textId="77777777" w:rsidR="00D85A43" w:rsidRPr="00D85A43" w:rsidRDefault="00D85A43" w:rsidP="00D85A43">
            <w:pPr>
              <w:spacing w:before="120"/>
              <w:rPr>
                <w:rFonts w:eastAsia="+mn-ea"/>
                <w:b/>
                <w:position w:val="1"/>
                <w:sz w:val="26"/>
                <w:szCs w:val="26"/>
              </w:rPr>
            </w:pPr>
            <w:r w:rsidRPr="007A2874">
              <w:rPr>
                <w:rFonts w:eastAsia="+mn-ea"/>
                <w:b/>
                <w:position w:val="1"/>
                <w:sz w:val="26"/>
                <w:szCs w:val="26"/>
              </w:rPr>
              <w:t>Ratings Against Assessment Criteria</w:t>
            </w:r>
          </w:p>
        </w:tc>
        <w:tc>
          <w:tcPr>
            <w:tcW w:w="2189" w:type="dxa"/>
            <w:vAlign w:val="center"/>
          </w:tcPr>
          <w:p w14:paraId="6596F74C" w14:textId="77777777" w:rsidR="00D85A43" w:rsidRPr="007A2874" w:rsidRDefault="00D85A43" w:rsidP="00D85A43">
            <w:pPr>
              <w:spacing w:line="360" w:lineRule="auto"/>
              <w:rPr>
                <w:rFonts w:eastAsia="+mn-ea"/>
                <w:b/>
                <w:noProof/>
                <w:position w:val="1"/>
                <w:sz w:val="32"/>
                <w:szCs w:val="40"/>
                <w:lang w:eastAsia="en-GB"/>
              </w:rPr>
            </w:pPr>
          </w:p>
        </w:tc>
        <w:tc>
          <w:tcPr>
            <w:tcW w:w="3751" w:type="dxa"/>
            <w:vAlign w:val="center"/>
          </w:tcPr>
          <w:p w14:paraId="6B9A1E0F" w14:textId="77777777" w:rsidR="00D85A43" w:rsidRPr="00D85A43" w:rsidRDefault="00D85A43" w:rsidP="00D85A43">
            <w:pPr>
              <w:spacing w:line="360" w:lineRule="auto"/>
              <w:jc w:val="center"/>
              <w:rPr>
                <w:rFonts w:eastAsia="+mn-ea"/>
                <w:b/>
                <w:position w:val="1"/>
                <w:sz w:val="26"/>
                <w:szCs w:val="26"/>
              </w:rPr>
            </w:pPr>
            <w:r w:rsidRPr="007A2874">
              <w:rPr>
                <w:rFonts w:eastAsia="+mn-ea"/>
                <w:b/>
                <w:position w:val="1"/>
                <w:sz w:val="26"/>
                <w:szCs w:val="26"/>
              </w:rPr>
              <w:t>Overall Rating</w:t>
            </w:r>
            <w:r>
              <w:rPr>
                <w:rFonts w:eastAsia="+mn-ea"/>
                <w:b/>
                <w:position w:val="1"/>
                <w:sz w:val="26"/>
                <w:szCs w:val="26"/>
              </w:rPr>
              <w:t xml:space="preserve"> – use with caution – data quality issue</w:t>
            </w:r>
          </w:p>
        </w:tc>
      </w:tr>
      <w:tr w:rsidR="00D85A43" w:rsidRPr="007A2874" w14:paraId="170C9E81" w14:textId="77777777" w:rsidTr="00D85A43">
        <w:tc>
          <w:tcPr>
            <w:tcW w:w="3924" w:type="dxa"/>
            <w:vAlign w:val="center"/>
            <w:hideMark/>
          </w:tcPr>
          <w:p w14:paraId="59062B47"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Clarity</w:t>
            </w:r>
          </w:p>
        </w:tc>
        <w:tc>
          <w:tcPr>
            <w:tcW w:w="2189" w:type="dxa"/>
            <w:vAlign w:val="center"/>
            <w:hideMark/>
          </w:tcPr>
          <w:p w14:paraId="5CB733A2" w14:textId="77777777" w:rsidR="00D85A43" w:rsidRPr="007A2874" w:rsidRDefault="00D85A43" w:rsidP="00D85A43">
            <w:pPr>
              <w:spacing w:line="360" w:lineRule="auto"/>
              <w:rPr>
                <w:rFonts w:eastAsia="+mn-ea"/>
                <w:b/>
                <w:position w:val="1"/>
                <w:sz w:val="26"/>
                <w:szCs w:val="26"/>
              </w:rPr>
            </w:pPr>
            <w:r w:rsidRPr="007A2874">
              <w:rPr>
                <w:rFonts w:cstheme="minorHAnsi"/>
                <w:b/>
              </w:rPr>
              <w:t>Fit for use</w:t>
            </w:r>
          </w:p>
        </w:tc>
        <w:tc>
          <w:tcPr>
            <w:tcW w:w="3751" w:type="dxa"/>
            <w:vAlign w:val="center"/>
            <w:hideMark/>
          </w:tcPr>
          <w:p w14:paraId="7B44BCD1" w14:textId="77777777" w:rsidR="00D85A43" w:rsidRPr="007A2874" w:rsidRDefault="00D85A43" w:rsidP="00D85A43">
            <w:pPr>
              <w:spacing w:before="100" w:beforeAutospacing="1" w:after="100" w:afterAutospacing="1" w:line="360" w:lineRule="auto"/>
              <w:jc w:val="center"/>
              <w:rPr>
                <w:rFonts w:eastAsia="+mn-ea"/>
                <w:b/>
                <w:position w:val="1"/>
                <w:sz w:val="26"/>
                <w:szCs w:val="26"/>
              </w:rPr>
            </w:pPr>
          </w:p>
        </w:tc>
      </w:tr>
      <w:tr w:rsidR="00D85A43" w:rsidRPr="007A2874" w14:paraId="1304E37D" w14:textId="77777777" w:rsidTr="00D85A43">
        <w:tc>
          <w:tcPr>
            <w:tcW w:w="3924" w:type="dxa"/>
            <w:vAlign w:val="center"/>
            <w:hideMark/>
          </w:tcPr>
          <w:p w14:paraId="5A298903"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Rationale</w:t>
            </w:r>
          </w:p>
        </w:tc>
        <w:tc>
          <w:tcPr>
            <w:tcW w:w="2189" w:type="dxa"/>
            <w:vAlign w:val="center"/>
            <w:hideMark/>
          </w:tcPr>
          <w:p w14:paraId="067A233E" w14:textId="3ED81A98" w:rsidR="00D85A43" w:rsidRPr="007A2874" w:rsidRDefault="00D85A43" w:rsidP="00D85A43">
            <w:pPr>
              <w:spacing w:line="360" w:lineRule="auto"/>
              <w:rPr>
                <w:rFonts w:eastAsia="+mn-ea"/>
                <w:b/>
                <w:position w:val="1"/>
                <w:sz w:val="26"/>
                <w:szCs w:val="26"/>
              </w:rPr>
            </w:pPr>
            <w:r w:rsidRPr="007A2874">
              <w:rPr>
                <w:rFonts w:cstheme="minorHAnsi"/>
                <w:b/>
              </w:rPr>
              <w:t>Fit for use with caveats</w:t>
            </w:r>
          </w:p>
        </w:tc>
        <w:tc>
          <w:tcPr>
            <w:tcW w:w="0" w:type="auto"/>
            <w:vAlign w:val="center"/>
            <w:hideMark/>
          </w:tcPr>
          <w:p w14:paraId="16A6AB43" w14:textId="77777777" w:rsidR="00D85A43" w:rsidRPr="007A2874" w:rsidRDefault="00D85A43" w:rsidP="00D85A43">
            <w:pPr>
              <w:spacing w:line="360" w:lineRule="auto"/>
              <w:rPr>
                <w:rFonts w:eastAsia="+mn-ea"/>
                <w:b/>
                <w:position w:val="1"/>
                <w:sz w:val="26"/>
                <w:szCs w:val="26"/>
              </w:rPr>
            </w:pPr>
          </w:p>
        </w:tc>
      </w:tr>
      <w:tr w:rsidR="00D85A43" w:rsidRPr="007A2874" w14:paraId="04AF8C2C" w14:textId="77777777" w:rsidTr="00D85A43">
        <w:tc>
          <w:tcPr>
            <w:tcW w:w="3924" w:type="dxa"/>
            <w:vAlign w:val="center"/>
            <w:hideMark/>
          </w:tcPr>
          <w:p w14:paraId="3D97E417"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Data</w:t>
            </w:r>
          </w:p>
        </w:tc>
        <w:tc>
          <w:tcPr>
            <w:tcW w:w="2189" w:type="dxa"/>
            <w:vAlign w:val="center"/>
            <w:hideMark/>
          </w:tcPr>
          <w:p w14:paraId="07160A3F" w14:textId="77777777" w:rsidR="00D85A43" w:rsidRPr="007A2874" w:rsidRDefault="00D85A43" w:rsidP="00D85A43">
            <w:pPr>
              <w:spacing w:line="360" w:lineRule="auto"/>
              <w:rPr>
                <w:rFonts w:eastAsia="+mn-ea"/>
                <w:b/>
                <w:position w:val="1"/>
                <w:sz w:val="26"/>
                <w:szCs w:val="26"/>
              </w:rPr>
            </w:pPr>
            <w:r w:rsidRPr="007A2874">
              <w:rPr>
                <w:rFonts w:cstheme="minorHAnsi"/>
                <w:b/>
              </w:rPr>
              <w:t>Use with caution – data quality</w:t>
            </w:r>
          </w:p>
        </w:tc>
        <w:tc>
          <w:tcPr>
            <w:tcW w:w="0" w:type="auto"/>
            <w:vAlign w:val="center"/>
            <w:hideMark/>
          </w:tcPr>
          <w:p w14:paraId="7393B5BA" w14:textId="77777777" w:rsidR="00D85A43" w:rsidRPr="007A2874" w:rsidRDefault="00D85A43" w:rsidP="00D85A43">
            <w:pPr>
              <w:spacing w:line="360" w:lineRule="auto"/>
              <w:rPr>
                <w:rFonts w:eastAsia="+mn-ea"/>
                <w:b/>
                <w:position w:val="1"/>
                <w:sz w:val="26"/>
                <w:szCs w:val="26"/>
              </w:rPr>
            </w:pPr>
          </w:p>
        </w:tc>
      </w:tr>
      <w:tr w:rsidR="00D85A43" w:rsidRPr="007A2874" w14:paraId="0A5EDFE0" w14:textId="77777777" w:rsidTr="00D85A43">
        <w:tc>
          <w:tcPr>
            <w:tcW w:w="3924" w:type="dxa"/>
            <w:vAlign w:val="center"/>
            <w:hideMark/>
          </w:tcPr>
          <w:p w14:paraId="5DA1212A"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Construction</w:t>
            </w:r>
          </w:p>
        </w:tc>
        <w:tc>
          <w:tcPr>
            <w:tcW w:w="2189" w:type="dxa"/>
            <w:hideMark/>
          </w:tcPr>
          <w:p w14:paraId="09823668" w14:textId="4F174F18" w:rsidR="00D85A43" w:rsidRPr="007A2874" w:rsidRDefault="00D85A43" w:rsidP="00D85A43">
            <w:pPr>
              <w:spacing w:line="360" w:lineRule="auto"/>
              <w:rPr>
                <w:rFonts w:eastAsia="+mn-ea"/>
                <w:b/>
                <w:position w:val="1"/>
                <w:sz w:val="26"/>
                <w:szCs w:val="26"/>
              </w:rPr>
            </w:pPr>
            <w:r w:rsidRPr="00571ACB">
              <w:rPr>
                <w:rFonts w:cstheme="minorHAnsi"/>
                <w:b/>
              </w:rPr>
              <w:t>Fit for use with caveats</w:t>
            </w:r>
          </w:p>
        </w:tc>
        <w:tc>
          <w:tcPr>
            <w:tcW w:w="0" w:type="auto"/>
            <w:vAlign w:val="center"/>
            <w:hideMark/>
          </w:tcPr>
          <w:p w14:paraId="636DE7B4" w14:textId="77777777" w:rsidR="00D85A43" w:rsidRPr="007A2874" w:rsidRDefault="00D85A43" w:rsidP="00D85A43">
            <w:pPr>
              <w:spacing w:line="360" w:lineRule="auto"/>
              <w:rPr>
                <w:rFonts w:eastAsia="+mn-ea"/>
                <w:b/>
                <w:position w:val="1"/>
                <w:sz w:val="26"/>
                <w:szCs w:val="26"/>
              </w:rPr>
            </w:pPr>
          </w:p>
        </w:tc>
      </w:tr>
      <w:tr w:rsidR="00D85A43" w:rsidRPr="007A2874" w14:paraId="4336D65C" w14:textId="77777777" w:rsidTr="00D85A43">
        <w:tc>
          <w:tcPr>
            <w:tcW w:w="3924" w:type="dxa"/>
            <w:vAlign w:val="center"/>
            <w:hideMark/>
          </w:tcPr>
          <w:p w14:paraId="74BF5509"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Presentation and Interpretation</w:t>
            </w:r>
          </w:p>
        </w:tc>
        <w:tc>
          <w:tcPr>
            <w:tcW w:w="2189" w:type="dxa"/>
            <w:hideMark/>
          </w:tcPr>
          <w:p w14:paraId="6B2E311A" w14:textId="1EADC763" w:rsidR="00D85A43" w:rsidRPr="007A2874" w:rsidRDefault="00D85A43" w:rsidP="00D85A43">
            <w:pPr>
              <w:spacing w:line="360" w:lineRule="auto"/>
              <w:rPr>
                <w:rFonts w:eastAsia="+mn-ea"/>
                <w:b/>
                <w:position w:val="1"/>
                <w:sz w:val="26"/>
                <w:szCs w:val="26"/>
              </w:rPr>
            </w:pPr>
            <w:r w:rsidRPr="00571ACB">
              <w:rPr>
                <w:rFonts w:cstheme="minorHAnsi"/>
                <w:b/>
              </w:rPr>
              <w:t>Fit for use with caveats</w:t>
            </w:r>
          </w:p>
        </w:tc>
        <w:tc>
          <w:tcPr>
            <w:tcW w:w="3751" w:type="dxa"/>
            <w:hideMark/>
          </w:tcPr>
          <w:p w14:paraId="661EB5F1" w14:textId="77777777" w:rsidR="00D85A43" w:rsidRPr="007A2874" w:rsidRDefault="00D85A43" w:rsidP="00D85A43">
            <w:pPr>
              <w:spacing w:line="360" w:lineRule="auto"/>
              <w:jc w:val="center"/>
              <w:rPr>
                <w:rFonts w:eastAsia="+mn-ea"/>
                <w:b/>
                <w:position w:val="1"/>
                <w:sz w:val="26"/>
                <w:szCs w:val="26"/>
              </w:rPr>
            </w:pPr>
          </w:p>
        </w:tc>
      </w:tr>
      <w:tr w:rsidR="00D85A43" w:rsidRPr="007A2874" w14:paraId="7E0197EF" w14:textId="77777777" w:rsidTr="00D85A43">
        <w:tc>
          <w:tcPr>
            <w:tcW w:w="3924" w:type="dxa"/>
            <w:vAlign w:val="center"/>
            <w:hideMark/>
          </w:tcPr>
          <w:p w14:paraId="29CA7245" w14:textId="77777777" w:rsidR="00D85A43" w:rsidRPr="007A2874" w:rsidRDefault="00D85A43" w:rsidP="00D85A43">
            <w:pPr>
              <w:spacing w:line="360" w:lineRule="auto"/>
              <w:rPr>
                <w:rFonts w:eastAsia="+mn-ea"/>
                <w:position w:val="1"/>
                <w:sz w:val="26"/>
                <w:szCs w:val="26"/>
              </w:rPr>
            </w:pPr>
            <w:r w:rsidRPr="007A2874">
              <w:rPr>
                <w:rFonts w:eastAsia="+mn-ea"/>
                <w:position w:val="1"/>
                <w:szCs w:val="40"/>
              </w:rPr>
              <w:t>Risks and Usefulness</w:t>
            </w:r>
          </w:p>
        </w:tc>
        <w:tc>
          <w:tcPr>
            <w:tcW w:w="2189" w:type="dxa"/>
            <w:vAlign w:val="center"/>
            <w:hideMark/>
          </w:tcPr>
          <w:p w14:paraId="568E9BA7" w14:textId="77777777" w:rsidR="00D85A43" w:rsidRPr="007A2874" w:rsidRDefault="00D85A43" w:rsidP="00D85A43">
            <w:pPr>
              <w:spacing w:line="360" w:lineRule="auto"/>
              <w:rPr>
                <w:rFonts w:eastAsia="+mn-ea"/>
                <w:b/>
                <w:position w:val="1"/>
                <w:sz w:val="26"/>
                <w:szCs w:val="26"/>
              </w:rPr>
            </w:pPr>
            <w:r w:rsidRPr="007A2874">
              <w:rPr>
                <w:rFonts w:cstheme="minorHAnsi"/>
                <w:b/>
              </w:rPr>
              <w:t>Fit for use</w:t>
            </w:r>
          </w:p>
        </w:tc>
        <w:tc>
          <w:tcPr>
            <w:tcW w:w="0" w:type="auto"/>
            <w:vAlign w:val="center"/>
            <w:hideMark/>
          </w:tcPr>
          <w:p w14:paraId="37F646A9" w14:textId="77777777" w:rsidR="00D85A43" w:rsidRPr="007A2874" w:rsidRDefault="00D85A43" w:rsidP="00D85A43">
            <w:pPr>
              <w:spacing w:line="360" w:lineRule="auto"/>
              <w:rPr>
                <w:rFonts w:eastAsia="+mn-ea"/>
                <w:b/>
                <w:position w:val="1"/>
                <w:sz w:val="26"/>
                <w:szCs w:val="26"/>
              </w:rPr>
            </w:pPr>
          </w:p>
        </w:tc>
      </w:tr>
    </w:tbl>
    <w:p w14:paraId="0775E97E" w14:textId="77777777" w:rsidR="00D85A43" w:rsidRDefault="00D85A43" w:rsidP="007A2874">
      <w:pPr>
        <w:spacing w:after="0"/>
        <w:rPr>
          <w:rFonts w:eastAsia="+mn-ea" w:cs="Arial"/>
          <w:b/>
          <w:i/>
          <w:position w:val="1"/>
          <w:sz w:val="26"/>
          <w:szCs w:val="26"/>
          <w:lang w:eastAsia="en-GB"/>
        </w:rPr>
      </w:pPr>
    </w:p>
    <w:p w14:paraId="18C1A1BB" w14:textId="77777777" w:rsidR="00D85A43" w:rsidRPr="007A2874" w:rsidRDefault="00D85A43" w:rsidP="007A2874">
      <w:pPr>
        <w:spacing w:after="0"/>
        <w:rPr>
          <w:rFonts w:eastAsia="+mn-ea" w:cs="Arial"/>
          <w:b/>
          <w:i/>
          <w:position w:val="1"/>
          <w:sz w:val="26"/>
          <w:szCs w:val="26"/>
          <w:lang w:eastAsia="en-GB"/>
        </w:rPr>
      </w:pPr>
    </w:p>
    <w:p w14:paraId="603B38F6" w14:textId="0BC6D066" w:rsidR="00C157D5" w:rsidRPr="00D85A43" w:rsidRDefault="00D963CC" w:rsidP="00D85A43">
      <w:pPr>
        <w:spacing w:after="0"/>
        <w:jc w:val="center"/>
        <w:rPr>
          <w:rFonts w:eastAsia="+mn-ea" w:cs="Arial"/>
          <w:b/>
          <w:position w:val="1"/>
          <w:sz w:val="26"/>
          <w:szCs w:val="26"/>
          <w:lang w:eastAsia="en-GB"/>
        </w:rPr>
      </w:pPr>
      <w:r>
        <w:rPr>
          <w:rFonts w:eastAsia="+mn-ea" w:cs="Arial"/>
          <w:b/>
          <w:position w:val="1"/>
          <w:sz w:val="26"/>
          <w:szCs w:val="26"/>
          <w:lang w:eastAsia="en-GB"/>
        </w:rPr>
        <w:pict w14:anchorId="5E514651">
          <v:rect id="_x0000_i1027" style="width:503.2pt;height:1.5pt" o:hralign="center" o:hrstd="t" o:hr="t" fillcolor="#a0a0a0" stroked="f"/>
        </w:pict>
      </w:r>
    </w:p>
    <w:p w14:paraId="5B051BF1" w14:textId="77777777" w:rsidR="00C157D5" w:rsidRPr="007A2874" w:rsidRDefault="00C157D5" w:rsidP="007A2874">
      <w:pPr>
        <w:spacing w:before="240"/>
        <w:rPr>
          <w:rFonts w:eastAsia="+mn-ea" w:cs="Arial"/>
          <w:b/>
          <w:position w:val="1"/>
          <w:szCs w:val="40"/>
        </w:rPr>
      </w:pPr>
      <w:r w:rsidRPr="007A2874">
        <w:rPr>
          <w:rFonts w:eastAsia="+mn-ea" w:cs="Arial"/>
          <w:b/>
          <w:position w:val="1"/>
          <w:szCs w:val="40"/>
        </w:rPr>
        <w:t>Summary Recommendation to IGB:</w:t>
      </w:r>
    </w:p>
    <w:sdt>
      <w:sdtPr>
        <w:rPr>
          <w:lang w:eastAsia="en-GB"/>
        </w:rPr>
        <w:alias w:val="Summary Recommendation to IGB"/>
        <w:tag w:val="Summary Recommendation to IGB"/>
        <w:id w:val="2031983090"/>
      </w:sdtPr>
      <w:sdtEndPr/>
      <w:sdtContent>
        <w:p w14:paraId="6E0DDFF0" w14:textId="77777777" w:rsidR="00C157D5" w:rsidRPr="007A2874" w:rsidRDefault="00C157D5" w:rsidP="007A2874">
          <w:pPr>
            <w:spacing w:before="240"/>
            <w:rPr>
              <w:rFonts w:cstheme="minorHAnsi"/>
              <w:lang w:eastAsia="en-GB"/>
            </w:rPr>
          </w:pPr>
          <w:r w:rsidRPr="007A2874">
            <w:rPr>
              <w:rFonts w:cstheme="minorHAnsi"/>
              <w:szCs w:val="23"/>
              <w:lang w:eastAsia="en-GB"/>
            </w:rPr>
            <w:t xml:space="preserve">MRG members are prepared to endorse the indicator for inclusion in the Library of Quality Assured Indicators.  A small number of suggestions have been put to the developer that may further strengthen the application, these being providing a note in the evidence base around the requirement to refer (regardless of dates), and the justification not to standardise in the construction. MRG have suggested that in the future developers may wish to provide further contextual information to identify the extent of admissions not meeting the </w:t>
          </w:r>
          <w:proofErr w:type="gramStart"/>
          <w:r w:rsidRPr="007A2874">
            <w:rPr>
              <w:rFonts w:cstheme="minorHAnsi"/>
              <w:szCs w:val="23"/>
              <w:lang w:eastAsia="en-GB"/>
            </w:rPr>
            <w:t>5 day</w:t>
          </w:r>
          <w:proofErr w:type="gramEnd"/>
          <w:r w:rsidRPr="007A2874">
            <w:rPr>
              <w:rFonts w:cstheme="minorHAnsi"/>
              <w:szCs w:val="23"/>
              <w:lang w:eastAsia="en-GB"/>
            </w:rPr>
            <w:t xml:space="preserve"> requirement.  Noting that data quality is still improving MRG recommend the indicator is reviewed within 1 year to review data coverage with the expectation that the level of assurance will be improved.  </w:t>
          </w:r>
        </w:p>
      </w:sdtContent>
    </w:sdt>
    <w:p w14:paraId="2554EFE7" w14:textId="77777777" w:rsidR="00C157D5" w:rsidRPr="007A2874" w:rsidRDefault="00C157D5" w:rsidP="007A2874">
      <w:pPr>
        <w:rPr>
          <w:rFonts w:eastAsia="+mn-ea" w:cs="Arial"/>
          <w:b/>
          <w:position w:val="1"/>
          <w:szCs w:val="40"/>
        </w:rPr>
      </w:pPr>
      <w:r w:rsidRPr="007A2874">
        <w:t xml:space="preserve"> </w:t>
      </w:r>
      <w:r w:rsidRPr="007A2874">
        <w:rPr>
          <w:rFonts w:eastAsia="+mn-ea" w:cs="Arial"/>
          <w:b/>
          <w:position w:val="1"/>
          <w:szCs w:val="40"/>
        </w:rPr>
        <w:br/>
        <w:t>Summary Recommendation to Applicant:</w:t>
      </w:r>
    </w:p>
    <w:sdt>
      <w:sdtPr>
        <w:rPr>
          <w:rFonts w:eastAsia="+mn-ea" w:cstheme="minorHAnsi"/>
          <w:position w:val="1"/>
        </w:rPr>
        <w:id w:val="692660743"/>
        <w:text w:multiLine="1"/>
      </w:sdtPr>
      <w:sdtEndPr/>
      <w:sdtContent>
        <w:p w14:paraId="4684322E" w14:textId="77777777" w:rsidR="00C157D5" w:rsidRPr="007A2874" w:rsidRDefault="00C157D5" w:rsidP="007A2874">
          <w:pPr>
            <w:spacing w:before="240"/>
            <w:rPr>
              <w:rFonts w:eastAsia="+mn-ea" w:cstheme="minorHAnsi"/>
              <w:position w:val="1"/>
            </w:rPr>
          </w:pPr>
          <w:r w:rsidRPr="007A2874">
            <w:rPr>
              <w:rFonts w:eastAsia="+mn-ea" w:cstheme="minorHAnsi"/>
              <w:position w:val="1"/>
            </w:rPr>
            <w:t xml:space="preserve">MRG assessed the indicator as being fit for purpose against the ‘Clarity’ and ‘Risks and Usefulness’ criterion. The ‘Rationale’, ‘Construction’ and ‘Presentation and Interpretation’ were noted to be fit for purpose with caveats. MRG have recommended that further clarity be provided around the expectations for referring CHD admissions to receive a cardiac rehabilitation; adding to the justification to not make use of standardisation methods; and that consideration be given to providing further contextual information to identify the extent of CHD admissions which were referred to cardiac rehabilitation after 5 days of admission. </w:t>
          </w:r>
          <w:r w:rsidRPr="007A2874">
            <w:rPr>
              <w:rFonts w:eastAsia="+mn-ea" w:cstheme="minorHAnsi"/>
              <w:position w:val="1"/>
            </w:rPr>
            <w:br/>
          </w:r>
          <w:r w:rsidRPr="007A2874">
            <w:rPr>
              <w:rFonts w:eastAsia="+mn-ea" w:cstheme="minorHAnsi"/>
              <w:position w:val="1"/>
            </w:rPr>
            <w:br/>
            <w:t xml:space="preserve">In light of the improvements in data coverage for future reporting periods that have been identified during discussion at MRG, it is recommended that the indicator is reviewed in a </w:t>
          </w:r>
          <w:proofErr w:type="spellStart"/>
          <w:r w:rsidRPr="007A2874">
            <w:rPr>
              <w:rFonts w:eastAsia="+mn-ea" w:cstheme="minorHAnsi"/>
              <w:position w:val="1"/>
            </w:rPr>
            <w:t>years time</w:t>
          </w:r>
          <w:proofErr w:type="spellEnd"/>
          <w:r w:rsidRPr="007A2874">
            <w:rPr>
              <w:rFonts w:eastAsia="+mn-ea" w:cstheme="minorHAnsi"/>
              <w:position w:val="1"/>
            </w:rPr>
            <w:t xml:space="preserve"> to validate the improvement and with a view to uplift the level of assurance rating.   </w:t>
          </w:r>
        </w:p>
      </w:sdtContent>
    </w:sdt>
    <w:p w14:paraId="5885F091" w14:textId="77777777" w:rsidR="00C157D5" w:rsidRPr="007A2874" w:rsidRDefault="00C157D5" w:rsidP="007A2874">
      <w:pPr>
        <w:rPr>
          <w:b/>
          <w:szCs w:val="23"/>
        </w:rPr>
      </w:pPr>
    </w:p>
    <w:p w14:paraId="256ACD0F" w14:textId="77777777" w:rsidR="00C157D5" w:rsidRPr="007A2874" w:rsidRDefault="00C157D5" w:rsidP="007A2874">
      <w:pPr>
        <w:rPr>
          <w:rFonts w:asciiTheme="majorHAnsi" w:hAnsiTheme="majorHAnsi" w:cstheme="majorBidi"/>
          <w:b/>
          <w:spacing w:val="5"/>
          <w:kern w:val="28"/>
          <w:szCs w:val="23"/>
        </w:rPr>
      </w:pPr>
      <w:r w:rsidRPr="007A2874">
        <w:rPr>
          <w:b/>
          <w:szCs w:val="23"/>
        </w:rPr>
        <w:t>Please find a detailed description of recommendations and actions in the appraisal log at the end of the document.</w:t>
      </w:r>
    </w:p>
    <w:p w14:paraId="0D497EE3" w14:textId="77777777" w:rsidR="00C157D5" w:rsidRPr="007A2874" w:rsidRDefault="00C157D5" w:rsidP="007A2874">
      <w:pPr>
        <w:spacing w:before="240"/>
        <w:rPr>
          <w:rFonts w:eastAsia="+mn-ea" w:cs="Arial"/>
          <w:b/>
          <w:position w:val="1"/>
          <w:szCs w:val="40"/>
        </w:rPr>
      </w:pPr>
    </w:p>
    <w:p w14:paraId="5795740D" w14:textId="77777777" w:rsidR="00C157D5" w:rsidRPr="007A2874" w:rsidRDefault="00C157D5" w:rsidP="007A2874">
      <w:pPr>
        <w:spacing w:before="240"/>
        <w:rPr>
          <w:rFonts w:eastAsia="+mn-ea" w:cs="Arial"/>
          <w:b/>
          <w:position w:val="1"/>
          <w:szCs w:val="40"/>
        </w:rPr>
      </w:pPr>
    </w:p>
    <w:p w14:paraId="1B91E94C" w14:textId="77777777" w:rsidR="00C157D5" w:rsidRPr="007A2874" w:rsidRDefault="00C157D5" w:rsidP="007A2874">
      <w:pPr>
        <w:spacing w:before="240"/>
        <w:rPr>
          <w:rFonts w:eastAsia="+mn-ea" w:cs="Arial"/>
          <w:b/>
          <w:position w:val="1"/>
          <w:szCs w:val="40"/>
        </w:rPr>
      </w:pPr>
    </w:p>
    <w:p w14:paraId="47AFC287" w14:textId="77777777" w:rsidR="00C157D5" w:rsidRPr="007A2874" w:rsidRDefault="00C157D5">
      <w:pPr>
        <w:rPr>
          <w:rFonts w:eastAsia="+mn-ea" w:cs="Arial"/>
          <w:b/>
          <w:position w:val="1"/>
          <w:sz w:val="32"/>
          <w:szCs w:val="32"/>
          <w:lang w:eastAsia="en-GB"/>
        </w:rPr>
      </w:pPr>
      <w:r w:rsidRPr="007A2874">
        <w:rPr>
          <w:rFonts w:eastAsia="+mn-ea" w:cs="Arial"/>
          <w:b/>
          <w:position w:val="1"/>
          <w:sz w:val="32"/>
          <w:szCs w:val="32"/>
        </w:rPr>
        <w:br w:type="page"/>
      </w:r>
    </w:p>
    <w:p w14:paraId="3CC69E8B" w14:textId="77777777" w:rsidR="00C157D5" w:rsidRPr="007A2874" w:rsidRDefault="00C157D5" w:rsidP="007A2874">
      <w:pPr>
        <w:pStyle w:val="NormalWeb"/>
        <w:spacing w:before="0" w:beforeAutospacing="0" w:after="0" w:afterAutospacing="0"/>
        <w:rPr>
          <w:rFonts w:ascii="Arial" w:eastAsia="+mn-ea" w:hAnsi="Arial" w:cs="Arial"/>
          <w:b/>
          <w:position w:val="1"/>
          <w:sz w:val="32"/>
          <w:szCs w:val="32"/>
        </w:rPr>
      </w:pPr>
      <w:r w:rsidRPr="007A2874">
        <w:rPr>
          <w:rFonts w:ascii="Arial" w:eastAsia="+mn-ea" w:hAnsi="Arial" w:cs="Arial"/>
          <w:b/>
          <w:position w:val="1"/>
          <w:sz w:val="32"/>
          <w:szCs w:val="32"/>
        </w:rPr>
        <w:lastRenderedPageBreak/>
        <w:t>What do the Assurance Ratings mean?</w:t>
      </w:r>
    </w:p>
    <w:p w14:paraId="2ABD0ABF" w14:textId="77777777" w:rsidR="00C157D5" w:rsidRPr="007A2874" w:rsidRDefault="00C157D5" w:rsidP="007A28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6078"/>
      </w:tblGrid>
      <w:tr w:rsidR="00D85A43" w:rsidRPr="007A2874" w14:paraId="6CF6BA1A" w14:textId="77777777" w:rsidTr="00D85A43">
        <w:tc>
          <w:tcPr>
            <w:tcW w:w="2688" w:type="dxa"/>
            <w:vAlign w:val="center"/>
          </w:tcPr>
          <w:p w14:paraId="58114083" w14:textId="14648CB7" w:rsidR="00D85A43" w:rsidRPr="007A2874" w:rsidRDefault="00D85A43" w:rsidP="007A2874">
            <w:pPr>
              <w:spacing w:before="120" w:after="120"/>
              <w:rPr>
                <w:rFonts w:cstheme="minorHAnsi"/>
                <w:b/>
              </w:rPr>
            </w:pPr>
            <w:bookmarkStart w:id="3" w:name="_Hlk34990868"/>
            <w:r w:rsidRPr="007A2874">
              <w:rPr>
                <w:b/>
                <w:sz w:val="28"/>
                <w:szCs w:val="28"/>
              </w:rPr>
              <w:t>Rating</w:t>
            </w:r>
          </w:p>
        </w:tc>
        <w:tc>
          <w:tcPr>
            <w:tcW w:w="6078" w:type="dxa"/>
            <w:vAlign w:val="center"/>
          </w:tcPr>
          <w:p w14:paraId="28E4CF70" w14:textId="798F6C51" w:rsidR="00D85A43" w:rsidRPr="007A2874" w:rsidRDefault="00D85A43" w:rsidP="007A2874">
            <w:pPr>
              <w:spacing w:before="120" w:after="120"/>
            </w:pPr>
            <w:r w:rsidRPr="007A2874">
              <w:rPr>
                <w:b/>
                <w:sz w:val="28"/>
                <w:szCs w:val="28"/>
              </w:rPr>
              <w:t>Description</w:t>
            </w:r>
          </w:p>
        </w:tc>
      </w:tr>
      <w:tr w:rsidR="00D85A43" w:rsidRPr="007A2874" w14:paraId="1DE2EC4E" w14:textId="77777777" w:rsidTr="00D85A43">
        <w:tc>
          <w:tcPr>
            <w:tcW w:w="2688" w:type="dxa"/>
            <w:vAlign w:val="center"/>
          </w:tcPr>
          <w:p w14:paraId="3EA97C99" w14:textId="77777777" w:rsidR="00D85A43" w:rsidRPr="007A2874" w:rsidRDefault="00D85A43" w:rsidP="007A2874">
            <w:pPr>
              <w:spacing w:before="120" w:after="120"/>
              <w:rPr>
                <w:rFonts w:cstheme="minorHAnsi"/>
                <w:b/>
              </w:rPr>
            </w:pPr>
            <w:r w:rsidRPr="007A2874">
              <w:rPr>
                <w:rFonts w:cstheme="minorHAnsi"/>
                <w:b/>
              </w:rPr>
              <w:t xml:space="preserve">Fit for use </w:t>
            </w:r>
          </w:p>
        </w:tc>
        <w:tc>
          <w:tcPr>
            <w:tcW w:w="6078" w:type="dxa"/>
            <w:vAlign w:val="center"/>
          </w:tcPr>
          <w:p w14:paraId="071DD0E1" w14:textId="77777777" w:rsidR="00D85A43" w:rsidRPr="007A2874" w:rsidRDefault="00D85A43" w:rsidP="007A2874">
            <w:pPr>
              <w:spacing w:before="120" w:after="120"/>
            </w:pPr>
            <w:r w:rsidRPr="007A2874">
              <w:t>This indicator can be used with confidence that it is constructed in a sound manner that is fit for purpose.</w:t>
            </w:r>
          </w:p>
        </w:tc>
      </w:tr>
      <w:tr w:rsidR="00D85A43" w:rsidRPr="007A2874" w14:paraId="5D0F1D2B" w14:textId="77777777" w:rsidTr="00D85A43">
        <w:tc>
          <w:tcPr>
            <w:tcW w:w="2688" w:type="dxa"/>
            <w:vAlign w:val="center"/>
          </w:tcPr>
          <w:p w14:paraId="28D015D1" w14:textId="77777777" w:rsidR="00D85A43" w:rsidRPr="007A2874" w:rsidRDefault="00D85A43" w:rsidP="007A2874">
            <w:pPr>
              <w:spacing w:before="120" w:after="120"/>
              <w:rPr>
                <w:rFonts w:cstheme="minorHAnsi"/>
                <w:b/>
              </w:rPr>
            </w:pPr>
            <w:r w:rsidRPr="007A2874">
              <w:rPr>
                <w:rFonts w:cstheme="minorHAnsi"/>
                <w:b/>
              </w:rPr>
              <w:t>Fit for use with caveats</w:t>
            </w:r>
          </w:p>
        </w:tc>
        <w:tc>
          <w:tcPr>
            <w:tcW w:w="6078" w:type="dxa"/>
            <w:vAlign w:val="center"/>
          </w:tcPr>
          <w:p w14:paraId="51E1C353" w14:textId="77777777" w:rsidR="00D85A43" w:rsidRPr="007A2874" w:rsidRDefault="00D85A43" w:rsidP="007A2874">
            <w:pPr>
              <w:spacing w:before="120" w:after="120"/>
            </w:pPr>
            <w:r w:rsidRPr="007A2874">
              <w:t xml:space="preserve">The indicator is fit for </w:t>
            </w:r>
            <w:proofErr w:type="gramStart"/>
            <w:r w:rsidRPr="007A2874">
              <w:t>use,</w:t>
            </w:r>
            <w:proofErr w:type="gramEnd"/>
            <w:r w:rsidRPr="007A2874">
              <w:t xml:space="preserve"> however users should be aware of caveats and/or recommendations for improvement that have been identified during the assurance process.</w:t>
            </w:r>
          </w:p>
        </w:tc>
      </w:tr>
      <w:tr w:rsidR="00D85A43" w:rsidRPr="007A2874" w14:paraId="4CA9883F" w14:textId="77777777" w:rsidTr="00D85A43">
        <w:tc>
          <w:tcPr>
            <w:tcW w:w="2688" w:type="dxa"/>
            <w:vAlign w:val="center"/>
          </w:tcPr>
          <w:p w14:paraId="2D8BE1E2" w14:textId="77777777" w:rsidR="00D85A43" w:rsidRPr="007A2874" w:rsidRDefault="00D85A43" w:rsidP="007A2874">
            <w:pPr>
              <w:spacing w:before="120" w:after="120"/>
              <w:rPr>
                <w:rFonts w:cstheme="minorHAnsi"/>
                <w:b/>
              </w:rPr>
            </w:pPr>
            <w:r w:rsidRPr="007A2874">
              <w:rPr>
                <w:rFonts w:cstheme="minorHAnsi"/>
                <w:b/>
              </w:rPr>
              <w:t>Use with caution – data quality</w:t>
            </w:r>
          </w:p>
        </w:tc>
        <w:tc>
          <w:tcPr>
            <w:tcW w:w="6078" w:type="dxa"/>
            <w:vAlign w:val="center"/>
          </w:tcPr>
          <w:p w14:paraId="6A655638" w14:textId="77777777" w:rsidR="00D85A43" w:rsidRPr="007A2874" w:rsidRDefault="00D85A43" w:rsidP="007A2874">
            <w:pPr>
              <w:spacing w:before="120" w:after="120"/>
            </w:pPr>
            <w:r w:rsidRPr="007A2874">
              <w:t xml:space="preserve">The indicator is based on a sound methodology for which the assurance process </w:t>
            </w:r>
            <w:proofErr w:type="gramStart"/>
            <w:r w:rsidRPr="007A2874">
              <w:t>endorse</w:t>
            </w:r>
            <w:proofErr w:type="gramEnd"/>
            <w:r w:rsidRPr="007A2874">
              <w:t xml:space="preserve"> the use, however issues have been identified with the national data source which have implications for its use as an indicator.</w:t>
            </w:r>
          </w:p>
        </w:tc>
      </w:tr>
      <w:tr w:rsidR="00D85A43" w:rsidRPr="007A2874" w14:paraId="18310C7B" w14:textId="77777777" w:rsidTr="00D85A43">
        <w:tc>
          <w:tcPr>
            <w:tcW w:w="2688" w:type="dxa"/>
            <w:vAlign w:val="center"/>
          </w:tcPr>
          <w:p w14:paraId="13EF592D" w14:textId="77777777" w:rsidR="00D85A43" w:rsidRPr="007A2874" w:rsidRDefault="00D85A43" w:rsidP="007A2874">
            <w:pPr>
              <w:spacing w:before="120" w:after="120"/>
              <w:rPr>
                <w:rFonts w:cstheme="minorHAnsi"/>
                <w:b/>
              </w:rPr>
            </w:pPr>
            <w:r w:rsidRPr="007A2874">
              <w:rPr>
                <w:rFonts w:cstheme="minorHAnsi"/>
                <w:b/>
              </w:rPr>
              <w:t xml:space="preserve">Assessed as not meeting the assurance criteria </w:t>
            </w:r>
          </w:p>
        </w:tc>
        <w:tc>
          <w:tcPr>
            <w:tcW w:w="6078" w:type="dxa"/>
            <w:vAlign w:val="center"/>
          </w:tcPr>
          <w:p w14:paraId="603CD129" w14:textId="77777777" w:rsidR="00D85A43" w:rsidRPr="007A2874" w:rsidRDefault="00D85A43" w:rsidP="007A2874">
            <w:pPr>
              <w:spacing w:before="120" w:after="120"/>
            </w:pPr>
            <w:r w:rsidRPr="007A2874">
              <w:t>Issues have been identified with the indicator which have resulted in the assurance process currently not endorsing its use as a quality indicator.</w:t>
            </w:r>
          </w:p>
        </w:tc>
      </w:tr>
      <w:tr w:rsidR="00D85A43" w:rsidRPr="007A2874" w14:paraId="552D0B6F" w14:textId="77777777" w:rsidTr="00D85A43">
        <w:tc>
          <w:tcPr>
            <w:tcW w:w="2688" w:type="dxa"/>
            <w:vAlign w:val="center"/>
          </w:tcPr>
          <w:p w14:paraId="3DBE31B4" w14:textId="77777777" w:rsidR="00D85A43" w:rsidRPr="007A2874" w:rsidRDefault="00D85A43" w:rsidP="007A2874">
            <w:pPr>
              <w:spacing w:before="120" w:after="120"/>
              <w:rPr>
                <w:rFonts w:cstheme="minorHAnsi"/>
                <w:b/>
              </w:rPr>
            </w:pPr>
            <w:r w:rsidRPr="007A2874">
              <w:rPr>
                <w:rFonts w:cstheme="minorHAnsi"/>
                <w:b/>
              </w:rPr>
              <w:t>Not enough information provided</w:t>
            </w:r>
          </w:p>
        </w:tc>
        <w:tc>
          <w:tcPr>
            <w:tcW w:w="6078" w:type="dxa"/>
            <w:vAlign w:val="center"/>
          </w:tcPr>
          <w:p w14:paraId="44859EE2" w14:textId="77777777" w:rsidR="00D85A43" w:rsidRPr="007A2874" w:rsidRDefault="00D85A43" w:rsidP="007A2874">
            <w:pPr>
              <w:spacing w:before="120" w:after="120"/>
            </w:pPr>
            <w:r w:rsidRPr="007A2874">
              <w:t>There has not been enough information supplied to the assurance process to be able to accurately give the indicator a level of assurance.</w:t>
            </w:r>
          </w:p>
        </w:tc>
      </w:tr>
      <w:bookmarkEnd w:id="3"/>
    </w:tbl>
    <w:p w14:paraId="3C1C782B" w14:textId="77777777" w:rsidR="00C157D5" w:rsidRPr="007A2874" w:rsidRDefault="00C157D5" w:rsidP="007A2874">
      <w:pPr>
        <w:pStyle w:val="NormalWeb"/>
        <w:spacing w:before="0" w:beforeAutospacing="0" w:after="0" w:afterAutospacing="0"/>
        <w:rPr>
          <w:rFonts w:eastAsia="+mn-ea"/>
          <w:sz w:val="40"/>
        </w:rPr>
      </w:pPr>
      <w:r w:rsidRPr="007A2874">
        <w:rPr>
          <w:rFonts w:eastAsia="+mn-ea"/>
          <w:sz w:val="40"/>
        </w:rPr>
        <w:br w:type="page"/>
      </w:r>
    </w:p>
    <w:p w14:paraId="2B3AD11B" w14:textId="77777777" w:rsidR="00C157D5" w:rsidRPr="007A2874" w:rsidRDefault="00C157D5" w:rsidP="007A2874">
      <w:pPr>
        <w:spacing w:before="240"/>
        <w:rPr>
          <w:rFonts w:eastAsia="+mn-ea" w:cs="Arial"/>
          <w:b/>
          <w:position w:val="1"/>
          <w:sz w:val="32"/>
          <w:szCs w:val="40"/>
          <w:lang w:eastAsia="en-GB"/>
        </w:rPr>
        <w:sectPr w:rsidR="00C157D5" w:rsidRPr="007A2874" w:rsidSect="007A2874">
          <w:headerReference w:type="default" r:id="rId21"/>
          <w:footerReference w:type="default" r:id="rId22"/>
          <w:headerReference w:type="first" r:id="rId23"/>
          <w:footerReference w:type="first" r:id="rId24"/>
          <w:pgSz w:w="11906" w:h="16838"/>
          <w:pgMar w:top="1021" w:right="1021" w:bottom="1021" w:left="1021" w:header="454" w:footer="680" w:gutter="0"/>
          <w:cols w:space="708"/>
          <w:docGrid w:linePitch="360"/>
        </w:sectPr>
      </w:pPr>
    </w:p>
    <w:p w14:paraId="0A74B73A" w14:textId="77777777" w:rsidR="00C157D5" w:rsidRPr="007A2874" w:rsidRDefault="00C157D5" w:rsidP="007A2874">
      <w:pPr>
        <w:pStyle w:val="NormalWeb"/>
        <w:spacing w:before="0" w:beforeAutospacing="0" w:after="0" w:afterAutospacing="0"/>
        <w:rPr>
          <w:rFonts w:ascii="Arial" w:eastAsia="+mn-ea" w:hAnsi="Arial" w:cs="Arial"/>
          <w:b/>
          <w:position w:val="1"/>
          <w:sz w:val="32"/>
          <w:szCs w:val="26"/>
        </w:rPr>
      </w:pPr>
      <w:r w:rsidRPr="007A2874">
        <w:rPr>
          <w:rFonts w:ascii="Arial" w:eastAsia="+mn-ea" w:hAnsi="Arial" w:cs="Arial"/>
          <w:b/>
          <w:position w:val="1"/>
          <w:sz w:val="32"/>
          <w:szCs w:val="26"/>
        </w:rPr>
        <w:lastRenderedPageBreak/>
        <w:t xml:space="preserve">Appraisal Log </w:t>
      </w:r>
    </w:p>
    <w:p w14:paraId="3AA5EB4F" w14:textId="77777777" w:rsidR="00C157D5" w:rsidRPr="007A2874" w:rsidRDefault="00C157D5" w:rsidP="007A2874">
      <w:pPr>
        <w:pStyle w:val="NormalWeb"/>
        <w:spacing w:before="0" w:beforeAutospacing="0" w:after="0" w:afterAutospacing="0"/>
        <w:rPr>
          <w:rFonts w:ascii="Arial" w:eastAsia="+mn-ea" w:hAnsi="Arial" w:cs="Arial"/>
          <w:b/>
          <w:position w:val="1"/>
          <w:sz w:val="32"/>
          <w:szCs w:val="26"/>
        </w:rPr>
      </w:pPr>
    </w:p>
    <w:tbl>
      <w:tblPr>
        <w:tblStyle w:val="TableGrid"/>
        <w:tblW w:w="5000" w:type="pct"/>
        <w:tblLook w:val="04A0" w:firstRow="1" w:lastRow="0" w:firstColumn="1" w:lastColumn="0" w:noHBand="0" w:noVBand="1"/>
      </w:tblPr>
      <w:tblGrid>
        <w:gridCol w:w="833"/>
        <w:gridCol w:w="4218"/>
        <w:gridCol w:w="1146"/>
        <w:gridCol w:w="4499"/>
        <w:gridCol w:w="1365"/>
        <w:gridCol w:w="1284"/>
        <w:gridCol w:w="1233"/>
      </w:tblGrid>
      <w:tr w:rsidR="00D85A43" w:rsidRPr="007A2874" w14:paraId="020F26D0" w14:textId="77777777" w:rsidTr="00D85A43">
        <w:tc>
          <w:tcPr>
            <w:tcW w:w="286" w:type="pct"/>
            <w:tcBorders>
              <w:top w:val="nil"/>
              <w:left w:val="nil"/>
              <w:bottom w:val="single" w:sz="4" w:space="0" w:color="ACD7FF" w:themeColor="accent1" w:themeTint="33"/>
              <w:right w:val="single" w:sz="4" w:space="0" w:color="ACD7FF" w:themeColor="accent1" w:themeTint="33"/>
            </w:tcBorders>
            <w:vAlign w:val="center"/>
          </w:tcPr>
          <w:p w14:paraId="6D616B41" w14:textId="77777777" w:rsidR="00D85A43" w:rsidRPr="007A2874" w:rsidRDefault="00D85A43" w:rsidP="00D85A43">
            <w:pPr>
              <w:rPr>
                <w:b/>
                <w:i/>
              </w:rPr>
            </w:pPr>
          </w:p>
        </w:tc>
        <w:tc>
          <w:tcPr>
            <w:tcW w:w="1447" w:type="pct"/>
            <w:tcBorders>
              <w:top w:val="nil"/>
              <w:left w:val="single" w:sz="4" w:space="0" w:color="ACD7FF" w:themeColor="accent1" w:themeTint="33"/>
              <w:bottom w:val="single" w:sz="4" w:space="0" w:color="ACD7FF" w:themeColor="accent1" w:themeTint="33"/>
              <w:right w:val="single" w:sz="4" w:space="0" w:color="ACD7FF" w:themeColor="accent1" w:themeTint="33"/>
            </w:tcBorders>
          </w:tcPr>
          <w:p w14:paraId="4D5C8630" w14:textId="466CCD52" w:rsidR="00D85A43" w:rsidRPr="007A2874" w:rsidRDefault="00D85A43" w:rsidP="00D85A43">
            <w:pPr>
              <w:rPr>
                <w:b/>
                <w:i/>
              </w:rPr>
            </w:pPr>
            <w:r w:rsidRPr="007A2874">
              <w:rPr>
                <w:b/>
                <w:sz w:val="28"/>
                <w:szCs w:val="28"/>
              </w:rPr>
              <w:t>Clarity</w:t>
            </w:r>
          </w:p>
        </w:tc>
        <w:tc>
          <w:tcPr>
            <w:tcW w:w="39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194B6BA" w14:textId="77777777" w:rsidR="00D85A43" w:rsidRPr="007A2874" w:rsidRDefault="00D85A43" w:rsidP="00D85A43">
            <w:pPr>
              <w:rPr>
                <w:b/>
                <w:i/>
              </w:rPr>
            </w:pPr>
          </w:p>
        </w:tc>
        <w:tc>
          <w:tcPr>
            <w:tcW w:w="154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132EEDC" w14:textId="77777777" w:rsidR="00D85A43" w:rsidRPr="007A2874" w:rsidRDefault="00D85A43" w:rsidP="00D85A43">
            <w:pPr>
              <w:rPr>
                <w:b/>
                <w:i/>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4A026056" w14:textId="77777777" w:rsidR="00D85A43" w:rsidRPr="007A2874" w:rsidRDefault="00D85A43" w:rsidP="00D85A43">
            <w:pPr>
              <w:rPr>
                <w:b/>
                <w:i/>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836AB2B" w14:textId="77777777" w:rsidR="00D85A43" w:rsidRPr="007A2874" w:rsidRDefault="00D85A43" w:rsidP="00D85A43">
            <w:pPr>
              <w:rPr>
                <w:b/>
                <w:i/>
              </w:rPr>
            </w:pPr>
          </w:p>
        </w:tc>
        <w:tc>
          <w:tcPr>
            <w:tcW w:w="423" w:type="pct"/>
            <w:tcBorders>
              <w:top w:val="nil"/>
              <w:left w:val="single" w:sz="4" w:space="0" w:color="ACD7FF" w:themeColor="accent1" w:themeTint="33"/>
              <w:bottom w:val="single" w:sz="4" w:space="0" w:color="ACD7FF" w:themeColor="accent1" w:themeTint="33"/>
              <w:right w:val="nil"/>
            </w:tcBorders>
            <w:vAlign w:val="center"/>
          </w:tcPr>
          <w:p w14:paraId="445167FD" w14:textId="77777777" w:rsidR="00D85A43" w:rsidRPr="007A2874" w:rsidRDefault="00D85A43" w:rsidP="00D85A43">
            <w:pPr>
              <w:rPr>
                <w:b/>
                <w:i/>
              </w:rPr>
            </w:pPr>
          </w:p>
        </w:tc>
      </w:tr>
      <w:tr w:rsidR="00D85A43" w:rsidRPr="007A2874" w14:paraId="32903561" w14:textId="77777777" w:rsidTr="00D85A43">
        <w:tc>
          <w:tcPr>
            <w:tcW w:w="286" w:type="pct"/>
            <w:tcBorders>
              <w:top w:val="nil"/>
              <w:left w:val="nil"/>
              <w:bottom w:val="single" w:sz="4" w:space="0" w:color="ACD7FF" w:themeColor="accent1" w:themeTint="33"/>
              <w:right w:val="single" w:sz="4" w:space="0" w:color="ACD7FF" w:themeColor="accent1" w:themeTint="33"/>
            </w:tcBorders>
            <w:vAlign w:val="center"/>
          </w:tcPr>
          <w:p w14:paraId="6841292B" w14:textId="77777777" w:rsidR="00D85A43" w:rsidRPr="007A2874" w:rsidRDefault="00D85A43" w:rsidP="00D85A43">
            <w:pPr>
              <w:rPr>
                <w:b/>
                <w:i/>
              </w:rPr>
            </w:pPr>
            <w:r w:rsidRPr="007A2874">
              <w:rPr>
                <w:b/>
                <w:i/>
              </w:rPr>
              <w:t>Rec. no</w:t>
            </w:r>
          </w:p>
        </w:tc>
        <w:tc>
          <w:tcPr>
            <w:tcW w:w="1447"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6D53901" w14:textId="77777777" w:rsidR="00D85A43" w:rsidRPr="007A2874" w:rsidRDefault="00D85A43" w:rsidP="00D85A43">
            <w:pPr>
              <w:rPr>
                <w:b/>
                <w:i/>
              </w:rPr>
            </w:pPr>
            <w:r w:rsidRPr="007A2874">
              <w:rPr>
                <w:b/>
                <w:i/>
              </w:rPr>
              <w:t>Issue or recommendation</w:t>
            </w:r>
          </w:p>
        </w:tc>
        <w:tc>
          <w:tcPr>
            <w:tcW w:w="39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CF8A1CB" w14:textId="77777777" w:rsidR="00D85A43" w:rsidRPr="007A2874" w:rsidRDefault="00D85A43" w:rsidP="00D85A43">
            <w:pPr>
              <w:rPr>
                <w:b/>
                <w:i/>
              </w:rPr>
            </w:pPr>
            <w:r w:rsidRPr="007A2874">
              <w:rPr>
                <w:b/>
                <w:i/>
              </w:rPr>
              <w:t>Raised by / Date</w:t>
            </w:r>
          </w:p>
        </w:tc>
        <w:tc>
          <w:tcPr>
            <w:tcW w:w="154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4963DF0F" w14:textId="77777777" w:rsidR="00D85A43" w:rsidRPr="007A2874" w:rsidRDefault="00D85A43" w:rsidP="00D85A43">
            <w:pPr>
              <w:rPr>
                <w:b/>
                <w:i/>
              </w:rPr>
            </w:pPr>
            <w:r w:rsidRPr="007A2874">
              <w:rPr>
                <w:b/>
                <w:i/>
              </w:rPr>
              <w:t>Response or Action taken by applicant</w:t>
            </w: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7711506" w14:textId="77777777" w:rsidR="00D85A43" w:rsidRPr="007A2874" w:rsidRDefault="00D85A43" w:rsidP="00D85A43">
            <w:pPr>
              <w:rPr>
                <w:b/>
                <w:i/>
              </w:rPr>
            </w:pPr>
            <w:r w:rsidRPr="007A2874">
              <w:rPr>
                <w:b/>
                <w:i/>
              </w:rPr>
              <w:t>Response date</w:t>
            </w: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68404119" w14:textId="77777777" w:rsidR="00D85A43" w:rsidRPr="007A2874" w:rsidRDefault="00D85A43" w:rsidP="00D85A43">
            <w:pPr>
              <w:rPr>
                <w:b/>
                <w:i/>
              </w:rPr>
            </w:pPr>
            <w:r w:rsidRPr="007A2874">
              <w:rPr>
                <w:b/>
                <w:i/>
              </w:rPr>
              <w:t>Resolved</w:t>
            </w:r>
          </w:p>
        </w:tc>
        <w:tc>
          <w:tcPr>
            <w:tcW w:w="423" w:type="pct"/>
            <w:tcBorders>
              <w:top w:val="nil"/>
              <w:left w:val="single" w:sz="4" w:space="0" w:color="ACD7FF" w:themeColor="accent1" w:themeTint="33"/>
              <w:bottom w:val="single" w:sz="4" w:space="0" w:color="ACD7FF" w:themeColor="accent1" w:themeTint="33"/>
              <w:right w:val="nil"/>
            </w:tcBorders>
            <w:vAlign w:val="center"/>
          </w:tcPr>
          <w:p w14:paraId="040E4596" w14:textId="77777777" w:rsidR="00D85A43" w:rsidRPr="007A2874" w:rsidRDefault="00D85A43" w:rsidP="00D85A43">
            <w:pPr>
              <w:rPr>
                <w:b/>
                <w:i/>
              </w:rPr>
            </w:pPr>
            <w:r w:rsidRPr="007A2874">
              <w:rPr>
                <w:b/>
                <w:i/>
              </w:rPr>
              <w:t>Sign off by / Date</w:t>
            </w:r>
          </w:p>
        </w:tc>
      </w:tr>
      <w:tr w:rsidR="00D85A43" w:rsidRPr="007A2874" w14:paraId="149E3BE9" w14:textId="77777777" w:rsidTr="00D85A43">
        <w:tc>
          <w:tcPr>
            <w:tcW w:w="286" w:type="pct"/>
            <w:tcBorders>
              <w:top w:val="nil"/>
              <w:left w:val="nil"/>
              <w:bottom w:val="single" w:sz="4" w:space="0" w:color="ACD7FF" w:themeColor="accent1" w:themeTint="33"/>
              <w:right w:val="single" w:sz="4" w:space="0" w:color="ACD7FF" w:themeColor="accent1" w:themeTint="33"/>
            </w:tcBorders>
            <w:vAlign w:val="center"/>
          </w:tcPr>
          <w:p w14:paraId="0FC8AF49" w14:textId="77777777" w:rsidR="00D85A43" w:rsidRPr="007A2874" w:rsidRDefault="00D85A43" w:rsidP="00D85A43">
            <w:pPr>
              <w:rPr>
                <w:b/>
                <w:i/>
              </w:rPr>
            </w:pPr>
          </w:p>
        </w:tc>
        <w:tc>
          <w:tcPr>
            <w:tcW w:w="1447"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0F948D5" w14:textId="5433A5E3" w:rsidR="00D85A43" w:rsidRPr="007A2874" w:rsidRDefault="00D85A43" w:rsidP="00D85A43">
            <w:pPr>
              <w:rPr>
                <w:b/>
                <w:i/>
              </w:rPr>
            </w:pPr>
            <w:r w:rsidRPr="007A2874">
              <w:rPr>
                <w:rFonts w:cstheme="minorHAnsi"/>
              </w:rPr>
              <w:t>No issues or recommendations were highlighted during assurance for this criterion.</w:t>
            </w:r>
          </w:p>
        </w:tc>
        <w:tc>
          <w:tcPr>
            <w:tcW w:w="39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66BC788" w14:textId="77777777" w:rsidR="00D85A43" w:rsidRPr="007A2874" w:rsidRDefault="00D85A43" w:rsidP="00D85A43">
            <w:pPr>
              <w:rPr>
                <w:b/>
                <w:i/>
              </w:rPr>
            </w:pPr>
          </w:p>
        </w:tc>
        <w:tc>
          <w:tcPr>
            <w:tcW w:w="154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FD27011" w14:textId="77777777" w:rsidR="00D85A43" w:rsidRPr="007A2874" w:rsidRDefault="00D85A43" w:rsidP="00D85A43">
            <w:pPr>
              <w:rPr>
                <w:b/>
                <w:i/>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72216D8" w14:textId="77777777" w:rsidR="00D85A43" w:rsidRPr="007A2874" w:rsidRDefault="00D85A43" w:rsidP="00D85A43">
            <w:pPr>
              <w:rPr>
                <w:b/>
                <w:i/>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41D307B4" w14:textId="77777777" w:rsidR="00D85A43" w:rsidRPr="007A2874" w:rsidRDefault="00D85A43" w:rsidP="00D85A43">
            <w:pPr>
              <w:rPr>
                <w:b/>
                <w:i/>
              </w:rPr>
            </w:pPr>
          </w:p>
        </w:tc>
        <w:tc>
          <w:tcPr>
            <w:tcW w:w="423" w:type="pct"/>
            <w:tcBorders>
              <w:top w:val="nil"/>
              <w:left w:val="single" w:sz="4" w:space="0" w:color="ACD7FF" w:themeColor="accent1" w:themeTint="33"/>
              <w:bottom w:val="single" w:sz="4" w:space="0" w:color="ACD7FF" w:themeColor="accent1" w:themeTint="33"/>
              <w:right w:val="nil"/>
            </w:tcBorders>
            <w:vAlign w:val="center"/>
          </w:tcPr>
          <w:p w14:paraId="57DB56D0" w14:textId="77777777" w:rsidR="00D85A43" w:rsidRPr="007A2874" w:rsidRDefault="00D85A43" w:rsidP="00D85A43">
            <w:pPr>
              <w:rPr>
                <w:b/>
                <w:i/>
              </w:rPr>
            </w:pPr>
          </w:p>
        </w:tc>
      </w:tr>
    </w:tbl>
    <w:p w14:paraId="64701C7D" w14:textId="77777777" w:rsidR="00C157D5" w:rsidRPr="007A2874" w:rsidRDefault="00C157D5" w:rsidP="007A2874">
      <w:pPr>
        <w:rPr>
          <w:sz w:val="12"/>
        </w:rPr>
      </w:pPr>
    </w:p>
    <w:tbl>
      <w:tblPr>
        <w:tblStyle w:val="TableGrid"/>
        <w:tblW w:w="5000" w:type="pct"/>
        <w:tblLook w:val="04A0" w:firstRow="1" w:lastRow="0" w:firstColumn="1" w:lastColumn="0" w:noHBand="0" w:noVBand="1"/>
      </w:tblPr>
      <w:tblGrid>
        <w:gridCol w:w="723"/>
        <w:gridCol w:w="4023"/>
        <w:gridCol w:w="1418"/>
        <w:gridCol w:w="4347"/>
        <w:gridCol w:w="1365"/>
        <w:gridCol w:w="1284"/>
        <w:gridCol w:w="1418"/>
      </w:tblGrid>
      <w:tr w:rsidR="00D85A43" w:rsidRPr="007A2874" w14:paraId="2931C1DF" w14:textId="77777777" w:rsidTr="00D85A43">
        <w:tc>
          <w:tcPr>
            <w:tcW w:w="248" w:type="pct"/>
            <w:tcBorders>
              <w:top w:val="nil"/>
              <w:left w:val="nil"/>
              <w:bottom w:val="single" w:sz="4" w:space="0" w:color="ACD7FF" w:themeColor="accent1" w:themeTint="33"/>
              <w:right w:val="single" w:sz="4" w:space="0" w:color="ACD7FF" w:themeColor="accent1" w:themeTint="33"/>
            </w:tcBorders>
            <w:vAlign w:val="center"/>
          </w:tcPr>
          <w:p w14:paraId="378B157A" w14:textId="77777777" w:rsidR="00D85A43" w:rsidRPr="007A2874" w:rsidRDefault="00D85A43" w:rsidP="007A2874">
            <w:pPr>
              <w:rPr>
                <w:b/>
                <w:i/>
              </w:rPr>
            </w:pPr>
          </w:p>
        </w:tc>
        <w:tc>
          <w:tcPr>
            <w:tcW w:w="138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6DC3B106" w14:textId="7F50ACB8" w:rsidR="00D85A43" w:rsidRPr="007A2874" w:rsidRDefault="00D85A43" w:rsidP="007A2874">
            <w:pPr>
              <w:rPr>
                <w:b/>
                <w:i/>
              </w:rPr>
            </w:pPr>
            <w:r w:rsidRPr="007A2874">
              <w:rPr>
                <w:b/>
                <w:sz w:val="28"/>
                <w:szCs w:val="28"/>
              </w:rPr>
              <w:t>Rationale</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76B2CDE" w14:textId="77777777" w:rsidR="00D85A43" w:rsidRPr="007A2874" w:rsidRDefault="00D85A43" w:rsidP="007A2874">
            <w:pPr>
              <w:rPr>
                <w:b/>
                <w:i/>
              </w:rPr>
            </w:pPr>
          </w:p>
        </w:tc>
        <w:tc>
          <w:tcPr>
            <w:tcW w:w="1491"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5A4F387" w14:textId="77777777" w:rsidR="00D85A43" w:rsidRPr="007A2874" w:rsidRDefault="00D85A43" w:rsidP="007A2874">
            <w:pPr>
              <w:rPr>
                <w:b/>
                <w:i/>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41F4256" w14:textId="77777777" w:rsidR="00D85A43" w:rsidRPr="007A2874" w:rsidRDefault="00D85A43" w:rsidP="007A2874">
            <w:pPr>
              <w:rPr>
                <w:b/>
                <w:i/>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E408AE0" w14:textId="77777777" w:rsidR="00D85A43" w:rsidRPr="007A2874" w:rsidRDefault="00D85A43" w:rsidP="007A2874">
            <w:pPr>
              <w:rPr>
                <w:b/>
                <w:i/>
              </w:rPr>
            </w:pPr>
          </w:p>
        </w:tc>
        <w:tc>
          <w:tcPr>
            <w:tcW w:w="486" w:type="pct"/>
            <w:tcBorders>
              <w:top w:val="nil"/>
              <w:left w:val="single" w:sz="4" w:space="0" w:color="ACD7FF" w:themeColor="accent1" w:themeTint="33"/>
              <w:bottom w:val="single" w:sz="4" w:space="0" w:color="ACD7FF" w:themeColor="accent1" w:themeTint="33"/>
              <w:right w:val="nil"/>
            </w:tcBorders>
            <w:vAlign w:val="center"/>
          </w:tcPr>
          <w:p w14:paraId="5D1C7E9A" w14:textId="77777777" w:rsidR="00D85A43" w:rsidRPr="007A2874" w:rsidRDefault="00D85A43" w:rsidP="007A2874">
            <w:pPr>
              <w:rPr>
                <w:b/>
                <w:i/>
              </w:rPr>
            </w:pPr>
          </w:p>
        </w:tc>
      </w:tr>
      <w:tr w:rsidR="007A2874" w:rsidRPr="007A2874" w14:paraId="77C03E1A" w14:textId="77777777" w:rsidTr="00D85A43">
        <w:tc>
          <w:tcPr>
            <w:tcW w:w="248" w:type="pct"/>
            <w:tcBorders>
              <w:top w:val="nil"/>
              <w:left w:val="nil"/>
              <w:bottom w:val="single" w:sz="4" w:space="0" w:color="ACD7FF" w:themeColor="accent1" w:themeTint="33"/>
              <w:right w:val="single" w:sz="4" w:space="0" w:color="ACD7FF" w:themeColor="accent1" w:themeTint="33"/>
            </w:tcBorders>
            <w:vAlign w:val="center"/>
          </w:tcPr>
          <w:p w14:paraId="1B8A9AB2" w14:textId="77777777" w:rsidR="00C157D5" w:rsidRPr="007A2874" w:rsidRDefault="00C157D5" w:rsidP="007A2874">
            <w:pPr>
              <w:rPr>
                <w:b/>
                <w:i/>
              </w:rPr>
            </w:pPr>
            <w:r w:rsidRPr="007A2874">
              <w:rPr>
                <w:b/>
                <w:i/>
              </w:rPr>
              <w:t>Rec. no</w:t>
            </w:r>
          </w:p>
        </w:tc>
        <w:tc>
          <w:tcPr>
            <w:tcW w:w="138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F5D6998" w14:textId="77777777" w:rsidR="00C157D5" w:rsidRPr="007A2874" w:rsidRDefault="00C157D5" w:rsidP="007A2874">
            <w:pPr>
              <w:rPr>
                <w:b/>
                <w:i/>
              </w:rPr>
            </w:pPr>
            <w:r w:rsidRPr="007A2874">
              <w:rPr>
                <w:b/>
                <w:i/>
              </w:rPr>
              <w:t>Issue or recommendation</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DA8B846" w14:textId="77777777" w:rsidR="00C157D5" w:rsidRPr="007A2874" w:rsidRDefault="00C157D5" w:rsidP="007A2874">
            <w:pPr>
              <w:rPr>
                <w:b/>
                <w:i/>
              </w:rPr>
            </w:pPr>
            <w:r w:rsidRPr="007A2874">
              <w:rPr>
                <w:b/>
                <w:i/>
              </w:rPr>
              <w:t>Raised by / Date</w:t>
            </w:r>
          </w:p>
        </w:tc>
        <w:tc>
          <w:tcPr>
            <w:tcW w:w="1491"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CB216EB" w14:textId="77777777" w:rsidR="00C157D5" w:rsidRPr="007A2874" w:rsidRDefault="00C157D5" w:rsidP="007A2874">
            <w:pPr>
              <w:rPr>
                <w:b/>
                <w:i/>
              </w:rPr>
            </w:pPr>
            <w:r w:rsidRPr="007A2874">
              <w:rPr>
                <w:b/>
                <w:i/>
              </w:rPr>
              <w:t>Response or Action taken by applicant</w:t>
            </w: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72605C6" w14:textId="77777777" w:rsidR="00C157D5" w:rsidRPr="007A2874" w:rsidRDefault="00C157D5" w:rsidP="007A2874">
            <w:pPr>
              <w:rPr>
                <w:b/>
                <w:i/>
              </w:rPr>
            </w:pPr>
            <w:r w:rsidRPr="007A2874">
              <w:rPr>
                <w:b/>
                <w:i/>
              </w:rPr>
              <w:t>Response date</w:t>
            </w: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8B82C96" w14:textId="77777777" w:rsidR="00C157D5" w:rsidRPr="007A2874" w:rsidRDefault="00C157D5" w:rsidP="007A2874">
            <w:pPr>
              <w:rPr>
                <w:b/>
                <w:i/>
              </w:rPr>
            </w:pPr>
            <w:r w:rsidRPr="007A2874">
              <w:rPr>
                <w:b/>
                <w:i/>
              </w:rPr>
              <w:t>Resolved</w:t>
            </w:r>
          </w:p>
        </w:tc>
        <w:tc>
          <w:tcPr>
            <w:tcW w:w="486" w:type="pct"/>
            <w:tcBorders>
              <w:top w:val="nil"/>
              <w:left w:val="single" w:sz="4" w:space="0" w:color="ACD7FF" w:themeColor="accent1" w:themeTint="33"/>
              <w:bottom w:val="single" w:sz="4" w:space="0" w:color="ACD7FF" w:themeColor="accent1" w:themeTint="33"/>
              <w:right w:val="nil"/>
            </w:tcBorders>
            <w:vAlign w:val="center"/>
          </w:tcPr>
          <w:p w14:paraId="3C933E0D" w14:textId="77777777" w:rsidR="00C157D5" w:rsidRPr="007A2874" w:rsidRDefault="00C157D5" w:rsidP="007A2874">
            <w:pPr>
              <w:rPr>
                <w:b/>
                <w:i/>
              </w:rPr>
            </w:pPr>
            <w:r w:rsidRPr="007A2874">
              <w:rPr>
                <w:b/>
                <w:i/>
              </w:rPr>
              <w:t>Sign off by / Date</w:t>
            </w:r>
          </w:p>
        </w:tc>
      </w:tr>
      <w:tr w:rsidR="00C157D5" w:rsidRPr="007A2874" w14:paraId="27BEC235" w14:textId="77777777" w:rsidTr="00D85A43">
        <w:tc>
          <w:tcPr>
            <w:tcW w:w="248"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251B734B" w14:textId="77777777" w:rsidR="00C157D5" w:rsidRPr="007A2874" w:rsidRDefault="00C157D5" w:rsidP="007A2874">
            <w:pPr>
              <w:rPr>
                <w:rFonts w:cstheme="minorHAnsi"/>
              </w:rPr>
            </w:pPr>
            <w:r w:rsidRPr="007A2874">
              <w:rPr>
                <w:rFonts w:cstheme="minorHAnsi"/>
              </w:rPr>
              <w:t>2a</w:t>
            </w:r>
          </w:p>
        </w:tc>
        <w:tc>
          <w:tcPr>
            <w:tcW w:w="138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2922C3DD" w14:textId="77777777" w:rsidR="00C157D5" w:rsidRPr="007A2874" w:rsidRDefault="00C157D5" w:rsidP="007A2874">
            <w:pPr>
              <w:rPr>
                <w:rFonts w:cstheme="minorHAnsi"/>
              </w:rPr>
            </w:pPr>
            <w:r w:rsidRPr="007A2874">
              <w:rPr>
                <w:rFonts w:cstheme="minorHAnsi"/>
              </w:rPr>
              <w:t>It would be useful to provide a statement in the evidence base clarifying whether every CHD admission would be expected to be referred to cardiac rehabilitation within 5 days.</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35C0B0EE" w14:textId="77777777" w:rsidR="00C157D5" w:rsidRPr="007A2874" w:rsidRDefault="00C157D5" w:rsidP="007A2874">
            <w:pPr>
              <w:rPr>
                <w:rFonts w:cstheme="minorHAnsi"/>
              </w:rPr>
            </w:pPr>
            <w:r w:rsidRPr="007A2874">
              <w:rPr>
                <w:rFonts w:cstheme="minorHAnsi"/>
              </w:rPr>
              <w:t>MRG – 26/11/2015</w:t>
            </w:r>
          </w:p>
        </w:tc>
        <w:tc>
          <w:tcPr>
            <w:tcW w:w="1491"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3C50646A" w14:textId="77777777" w:rsidR="00C157D5" w:rsidRPr="007A2874" w:rsidRDefault="00C157D5" w:rsidP="007A2874">
            <w:pPr>
              <w:rPr>
                <w:rFonts w:cstheme="minorHAnsi"/>
              </w:rPr>
            </w:pPr>
            <w:r w:rsidRPr="007A2874">
              <w:rPr>
                <w:rFonts w:cstheme="minorHAnsi"/>
              </w:rPr>
              <w:t xml:space="preserve">This date was agreed with the NACR as an appropriate time frame. Documentation updated to reflect this. </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73291B0F" w14:textId="77777777" w:rsidR="00C157D5" w:rsidRPr="007A2874" w:rsidRDefault="00C157D5" w:rsidP="007A2874">
            <w:pPr>
              <w:rPr>
                <w:rFonts w:cstheme="minorHAnsi"/>
              </w:rPr>
            </w:pPr>
            <w:r w:rsidRPr="007A2874">
              <w:rPr>
                <w:rFonts w:cstheme="minorHAnsi"/>
              </w:rPr>
              <w:t>24/12/15</w:t>
            </w:r>
          </w:p>
        </w:tc>
        <w:sdt>
          <w:sdtPr>
            <w:rPr>
              <w:rFonts w:cstheme="minorHAnsi"/>
            </w:rPr>
            <w:id w:val="1733420856"/>
            <w14:checkbox>
              <w14:checked w14:val="1"/>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0B000584" w14:textId="77777777" w:rsidR="00C157D5" w:rsidRPr="007A2874" w:rsidRDefault="00C157D5" w:rsidP="007A2874">
                <w:pPr>
                  <w:jc w:val="center"/>
                  <w:rPr>
                    <w:rFonts w:cstheme="minorHAnsi"/>
                  </w:rPr>
                </w:pPr>
                <w:r w:rsidRPr="007A2874">
                  <w:rPr>
                    <w:rFonts w:ascii="MS Gothic" w:eastAsia="MS Gothic" w:hAnsi="MS Gothic" w:cstheme="minorHAnsi" w:hint="eastAsia"/>
                  </w:rPr>
                  <w:t>☒</w:t>
                </w:r>
              </w:p>
            </w:tc>
          </w:sdtContent>
        </w:sdt>
        <w:tc>
          <w:tcPr>
            <w:tcW w:w="486"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1AE03E32" w14:textId="77777777" w:rsidR="00C157D5" w:rsidRPr="007A2874" w:rsidRDefault="00C157D5" w:rsidP="007A2874">
            <w:pPr>
              <w:rPr>
                <w:rFonts w:cstheme="minorHAnsi"/>
              </w:rPr>
            </w:pPr>
            <w:r w:rsidRPr="007A2874">
              <w:rPr>
                <w:rFonts w:cstheme="minorHAnsi"/>
              </w:rPr>
              <w:t>Chair and Vice Chair - 06/01/2016</w:t>
            </w:r>
          </w:p>
        </w:tc>
      </w:tr>
    </w:tbl>
    <w:p w14:paraId="5C2D2E03" w14:textId="77777777" w:rsidR="00C157D5" w:rsidRPr="007A2874" w:rsidRDefault="00C157D5" w:rsidP="007A2874"/>
    <w:tbl>
      <w:tblPr>
        <w:tblStyle w:val="TableGrid"/>
        <w:tblW w:w="5000" w:type="pct"/>
        <w:tblLook w:val="04A0" w:firstRow="1" w:lastRow="0" w:firstColumn="1" w:lastColumn="0" w:noHBand="0" w:noVBand="1"/>
      </w:tblPr>
      <w:tblGrid>
        <w:gridCol w:w="763"/>
        <w:gridCol w:w="4151"/>
        <w:gridCol w:w="1418"/>
        <w:gridCol w:w="4431"/>
        <w:gridCol w:w="1365"/>
        <w:gridCol w:w="1284"/>
        <w:gridCol w:w="1166"/>
      </w:tblGrid>
      <w:tr w:rsidR="00D85A43" w:rsidRPr="007A2874" w14:paraId="2C722FC5" w14:textId="77777777" w:rsidTr="00D85A43">
        <w:tc>
          <w:tcPr>
            <w:tcW w:w="262" w:type="pct"/>
            <w:tcBorders>
              <w:top w:val="nil"/>
              <w:left w:val="nil"/>
              <w:bottom w:val="single" w:sz="4" w:space="0" w:color="ACD7FF" w:themeColor="accent1" w:themeTint="33"/>
              <w:right w:val="single" w:sz="4" w:space="0" w:color="ACD7FF" w:themeColor="accent1" w:themeTint="33"/>
            </w:tcBorders>
            <w:vAlign w:val="center"/>
          </w:tcPr>
          <w:p w14:paraId="350B8521" w14:textId="77777777" w:rsidR="00D85A43" w:rsidRPr="007A2874" w:rsidRDefault="00D85A43" w:rsidP="007A2874">
            <w:pPr>
              <w:rPr>
                <w:b/>
                <w:i/>
              </w:rPr>
            </w:pPr>
          </w:p>
        </w:tc>
        <w:tc>
          <w:tcPr>
            <w:tcW w:w="1424"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5FF00F5" w14:textId="0F9687CD" w:rsidR="00D85A43" w:rsidRPr="007A2874" w:rsidRDefault="00D85A43" w:rsidP="007A2874">
            <w:pPr>
              <w:rPr>
                <w:b/>
                <w:i/>
              </w:rPr>
            </w:pPr>
            <w:r w:rsidRPr="007A2874">
              <w:rPr>
                <w:b/>
                <w:sz w:val="28"/>
                <w:szCs w:val="28"/>
              </w:rPr>
              <w:t>Data</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2D472CB" w14:textId="77777777" w:rsidR="00D85A43" w:rsidRPr="007A2874" w:rsidRDefault="00D85A43" w:rsidP="007A2874">
            <w:pPr>
              <w:rPr>
                <w:b/>
                <w:i/>
              </w:rPr>
            </w:pPr>
          </w:p>
        </w:tc>
        <w:tc>
          <w:tcPr>
            <w:tcW w:w="152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B44D400" w14:textId="77777777" w:rsidR="00D85A43" w:rsidRPr="007A2874" w:rsidRDefault="00D85A43" w:rsidP="007A2874">
            <w:pPr>
              <w:rPr>
                <w:b/>
                <w:i/>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A85E062" w14:textId="77777777" w:rsidR="00D85A43" w:rsidRPr="007A2874" w:rsidRDefault="00D85A43" w:rsidP="007A2874">
            <w:pPr>
              <w:rPr>
                <w:b/>
                <w:i/>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CFE0E60" w14:textId="77777777" w:rsidR="00D85A43" w:rsidRPr="007A2874" w:rsidRDefault="00D85A43" w:rsidP="007A2874">
            <w:pPr>
              <w:rPr>
                <w:b/>
                <w:i/>
              </w:rPr>
            </w:pPr>
          </w:p>
        </w:tc>
        <w:tc>
          <w:tcPr>
            <w:tcW w:w="400" w:type="pct"/>
            <w:tcBorders>
              <w:top w:val="nil"/>
              <w:left w:val="single" w:sz="4" w:space="0" w:color="ACD7FF" w:themeColor="accent1" w:themeTint="33"/>
              <w:bottom w:val="single" w:sz="4" w:space="0" w:color="ACD7FF" w:themeColor="accent1" w:themeTint="33"/>
              <w:right w:val="nil"/>
            </w:tcBorders>
            <w:vAlign w:val="center"/>
          </w:tcPr>
          <w:p w14:paraId="397A85F7" w14:textId="77777777" w:rsidR="00D85A43" w:rsidRPr="007A2874" w:rsidRDefault="00D85A43" w:rsidP="007A2874">
            <w:pPr>
              <w:rPr>
                <w:b/>
                <w:i/>
              </w:rPr>
            </w:pPr>
          </w:p>
        </w:tc>
      </w:tr>
      <w:tr w:rsidR="007A2874" w:rsidRPr="007A2874" w14:paraId="284633A9" w14:textId="77777777" w:rsidTr="00D85A43">
        <w:tc>
          <w:tcPr>
            <w:tcW w:w="262" w:type="pct"/>
            <w:tcBorders>
              <w:top w:val="nil"/>
              <w:left w:val="nil"/>
              <w:bottom w:val="single" w:sz="4" w:space="0" w:color="ACD7FF" w:themeColor="accent1" w:themeTint="33"/>
              <w:right w:val="single" w:sz="4" w:space="0" w:color="ACD7FF" w:themeColor="accent1" w:themeTint="33"/>
            </w:tcBorders>
            <w:vAlign w:val="center"/>
          </w:tcPr>
          <w:p w14:paraId="1C01D69F" w14:textId="77777777" w:rsidR="00C157D5" w:rsidRPr="007A2874" w:rsidRDefault="00C157D5" w:rsidP="007A2874">
            <w:pPr>
              <w:rPr>
                <w:b/>
                <w:i/>
              </w:rPr>
            </w:pPr>
            <w:r w:rsidRPr="007A2874">
              <w:rPr>
                <w:b/>
                <w:i/>
              </w:rPr>
              <w:t>Rec. no</w:t>
            </w:r>
          </w:p>
        </w:tc>
        <w:tc>
          <w:tcPr>
            <w:tcW w:w="1424"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D9341A5" w14:textId="77777777" w:rsidR="00C157D5" w:rsidRPr="007A2874" w:rsidRDefault="00C157D5" w:rsidP="007A2874">
            <w:pPr>
              <w:rPr>
                <w:b/>
                <w:i/>
              </w:rPr>
            </w:pPr>
            <w:r w:rsidRPr="007A2874">
              <w:rPr>
                <w:b/>
                <w:i/>
              </w:rPr>
              <w:t>Issue or recommendation</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654A0D0A" w14:textId="77777777" w:rsidR="00C157D5" w:rsidRPr="007A2874" w:rsidRDefault="00C157D5" w:rsidP="007A2874">
            <w:pPr>
              <w:rPr>
                <w:b/>
                <w:i/>
              </w:rPr>
            </w:pPr>
            <w:r w:rsidRPr="007A2874">
              <w:rPr>
                <w:b/>
                <w:i/>
              </w:rPr>
              <w:t>Raised by / Date</w:t>
            </w:r>
          </w:p>
        </w:tc>
        <w:tc>
          <w:tcPr>
            <w:tcW w:w="152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64E31804" w14:textId="77777777" w:rsidR="00C157D5" w:rsidRPr="007A2874" w:rsidRDefault="00C157D5" w:rsidP="007A2874">
            <w:pPr>
              <w:rPr>
                <w:b/>
                <w:i/>
              </w:rPr>
            </w:pPr>
            <w:r w:rsidRPr="007A2874">
              <w:rPr>
                <w:b/>
                <w:i/>
              </w:rPr>
              <w:t>Response or Action taken by applicant</w:t>
            </w: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71D340E" w14:textId="77777777" w:rsidR="00C157D5" w:rsidRPr="007A2874" w:rsidRDefault="00C157D5" w:rsidP="007A2874">
            <w:pPr>
              <w:rPr>
                <w:b/>
                <w:i/>
              </w:rPr>
            </w:pPr>
            <w:r w:rsidRPr="007A2874">
              <w:rPr>
                <w:b/>
                <w:i/>
              </w:rPr>
              <w:t>Response date</w:t>
            </w: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662FECA" w14:textId="77777777" w:rsidR="00C157D5" w:rsidRPr="007A2874" w:rsidRDefault="00C157D5" w:rsidP="007A2874">
            <w:pPr>
              <w:rPr>
                <w:b/>
                <w:i/>
              </w:rPr>
            </w:pPr>
            <w:r w:rsidRPr="007A2874">
              <w:rPr>
                <w:b/>
                <w:i/>
              </w:rPr>
              <w:t>Resolved</w:t>
            </w:r>
          </w:p>
        </w:tc>
        <w:tc>
          <w:tcPr>
            <w:tcW w:w="400" w:type="pct"/>
            <w:tcBorders>
              <w:top w:val="nil"/>
              <w:left w:val="single" w:sz="4" w:space="0" w:color="ACD7FF" w:themeColor="accent1" w:themeTint="33"/>
              <w:bottom w:val="single" w:sz="4" w:space="0" w:color="ACD7FF" w:themeColor="accent1" w:themeTint="33"/>
              <w:right w:val="nil"/>
            </w:tcBorders>
            <w:vAlign w:val="center"/>
          </w:tcPr>
          <w:p w14:paraId="0ED54F0C" w14:textId="77777777" w:rsidR="00C157D5" w:rsidRPr="007A2874" w:rsidRDefault="00C157D5" w:rsidP="007A2874">
            <w:pPr>
              <w:rPr>
                <w:b/>
                <w:i/>
              </w:rPr>
            </w:pPr>
            <w:r w:rsidRPr="007A2874">
              <w:rPr>
                <w:b/>
                <w:i/>
              </w:rPr>
              <w:t>Sign off by / Date</w:t>
            </w:r>
          </w:p>
        </w:tc>
      </w:tr>
      <w:tr w:rsidR="00C157D5" w:rsidRPr="007A2874" w14:paraId="1F792CCA" w14:textId="77777777" w:rsidTr="00D85A43">
        <w:tc>
          <w:tcPr>
            <w:tcW w:w="262"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2838ABFE" w14:textId="77777777" w:rsidR="00C157D5" w:rsidRPr="007A2874" w:rsidRDefault="00C157D5" w:rsidP="007A2874">
            <w:pPr>
              <w:rPr>
                <w:rFonts w:cstheme="minorHAnsi"/>
              </w:rPr>
            </w:pPr>
            <w:r w:rsidRPr="007A2874">
              <w:rPr>
                <w:rFonts w:cstheme="minorHAnsi"/>
              </w:rPr>
              <w:t>3a</w:t>
            </w:r>
          </w:p>
        </w:tc>
        <w:tc>
          <w:tcPr>
            <w:tcW w:w="1424"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212B01B2" w14:textId="77777777" w:rsidR="00C157D5" w:rsidRPr="007A2874" w:rsidRDefault="00C157D5" w:rsidP="007A2874">
            <w:pPr>
              <w:rPr>
                <w:rFonts w:cstheme="minorHAnsi"/>
              </w:rPr>
            </w:pPr>
            <w:r w:rsidRPr="007A2874">
              <w:rPr>
                <w:rFonts w:cstheme="minorHAnsi"/>
              </w:rPr>
              <w:t xml:space="preserve">It was reported to MRG that the data coverage for the time period presented in the application is </w:t>
            </w:r>
            <w:r w:rsidRPr="007A2874">
              <w:rPr>
                <w:rFonts w:cstheme="minorHAnsi"/>
              </w:rPr>
              <w:lastRenderedPageBreak/>
              <w:t xml:space="preserve">approx. 70%, although it is suggested that data coverage is achieving 90% in more recent data sets.  On this basis MRG recommend this aspect is reviewed when the new data becomes available to validate the improvement.  </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09ECDC04" w14:textId="77777777" w:rsidR="00C157D5" w:rsidRPr="007A2874" w:rsidRDefault="00C157D5" w:rsidP="007A2874">
            <w:pPr>
              <w:rPr>
                <w:rFonts w:cstheme="minorHAnsi"/>
              </w:rPr>
            </w:pPr>
            <w:r w:rsidRPr="007A2874">
              <w:rPr>
                <w:rFonts w:cstheme="minorHAnsi"/>
              </w:rPr>
              <w:lastRenderedPageBreak/>
              <w:t>MRG – 26/11/2015</w:t>
            </w:r>
          </w:p>
        </w:tc>
        <w:tc>
          <w:tcPr>
            <w:tcW w:w="152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EC12A77" w14:textId="77777777" w:rsidR="00C157D5" w:rsidRPr="007A2874" w:rsidRDefault="00C157D5" w:rsidP="007A2874">
            <w:pPr>
              <w:rPr>
                <w:rFonts w:cstheme="minorHAnsi"/>
              </w:rPr>
            </w:pPr>
            <w:r w:rsidRPr="007A2874">
              <w:rPr>
                <w:rFonts w:cstheme="minorHAnsi"/>
              </w:rPr>
              <w:t xml:space="preserve">Noted that data quality is expected to improve. Documentation updated to reflect this. </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33870D18" w14:textId="77777777" w:rsidR="00C157D5" w:rsidRPr="007A2874" w:rsidRDefault="00C157D5" w:rsidP="007A2874">
            <w:pPr>
              <w:rPr>
                <w:rFonts w:cstheme="minorHAnsi"/>
              </w:rPr>
            </w:pPr>
            <w:r w:rsidRPr="007A2874">
              <w:rPr>
                <w:rFonts w:cstheme="minorHAnsi"/>
              </w:rPr>
              <w:t>24/12/15</w:t>
            </w:r>
          </w:p>
        </w:tc>
        <w:sdt>
          <w:sdtPr>
            <w:rPr>
              <w:rFonts w:cstheme="minorHAnsi"/>
            </w:rPr>
            <w:id w:val="-1023932915"/>
            <w14:checkbox>
              <w14:checked w14:val="0"/>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F0E20D7" w14:textId="77777777" w:rsidR="00C157D5" w:rsidRPr="007A2874" w:rsidRDefault="00C157D5" w:rsidP="007A2874">
                <w:pPr>
                  <w:jc w:val="center"/>
                  <w:rPr>
                    <w:rFonts w:cstheme="minorHAnsi"/>
                  </w:rPr>
                </w:pPr>
                <w:r w:rsidRPr="007A2874">
                  <w:rPr>
                    <w:rFonts w:ascii="MS Gothic" w:eastAsia="MS Gothic" w:hAnsi="MS Gothic" w:cstheme="minorHAnsi" w:hint="eastAsia"/>
                  </w:rPr>
                  <w:t>☐</w:t>
                </w:r>
              </w:p>
            </w:tc>
          </w:sdtContent>
        </w:sdt>
        <w:tc>
          <w:tcPr>
            <w:tcW w:w="400"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3C0ED11D" w14:textId="77777777" w:rsidR="00C157D5" w:rsidRPr="007A2874" w:rsidRDefault="00C157D5" w:rsidP="007A2874">
            <w:pPr>
              <w:rPr>
                <w:rFonts w:cstheme="minorHAnsi"/>
              </w:rPr>
            </w:pPr>
          </w:p>
        </w:tc>
      </w:tr>
    </w:tbl>
    <w:p w14:paraId="06B80067" w14:textId="77777777" w:rsidR="00C157D5" w:rsidRPr="007A2874" w:rsidRDefault="00C157D5" w:rsidP="007A2874"/>
    <w:tbl>
      <w:tblPr>
        <w:tblStyle w:val="TableGrid"/>
        <w:tblW w:w="5000" w:type="pct"/>
        <w:tblLook w:val="04A0" w:firstRow="1" w:lastRow="0" w:firstColumn="1" w:lastColumn="0" w:noHBand="0" w:noVBand="1"/>
      </w:tblPr>
      <w:tblGrid>
        <w:gridCol w:w="723"/>
        <w:gridCol w:w="4023"/>
        <w:gridCol w:w="1418"/>
        <w:gridCol w:w="4347"/>
        <w:gridCol w:w="1365"/>
        <w:gridCol w:w="1284"/>
        <w:gridCol w:w="1418"/>
      </w:tblGrid>
      <w:tr w:rsidR="00D85A43" w:rsidRPr="007A2874" w14:paraId="00A064D8" w14:textId="77777777" w:rsidTr="00D85A43">
        <w:tc>
          <w:tcPr>
            <w:tcW w:w="248" w:type="pct"/>
            <w:tcBorders>
              <w:top w:val="nil"/>
              <w:left w:val="nil"/>
              <w:bottom w:val="single" w:sz="4" w:space="0" w:color="ACD7FF" w:themeColor="accent1" w:themeTint="33"/>
              <w:right w:val="single" w:sz="4" w:space="0" w:color="ACD7FF" w:themeColor="accent1" w:themeTint="33"/>
            </w:tcBorders>
            <w:vAlign w:val="center"/>
          </w:tcPr>
          <w:p w14:paraId="5C4B7592" w14:textId="77777777" w:rsidR="00D85A43" w:rsidRPr="007A2874" w:rsidRDefault="00D85A43" w:rsidP="007A2874">
            <w:pPr>
              <w:rPr>
                <w:b/>
                <w:i/>
              </w:rPr>
            </w:pPr>
          </w:p>
        </w:tc>
        <w:tc>
          <w:tcPr>
            <w:tcW w:w="138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5EA4099" w14:textId="779550CF" w:rsidR="00D85A43" w:rsidRPr="007A2874" w:rsidRDefault="00D85A43" w:rsidP="007A2874">
            <w:pPr>
              <w:rPr>
                <w:b/>
                <w:i/>
              </w:rPr>
            </w:pPr>
            <w:r w:rsidRPr="007A2874">
              <w:rPr>
                <w:b/>
                <w:sz w:val="28"/>
                <w:szCs w:val="28"/>
              </w:rPr>
              <w:t>Construction</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6BD1044" w14:textId="77777777" w:rsidR="00D85A43" w:rsidRPr="007A2874" w:rsidRDefault="00D85A43" w:rsidP="007A2874">
            <w:pPr>
              <w:rPr>
                <w:b/>
                <w:i/>
              </w:rPr>
            </w:pPr>
          </w:p>
        </w:tc>
        <w:tc>
          <w:tcPr>
            <w:tcW w:w="1491"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6E25BCA5" w14:textId="77777777" w:rsidR="00D85A43" w:rsidRPr="007A2874" w:rsidRDefault="00D85A43" w:rsidP="007A2874">
            <w:pPr>
              <w:rPr>
                <w:b/>
                <w:i/>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8C2EBC5" w14:textId="77777777" w:rsidR="00D85A43" w:rsidRPr="007A2874" w:rsidRDefault="00D85A43" w:rsidP="007A2874">
            <w:pPr>
              <w:rPr>
                <w:b/>
                <w:i/>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8DBB8B6" w14:textId="77777777" w:rsidR="00D85A43" w:rsidRPr="007A2874" w:rsidRDefault="00D85A43" w:rsidP="007A2874">
            <w:pPr>
              <w:rPr>
                <w:b/>
                <w:i/>
              </w:rPr>
            </w:pPr>
          </w:p>
        </w:tc>
        <w:tc>
          <w:tcPr>
            <w:tcW w:w="486" w:type="pct"/>
            <w:tcBorders>
              <w:top w:val="nil"/>
              <w:left w:val="single" w:sz="4" w:space="0" w:color="ACD7FF" w:themeColor="accent1" w:themeTint="33"/>
              <w:bottom w:val="single" w:sz="4" w:space="0" w:color="ACD7FF" w:themeColor="accent1" w:themeTint="33"/>
              <w:right w:val="nil"/>
            </w:tcBorders>
            <w:vAlign w:val="center"/>
          </w:tcPr>
          <w:p w14:paraId="1049F749" w14:textId="77777777" w:rsidR="00D85A43" w:rsidRPr="007A2874" w:rsidRDefault="00D85A43" w:rsidP="007A2874">
            <w:pPr>
              <w:rPr>
                <w:b/>
                <w:i/>
              </w:rPr>
            </w:pPr>
          </w:p>
        </w:tc>
      </w:tr>
      <w:tr w:rsidR="007A2874" w:rsidRPr="007A2874" w14:paraId="7709F7E2" w14:textId="77777777" w:rsidTr="00D85A43">
        <w:tc>
          <w:tcPr>
            <w:tcW w:w="248" w:type="pct"/>
            <w:tcBorders>
              <w:top w:val="nil"/>
              <w:left w:val="nil"/>
              <w:bottom w:val="single" w:sz="4" w:space="0" w:color="ACD7FF" w:themeColor="accent1" w:themeTint="33"/>
              <w:right w:val="single" w:sz="4" w:space="0" w:color="ACD7FF" w:themeColor="accent1" w:themeTint="33"/>
            </w:tcBorders>
            <w:vAlign w:val="center"/>
          </w:tcPr>
          <w:p w14:paraId="4C4D231F" w14:textId="77777777" w:rsidR="00C157D5" w:rsidRPr="007A2874" w:rsidRDefault="00C157D5" w:rsidP="007A2874">
            <w:pPr>
              <w:rPr>
                <w:b/>
                <w:i/>
              </w:rPr>
            </w:pPr>
            <w:r w:rsidRPr="007A2874">
              <w:rPr>
                <w:b/>
                <w:i/>
              </w:rPr>
              <w:t>Rec. no</w:t>
            </w:r>
          </w:p>
        </w:tc>
        <w:tc>
          <w:tcPr>
            <w:tcW w:w="138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46494922" w14:textId="77777777" w:rsidR="00C157D5" w:rsidRPr="007A2874" w:rsidRDefault="00C157D5" w:rsidP="007A2874">
            <w:pPr>
              <w:rPr>
                <w:b/>
                <w:i/>
              </w:rPr>
            </w:pPr>
            <w:r w:rsidRPr="007A2874">
              <w:rPr>
                <w:b/>
                <w:i/>
              </w:rPr>
              <w:t>Issue or recommendation</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4877446" w14:textId="77777777" w:rsidR="00C157D5" w:rsidRPr="007A2874" w:rsidRDefault="00C157D5" w:rsidP="007A2874">
            <w:pPr>
              <w:rPr>
                <w:b/>
                <w:i/>
              </w:rPr>
            </w:pPr>
            <w:r w:rsidRPr="007A2874">
              <w:rPr>
                <w:b/>
                <w:i/>
              </w:rPr>
              <w:t>Raised by / Date</w:t>
            </w:r>
          </w:p>
        </w:tc>
        <w:tc>
          <w:tcPr>
            <w:tcW w:w="1491"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B844984" w14:textId="77777777" w:rsidR="00C157D5" w:rsidRPr="007A2874" w:rsidRDefault="00C157D5" w:rsidP="007A2874">
            <w:pPr>
              <w:rPr>
                <w:b/>
                <w:i/>
              </w:rPr>
            </w:pPr>
            <w:r w:rsidRPr="007A2874">
              <w:rPr>
                <w:b/>
                <w:i/>
              </w:rPr>
              <w:t>Response or Action taken by applicant</w:t>
            </w: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D052D9B" w14:textId="77777777" w:rsidR="00C157D5" w:rsidRPr="007A2874" w:rsidRDefault="00C157D5" w:rsidP="007A2874">
            <w:pPr>
              <w:rPr>
                <w:b/>
                <w:i/>
              </w:rPr>
            </w:pPr>
            <w:r w:rsidRPr="007A2874">
              <w:rPr>
                <w:b/>
                <w:i/>
              </w:rPr>
              <w:t>Response date</w:t>
            </w: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4AB39FA6" w14:textId="77777777" w:rsidR="00C157D5" w:rsidRPr="007A2874" w:rsidRDefault="00C157D5" w:rsidP="007A2874">
            <w:pPr>
              <w:rPr>
                <w:b/>
                <w:i/>
              </w:rPr>
            </w:pPr>
            <w:r w:rsidRPr="007A2874">
              <w:rPr>
                <w:b/>
                <w:i/>
              </w:rPr>
              <w:t>Resolved</w:t>
            </w:r>
          </w:p>
        </w:tc>
        <w:tc>
          <w:tcPr>
            <w:tcW w:w="486" w:type="pct"/>
            <w:tcBorders>
              <w:top w:val="nil"/>
              <w:left w:val="single" w:sz="4" w:space="0" w:color="ACD7FF" w:themeColor="accent1" w:themeTint="33"/>
              <w:bottom w:val="single" w:sz="4" w:space="0" w:color="ACD7FF" w:themeColor="accent1" w:themeTint="33"/>
              <w:right w:val="nil"/>
            </w:tcBorders>
            <w:vAlign w:val="center"/>
          </w:tcPr>
          <w:p w14:paraId="68008562" w14:textId="77777777" w:rsidR="00C157D5" w:rsidRPr="007A2874" w:rsidRDefault="00C157D5" w:rsidP="007A2874">
            <w:pPr>
              <w:rPr>
                <w:b/>
                <w:i/>
              </w:rPr>
            </w:pPr>
            <w:r w:rsidRPr="007A2874">
              <w:rPr>
                <w:b/>
                <w:i/>
              </w:rPr>
              <w:t>Sign off by / Date</w:t>
            </w:r>
          </w:p>
        </w:tc>
      </w:tr>
      <w:tr w:rsidR="00C157D5" w:rsidRPr="007A2874" w14:paraId="1F922CA8" w14:textId="77777777" w:rsidTr="00D85A43">
        <w:tc>
          <w:tcPr>
            <w:tcW w:w="248"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54779FE6" w14:textId="77777777" w:rsidR="00C157D5" w:rsidRPr="007A2874" w:rsidRDefault="00C157D5" w:rsidP="007A2874">
            <w:pPr>
              <w:rPr>
                <w:rFonts w:cstheme="minorHAnsi"/>
              </w:rPr>
            </w:pPr>
            <w:r w:rsidRPr="007A2874">
              <w:rPr>
                <w:rFonts w:cstheme="minorHAnsi"/>
              </w:rPr>
              <w:t>4a</w:t>
            </w:r>
          </w:p>
        </w:tc>
        <w:tc>
          <w:tcPr>
            <w:tcW w:w="138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0C3E0BB5" w14:textId="77777777" w:rsidR="00C157D5" w:rsidRPr="007A2874" w:rsidRDefault="00C157D5" w:rsidP="007A2874">
            <w:pPr>
              <w:rPr>
                <w:rFonts w:cstheme="minorHAnsi"/>
              </w:rPr>
            </w:pPr>
            <w:r w:rsidRPr="007A2874">
              <w:rPr>
                <w:rFonts w:cstheme="minorHAnsi"/>
              </w:rPr>
              <w:t>Further justification is required for not using standardisation methods as per the comments made by the sponsor in the MRG meeting – i.e. that all cases should be referred , that age is not a factor within (most) of the care pathways, and that standardising would build in bias.</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353C75D" w14:textId="77777777" w:rsidR="00C157D5" w:rsidRPr="007A2874" w:rsidRDefault="00C157D5" w:rsidP="007A2874">
            <w:pPr>
              <w:rPr>
                <w:rFonts w:cstheme="minorHAnsi"/>
              </w:rPr>
            </w:pPr>
            <w:r w:rsidRPr="007A2874">
              <w:rPr>
                <w:rFonts w:cstheme="minorHAnsi"/>
              </w:rPr>
              <w:t>MRG – 26/11/2015</w:t>
            </w:r>
          </w:p>
        </w:tc>
        <w:tc>
          <w:tcPr>
            <w:tcW w:w="1491"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001425DD" w14:textId="77777777" w:rsidR="00C157D5" w:rsidRPr="007A2874" w:rsidRDefault="00C157D5" w:rsidP="007A2874">
            <w:pPr>
              <w:rPr>
                <w:rFonts w:cstheme="minorHAnsi"/>
              </w:rPr>
            </w:pPr>
            <w:r w:rsidRPr="007A2874">
              <w:rPr>
                <w:rFonts w:cstheme="minorHAnsi"/>
              </w:rPr>
              <w:t>Documentation updated.</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1FFD320E" w14:textId="77777777" w:rsidR="00C157D5" w:rsidRPr="007A2874" w:rsidRDefault="00C157D5" w:rsidP="007A2874">
            <w:pPr>
              <w:rPr>
                <w:rFonts w:cstheme="minorHAnsi"/>
              </w:rPr>
            </w:pPr>
            <w:r w:rsidRPr="007A2874">
              <w:rPr>
                <w:rFonts w:cstheme="minorHAnsi"/>
              </w:rPr>
              <w:t>24/12/15</w:t>
            </w:r>
          </w:p>
        </w:tc>
        <w:sdt>
          <w:sdtPr>
            <w:rPr>
              <w:rFonts w:cstheme="minorHAnsi"/>
            </w:rPr>
            <w:id w:val="1667126029"/>
            <w14:checkbox>
              <w14:checked w14:val="1"/>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F76015A" w14:textId="77777777" w:rsidR="00C157D5" w:rsidRPr="007A2874" w:rsidRDefault="00C157D5" w:rsidP="007A2874">
                <w:pPr>
                  <w:jc w:val="center"/>
                  <w:rPr>
                    <w:rFonts w:cstheme="minorHAnsi"/>
                  </w:rPr>
                </w:pPr>
                <w:r w:rsidRPr="007A2874">
                  <w:rPr>
                    <w:rFonts w:ascii="MS Gothic" w:eastAsia="MS Gothic" w:hAnsi="MS Gothic" w:cstheme="minorHAnsi" w:hint="eastAsia"/>
                  </w:rPr>
                  <w:t>☒</w:t>
                </w:r>
              </w:p>
            </w:tc>
          </w:sdtContent>
        </w:sdt>
        <w:tc>
          <w:tcPr>
            <w:tcW w:w="486"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7D1EBEFF" w14:textId="77777777" w:rsidR="00C157D5" w:rsidRPr="007A2874" w:rsidRDefault="00C157D5" w:rsidP="007A2874">
            <w:pPr>
              <w:rPr>
                <w:rFonts w:cstheme="minorHAnsi"/>
              </w:rPr>
            </w:pPr>
            <w:r w:rsidRPr="007A2874">
              <w:rPr>
                <w:rFonts w:cstheme="minorHAnsi"/>
              </w:rPr>
              <w:t>Chair and Vice Chair - 06/01/2016</w:t>
            </w:r>
          </w:p>
        </w:tc>
      </w:tr>
    </w:tbl>
    <w:p w14:paraId="45C7F1C9" w14:textId="77777777" w:rsidR="00C157D5" w:rsidRPr="007A2874" w:rsidRDefault="00C157D5" w:rsidP="007A2874"/>
    <w:tbl>
      <w:tblPr>
        <w:tblStyle w:val="TableGrid"/>
        <w:tblW w:w="5000" w:type="pct"/>
        <w:tblLook w:val="04A0" w:firstRow="1" w:lastRow="0" w:firstColumn="1" w:lastColumn="0" w:noHBand="0" w:noVBand="1"/>
      </w:tblPr>
      <w:tblGrid>
        <w:gridCol w:w="763"/>
        <w:gridCol w:w="4151"/>
        <w:gridCol w:w="1418"/>
        <w:gridCol w:w="4431"/>
        <w:gridCol w:w="1365"/>
        <w:gridCol w:w="1284"/>
        <w:gridCol w:w="1166"/>
      </w:tblGrid>
      <w:tr w:rsidR="00D85A43" w:rsidRPr="007A2874" w14:paraId="18F548E5" w14:textId="77777777" w:rsidTr="00D85A43">
        <w:tc>
          <w:tcPr>
            <w:tcW w:w="262" w:type="pct"/>
            <w:tcBorders>
              <w:top w:val="nil"/>
              <w:left w:val="nil"/>
              <w:bottom w:val="single" w:sz="4" w:space="0" w:color="ACD7FF" w:themeColor="accent1" w:themeTint="33"/>
              <w:right w:val="single" w:sz="4" w:space="0" w:color="ACD7FF" w:themeColor="accent1" w:themeTint="33"/>
            </w:tcBorders>
            <w:vAlign w:val="center"/>
          </w:tcPr>
          <w:p w14:paraId="2CA0C8ED" w14:textId="77777777" w:rsidR="00D85A43" w:rsidRPr="007A2874" w:rsidRDefault="00D85A43" w:rsidP="007A2874">
            <w:pPr>
              <w:rPr>
                <w:b/>
                <w:i/>
              </w:rPr>
            </w:pPr>
          </w:p>
        </w:tc>
        <w:tc>
          <w:tcPr>
            <w:tcW w:w="1424"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F490710" w14:textId="731CD1B8" w:rsidR="00D85A43" w:rsidRPr="007A2874" w:rsidRDefault="00D85A43" w:rsidP="007A2874">
            <w:pPr>
              <w:rPr>
                <w:b/>
                <w:i/>
              </w:rPr>
            </w:pPr>
            <w:r w:rsidRPr="007A2874">
              <w:rPr>
                <w:b/>
                <w:sz w:val="28"/>
                <w:szCs w:val="28"/>
              </w:rPr>
              <w:t>Presentation and Interpretation</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FA0B7EC" w14:textId="77777777" w:rsidR="00D85A43" w:rsidRPr="007A2874" w:rsidRDefault="00D85A43" w:rsidP="007A2874">
            <w:pPr>
              <w:rPr>
                <w:b/>
                <w:i/>
              </w:rPr>
            </w:pPr>
          </w:p>
        </w:tc>
        <w:tc>
          <w:tcPr>
            <w:tcW w:w="152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3BC9AAB" w14:textId="77777777" w:rsidR="00D85A43" w:rsidRPr="007A2874" w:rsidRDefault="00D85A43" w:rsidP="007A2874">
            <w:pPr>
              <w:rPr>
                <w:b/>
                <w:i/>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5868C55" w14:textId="77777777" w:rsidR="00D85A43" w:rsidRPr="007A2874" w:rsidRDefault="00D85A43" w:rsidP="007A2874">
            <w:pPr>
              <w:rPr>
                <w:b/>
                <w:i/>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5C2563F" w14:textId="77777777" w:rsidR="00D85A43" w:rsidRPr="007A2874" w:rsidRDefault="00D85A43" w:rsidP="007A2874">
            <w:pPr>
              <w:rPr>
                <w:b/>
                <w:i/>
              </w:rPr>
            </w:pPr>
          </w:p>
        </w:tc>
        <w:tc>
          <w:tcPr>
            <w:tcW w:w="400" w:type="pct"/>
            <w:tcBorders>
              <w:top w:val="nil"/>
              <w:left w:val="single" w:sz="4" w:space="0" w:color="ACD7FF" w:themeColor="accent1" w:themeTint="33"/>
              <w:bottom w:val="single" w:sz="4" w:space="0" w:color="ACD7FF" w:themeColor="accent1" w:themeTint="33"/>
              <w:right w:val="nil"/>
            </w:tcBorders>
            <w:vAlign w:val="center"/>
          </w:tcPr>
          <w:p w14:paraId="7B737FA8" w14:textId="77777777" w:rsidR="00D85A43" w:rsidRPr="007A2874" w:rsidRDefault="00D85A43" w:rsidP="007A2874">
            <w:pPr>
              <w:rPr>
                <w:b/>
                <w:i/>
              </w:rPr>
            </w:pPr>
          </w:p>
        </w:tc>
      </w:tr>
      <w:tr w:rsidR="007A2874" w:rsidRPr="007A2874" w14:paraId="0D5F301B" w14:textId="77777777" w:rsidTr="00D85A43">
        <w:tc>
          <w:tcPr>
            <w:tcW w:w="262" w:type="pct"/>
            <w:tcBorders>
              <w:top w:val="nil"/>
              <w:left w:val="nil"/>
              <w:bottom w:val="single" w:sz="4" w:space="0" w:color="ACD7FF" w:themeColor="accent1" w:themeTint="33"/>
              <w:right w:val="single" w:sz="4" w:space="0" w:color="ACD7FF" w:themeColor="accent1" w:themeTint="33"/>
            </w:tcBorders>
            <w:vAlign w:val="center"/>
          </w:tcPr>
          <w:p w14:paraId="572913B9" w14:textId="77777777" w:rsidR="00C157D5" w:rsidRPr="007A2874" w:rsidRDefault="00C157D5" w:rsidP="007A2874">
            <w:pPr>
              <w:rPr>
                <w:b/>
                <w:i/>
              </w:rPr>
            </w:pPr>
            <w:r w:rsidRPr="007A2874">
              <w:rPr>
                <w:b/>
                <w:i/>
              </w:rPr>
              <w:t>Rec. no</w:t>
            </w:r>
          </w:p>
        </w:tc>
        <w:tc>
          <w:tcPr>
            <w:tcW w:w="1424"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DE68FA0" w14:textId="77777777" w:rsidR="00C157D5" w:rsidRPr="007A2874" w:rsidRDefault="00C157D5" w:rsidP="007A2874">
            <w:pPr>
              <w:rPr>
                <w:b/>
                <w:i/>
              </w:rPr>
            </w:pPr>
            <w:r w:rsidRPr="007A2874">
              <w:rPr>
                <w:b/>
                <w:i/>
              </w:rPr>
              <w:t>Issue or recommendation</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120CAC8" w14:textId="77777777" w:rsidR="00C157D5" w:rsidRPr="007A2874" w:rsidRDefault="00C157D5" w:rsidP="007A2874">
            <w:pPr>
              <w:rPr>
                <w:b/>
                <w:i/>
              </w:rPr>
            </w:pPr>
            <w:r w:rsidRPr="007A2874">
              <w:rPr>
                <w:b/>
                <w:i/>
              </w:rPr>
              <w:t>Raised by / Date</w:t>
            </w:r>
          </w:p>
        </w:tc>
        <w:tc>
          <w:tcPr>
            <w:tcW w:w="152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2105CCF" w14:textId="77777777" w:rsidR="00C157D5" w:rsidRPr="007A2874" w:rsidRDefault="00C157D5" w:rsidP="007A2874">
            <w:pPr>
              <w:rPr>
                <w:b/>
                <w:i/>
              </w:rPr>
            </w:pPr>
            <w:r w:rsidRPr="007A2874">
              <w:rPr>
                <w:b/>
                <w:i/>
              </w:rPr>
              <w:t>Response or Action taken by applicant</w:t>
            </w: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8C5384F" w14:textId="77777777" w:rsidR="00C157D5" w:rsidRPr="007A2874" w:rsidRDefault="00C157D5" w:rsidP="007A2874">
            <w:pPr>
              <w:rPr>
                <w:b/>
                <w:i/>
              </w:rPr>
            </w:pPr>
            <w:r w:rsidRPr="007A2874">
              <w:rPr>
                <w:b/>
                <w:i/>
              </w:rPr>
              <w:t>Response date</w:t>
            </w: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610DF0A2" w14:textId="77777777" w:rsidR="00C157D5" w:rsidRPr="007A2874" w:rsidRDefault="00C157D5" w:rsidP="007A2874">
            <w:pPr>
              <w:rPr>
                <w:b/>
                <w:i/>
              </w:rPr>
            </w:pPr>
            <w:r w:rsidRPr="007A2874">
              <w:rPr>
                <w:b/>
                <w:i/>
              </w:rPr>
              <w:t>Resolved</w:t>
            </w:r>
          </w:p>
        </w:tc>
        <w:tc>
          <w:tcPr>
            <w:tcW w:w="400" w:type="pct"/>
            <w:tcBorders>
              <w:top w:val="nil"/>
              <w:left w:val="single" w:sz="4" w:space="0" w:color="ACD7FF" w:themeColor="accent1" w:themeTint="33"/>
              <w:bottom w:val="single" w:sz="4" w:space="0" w:color="ACD7FF" w:themeColor="accent1" w:themeTint="33"/>
              <w:right w:val="nil"/>
            </w:tcBorders>
            <w:vAlign w:val="center"/>
          </w:tcPr>
          <w:p w14:paraId="6ED5710F" w14:textId="77777777" w:rsidR="00C157D5" w:rsidRPr="007A2874" w:rsidRDefault="00C157D5" w:rsidP="007A2874">
            <w:pPr>
              <w:rPr>
                <w:b/>
                <w:i/>
              </w:rPr>
            </w:pPr>
            <w:r w:rsidRPr="007A2874">
              <w:rPr>
                <w:b/>
                <w:i/>
              </w:rPr>
              <w:t>Sign off by / Date</w:t>
            </w:r>
          </w:p>
        </w:tc>
      </w:tr>
      <w:tr w:rsidR="00C157D5" w:rsidRPr="007A2874" w14:paraId="310436C3" w14:textId="77777777" w:rsidTr="00D85A43">
        <w:tc>
          <w:tcPr>
            <w:tcW w:w="262"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17C545C4" w14:textId="77777777" w:rsidR="00C157D5" w:rsidRPr="007A2874" w:rsidRDefault="00C157D5" w:rsidP="007A2874">
            <w:pPr>
              <w:rPr>
                <w:rFonts w:cstheme="minorHAnsi"/>
              </w:rPr>
            </w:pPr>
            <w:r w:rsidRPr="007A2874">
              <w:rPr>
                <w:rFonts w:cstheme="minorHAnsi"/>
              </w:rPr>
              <w:t>5a</w:t>
            </w:r>
          </w:p>
        </w:tc>
        <w:tc>
          <w:tcPr>
            <w:tcW w:w="1424"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06122E66" w14:textId="77777777" w:rsidR="00C157D5" w:rsidRPr="007A2874" w:rsidRDefault="00C157D5" w:rsidP="007A2874">
            <w:pPr>
              <w:rPr>
                <w:rFonts w:cstheme="minorHAnsi"/>
              </w:rPr>
            </w:pPr>
            <w:r w:rsidRPr="007A2874">
              <w:rPr>
                <w:rFonts w:cstheme="minorHAnsi"/>
              </w:rPr>
              <w:t xml:space="preserve">Consider publishing further information regarding patients who are not referred to cardiac </w:t>
            </w:r>
            <w:r w:rsidRPr="007A2874">
              <w:rPr>
                <w:rFonts w:cstheme="minorHAnsi"/>
              </w:rPr>
              <w:lastRenderedPageBreak/>
              <w:t>rehabilitation within 5 days (e.g. those referred to cardiac rehab within 7 days/14 days/30 days). This would help to understand what the present average referral time from admission date is.</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028AA965" w14:textId="77777777" w:rsidR="00C157D5" w:rsidRPr="007A2874" w:rsidRDefault="00C157D5" w:rsidP="007A2874">
            <w:pPr>
              <w:rPr>
                <w:rFonts w:cstheme="minorHAnsi"/>
              </w:rPr>
            </w:pPr>
            <w:r w:rsidRPr="007A2874">
              <w:rPr>
                <w:rFonts w:cstheme="minorHAnsi"/>
              </w:rPr>
              <w:lastRenderedPageBreak/>
              <w:t>MRG – 26/11/2015</w:t>
            </w:r>
          </w:p>
        </w:tc>
        <w:tc>
          <w:tcPr>
            <w:tcW w:w="152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1C912CDC" w14:textId="77777777" w:rsidR="00C157D5" w:rsidRPr="007A2874" w:rsidRDefault="00C157D5" w:rsidP="007A2874">
            <w:pPr>
              <w:rPr>
                <w:rFonts w:cstheme="minorHAnsi"/>
              </w:rPr>
            </w:pPr>
            <w:r w:rsidRPr="007A2874">
              <w:rPr>
                <w:rFonts w:cstheme="minorHAnsi"/>
              </w:rPr>
              <w:t xml:space="preserve">These figures have been added to the evidence of </w:t>
            </w:r>
            <w:proofErr w:type="gramStart"/>
            <w:r w:rsidRPr="007A2874">
              <w:rPr>
                <w:rFonts w:cstheme="minorHAnsi"/>
              </w:rPr>
              <w:t>variability,</w:t>
            </w:r>
            <w:proofErr w:type="gramEnd"/>
            <w:r w:rsidRPr="007A2874">
              <w:rPr>
                <w:rFonts w:cstheme="minorHAnsi"/>
              </w:rPr>
              <w:t xml:space="preserve"> however it has been decided to not add them as </w:t>
            </w:r>
            <w:r w:rsidRPr="007A2874">
              <w:rPr>
                <w:rFonts w:cstheme="minorHAnsi"/>
              </w:rPr>
              <w:lastRenderedPageBreak/>
              <w:t xml:space="preserve">contextual information to the indicator. The </w:t>
            </w:r>
            <w:proofErr w:type="gramStart"/>
            <w:r w:rsidRPr="007A2874">
              <w:rPr>
                <w:rFonts w:cstheme="minorHAnsi"/>
              </w:rPr>
              <w:t>5 day</w:t>
            </w:r>
            <w:proofErr w:type="gramEnd"/>
            <w:r w:rsidRPr="007A2874">
              <w:rPr>
                <w:rFonts w:cstheme="minorHAnsi"/>
              </w:rPr>
              <w:t xml:space="preserve"> timeframe was agreed with the NACR, presenting additional timeframes will reduce the focus of the indicator. </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0872AB00" w14:textId="77777777" w:rsidR="00C157D5" w:rsidRPr="007A2874" w:rsidRDefault="00C157D5" w:rsidP="007A2874">
            <w:pPr>
              <w:rPr>
                <w:rFonts w:cstheme="minorHAnsi"/>
              </w:rPr>
            </w:pPr>
            <w:r w:rsidRPr="007A2874">
              <w:rPr>
                <w:rFonts w:cstheme="minorHAnsi"/>
              </w:rPr>
              <w:lastRenderedPageBreak/>
              <w:t>05/01/15</w:t>
            </w:r>
          </w:p>
        </w:tc>
        <w:sdt>
          <w:sdtPr>
            <w:rPr>
              <w:rFonts w:cstheme="minorHAnsi"/>
            </w:rPr>
            <w:id w:val="2043168001"/>
            <w14:checkbox>
              <w14:checked w14:val="1"/>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3216D686" w14:textId="77777777" w:rsidR="00C157D5" w:rsidRPr="007A2874" w:rsidRDefault="00C157D5" w:rsidP="007A2874">
                <w:pPr>
                  <w:jc w:val="center"/>
                  <w:rPr>
                    <w:rFonts w:cstheme="minorHAnsi"/>
                  </w:rPr>
                </w:pPr>
                <w:r w:rsidRPr="007A2874">
                  <w:rPr>
                    <w:rFonts w:ascii="MS Gothic" w:eastAsia="MS Gothic" w:hAnsi="MS Gothic" w:cstheme="minorHAnsi" w:hint="eastAsia"/>
                  </w:rPr>
                  <w:t>☒</w:t>
                </w:r>
              </w:p>
            </w:tc>
          </w:sdtContent>
        </w:sdt>
        <w:tc>
          <w:tcPr>
            <w:tcW w:w="400"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31309D03" w14:textId="77777777" w:rsidR="00C157D5" w:rsidRPr="007A2874" w:rsidRDefault="00C157D5" w:rsidP="007A2874">
            <w:pPr>
              <w:rPr>
                <w:rFonts w:cstheme="minorHAnsi"/>
              </w:rPr>
            </w:pPr>
            <w:r w:rsidRPr="007A2874">
              <w:rPr>
                <w:rFonts w:cstheme="minorHAnsi"/>
              </w:rPr>
              <w:t>MRG pre-</w:t>
            </w:r>
            <w:r w:rsidRPr="007A2874">
              <w:rPr>
                <w:rFonts w:cstheme="minorHAnsi"/>
              </w:rPr>
              <w:lastRenderedPageBreak/>
              <w:t>meet 04/02/16</w:t>
            </w:r>
          </w:p>
        </w:tc>
      </w:tr>
    </w:tbl>
    <w:p w14:paraId="09B592F0" w14:textId="77777777" w:rsidR="00C157D5" w:rsidRPr="007A2874" w:rsidRDefault="00C157D5" w:rsidP="007A2874">
      <w:pPr>
        <w:rPr>
          <w:sz w:val="10"/>
        </w:rPr>
      </w:pPr>
    </w:p>
    <w:tbl>
      <w:tblPr>
        <w:tblStyle w:val="TableGrid"/>
        <w:tblW w:w="5000" w:type="pct"/>
        <w:tblLook w:val="04A0" w:firstRow="1" w:lastRow="0" w:firstColumn="1" w:lastColumn="0" w:noHBand="0" w:noVBand="1"/>
      </w:tblPr>
      <w:tblGrid>
        <w:gridCol w:w="833"/>
        <w:gridCol w:w="4218"/>
        <w:gridCol w:w="1146"/>
        <w:gridCol w:w="4499"/>
        <w:gridCol w:w="1365"/>
        <w:gridCol w:w="1284"/>
        <w:gridCol w:w="1233"/>
      </w:tblGrid>
      <w:tr w:rsidR="00D85A43" w:rsidRPr="007A2874" w14:paraId="0459FDEE" w14:textId="77777777" w:rsidTr="00D85A43">
        <w:tc>
          <w:tcPr>
            <w:tcW w:w="286" w:type="pct"/>
            <w:tcBorders>
              <w:top w:val="nil"/>
              <w:left w:val="nil"/>
              <w:bottom w:val="single" w:sz="4" w:space="0" w:color="ACD7FF" w:themeColor="accent1" w:themeTint="33"/>
              <w:right w:val="single" w:sz="4" w:space="0" w:color="ACD7FF" w:themeColor="accent1" w:themeTint="33"/>
            </w:tcBorders>
            <w:vAlign w:val="center"/>
          </w:tcPr>
          <w:p w14:paraId="74F2A150" w14:textId="77777777" w:rsidR="00D85A43" w:rsidRPr="007A2874" w:rsidRDefault="00D85A43" w:rsidP="007A2874">
            <w:pPr>
              <w:rPr>
                <w:b/>
                <w:i/>
              </w:rPr>
            </w:pPr>
          </w:p>
        </w:tc>
        <w:tc>
          <w:tcPr>
            <w:tcW w:w="1447"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B2379E5" w14:textId="6355D8A5" w:rsidR="00D85A43" w:rsidRPr="007A2874" w:rsidRDefault="00D85A43" w:rsidP="007A2874">
            <w:pPr>
              <w:rPr>
                <w:b/>
                <w:i/>
              </w:rPr>
            </w:pPr>
            <w:r w:rsidRPr="007A2874">
              <w:rPr>
                <w:b/>
                <w:sz w:val="28"/>
                <w:szCs w:val="28"/>
              </w:rPr>
              <w:t>Risks and Usefulness</w:t>
            </w:r>
          </w:p>
        </w:tc>
        <w:tc>
          <w:tcPr>
            <w:tcW w:w="39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B07F52C" w14:textId="77777777" w:rsidR="00D85A43" w:rsidRPr="007A2874" w:rsidRDefault="00D85A43" w:rsidP="007A2874">
            <w:pPr>
              <w:rPr>
                <w:b/>
                <w:i/>
              </w:rPr>
            </w:pPr>
          </w:p>
        </w:tc>
        <w:tc>
          <w:tcPr>
            <w:tcW w:w="154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B556E8E" w14:textId="77777777" w:rsidR="00D85A43" w:rsidRPr="007A2874" w:rsidRDefault="00D85A43" w:rsidP="007A2874">
            <w:pPr>
              <w:rPr>
                <w:b/>
                <w:i/>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77F01B2" w14:textId="77777777" w:rsidR="00D85A43" w:rsidRPr="007A2874" w:rsidRDefault="00D85A43" w:rsidP="007A2874">
            <w:pPr>
              <w:rPr>
                <w:b/>
                <w:i/>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E70E7C6" w14:textId="77777777" w:rsidR="00D85A43" w:rsidRPr="007A2874" w:rsidRDefault="00D85A43" w:rsidP="007A2874">
            <w:pPr>
              <w:rPr>
                <w:b/>
                <w:i/>
              </w:rPr>
            </w:pPr>
          </w:p>
        </w:tc>
        <w:tc>
          <w:tcPr>
            <w:tcW w:w="423" w:type="pct"/>
            <w:tcBorders>
              <w:top w:val="nil"/>
              <w:left w:val="single" w:sz="4" w:space="0" w:color="ACD7FF" w:themeColor="accent1" w:themeTint="33"/>
              <w:bottom w:val="single" w:sz="4" w:space="0" w:color="ACD7FF" w:themeColor="accent1" w:themeTint="33"/>
              <w:right w:val="nil"/>
            </w:tcBorders>
            <w:vAlign w:val="center"/>
          </w:tcPr>
          <w:p w14:paraId="0C78762B" w14:textId="77777777" w:rsidR="00D85A43" w:rsidRPr="007A2874" w:rsidRDefault="00D85A43" w:rsidP="007A2874">
            <w:pPr>
              <w:rPr>
                <w:b/>
                <w:i/>
              </w:rPr>
            </w:pPr>
          </w:p>
        </w:tc>
      </w:tr>
      <w:tr w:rsidR="007A2874" w:rsidRPr="007A2874" w14:paraId="4D8CE4C4" w14:textId="77777777" w:rsidTr="00D85A43">
        <w:tc>
          <w:tcPr>
            <w:tcW w:w="286" w:type="pct"/>
            <w:tcBorders>
              <w:top w:val="nil"/>
              <w:left w:val="nil"/>
              <w:bottom w:val="single" w:sz="4" w:space="0" w:color="ACD7FF" w:themeColor="accent1" w:themeTint="33"/>
              <w:right w:val="single" w:sz="4" w:space="0" w:color="ACD7FF" w:themeColor="accent1" w:themeTint="33"/>
            </w:tcBorders>
            <w:vAlign w:val="center"/>
          </w:tcPr>
          <w:p w14:paraId="22D33E81" w14:textId="77777777" w:rsidR="00C157D5" w:rsidRPr="007A2874" w:rsidRDefault="00C157D5" w:rsidP="007A2874">
            <w:pPr>
              <w:rPr>
                <w:b/>
                <w:i/>
              </w:rPr>
            </w:pPr>
            <w:r w:rsidRPr="007A2874">
              <w:rPr>
                <w:b/>
                <w:i/>
              </w:rPr>
              <w:t>Rec. no</w:t>
            </w:r>
          </w:p>
        </w:tc>
        <w:tc>
          <w:tcPr>
            <w:tcW w:w="1447"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D119144" w14:textId="77777777" w:rsidR="00C157D5" w:rsidRPr="007A2874" w:rsidRDefault="00C157D5" w:rsidP="007A2874">
            <w:pPr>
              <w:rPr>
                <w:b/>
                <w:i/>
              </w:rPr>
            </w:pPr>
            <w:r w:rsidRPr="007A2874">
              <w:rPr>
                <w:b/>
                <w:i/>
              </w:rPr>
              <w:t>Issue or recommendation</w:t>
            </w:r>
          </w:p>
        </w:tc>
        <w:tc>
          <w:tcPr>
            <w:tcW w:w="39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45FE8C3C" w14:textId="77777777" w:rsidR="00C157D5" w:rsidRPr="007A2874" w:rsidRDefault="00C157D5" w:rsidP="007A2874">
            <w:pPr>
              <w:rPr>
                <w:b/>
                <w:i/>
              </w:rPr>
            </w:pPr>
            <w:r w:rsidRPr="007A2874">
              <w:rPr>
                <w:b/>
                <w:i/>
              </w:rPr>
              <w:t>Raised by / Date</w:t>
            </w:r>
          </w:p>
        </w:tc>
        <w:tc>
          <w:tcPr>
            <w:tcW w:w="154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156ABEB" w14:textId="77777777" w:rsidR="00C157D5" w:rsidRPr="007A2874" w:rsidRDefault="00C157D5" w:rsidP="007A2874">
            <w:pPr>
              <w:rPr>
                <w:b/>
                <w:i/>
              </w:rPr>
            </w:pPr>
            <w:r w:rsidRPr="007A2874">
              <w:rPr>
                <w:b/>
                <w:i/>
              </w:rPr>
              <w:t>Response or Action taken by applicant</w:t>
            </w: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50E3336" w14:textId="77777777" w:rsidR="00C157D5" w:rsidRPr="007A2874" w:rsidRDefault="00C157D5" w:rsidP="007A2874">
            <w:pPr>
              <w:rPr>
                <w:b/>
                <w:i/>
              </w:rPr>
            </w:pPr>
            <w:r w:rsidRPr="007A2874">
              <w:rPr>
                <w:b/>
                <w:i/>
              </w:rPr>
              <w:t>Response date</w:t>
            </w: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CCF541F" w14:textId="77777777" w:rsidR="00C157D5" w:rsidRPr="007A2874" w:rsidRDefault="00C157D5" w:rsidP="007A2874">
            <w:pPr>
              <w:rPr>
                <w:b/>
                <w:i/>
              </w:rPr>
            </w:pPr>
            <w:r w:rsidRPr="007A2874">
              <w:rPr>
                <w:b/>
                <w:i/>
              </w:rPr>
              <w:t>Resolved</w:t>
            </w:r>
          </w:p>
        </w:tc>
        <w:tc>
          <w:tcPr>
            <w:tcW w:w="423" w:type="pct"/>
            <w:tcBorders>
              <w:top w:val="nil"/>
              <w:left w:val="single" w:sz="4" w:space="0" w:color="ACD7FF" w:themeColor="accent1" w:themeTint="33"/>
              <w:bottom w:val="single" w:sz="4" w:space="0" w:color="ACD7FF" w:themeColor="accent1" w:themeTint="33"/>
              <w:right w:val="nil"/>
            </w:tcBorders>
            <w:vAlign w:val="center"/>
          </w:tcPr>
          <w:p w14:paraId="08DAD0E7" w14:textId="77777777" w:rsidR="00C157D5" w:rsidRPr="007A2874" w:rsidRDefault="00C157D5" w:rsidP="007A2874">
            <w:pPr>
              <w:rPr>
                <w:b/>
                <w:i/>
              </w:rPr>
            </w:pPr>
            <w:r w:rsidRPr="007A2874">
              <w:rPr>
                <w:b/>
                <w:i/>
              </w:rPr>
              <w:t>Sign off by / Date</w:t>
            </w:r>
          </w:p>
        </w:tc>
      </w:tr>
      <w:tr w:rsidR="00D85A43" w:rsidRPr="007A2874" w14:paraId="21BCB159" w14:textId="77777777" w:rsidTr="00D85A43">
        <w:tc>
          <w:tcPr>
            <w:tcW w:w="286" w:type="pct"/>
            <w:tcBorders>
              <w:top w:val="nil"/>
              <w:left w:val="nil"/>
              <w:bottom w:val="single" w:sz="4" w:space="0" w:color="ACD7FF" w:themeColor="accent1" w:themeTint="33"/>
              <w:right w:val="single" w:sz="4" w:space="0" w:color="ACD7FF" w:themeColor="accent1" w:themeTint="33"/>
            </w:tcBorders>
            <w:vAlign w:val="center"/>
          </w:tcPr>
          <w:p w14:paraId="5C1AD6F6" w14:textId="77777777" w:rsidR="00D85A43" w:rsidRPr="007A2874" w:rsidRDefault="00D85A43" w:rsidP="007A2874">
            <w:pPr>
              <w:rPr>
                <w:b/>
                <w:i/>
              </w:rPr>
            </w:pPr>
          </w:p>
        </w:tc>
        <w:tc>
          <w:tcPr>
            <w:tcW w:w="1447"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CB58817" w14:textId="62554A1F" w:rsidR="00D85A43" w:rsidRPr="007A2874" w:rsidRDefault="00D85A43" w:rsidP="007A2874">
            <w:pPr>
              <w:rPr>
                <w:b/>
                <w:i/>
              </w:rPr>
            </w:pPr>
            <w:r w:rsidRPr="007A2874">
              <w:rPr>
                <w:rFonts w:cstheme="minorHAnsi"/>
              </w:rPr>
              <w:t>No issues or recommendations were highlighted during assurance for this criterion.</w:t>
            </w:r>
          </w:p>
        </w:tc>
        <w:tc>
          <w:tcPr>
            <w:tcW w:w="39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B32A356" w14:textId="77777777" w:rsidR="00D85A43" w:rsidRPr="007A2874" w:rsidRDefault="00D85A43" w:rsidP="007A2874">
            <w:pPr>
              <w:rPr>
                <w:b/>
                <w:i/>
              </w:rPr>
            </w:pPr>
          </w:p>
        </w:tc>
        <w:tc>
          <w:tcPr>
            <w:tcW w:w="1543"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0B0F0EF" w14:textId="77777777" w:rsidR="00D85A43" w:rsidRPr="007A2874" w:rsidRDefault="00D85A43" w:rsidP="007A2874">
            <w:pPr>
              <w:rPr>
                <w:b/>
                <w:i/>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F17E0BC" w14:textId="77777777" w:rsidR="00D85A43" w:rsidRPr="007A2874" w:rsidRDefault="00D85A43" w:rsidP="007A2874">
            <w:pPr>
              <w:rPr>
                <w:b/>
                <w:i/>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421552F4" w14:textId="77777777" w:rsidR="00D85A43" w:rsidRPr="007A2874" w:rsidRDefault="00D85A43" w:rsidP="007A2874">
            <w:pPr>
              <w:rPr>
                <w:b/>
                <w:i/>
              </w:rPr>
            </w:pPr>
          </w:p>
        </w:tc>
        <w:tc>
          <w:tcPr>
            <w:tcW w:w="423" w:type="pct"/>
            <w:tcBorders>
              <w:top w:val="nil"/>
              <w:left w:val="single" w:sz="4" w:space="0" w:color="ACD7FF" w:themeColor="accent1" w:themeTint="33"/>
              <w:bottom w:val="single" w:sz="4" w:space="0" w:color="ACD7FF" w:themeColor="accent1" w:themeTint="33"/>
              <w:right w:val="nil"/>
            </w:tcBorders>
            <w:vAlign w:val="center"/>
          </w:tcPr>
          <w:p w14:paraId="471C3F7E" w14:textId="77777777" w:rsidR="00D85A43" w:rsidRPr="007A2874" w:rsidRDefault="00D85A43" w:rsidP="007A2874">
            <w:pPr>
              <w:rPr>
                <w:b/>
                <w:i/>
              </w:rPr>
            </w:pPr>
          </w:p>
        </w:tc>
      </w:tr>
    </w:tbl>
    <w:p w14:paraId="00ADA3B4" w14:textId="77777777" w:rsidR="00C157D5" w:rsidRPr="007A2874" w:rsidRDefault="00C157D5" w:rsidP="007A2874">
      <w:pPr>
        <w:spacing w:after="0"/>
        <w:rPr>
          <w:sz w:val="20"/>
          <w:szCs w:val="20"/>
        </w:rPr>
        <w:sectPr w:rsidR="00C157D5" w:rsidRPr="007A2874" w:rsidSect="007A2874">
          <w:headerReference w:type="default" r:id="rId25"/>
          <w:pgSz w:w="16838" w:h="11906" w:orient="landscape"/>
          <w:pgMar w:top="851" w:right="820" w:bottom="426" w:left="1440" w:header="851" w:footer="709" w:gutter="0"/>
          <w:cols w:space="708"/>
          <w:docGrid w:linePitch="360"/>
        </w:sectPr>
      </w:pPr>
    </w:p>
    <w:p w14:paraId="36E27820" w14:textId="77777777" w:rsidR="00814147" w:rsidRPr="002740D4" w:rsidRDefault="00814147" w:rsidP="00814147">
      <w:pPr>
        <w:autoSpaceDE w:val="0"/>
        <w:autoSpaceDN w:val="0"/>
      </w:pPr>
      <w:r w:rsidRPr="002740D4">
        <w:lastRenderedPageBreak/>
        <w:t>See our </w:t>
      </w:r>
      <w:hyperlink r:id="rId26" w:anchor="what-to-do" w:history="1">
        <w:r w:rsidRPr="002740D4">
          <w:rPr>
            <w:rStyle w:val="Hyperlink"/>
            <w:rFonts w:eastAsia="MS Mincho"/>
          </w:rPr>
          <w:t>accessibility statement</w:t>
        </w:r>
      </w:hyperlink>
      <w:r w:rsidRPr="002740D4">
        <w:t> if you’re having problems with this document.</w:t>
      </w:r>
      <w:r w:rsidRPr="002740D4">
        <w:rPr>
          <w:color w:val="000000"/>
          <w:sz w:val="20"/>
          <w:szCs w:val="20"/>
        </w:rPr>
        <w:t xml:space="preserve"> </w:t>
      </w:r>
    </w:p>
    <w:p w14:paraId="1EDE56EE" w14:textId="77777777" w:rsidR="006E54BF" w:rsidRPr="007A2874" w:rsidRDefault="006E54BF" w:rsidP="009F6E97"/>
    <w:sectPr w:rsidR="006E54BF" w:rsidRPr="007A2874" w:rsidSect="000C24AF">
      <w:headerReference w:type="default" r:id="rId27"/>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D85A43" w:rsidRDefault="00D85A43" w:rsidP="000C24AF">
      <w:pPr>
        <w:spacing w:after="0"/>
      </w:pPr>
      <w:r>
        <w:separator/>
      </w:r>
    </w:p>
  </w:endnote>
  <w:endnote w:type="continuationSeparator" w:id="0">
    <w:p w14:paraId="6C367D29" w14:textId="77777777" w:rsidR="00D85A43" w:rsidRDefault="00D85A43"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861506761"/>
      <w:docPartObj>
        <w:docPartGallery w:val="Page Numbers (Bottom of Page)"/>
        <w:docPartUnique/>
      </w:docPartObj>
    </w:sdtPr>
    <w:sdtEndPr>
      <w:rPr>
        <w:noProof/>
      </w:rPr>
    </w:sdtEndPr>
    <w:sdtContent>
      <w:p w14:paraId="7C096760" w14:textId="77777777" w:rsidR="00D85A43" w:rsidRPr="00FD6413" w:rsidRDefault="00D85A43" w:rsidP="00B14E9A">
        <w:pPr>
          <w:pStyle w:val="Footer"/>
          <w:tabs>
            <w:tab w:val="left" w:pos="426"/>
          </w:tabs>
          <w:rPr>
            <w:rFonts w:cs="Arial"/>
            <w:sz w:val="18"/>
            <w:szCs w:val="18"/>
          </w:rPr>
        </w:pPr>
        <w:r w:rsidRPr="00FD6413">
          <w:rPr>
            <w:rFonts w:cs="Arial"/>
            <w:sz w:val="18"/>
            <w:szCs w:val="18"/>
          </w:rPr>
          <w:t>IAP00</w:t>
        </w:r>
        <w:r>
          <w:rPr>
            <w:rFonts w:cs="Arial"/>
            <w:sz w:val="18"/>
            <w:szCs w:val="18"/>
          </w:rPr>
          <w:t>048</w:t>
        </w:r>
        <w:r w:rsidRPr="00FD6413">
          <w:rPr>
            <w:rFonts w:cs="Arial"/>
            <w:sz w:val="18"/>
            <w:szCs w:val="18"/>
          </w:rPr>
          <w:t xml:space="preserve"> Supporting documentation</w:t>
        </w:r>
      </w:p>
      <w:p w14:paraId="6C367D30" w14:textId="3FE08AB6" w:rsidR="00D85A43" w:rsidRPr="00B14E9A" w:rsidRDefault="00D85A43" w:rsidP="0010571A">
        <w:pPr>
          <w:pStyle w:val="Footer"/>
          <w:tabs>
            <w:tab w:val="left" w:pos="426"/>
          </w:tabs>
          <w:rPr>
            <w:rFonts w:cs="Arial"/>
            <w:sz w:val="18"/>
            <w:szCs w:val="18"/>
          </w:rPr>
        </w:pPr>
        <w:r w:rsidRPr="00FD6413">
          <w:rPr>
            <w:rFonts w:cs="Arial"/>
            <w:sz w:val="18"/>
            <w:szCs w:val="18"/>
          </w:rPr>
          <w:t>Copyright © 2019 NHS Digital</w:t>
        </w:r>
        <w:r w:rsidRPr="00FD6413">
          <w:rPr>
            <w:rFonts w:cs="Arial"/>
            <w:sz w:val="18"/>
            <w:szCs w:val="18"/>
          </w:rPr>
          <w:tab/>
        </w:r>
        <w:r w:rsidRPr="00FD6413">
          <w:rPr>
            <w:rFonts w:cs="Arial"/>
            <w:sz w:val="18"/>
            <w:szCs w:val="18"/>
          </w:rPr>
          <w:fldChar w:fldCharType="begin"/>
        </w:r>
        <w:r w:rsidRPr="00FD6413">
          <w:rPr>
            <w:rFonts w:cs="Arial"/>
            <w:sz w:val="18"/>
            <w:szCs w:val="18"/>
          </w:rPr>
          <w:instrText xml:space="preserve"> PAGE   \* MERGEFORMAT </w:instrText>
        </w:r>
        <w:r w:rsidRPr="00FD6413">
          <w:rPr>
            <w:rFonts w:cs="Arial"/>
            <w:sz w:val="18"/>
            <w:szCs w:val="18"/>
          </w:rPr>
          <w:fldChar w:fldCharType="separate"/>
        </w:r>
        <w:r>
          <w:rPr>
            <w:rFonts w:cs="Arial"/>
            <w:sz w:val="18"/>
            <w:szCs w:val="18"/>
          </w:rPr>
          <w:t>1</w:t>
        </w:r>
        <w:r w:rsidRPr="00FD6413">
          <w:rPr>
            <w:rFonts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447933251"/>
      <w:docPartObj>
        <w:docPartGallery w:val="Page Numbers (Bottom of Page)"/>
        <w:docPartUnique/>
      </w:docPartObj>
    </w:sdtPr>
    <w:sdtEndPr>
      <w:rPr>
        <w:noProof/>
      </w:rPr>
    </w:sdtEndPr>
    <w:sdtContent>
      <w:p w14:paraId="6AD9BE55" w14:textId="05943A55" w:rsidR="00D85A43" w:rsidRPr="00FD6413" w:rsidRDefault="00D85A43" w:rsidP="006367DE">
        <w:pPr>
          <w:pStyle w:val="Footer"/>
          <w:tabs>
            <w:tab w:val="left" w:pos="426"/>
          </w:tabs>
          <w:rPr>
            <w:rFonts w:cs="Arial"/>
            <w:sz w:val="18"/>
            <w:szCs w:val="18"/>
          </w:rPr>
        </w:pPr>
        <w:r w:rsidRPr="00FD6413">
          <w:rPr>
            <w:rFonts w:cs="Arial"/>
            <w:sz w:val="18"/>
            <w:szCs w:val="18"/>
          </w:rPr>
          <w:t>IAP00</w:t>
        </w:r>
        <w:r>
          <w:rPr>
            <w:rFonts w:cs="Arial"/>
            <w:sz w:val="18"/>
            <w:szCs w:val="18"/>
          </w:rPr>
          <w:t>428</w:t>
        </w:r>
        <w:r w:rsidRPr="00FD6413">
          <w:rPr>
            <w:rFonts w:cs="Arial"/>
            <w:sz w:val="18"/>
            <w:szCs w:val="18"/>
          </w:rPr>
          <w:t xml:space="preserve"> Supporting documentation</w:t>
        </w:r>
      </w:p>
      <w:p w14:paraId="77CF819F" w14:textId="6B1B1E53" w:rsidR="00D85A43" w:rsidRPr="006367DE" w:rsidRDefault="00D85A43" w:rsidP="006367DE">
        <w:pPr>
          <w:pStyle w:val="Footer"/>
          <w:tabs>
            <w:tab w:val="left" w:pos="426"/>
          </w:tabs>
          <w:rPr>
            <w:rFonts w:cs="Arial"/>
            <w:sz w:val="18"/>
            <w:szCs w:val="18"/>
          </w:rPr>
        </w:pPr>
        <w:r w:rsidRPr="00FD6413">
          <w:rPr>
            <w:rFonts w:cs="Arial"/>
            <w:sz w:val="18"/>
            <w:szCs w:val="18"/>
          </w:rPr>
          <w:t>Copyright © 2019 NHS Digital</w:t>
        </w:r>
        <w:r w:rsidRPr="00FD6413">
          <w:rPr>
            <w:rFonts w:cs="Arial"/>
            <w:sz w:val="18"/>
            <w:szCs w:val="18"/>
          </w:rPr>
          <w:tab/>
        </w:r>
        <w:r w:rsidRPr="00FD6413">
          <w:rPr>
            <w:rFonts w:cs="Arial"/>
            <w:sz w:val="18"/>
            <w:szCs w:val="18"/>
          </w:rPr>
          <w:fldChar w:fldCharType="begin"/>
        </w:r>
        <w:r w:rsidRPr="00FD6413">
          <w:rPr>
            <w:rFonts w:cs="Arial"/>
            <w:sz w:val="18"/>
            <w:szCs w:val="18"/>
          </w:rPr>
          <w:instrText xml:space="preserve"> PAGE   \* MERGEFORMAT </w:instrText>
        </w:r>
        <w:r w:rsidRPr="00FD6413">
          <w:rPr>
            <w:rFonts w:cs="Arial"/>
            <w:sz w:val="18"/>
            <w:szCs w:val="18"/>
          </w:rPr>
          <w:fldChar w:fldCharType="separate"/>
        </w:r>
        <w:r>
          <w:rPr>
            <w:rFonts w:cs="Arial"/>
            <w:sz w:val="18"/>
            <w:szCs w:val="18"/>
          </w:rPr>
          <w:t>2</w:t>
        </w:r>
        <w:r w:rsidRPr="00FD6413">
          <w:rPr>
            <w:rFonts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105308"/>
      <w:docPartObj>
        <w:docPartGallery w:val="Page Numbers (Bottom of Page)"/>
        <w:docPartUnique/>
      </w:docPartObj>
    </w:sdtPr>
    <w:sdtEndPr>
      <w:rPr>
        <w:noProof/>
      </w:rPr>
    </w:sdtEndPr>
    <w:sdtContent>
      <w:p w14:paraId="3A184C6D" w14:textId="77777777" w:rsidR="00D85A43" w:rsidRDefault="00D963CC">
        <w:pPr>
          <w:pStyle w:val="Footer"/>
          <w:jc w:val="right"/>
        </w:pPr>
      </w:p>
    </w:sdtContent>
  </w:sdt>
  <w:p w14:paraId="5138B435" w14:textId="77777777" w:rsidR="00D85A43" w:rsidRDefault="00D8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D85A43" w:rsidRDefault="00D85A43" w:rsidP="000C24AF">
      <w:pPr>
        <w:spacing w:after="0"/>
      </w:pPr>
      <w:r>
        <w:separator/>
      </w:r>
    </w:p>
  </w:footnote>
  <w:footnote w:type="continuationSeparator" w:id="0">
    <w:p w14:paraId="6C367D27" w14:textId="77777777" w:rsidR="00D85A43" w:rsidRDefault="00D85A43" w:rsidP="000C24AF">
      <w:pPr>
        <w:spacing w:after="0"/>
      </w:pPr>
      <w:r>
        <w:continuationSeparator/>
      </w:r>
    </w:p>
  </w:footnote>
  <w:footnote w:id="1">
    <w:p w14:paraId="7A82D022" w14:textId="77777777" w:rsidR="00D85A43" w:rsidRDefault="00D85A43" w:rsidP="006E54BF">
      <w:pPr>
        <w:pStyle w:val="FootnoteText"/>
      </w:pPr>
      <w:r>
        <w:rPr>
          <w:rStyle w:val="FootnoteReference"/>
        </w:rPr>
        <w:footnoteRef/>
      </w:r>
      <w:r>
        <w:t xml:space="preserve"> </w:t>
      </w:r>
      <w:r w:rsidRPr="00B64643">
        <w:rPr>
          <w:color w:val="003360" w:themeColor="accent1"/>
          <w:sz w:val="16"/>
          <w:szCs w:val="16"/>
        </w:rPr>
        <w:t xml:space="preserve">Payment by Results Guidance for 2013-14, Department of Health, February 2013, </w:t>
      </w:r>
      <w:hyperlink r:id="rId1" w:history="1">
        <w:r w:rsidRPr="00B64643">
          <w:rPr>
            <w:rStyle w:val="Hyperlink"/>
            <w:rFonts w:ascii="Arial" w:hAnsi="Arial"/>
            <w:sz w:val="16"/>
            <w:szCs w:val="16"/>
          </w:rPr>
          <w:t>https://www.gov.uk/government/uploads/system/ uploads/</w:t>
        </w:r>
        <w:proofErr w:type="spellStart"/>
        <w:r w:rsidRPr="00B64643">
          <w:rPr>
            <w:rStyle w:val="Hyperlink"/>
            <w:rFonts w:ascii="Arial" w:hAnsi="Arial"/>
            <w:sz w:val="16"/>
            <w:szCs w:val="16"/>
          </w:rPr>
          <w:t>attachment_data</w:t>
        </w:r>
        <w:proofErr w:type="spellEnd"/>
        <w:r w:rsidRPr="00B64643">
          <w:rPr>
            <w:rStyle w:val="Hyperlink"/>
            <w:rFonts w:ascii="Arial" w:hAnsi="Arial"/>
            <w:sz w:val="16"/>
            <w:szCs w:val="16"/>
          </w:rPr>
          <w:t>/file/214902/PbR-Guidance-2013-14.pdf</w:t>
        </w:r>
      </w:hyperlink>
    </w:p>
  </w:footnote>
  <w:footnote w:id="2">
    <w:p w14:paraId="65F9514C" w14:textId="77777777" w:rsidR="00D85A43" w:rsidRDefault="00D85A43" w:rsidP="00D40242">
      <w:pPr>
        <w:pStyle w:val="FootnoteText"/>
      </w:pPr>
      <w:r>
        <w:rPr>
          <w:rStyle w:val="FootnoteReference"/>
        </w:rPr>
        <w:footnoteRef/>
      </w:r>
      <w:r>
        <w:t xml:space="preserve"> </w:t>
      </w:r>
      <w:r w:rsidRPr="00B64643">
        <w:rPr>
          <w:color w:val="003360" w:themeColor="accent1"/>
          <w:sz w:val="16"/>
          <w:szCs w:val="16"/>
        </w:rPr>
        <w:t xml:space="preserve">Chronic heart failure quality standard, June 2011, NICE, </w:t>
      </w:r>
      <w:hyperlink r:id="rId2" w:history="1">
        <w:r w:rsidRPr="00B64643">
          <w:rPr>
            <w:rStyle w:val="Hyperlink"/>
            <w:rFonts w:ascii="Arial" w:hAnsi="Arial"/>
            <w:sz w:val="16"/>
            <w:szCs w:val="16"/>
          </w:rPr>
          <w:t>http://www.nice.org.uk/guidance/QS9</w:t>
        </w:r>
      </w:hyperlink>
    </w:p>
  </w:footnote>
  <w:footnote w:id="3">
    <w:p w14:paraId="28B0B816" w14:textId="77777777" w:rsidR="00D85A43" w:rsidRDefault="00D85A43" w:rsidP="00D40242">
      <w:pPr>
        <w:pStyle w:val="FootnoteText"/>
      </w:pPr>
      <w:r>
        <w:rPr>
          <w:rStyle w:val="FootnoteReference"/>
        </w:rPr>
        <w:footnoteRef/>
      </w:r>
      <w:r>
        <w:t xml:space="preserve"> </w:t>
      </w:r>
      <w:r w:rsidRPr="00DC1EC5">
        <w:rPr>
          <w:color w:val="003360" w:themeColor="accent1"/>
          <w:sz w:val="16"/>
          <w:szCs w:val="16"/>
        </w:rPr>
        <w:t xml:space="preserve">Cardiovascular Disease Outcomes Strategy, March 2013, Department of Health, </w:t>
      </w:r>
      <w:hyperlink r:id="rId3" w:history="1">
        <w:r w:rsidRPr="004538DE">
          <w:rPr>
            <w:rStyle w:val="Hyperlink"/>
            <w:rFonts w:ascii="Arial" w:hAnsi="Arial"/>
            <w:sz w:val="16"/>
            <w:szCs w:val="16"/>
          </w:rPr>
          <w:t>https://www.gov.uk/government/uploads/system/uploads/attachment_data/ file/217118/9387-2900853-CVD-Outcomes_web1.pdf</w:t>
        </w:r>
      </w:hyperlink>
    </w:p>
  </w:footnote>
  <w:footnote w:id="4">
    <w:p w14:paraId="1E92F7EA" w14:textId="77777777" w:rsidR="00D85A43" w:rsidRDefault="00D85A43" w:rsidP="00D40242">
      <w:pPr>
        <w:pStyle w:val="FootnoteText"/>
      </w:pPr>
      <w:r>
        <w:rPr>
          <w:rStyle w:val="FootnoteReference"/>
        </w:rPr>
        <w:footnoteRef/>
      </w:r>
      <w:r>
        <w:t xml:space="preserve"> </w:t>
      </w:r>
      <w:r w:rsidRPr="00DC1EC5">
        <w:rPr>
          <w:color w:val="003360" w:themeColor="accent1"/>
          <w:sz w:val="16"/>
          <w:szCs w:val="16"/>
        </w:rPr>
        <w:t xml:space="preserve">National Service Framework for Coronary Heart Disease, March 2000, Department of Health, </w:t>
      </w:r>
      <w:hyperlink r:id="rId4" w:history="1">
        <w:r w:rsidRPr="00354A86">
          <w:rPr>
            <w:rStyle w:val="Hyperlink"/>
            <w:rFonts w:ascii="Arial" w:hAnsi="Arial"/>
            <w:sz w:val="16"/>
            <w:szCs w:val="16"/>
          </w:rPr>
          <w:t>https://www.gov.uk/government/uploads/system/uploads/attachment_data/file/198931/National_Service_Framework_for_ Coronary_Heart_Disease.pdf</w:t>
        </w:r>
      </w:hyperlink>
    </w:p>
  </w:footnote>
  <w:footnote w:id="5">
    <w:p w14:paraId="073D9045" w14:textId="77777777" w:rsidR="00D85A43" w:rsidRDefault="00D85A43" w:rsidP="00D40242">
      <w:pPr>
        <w:pStyle w:val="FootnoteText"/>
      </w:pPr>
      <w:r>
        <w:rPr>
          <w:rStyle w:val="FootnoteReference"/>
        </w:rPr>
        <w:footnoteRef/>
      </w:r>
      <w:r>
        <w:t xml:space="preserve"> </w:t>
      </w:r>
      <w:r w:rsidRPr="00DC1EC5">
        <w:rPr>
          <w:color w:val="003360" w:themeColor="accent1"/>
          <w:sz w:val="16"/>
          <w:szCs w:val="16"/>
        </w:rPr>
        <w:t xml:space="preserve">Coronary Heart Disease and the Need for Cardiac Rehabilitation, October 2010, Department of Health, </w:t>
      </w:r>
      <w:hyperlink r:id="rId5" w:history="1">
        <w:r w:rsidRPr="00DC1EC5">
          <w:rPr>
            <w:rStyle w:val="Hyperlink"/>
            <w:rFonts w:ascii="Arial" w:hAnsi="Arial"/>
            <w:sz w:val="16"/>
            <w:szCs w:val="16"/>
          </w:rPr>
          <w:t>http://webarchive.nationalarchives.gov.uk/20130107105354/ http://www.dh.gov.uk/prod_consum_dh/groups/dh_digitalassets/ @dh/@</w:t>
        </w:r>
        <w:proofErr w:type="spellStart"/>
        <w:r w:rsidRPr="00DC1EC5">
          <w:rPr>
            <w:rStyle w:val="Hyperlink"/>
            <w:rFonts w:ascii="Arial" w:hAnsi="Arial"/>
            <w:sz w:val="16"/>
            <w:szCs w:val="16"/>
          </w:rPr>
          <w:t>en</w:t>
        </w:r>
        <w:proofErr w:type="spellEnd"/>
        <w:r w:rsidRPr="00DC1EC5">
          <w:rPr>
            <w:rStyle w:val="Hyperlink"/>
            <w:rFonts w:ascii="Arial" w:hAnsi="Arial"/>
            <w:sz w:val="16"/>
            <w:szCs w:val="16"/>
          </w:rPr>
          <w:t>/@ps/documents/digitalasset/dh_118402.pdf</w:t>
        </w:r>
      </w:hyperlink>
    </w:p>
  </w:footnote>
  <w:footnote w:id="6">
    <w:p w14:paraId="5FD46CC0" w14:textId="77777777" w:rsidR="00D85A43" w:rsidRDefault="00D85A43" w:rsidP="00D40242">
      <w:pPr>
        <w:pStyle w:val="FootnoteText"/>
      </w:pPr>
      <w:r>
        <w:rPr>
          <w:rStyle w:val="FootnoteReference"/>
        </w:rPr>
        <w:footnoteRef/>
      </w:r>
      <w:r>
        <w:t xml:space="preserve"> </w:t>
      </w:r>
      <w:r w:rsidRPr="00B64643">
        <w:rPr>
          <w:color w:val="003360" w:themeColor="accent1"/>
          <w:sz w:val="16"/>
          <w:szCs w:val="16"/>
        </w:rPr>
        <w:t xml:space="preserve">Commissioning a cardiac rehabilitation service, October 2010, Department of Health, </w:t>
      </w:r>
      <w:hyperlink r:id="rId6" w:history="1">
        <w:r w:rsidRPr="00B64643">
          <w:rPr>
            <w:rStyle w:val="Hyperlink"/>
            <w:rFonts w:ascii="Arial" w:hAnsi="Arial"/>
            <w:sz w:val="16"/>
            <w:szCs w:val="16"/>
          </w:rPr>
          <w:t>http://webarchive.nationalarchives.gov.uk/+/www.dh.gov.uk/ en/publicationsandstatistics/publications/publicationspolicyandguidance/ browsable/DH_117504</w:t>
        </w:r>
      </w:hyperlink>
    </w:p>
  </w:footnote>
  <w:footnote w:id="7">
    <w:p w14:paraId="5D3B77C6" w14:textId="77777777" w:rsidR="00D85A43" w:rsidRDefault="00D85A43" w:rsidP="006367DE">
      <w:pPr>
        <w:pStyle w:val="FootnoteText"/>
      </w:pPr>
      <w:r>
        <w:rPr>
          <w:rStyle w:val="FootnoteReference"/>
        </w:rPr>
        <w:footnoteRef/>
      </w:r>
      <w:r>
        <w:t xml:space="preserve"> </w:t>
      </w:r>
      <w:r w:rsidRPr="00F7195B">
        <w:rPr>
          <w:rFonts w:eastAsia="Arial" w:cs="Arial"/>
          <w:color w:val="003360" w:themeColor="accent1"/>
          <w:sz w:val="16"/>
          <w:szCs w:val="16"/>
        </w:rPr>
        <w:t>Wilson EB. Probable inference, the law of succession, and statistical inference. J Am Stat Assoc 1927; 22: 209–12</w:t>
      </w:r>
    </w:p>
  </w:footnote>
  <w:footnote w:id="8">
    <w:p w14:paraId="4D6ECF9B" w14:textId="77777777" w:rsidR="00D85A43" w:rsidRDefault="00D85A43" w:rsidP="006367DE">
      <w:pPr>
        <w:pStyle w:val="FootnoteText"/>
      </w:pPr>
      <w:r>
        <w:rPr>
          <w:rStyle w:val="FootnoteReference"/>
        </w:rPr>
        <w:footnoteRef/>
      </w:r>
      <w:r>
        <w:t xml:space="preserve"> </w:t>
      </w:r>
      <w:r w:rsidRPr="00F7195B">
        <w:rPr>
          <w:rFonts w:eastAsia="Arial" w:cs="Arial"/>
          <w:color w:val="003360" w:themeColor="accent1"/>
          <w:sz w:val="16"/>
          <w:szCs w:val="16"/>
        </w:rPr>
        <w:t xml:space="preserve">Newcombe RG, Altman DG. Proportions and their differences. In Altman DG et al. (eds). Statistics with confidence (2nd </w:t>
      </w:r>
      <w:proofErr w:type="spellStart"/>
      <w:r w:rsidRPr="00F7195B">
        <w:rPr>
          <w:rFonts w:eastAsia="Arial" w:cs="Arial"/>
          <w:color w:val="003360" w:themeColor="accent1"/>
          <w:sz w:val="16"/>
          <w:szCs w:val="16"/>
        </w:rPr>
        <w:t>edn</w:t>
      </w:r>
      <w:proofErr w:type="spellEnd"/>
      <w:r w:rsidRPr="00F7195B">
        <w:rPr>
          <w:rFonts w:eastAsia="Arial" w:cs="Arial"/>
          <w:color w:val="003360" w:themeColor="accent1"/>
          <w:sz w:val="16"/>
          <w:szCs w:val="16"/>
        </w:rPr>
        <w:t>). London: BMJ Books; 2000: 46–8</w:t>
      </w:r>
    </w:p>
  </w:footnote>
  <w:footnote w:id="9">
    <w:p w14:paraId="2F1F3DA2" w14:textId="77777777" w:rsidR="00D85A43" w:rsidRDefault="00D85A43" w:rsidP="006367DE">
      <w:pPr>
        <w:pStyle w:val="FootnoteText"/>
      </w:pPr>
      <w:r>
        <w:rPr>
          <w:rStyle w:val="FootnoteReference"/>
        </w:rPr>
        <w:footnoteRef/>
      </w:r>
      <w:r>
        <w:t xml:space="preserve"> </w:t>
      </w:r>
      <w:proofErr w:type="spellStart"/>
      <w:r w:rsidRPr="000F76E3">
        <w:rPr>
          <w:color w:val="003360" w:themeColor="accent1"/>
          <w:sz w:val="16"/>
          <w:szCs w:val="16"/>
        </w:rPr>
        <w:t>Eayres</w:t>
      </w:r>
      <w:proofErr w:type="spellEnd"/>
      <w:r w:rsidRPr="000F76E3">
        <w:rPr>
          <w:color w:val="003360" w:themeColor="accent1"/>
          <w:sz w:val="16"/>
          <w:szCs w:val="16"/>
        </w:rPr>
        <w:t xml:space="preserve"> D. Technical Briefing 3: Commonly used public health statistics and their confidence intervals. York: APHO; 2008. Available at</w:t>
      </w:r>
      <w:r w:rsidRPr="009059E8">
        <w:rPr>
          <w:color w:val="003360" w:themeColor="accent1"/>
          <w:sz w:val="16"/>
          <w:szCs w:val="16"/>
        </w:rPr>
        <w:t xml:space="preserve"> </w:t>
      </w:r>
      <w:hyperlink r:id="rId7" w:history="1">
        <w:r w:rsidRPr="00354A86">
          <w:rPr>
            <w:rStyle w:val="Hyperlink"/>
            <w:rFonts w:ascii="Arial" w:hAnsi="Arial"/>
            <w:sz w:val="16"/>
            <w:szCs w:val="16"/>
          </w:rPr>
          <w:t>http://www.apho.org.uk/resource/item.aspx?RID=48457</w:t>
        </w:r>
      </w:hyperlink>
      <w:r>
        <w:rPr>
          <w:color w:val="003360" w:themeColor="accent1"/>
          <w:sz w:val="16"/>
          <w:szCs w:val="16"/>
        </w:rPr>
        <w:t xml:space="preserve"> </w:t>
      </w:r>
    </w:p>
  </w:footnote>
  <w:footnote w:id="10">
    <w:p w14:paraId="5C8C3EE6" w14:textId="77777777" w:rsidR="00D85A43" w:rsidRDefault="00D85A43" w:rsidP="006367DE">
      <w:pPr>
        <w:pStyle w:val="FootnoteText"/>
      </w:pPr>
      <w:r>
        <w:rPr>
          <w:rStyle w:val="FootnoteReference"/>
        </w:rPr>
        <w:footnoteRef/>
      </w:r>
      <w:r>
        <w:t xml:space="preserve"> </w:t>
      </w:r>
      <w:r w:rsidRPr="00692022">
        <w:rPr>
          <w:color w:val="003360" w:themeColor="accent1"/>
          <w:sz w:val="16"/>
          <w:szCs w:val="16"/>
        </w:rPr>
        <w:t>Wilson EB. Probable inference, the law of succession, and statistical inference. J Am Stat Assoc 1927</w:t>
      </w:r>
    </w:p>
  </w:footnote>
  <w:footnote w:id="11">
    <w:p w14:paraId="0B55EF99" w14:textId="77777777" w:rsidR="00D85A43" w:rsidRDefault="00D85A43" w:rsidP="006367DE">
      <w:pPr>
        <w:pStyle w:val="FootnoteText"/>
      </w:pPr>
      <w:r>
        <w:rPr>
          <w:rStyle w:val="FootnoteReference"/>
        </w:rPr>
        <w:footnoteRef/>
      </w:r>
      <w:r>
        <w:t xml:space="preserve"> </w:t>
      </w:r>
      <w:r w:rsidRPr="00692022">
        <w:rPr>
          <w:color w:val="003360" w:themeColor="accent1"/>
          <w:sz w:val="16"/>
          <w:szCs w:val="16"/>
        </w:rPr>
        <w:t>Newcombe RG. Two-sided confidence intervals for the single proportion: comparison of seven methods. Stat Med 1998.</w:t>
      </w:r>
    </w:p>
  </w:footnote>
  <w:footnote w:id="12">
    <w:p w14:paraId="7AD58596" w14:textId="77777777" w:rsidR="00D85A43" w:rsidRDefault="00D85A43" w:rsidP="006367DE">
      <w:pPr>
        <w:pStyle w:val="FootnoteText"/>
      </w:pPr>
      <w:r>
        <w:rPr>
          <w:rStyle w:val="FootnoteReference"/>
        </w:rPr>
        <w:footnoteRef/>
      </w:r>
      <w:r>
        <w:t xml:space="preserve"> </w:t>
      </w:r>
      <w:r w:rsidRPr="00692022">
        <w:rPr>
          <w:color w:val="003360" w:themeColor="accent1"/>
          <w:sz w:val="16"/>
          <w:szCs w:val="16"/>
        </w:rPr>
        <w:t xml:space="preserve">Newcombe RG, Altman DG. Proportions and their differences. In Altman DG et al. (eds). Statistics with confidence (2nd </w:t>
      </w:r>
      <w:proofErr w:type="spellStart"/>
      <w:r w:rsidRPr="00692022">
        <w:rPr>
          <w:color w:val="003360" w:themeColor="accent1"/>
          <w:sz w:val="16"/>
          <w:szCs w:val="16"/>
        </w:rPr>
        <w:t>edn</w:t>
      </w:r>
      <w:proofErr w:type="spellEnd"/>
      <w:r w:rsidRPr="00692022">
        <w:rPr>
          <w:color w:val="003360" w:themeColor="accent1"/>
          <w:sz w:val="16"/>
          <w:szCs w:val="16"/>
        </w:rPr>
        <w:t>). London: BMJ Books; 2000.</w:t>
      </w:r>
    </w:p>
  </w:footnote>
  <w:footnote w:id="13">
    <w:p w14:paraId="6C72D6DB" w14:textId="77777777" w:rsidR="00D85A43" w:rsidRDefault="00D85A43" w:rsidP="006367DE">
      <w:pPr>
        <w:pStyle w:val="FootnoteText"/>
      </w:pPr>
      <w:r>
        <w:rPr>
          <w:rStyle w:val="FootnoteReference"/>
        </w:rPr>
        <w:footnoteRef/>
      </w:r>
      <w:r>
        <w:t xml:space="preserve"> </w:t>
      </w:r>
      <w:proofErr w:type="spellStart"/>
      <w:r w:rsidRPr="00692022">
        <w:rPr>
          <w:color w:val="003360" w:themeColor="accent1"/>
          <w:sz w:val="16"/>
          <w:szCs w:val="16"/>
        </w:rPr>
        <w:t>Agresti</w:t>
      </w:r>
      <w:proofErr w:type="spellEnd"/>
      <w:r w:rsidRPr="00692022">
        <w:rPr>
          <w:color w:val="003360" w:themeColor="accent1"/>
          <w:sz w:val="16"/>
          <w:szCs w:val="16"/>
        </w:rPr>
        <w:t xml:space="preserve"> A, </w:t>
      </w:r>
      <w:proofErr w:type="spellStart"/>
      <w:r w:rsidRPr="00692022">
        <w:rPr>
          <w:color w:val="003360" w:themeColor="accent1"/>
          <w:sz w:val="16"/>
          <w:szCs w:val="16"/>
        </w:rPr>
        <w:t>Coull</w:t>
      </w:r>
      <w:proofErr w:type="spellEnd"/>
      <w:r w:rsidRPr="00692022">
        <w:rPr>
          <w:color w:val="003360" w:themeColor="accent1"/>
          <w:sz w:val="16"/>
          <w:szCs w:val="16"/>
        </w:rPr>
        <w:t xml:space="preserve"> BA. Approximate is better than ‘exact’ for interval estimation of binomial proportions. Am Stat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2D" w14:textId="31AB46AB" w:rsidR="00D85A43" w:rsidRPr="00B14E9A" w:rsidRDefault="00D85A43" w:rsidP="00B14E9A">
    <w:pPr>
      <w:pStyle w:val="Header"/>
      <w:jc w:val="center"/>
      <w:rPr>
        <w:rFonts w:cs="Arial"/>
        <w:b w:val="0"/>
        <w:bCs/>
      </w:rPr>
    </w:pPr>
    <w:r w:rsidRPr="00F37180">
      <w:rPr>
        <w:rFonts w:cs="Arial"/>
        <w:bCs/>
      </w:rPr>
      <w:t>NICE inherited this indicator and all its supporting documentation from NHS Digital on 1 April 2020</w:t>
    </w:r>
  </w:p>
  <w:p w14:paraId="6C367D2E" w14:textId="77777777" w:rsidR="00D85A43" w:rsidRDefault="00D85A43"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D3D8F" w14:textId="72DB8360" w:rsidR="00D85A43" w:rsidRPr="006367DE" w:rsidRDefault="00D85A43" w:rsidP="006367DE">
    <w:pPr>
      <w:pStyle w:val="Header"/>
      <w:jc w:val="center"/>
      <w:rPr>
        <w:rFonts w:cs="Arial"/>
        <w:b w:val="0"/>
        <w:bCs/>
      </w:rPr>
    </w:pPr>
    <w:r w:rsidRPr="00F37180">
      <w:rPr>
        <w:rFonts w:cs="Arial"/>
        <w:bCs/>
      </w:rPr>
      <w:t>NICE inherited this indicator and all its supporting documentation from NHS Digital on 1 April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DF0F" w14:textId="77777777" w:rsidR="00D85A43" w:rsidRPr="00574969" w:rsidRDefault="00D85A43" w:rsidP="007A2874">
    <w:pPr>
      <w:pStyle w:val="NormalWeb"/>
      <w:spacing w:before="0" w:beforeAutospacing="0" w:after="0" w:afterAutospacing="0"/>
      <w:rPr>
        <w:rFonts w:ascii="Arial" w:eastAsia="+mn-ea" w:hAnsi="Arial" w:cs="Arial"/>
        <w:b/>
        <w:color w:val="000000" w:themeColor="text2"/>
        <w:position w:val="1"/>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7C1E" w14:textId="77777777" w:rsidR="00D85A43" w:rsidRPr="006367DE" w:rsidRDefault="00D85A43" w:rsidP="00D85A43">
    <w:pPr>
      <w:pStyle w:val="Header"/>
      <w:jc w:val="center"/>
      <w:rPr>
        <w:rFonts w:cs="Arial"/>
        <w:b w:val="0"/>
        <w:bCs/>
      </w:rPr>
    </w:pPr>
    <w:r w:rsidRPr="00F37180">
      <w:rPr>
        <w:rFonts w:cs="Arial"/>
        <w:bCs/>
      </w:rPr>
      <w:t>NICE inherited this indicator and all its supporting documentation from NHS Digital on 1 April 2020</w:t>
    </w:r>
  </w:p>
  <w:p w14:paraId="4EA74670" w14:textId="77777777" w:rsidR="00D85A43" w:rsidRDefault="00D85A43" w:rsidP="007A28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32" w14:textId="365AAAE9" w:rsidR="00D85A43" w:rsidRPr="001D243C" w:rsidRDefault="00D85A43" w:rsidP="001D2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D300C7"/>
    <w:multiLevelType w:val="hybridMultilevel"/>
    <w:tmpl w:val="F626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175BC6"/>
    <w:multiLevelType w:val="multilevel"/>
    <w:tmpl w:val="0796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num>
  <w:num w:numId="3">
    <w:abstractNumId w:val="4"/>
  </w:num>
  <w:num w:numId="4">
    <w:abstractNumId w:val="7"/>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proofState w:spelling="clean" w:grammar="clean"/>
  <w:documentProtection w:edit="readOnly"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15F37"/>
    <w:rsid w:val="000277F8"/>
    <w:rsid w:val="00095621"/>
    <w:rsid w:val="000C24AF"/>
    <w:rsid w:val="000F37C3"/>
    <w:rsid w:val="0010192E"/>
    <w:rsid w:val="0010571A"/>
    <w:rsid w:val="00110985"/>
    <w:rsid w:val="001453B1"/>
    <w:rsid w:val="0015258C"/>
    <w:rsid w:val="001757E3"/>
    <w:rsid w:val="001A5F3E"/>
    <w:rsid w:val="001C3565"/>
    <w:rsid w:val="001C53D7"/>
    <w:rsid w:val="001D243C"/>
    <w:rsid w:val="00274F7A"/>
    <w:rsid w:val="002A7E9E"/>
    <w:rsid w:val="002C1D57"/>
    <w:rsid w:val="002C446A"/>
    <w:rsid w:val="0033715E"/>
    <w:rsid w:val="003D3A42"/>
    <w:rsid w:val="00420E7F"/>
    <w:rsid w:val="00435C46"/>
    <w:rsid w:val="00493A03"/>
    <w:rsid w:val="004E445F"/>
    <w:rsid w:val="004F5372"/>
    <w:rsid w:val="00514083"/>
    <w:rsid w:val="00616632"/>
    <w:rsid w:val="0062039B"/>
    <w:rsid w:val="006367DE"/>
    <w:rsid w:val="006A7712"/>
    <w:rsid w:val="006B3E0F"/>
    <w:rsid w:val="006E54BF"/>
    <w:rsid w:val="00702B4D"/>
    <w:rsid w:val="00707F26"/>
    <w:rsid w:val="0071497F"/>
    <w:rsid w:val="00763FA3"/>
    <w:rsid w:val="00772A5C"/>
    <w:rsid w:val="007A2874"/>
    <w:rsid w:val="007B5F42"/>
    <w:rsid w:val="007D6E37"/>
    <w:rsid w:val="007E4138"/>
    <w:rsid w:val="008022CE"/>
    <w:rsid w:val="00814147"/>
    <w:rsid w:val="008144A7"/>
    <w:rsid w:val="00856A34"/>
    <w:rsid w:val="008C6900"/>
    <w:rsid w:val="008D5953"/>
    <w:rsid w:val="0091378C"/>
    <w:rsid w:val="00991873"/>
    <w:rsid w:val="009B4AB9"/>
    <w:rsid w:val="009F6E97"/>
    <w:rsid w:val="00A268E2"/>
    <w:rsid w:val="00A57320"/>
    <w:rsid w:val="00A73E11"/>
    <w:rsid w:val="00AD2BEF"/>
    <w:rsid w:val="00B14E9A"/>
    <w:rsid w:val="00B276E7"/>
    <w:rsid w:val="00B77C41"/>
    <w:rsid w:val="00BD2300"/>
    <w:rsid w:val="00C157D5"/>
    <w:rsid w:val="00CC0C0F"/>
    <w:rsid w:val="00D40242"/>
    <w:rsid w:val="00D85A43"/>
    <w:rsid w:val="00D93D0D"/>
    <w:rsid w:val="00D963CC"/>
    <w:rsid w:val="00DA2D27"/>
    <w:rsid w:val="00DC7D44"/>
    <w:rsid w:val="00DD7C30"/>
    <w:rsid w:val="00E45C31"/>
    <w:rsid w:val="00E5704B"/>
    <w:rsid w:val="00E60528"/>
    <w:rsid w:val="00E60E30"/>
    <w:rsid w:val="00E975A7"/>
    <w:rsid w:val="00EB1195"/>
    <w:rsid w:val="00ED3649"/>
    <w:rsid w:val="00F02A7E"/>
    <w:rsid w:val="00F20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iPriority w:val="99"/>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iPriority w:val="99"/>
    <w:semiHidden/>
    <w:unhideWhenUsed/>
    <w:rsid w:val="00D40242"/>
    <w:rPr>
      <w:sz w:val="16"/>
      <w:szCs w:val="16"/>
    </w:rPr>
  </w:style>
  <w:style w:type="paragraph" w:styleId="CommentText">
    <w:name w:val="annotation text"/>
    <w:basedOn w:val="Normal"/>
    <w:link w:val="CommentTextChar"/>
    <w:uiPriority w:val="99"/>
    <w:semiHidden/>
    <w:unhideWhenUsed/>
    <w:rsid w:val="00D40242"/>
    <w:rPr>
      <w:sz w:val="20"/>
      <w:szCs w:val="20"/>
    </w:rPr>
  </w:style>
  <w:style w:type="character" w:customStyle="1" w:styleId="CommentTextChar">
    <w:name w:val="Comment Text Char"/>
    <w:basedOn w:val="DefaultParagraphFont"/>
    <w:link w:val="CommentText"/>
    <w:uiPriority w:val="99"/>
    <w:semiHidden/>
    <w:rsid w:val="00D40242"/>
    <w:rPr>
      <w:rFonts w:ascii="Arial" w:hAnsi="Arial"/>
    </w:rPr>
  </w:style>
  <w:style w:type="paragraph" w:styleId="CommentSubject">
    <w:name w:val="annotation subject"/>
    <w:basedOn w:val="CommentText"/>
    <w:next w:val="CommentText"/>
    <w:link w:val="CommentSubjectChar"/>
    <w:uiPriority w:val="99"/>
    <w:semiHidden/>
    <w:unhideWhenUsed/>
    <w:rsid w:val="00D40242"/>
    <w:rPr>
      <w:b/>
      <w:bCs/>
    </w:rPr>
  </w:style>
  <w:style w:type="character" w:customStyle="1" w:styleId="CommentSubjectChar">
    <w:name w:val="Comment Subject Char"/>
    <w:basedOn w:val="CommentTextChar"/>
    <w:link w:val="CommentSubject"/>
    <w:uiPriority w:val="99"/>
    <w:semiHidden/>
    <w:rsid w:val="00D40242"/>
    <w:rPr>
      <w:rFonts w:ascii="Arial" w:hAnsi="Arial"/>
      <w:b/>
      <w:bCs/>
    </w:rPr>
  </w:style>
  <w:style w:type="paragraph" w:styleId="FootnoteText">
    <w:name w:val="footnote text"/>
    <w:basedOn w:val="Normal"/>
    <w:link w:val="FootnoteTextChar"/>
    <w:uiPriority w:val="99"/>
    <w:semiHidden/>
    <w:unhideWhenUsed/>
    <w:rsid w:val="00D40242"/>
    <w:pPr>
      <w:spacing w:after="0"/>
    </w:pPr>
    <w:rPr>
      <w:sz w:val="20"/>
      <w:szCs w:val="20"/>
    </w:rPr>
  </w:style>
  <w:style w:type="character" w:customStyle="1" w:styleId="FootnoteTextChar">
    <w:name w:val="Footnote Text Char"/>
    <w:basedOn w:val="DefaultParagraphFont"/>
    <w:link w:val="FootnoteText"/>
    <w:uiPriority w:val="99"/>
    <w:semiHidden/>
    <w:rsid w:val="00D40242"/>
    <w:rPr>
      <w:rFonts w:ascii="Arial" w:hAnsi="Arial"/>
    </w:rPr>
  </w:style>
  <w:style w:type="character" w:styleId="FollowedHyperlink">
    <w:name w:val="FollowedHyperlink"/>
    <w:basedOn w:val="DefaultParagraphFont"/>
    <w:uiPriority w:val="99"/>
    <w:semiHidden/>
    <w:unhideWhenUsed/>
    <w:rsid w:val="006A7712"/>
    <w:rPr>
      <w:color w:val="701870" w:themeColor="followedHyperlink"/>
      <w:u w:val="single"/>
    </w:rPr>
  </w:style>
  <w:style w:type="paragraph" w:styleId="NormalWeb">
    <w:name w:val="Normal (Web)"/>
    <w:basedOn w:val="Normal"/>
    <w:uiPriority w:val="99"/>
    <w:unhideWhenUsed/>
    <w:rsid w:val="00C157D5"/>
    <w:pPr>
      <w:spacing w:before="100" w:beforeAutospacing="1" w:after="100" w:afterAutospacing="1"/>
      <w:textboxTightWrap w:val="none"/>
    </w:pPr>
    <w:rPr>
      <w:rFonts w:ascii="Times New Roman" w:hAnsi="Times New Roman"/>
      <w:lang w:eastAsia="en-GB"/>
    </w:rPr>
  </w:style>
  <w:style w:type="paragraph" w:styleId="NoSpacing">
    <w:name w:val="No Spacing"/>
    <w:link w:val="NoSpacingChar"/>
    <w:uiPriority w:val="1"/>
    <w:qFormat/>
    <w:rsid w:val="00C157D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C157D5"/>
    <w:rPr>
      <w:rFonts w:asciiTheme="minorHAnsi" w:eastAsiaTheme="minorEastAsia" w:hAnsiTheme="minorHAnsi" w:cstheme="minorBidi"/>
      <w:sz w:val="22"/>
      <w:szCs w:val="22"/>
      <w:lang w:val="en-US" w:eastAsia="ja-JP"/>
    </w:rPr>
  </w:style>
  <w:style w:type="table" w:styleId="TableGridLight">
    <w:name w:val="Grid Table Light"/>
    <w:basedOn w:val="TableNormal"/>
    <w:uiPriority w:val="40"/>
    <w:rsid w:val="00493A03"/>
    <w:tblPr>
      <w:tblBorders>
        <w:top w:val="single" w:sz="4" w:space="0" w:color="ABCCCC" w:themeColor="background1" w:themeShade="BF"/>
        <w:left w:val="single" w:sz="4" w:space="0" w:color="ABCCCC" w:themeColor="background1" w:themeShade="BF"/>
        <w:bottom w:val="single" w:sz="4" w:space="0" w:color="ABCCCC" w:themeColor="background1" w:themeShade="BF"/>
        <w:right w:val="single" w:sz="4" w:space="0" w:color="ABCCCC" w:themeColor="background1" w:themeShade="BF"/>
        <w:insideH w:val="single" w:sz="4" w:space="0" w:color="ABCCCC" w:themeColor="background1" w:themeShade="BF"/>
        <w:insideV w:val="single" w:sz="4" w:space="0" w:color="ABCCC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ontent.digital.nhs.uk/dars" TargetMode="External"/><Relationship Id="rId18" Type="http://schemas.openxmlformats.org/officeDocument/2006/relationships/chart" Target="charts/chart2.xml"/><Relationship Id="rId26" Type="http://schemas.openxmlformats.org/officeDocument/2006/relationships/hyperlink" Target="https://www.nice.org.uk/accessibility"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http://www.hscic.gov.uk/rehab" TargetMode="External"/><Relationship Id="rId17" Type="http://schemas.openxmlformats.org/officeDocument/2006/relationships/chart" Target="charts/chart1.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cardiacrehabilitation.org.uk/" TargetMode="External"/><Relationship Id="rId20" Type="http://schemas.openxmlformats.org/officeDocument/2006/relationships/hyperlink" Target="mailto:clinical.indicators@nhs.net"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diacrehabilitation.org.uk/nac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content.digital.nhs.uk/article/1825/The-processing-cycle-and-HES-data-quality"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content.digital.nhs.uk/hes" TargetMode="External"/><Relationship Id="rId19" Type="http://schemas.openxmlformats.org/officeDocument/2006/relationships/hyperlink" Target="mailto:enquiries@nhsdigital.nhs.uk" TargetMode="External"/><Relationship Id="rId4" Type="http://schemas.openxmlformats.org/officeDocument/2006/relationships/webSettings" Target="webSettings.xml"/><Relationship Id="rId9" Type="http://schemas.openxmlformats.org/officeDocument/2006/relationships/hyperlink" Target="http://www.england.nhs.uk/ccg-ois/" TargetMode="External"/><Relationship Id="rId14" Type="http://schemas.openxmlformats.org/officeDocument/2006/relationships/hyperlink" Target="http://www.cardiacrehabilitation.org.uk/reports.htm"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20file/217118/9387-2900853-CVD-Outcomes_web1.pdf" TargetMode="External"/><Relationship Id="rId7" Type="http://schemas.openxmlformats.org/officeDocument/2006/relationships/hyperlink" Target="http://www.apho.org.uk/resource/item.aspx?RID=48457" TargetMode="External"/><Relationship Id="rId2" Type="http://schemas.openxmlformats.org/officeDocument/2006/relationships/hyperlink" Target="http://www.nice.org.uk/guidance/QS9" TargetMode="External"/><Relationship Id="rId1" Type="http://schemas.openxmlformats.org/officeDocument/2006/relationships/hyperlink" Target="https://www.gov.uk/government/uploads/system/uploads/attachment_data/file/214902/PbR-Guidance-2013-14.pdf" TargetMode="External"/><Relationship Id="rId6" Type="http://schemas.openxmlformats.org/officeDocument/2006/relationships/hyperlink" Target="http://webarchive.nationalarchives.gov.uk/+/www.dh.gov.uk/en/publicationsandstatistics/publications/publicationspolicyandguidance/browsable/DH_117504" TargetMode="External"/><Relationship Id="rId5" Type="http://schemas.openxmlformats.org/officeDocument/2006/relationships/hyperlink" Target="http://webarchive.nationalarchives.gov.uk/20130107105354/http:/www.dh.gov.uk/prod_consum_dh/groups/dh_digitalassets/@dh/@en/@ps/documents/digitalasset/dh_118402.pdf" TargetMode="External"/><Relationship Id="rId4" Type="http://schemas.openxmlformats.org/officeDocument/2006/relationships/hyperlink" Target="https://www.gov.uk/government/uploads/system/uploads/attachment_data/file/198931/National_Service_Framework_for_%20Coronary_Heart_Disease.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ic.green.net\IC_Data_DFS\CA\Commissioning%20Outcomes%20Framework\Indicator%20Assurance\Cardiac%20Rehab\Final%20NACR%20Files\CR%20Figur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ic.green.net\IC_Data_DFS\CA\Commissioning%20Outcomes%20Framework\Indicator%20Assurance\Cardiac%20Rehab\Final%20NACR%20Files\CR%20Figure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79876133176383"/>
          <c:y val="5.4033245844269467E-2"/>
          <c:w val="0.8531801578649777"/>
          <c:h val="0.86742526975794687"/>
        </c:manualLayout>
      </c:layout>
      <c:barChart>
        <c:barDir val="col"/>
        <c:grouping val="clustered"/>
        <c:varyColors val="0"/>
        <c:ser>
          <c:idx val="0"/>
          <c:order val="0"/>
          <c:tx>
            <c:v>CCG</c:v>
          </c:tx>
          <c:spPr>
            <a:solidFill>
              <a:srgbClr val="003358"/>
            </a:solidFill>
          </c:spPr>
          <c:invertIfNegative val="0"/>
          <c:val>
            <c:numRef>
              <c:f>'Totals Only'!$E$3:$E$213</c:f>
              <c:numCache>
                <c:formatCode>0.0%</c:formatCode>
                <c:ptCount val="21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4.8750761730652044E-3</c:v>
                </c:pt>
                <c:pt idx="24">
                  <c:v>8.3073727933541015E-3</c:v>
                </c:pt>
                <c:pt idx="25">
                  <c:v>8.7804878048780496E-3</c:v>
                </c:pt>
                <c:pt idx="26">
                  <c:v>1.0101010101010102E-2</c:v>
                </c:pt>
                <c:pt idx="27">
                  <c:v>1.4106583072100314E-2</c:v>
                </c:pt>
                <c:pt idx="28">
                  <c:v>1.4516129032258065E-2</c:v>
                </c:pt>
                <c:pt idx="29">
                  <c:v>1.5037593984962405E-2</c:v>
                </c:pt>
                <c:pt idx="30">
                  <c:v>1.507537688442211E-2</c:v>
                </c:pt>
                <c:pt idx="31">
                  <c:v>1.637355973317162E-2</c:v>
                </c:pt>
                <c:pt idx="32">
                  <c:v>1.6393442622950821E-2</c:v>
                </c:pt>
                <c:pt idx="33">
                  <c:v>1.7150395778364115E-2</c:v>
                </c:pt>
                <c:pt idx="34">
                  <c:v>1.9417475728155338E-2</c:v>
                </c:pt>
                <c:pt idx="35">
                  <c:v>1.9417475728155338E-2</c:v>
                </c:pt>
                <c:pt idx="36">
                  <c:v>1.9675925925925927E-2</c:v>
                </c:pt>
                <c:pt idx="37">
                  <c:v>0.02</c:v>
                </c:pt>
                <c:pt idx="38">
                  <c:v>2.1825396825396824E-2</c:v>
                </c:pt>
                <c:pt idx="39">
                  <c:v>2.2675736961451247E-2</c:v>
                </c:pt>
                <c:pt idx="40">
                  <c:v>2.2687609075043629E-2</c:v>
                </c:pt>
                <c:pt idx="41">
                  <c:v>2.4054982817869417E-2</c:v>
                </c:pt>
                <c:pt idx="42">
                  <c:v>2.6315789473684209E-2</c:v>
                </c:pt>
                <c:pt idx="43">
                  <c:v>2.8571428571428571E-2</c:v>
                </c:pt>
                <c:pt idx="44">
                  <c:v>3.313253012048193E-2</c:v>
                </c:pt>
                <c:pt idx="45">
                  <c:v>3.3205619412515965E-2</c:v>
                </c:pt>
                <c:pt idx="46">
                  <c:v>3.3773861967694566E-2</c:v>
                </c:pt>
                <c:pt idx="47">
                  <c:v>3.5046728971962614E-2</c:v>
                </c:pt>
                <c:pt idx="48">
                  <c:v>3.5149384885764502E-2</c:v>
                </c:pt>
                <c:pt idx="49">
                  <c:v>3.5916824196597356E-2</c:v>
                </c:pt>
                <c:pt idx="50">
                  <c:v>3.7825059101654845E-2</c:v>
                </c:pt>
                <c:pt idx="51">
                  <c:v>3.8793103448275863E-2</c:v>
                </c:pt>
                <c:pt idx="52">
                  <c:v>4.0697674418604654E-2</c:v>
                </c:pt>
                <c:pt idx="53">
                  <c:v>4.488778054862843E-2</c:v>
                </c:pt>
                <c:pt idx="54">
                  <c:v>4.7526673132880698E-2</c:v>
                </c:pt>
                <c:pt idx="55">
                  <c:v>4.8245614035087717E-2</c:v>
                </c:pt>
                <c:pt idx="56">
                  <c:v>4.9149338374291113E-2</c:v>
                </c:pt>
                <c:pt idx="57">
                  <c:v>5.0119331742243436E-2</c:v>
                </c:pt>
                <c:pt idx="58">
                  <c:v>5.2455357142857144E-2</c:v>
                </c:pt>
                <c:pt idx="59">
                  <c:v>5.3264604810996562E-2</c:v>
                </c:pt>
                <c:pt idx="60">
                  <c:v>5.6204379562043792E-2</c:v>
                </c:pt>
                <c:pt idx="61">
                  <c:v>5.6833558863328824E-2</c:v>
                </c:pt>
                <c:pt idx="62">
                  <c:v>5.8951965065502182E-2</c:v>
                </c:pt>
                <c:pt idx="63">
                  <c:v>6.1904761904761907E-2</c:v>
                </c:pt>
                <c:pt idx="64">
                  <c:v>6.2271062271062272E-2</c:v>
                </c:pt>
                <c:pt idx="65">
                  <c:v>6.3414634146341464E-2</c:v>
                </c:pt>
                <c:pt idx="66">
                  <c:v>6.3985374771480807E-2</c:v>
                </c:pt>
                <c:pt idx="67">
                  <c:v>6.4950980392156868E-2</c:v>
                </c:pt>
                <c:pt idx="68">
                  <c:v>6.6485753052917235E-2</c:v>
                </c:pt>
                <c:pt idx="69">
                  <c:v>6.7326732673267331E-2</c:v>
                </c:pt>
                <c:pt idx="70">
                  <c:v>7.4626865671641784E-2</c:v>
                </c:pt>
                <c:pt idx="71">
                  <c:v>7.7433628318584066E-2</c:v>
                </c:pt>
                <c:pt idx="72">
                  <c:v>7.857142857142857E-2</c:v>
                </c:pt>
                <c:pt idx="73">
                  <c:v>7.8794901506373111E-2</c:v>
                </c:pt>
                <c:pt idx="74">
                  <c:v>7.9617834394904455E-2</c:v>
                </c:pt>
                <c:pt idx="75">
                  <c:v>8.1609195402298856E-2</c:v>
                </c:pt>
                <c:pt idx="76">
                  <c:v>8.442503639010189E-2</c:v>
                </c:pt>
                <c:pt idx="77">
                  <c:v>8.6053412462908013E-2</c:v>
                </c:pt>
                <c:pt idx="78">
                  <c:v>8.943089430894309E-2</c:v>
                </c:pt>
                <c:pt idx="79">
                  <c:v>9.0163934426229511E-2</c:v>
                </c:pt>
                <c:pt idx="80">
                  <c:v>9.1286307053941904E-2</c:v>
                </c:pt>
                <c:pt idx="81">
                  <c:v>9.1690544412607447E-2</c:v>
                </c:pt>
                <c:pt idx="82">
                  <c:v>9.4449853943524828E-2</c:v>
                </c:pt>
                <c:pt idx="83">
                  <c:v>9.5733041575492339E-2</c:v>
                </c:pt>
                <c:pt idx="84">
                  <c:v>9.7014925373134331E-2</c:v>
                </c:pt>
                <c:pt idx="85">
                  <c:v>9.7133757961783446E-2</c:v>
                </c:pt>
                <c:pt idx="86">
                  <c:v>0.10112359550561797</c:v>
                </c:pt>
                <c:pt idx="87">
                  <c:v>0.10297029702970296</c:v>
                </c:pt>
                <c:pt idx="88">
                  <c:v>0.1048951048951049</c:v>
                </c:pt>
                <c:pt idx="89">
                  <c:v>0.10737179487179487</c:v>
                </c:pt>
                <c:pt idx="90">
                  <c:v>0.1076555023923445</c:v>
                </c:pt>
                <c:pt idx="91">
                  <c:v>0.11062906724511931</c:v>
                </c:pt>
                <c:pt idx="92">
                  <c:v>0.11083743842364532</c:v>
                </c:pt>
                <c:pt idx="93">
                  <c:v>0.11085972850678733</c:v>
                </c:pt>
                <c:pt idx="94">
                  <c:v>0.11089108910891089</c:v>
                </c:pt>
                <c:pt idx="95">
                  <c:v>0.1125</c:v>
                </c:pt>
                <c:pt idx="96">
                  <c:v>0.11405295315682282</c:v>
                </c:pt>
                <c:pt idx="97">
                  <c:v>0.11471861471861472</c:v>
                </c:pt>
                <c:pt idx="98">
                  <c:v>0.11711711711711711</c:v>
                </c:pt>
                <c:pt idx="99">
                  <c:v>0.11775362318840579</c:v>
                </c:pt>
                <c:pt idx="100">
                  <c:v>0.12371134020618557</c:v>
                </c:pt>
                <c:pt idx="101">
                  <c:v>0.124</c:v>
                </c:pt>
                <c:pt idx="102">
                  <c:v>0.12448132780082988</c:v>
                </c:pt>
                <c:pt idx="103">
                  <c:v>0.12581699346405228</c:v>
                </c:pt>
                <c:pt idx="104">
                  <c:v>0.12907801418439716</c:v>
                </c:pt>
                <c:pt idx="105">
                  <c:v>0.13245033112582782</c:v>
                </c:pt>
                <c:pt idx="106">
                  <c:v>0.13385063045586809</c:v>
                </c:pt>
                <c:pt idx="107">
                  <c:v>0.13559322033898305</c:v>
                </c:pt>
                <c:pt idx="108">
                  <c:v>0.13901345291479822</c:v>
                </c:pt>
                <c:pt idx="109">
                  <c:v>0.14141414141414141</c:v>
                </c:pt>
                <c:pt idx="110">
                  <c:v>0.14251207729468598</c:v>
                </c:pt>
                <c:pt idx="111">
                  <c:v>0.14866979655712051</c:v>
                </c:pt>
                <c:pt idx="112">
                  <c:v>0.1492842535787321</c:v>
                </c:pt>
                <c:pt idx="113">
                  <c:v>0.15160987808690216</c:v>
                </c:pt>
                <c:pt idx="114">
                  <c:v>0.15193370165745856</c:v>
                </c:pt>
                <c:pt idx="115">
                  <c:v>0.15254237288135594</c:v>
                </c:pt>
                <c:pt idx="116">
                  <c:v>0.15477629987908101</c:v>
                </c:pt>
                <c:pt idx="117">
                  <c:v>0.15751633986928104</c:v>
                </c:pt>
                <c:pt idx="118">
                  <c:v>0.15777777777777777</c:v>
                </c:pt>
                <c:pt idx="119">
                  <c:v>0.16012084592145015</c:v>
                </c:pt>
                <c:pt idx="120">
                  <c:v>0.16140350877192983</c:v>
                </c:pt>
                <c:pt idx="121">
                  <c:v>0.16359163591635917</c:v>
                </c:pt>
                <c:pt idx="122">
                  <c:v>0.16404494382022472</c:v>
                </c:pt>
                <c:pt idx="123">
                  <c:v>0.17057673509286411</c:v>
                </c:pt>
                <c:pt idx="124">
                  <c:v>0.17339667458432304</c:v>
                </c:pt>
                <c:pt idx="125">
                  <c:v>0.181651376146789</c:v>
                </c:pt>
                <c:pt idx="126">
                  <c:v>0.18374558303886926</c:v>
                </c:pt>
                <c:pt idx="127">
                  <c:v>0.18421052631578946</c:v>
                </c:pt>
                <c:pt idx="128">
                  <c:v>0.18471337579617833</c:v>
                </c:pt>
                <c:pt idx="129">
                  <c:v>0.18734793187347931</c:v>
                </c:pt>
                <c:pt idx="130">
                  <c:v>0.18791946308724833</c:v>
                </c:pt>
                <c:pt idx="131">
                  <c:v>0.19246031746031747</c:v>
                </c:pt>
                <c:pt idx="132">
                  <c:v>0.20486815415821502</c:v>
                </c:pt>
                <c:pt idx="133">
                  <c:v>0.20615384615384616</c:v>
                </c:pt>
                <c:pt idx="134">
                  <c:v>0.20673076923076922</c:v>
                </c:pt>
                <c:pt idx="135">
                  <c:v>0.20973782771535582</c:v>
                </c:pt>
                <c:pt idx="136">
                  <c:v>0.21098039215686273</c:v>
                </c:pt>
                <c:pt idx="137">
                  <c:v>0.21390374331550802</c:v>
                </c:pt>
                <c:pt idx="138">
                  <c:v>0.21441281138790036</c:v>
                </c:pt>
                <c:pt idx="139">
                  <c:v>0.21476510067114093</c:v>
                </c:pt>
                <c:pt idx="140">
                  <c:v>0.21777777777777776</c:v>
                </c:pt>
                <c:pt idx="141">
                  <c:v>0.21805273833671399</c:v>
                </c:pt>
                <c:pt idx="142">
                  <c:v>0.21989528795811519</c:v>
                </c:pt>
                <c:pt idx="143">
                  <c:v>0.22125435540069685</c:v>
                </c:pt>
                <c:pt idx="144">
                  <c:v>0.22232223222322231</c:v>
                </c:pt>
                <c:pt idx="145">
                  <c:v>0.22425249169435216</c:v>
                </c:pt>
                <c:pt idx="146">
                  <c:v>0.2245922208281054</c:v>
                </c:pt>
                <c:pt idx="147">
                  <c:v>0.22474747474747475</c:v>
                </c:pt>
                <c:pt idx="148">
                  <c:v>0.22921914357682618</c:v>
                </c:pt>
                <c:pt idx="149">
                  <c:v>0.23006833712984054</c:v>
                </c:pt>
                <c:pt idx="150">
                  <c:v>0.23325892857142858</c:v>
                </c:pt>
                <c:pt idx="151">
                  <c:v>0.23747276688453159</c:v>
                </c:pt>
                <c:pt idx="152">
                  <c:v>0.24082934609250398</c:v>
                </c:pt>
                <c:pt idx="153">
                  <c:v>0.24171539961013644</c:v>
                </c:pt>
                <c:pt idx="154">
                  <c:v>0.24307692307692308</c:v>
                </c:pt>
                <c:pt idx="155">
                  <c:v>0.24615384615384617</c:v>
                </c:pt>
                <c:pt idx="156">
                  <c:v>0.24864864864864866</c:v>
                </c:pt>
                <c:pt idx="157">
                  <c:v>0.25225225225225223</c:v>
                </c:pt>
                <c:pt idx="158">
                  <c:v>0.2542713567839196</c:v>
                </c:pt>
                <c:pt idx="159">
                  <c:v>0.25447316103379719</c:v>
                </c:pt>
                <c:pt idx="160">
                  <c:v>0.25547445255474455</c:v>
                </c:pt>
                <c:pt idx="161">
                  <c:v>0.26050420168067229</c:v>
                </c:pt>
                <c:pt idx="162">
                  <c:v>0.26120114394661581</c:v>
                </c:pt>
                <c:pt idx="163">
                  <c:v>0.26233766233766231</c:v>
                </c:pt>
                <c:pt idx="164">
                  <c:v>0.26275510204081631</c:v>
                </c:pt>
                <c:pt idx="165">
                  <c:v>0.26513317191283292</c:v>
                </c:pt>
                <c:pt idx="166">
                  <c:v>0.26785714285714285</c:v>
                </c:pt>
                <c:pt idx="167">
                  <c:v>0.27215189873417722</c:v>
                </c:pt>
                <c:pt idx="168">
                  <c:v>0.2723404255319149</c:v>
                </c:pt>
                <c:pt idx="169">
                  <c:v>0.27749029754204396</c:v>
                </c:pt>
                <c:pt idx="170">
                  <c:v>0.27811860940695299</c:v>
                </c:pt>
                <c:pt idx="171">
                  <c:v>0.27979797979797982</c:v>
                </c:pt>
                <c:pt idx="172">
                  <c:v>0.28082191780821919</c:v>
                </c:pt>
                <c:pt idx="173">
                  <c:v>0.2810077519379845</c:v>
                </c:pt>
                <c:pt idx="174">
                  <c:v>0.2831858407079646</c:v>
                </c:pt>
                <c:pt idx="175">
                  <c:v>0.2879177377892031</c:v>
                </c:pt>
                <c:pt idx="176">
                  <c:v>0.28960000000000002</c:v>
                </c:pt>
                <c:pt idx="177">
                  <c:v>0.29347826086956524</c:v>
                </c:pt>
                <c:pt idx="178">
                  <c:v>0.29365079365079366</c:v>
                </c:pt>
                <c:pt idx="179">
                  <c:v>0.29457364341085274</c:v>
                </c:pt>
                <c:pt idx="180">
                  <c:v>0.29930795847750863</c:v>
                </c:pt>
                <c:pt idx="181">
                  <c:v>0.30368098159509205</c:v>
                </c:pt>
                <c:pt idx="182">
                  <c:v>0.30399181166837258</c:v>
                </c:pt>
                <c:pt idx="183">
                  <c:v>0.30733229329173167</c:v>
                </c:pt>
                <c:pt idx="184">
                  <c:v>0.3122448979591837</c:v>
                </c:pt>
                <c:pt idx="185">
                  <c:v>0.31433998100664767</c:v>
                </c:pt>
                <c:pt idx="186">
                  <c:v>0.31481481481481483</c:v>
                </c:pt>
                <c:pt idx="187">
                  <c:v>0.31913580246913581</c:v>
                </c:pt>
                <c:pt idx="188">
                  <c:v>0.32183908045977011</c:v>
                </c:pt>
                <c:pt idx="189">
                  <c:v>0.3248587570621469</c:v>
                </c:pt>
                <c:pt idx="190">
                  <c:v>0.32507936507936508</c:v>
                </c:pt>
                <c:pt idx="191">
                  <c:v>0.3274478330658106</c:v>
                </c:pt>
                <c:pt idx="192">
                  <c:v>0.33279742765273312</c:v>
                </c:pt>
                <c:pt idx="193">
                  <c:v>0.33433508640120213</c:v>
                </c:pt>
                <c:pt idx="194">
                  <c:v>0.33962264150943394</c:v>
                </c:pt>
                <c:pt idx="195">
                  <c:v>0.34024896265560167</c:v>
                </c:pt>
                <c:pt idx="196">
                  <c:v>0.34448818897637795</c:v>
                </c:pt>
                <c:pt idx="197">
                  <c:v>0.34448818897637795</c:v>
                </c:pt>
                <c:pt idx="198">
                  <c:v>0.35048678720445064</c:v>
                </c:pt>
                <c:pt idx="199">
                  <c:v>0.35971223021582732</c:v>
                </c:pt>
                <c:pt idx="200">
                  <c:v>0.36006546644844517</c:v>
                </c:pt>
                <c:pt idx="201">
                  <c:v>0.36268656716417913</c:v>
                </c:pt>
                <c:pt idx="202">
                  <c:v>0.37765957446808512</c:v>
                </c:pt>
                <c:pt idx="203">
                  <c:v>0.38051044083526681</c:v>
                </c:pt>
                <c:pt idx="204">
                  <c:v>0.38087774294670845</c:v>
                </c:pt>
                <c:pt idx="205">
                  <c:v>0.38694267515923569</c:v>
                </c:pt>
                <c:pt idx="206">
                  <c:v>0.40808823529411764</c:v>
                </c:pt>
                <c:pt idx="207">
                  <c:v>0.4091778202676864</c:v>
                </c:pt>
                <c:pt idx="208">
                  <c:v>0.42407660738714092</c:v>
                </c:pt>
                <c:pt idx="209">
                  <c:v>0.44475138121546959</c:v>
                </c:pt>
                <c:pt idx="210">
                  <c:v>0.45337620578778137</c:v>
                </c:pt>
              </c:numCache>
            </c:numRef>
          </c:val>
          <c:extLst>
            <c:ext xmlns:c16="http://schemas.microsoft.com/office/drawing/2014/chart" uri="{C3380CC4-5D6E-409C-BE32-E72D297353CC}">
              <c16:uniqueId val="{00000000-B861-4587-B845-02BBBDAF84D2}"/>
            </c:ext>
          </c:extLst>
        </c:ser>
        <c:dLbls>
          <c:showLegendKey val="0"/>
          <c:showVal val="0"/>
          <c:showCatName val="0"/>
          <c:showSerName val="0"/>
          <c:showPercent val="0"/>
          <c:showBubbleSize val="0"/>
        </c:dLbls>
        <c:gapWidth val="150"/>
        <c:axId val="158029696"/>
        <c:axId val="158031872"/>
      </c:barChart>
      <c:lineChart>
        <c:grouping val="standard"/>
        <c:varyColors val="0"/>
        <c:ser>
          <c:idx val="1"/>
          <c:order val="1"/>
          <c:tx>
            <c:v>England</c:v>
          </c:tx>
          <c:spPr>
            <a:ln w="15875">
              <a:solidFill>
                <a:srgbClr val="FF0000"/>
              </a:solidFill>
            </a:ln>
          </c:spPr>
          <c:marker>
            <c:symbol val="none"/>
          </c:marker>
          <c:dLbls>
            <c:dLbl>
              <c:idx val="12"/>
              <c:layout>
                <c:manualLayout>
                  <c:x val="-4.6339829807383076E-2"/>
                  <c:y val="-5.6030183727034118E-2"/>
                </c:manualLayout>
              </c:layout>
              <c:spPr/>
              <c:txPr>
                <a:bodyPr/>
                <a:lstStyle/>
                <a:p>
                  <a:pPr>
                    <a:defRPr>
                      <a:solidFill>
                        <a:srgbClr val="FF0000"/>
                      </a:solidFill>
                    </a:defRPr>
                  </a:pPr>
                  <a:endParaRPr lang="en-US"/>
                </a:p>
              </c:txPr>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B861-4587-B845-02BBBDAF84D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val>
            <c:numRef>
              <c:f>'Totals Only'!$H$3:$H$214</c:f>
              <c:numCache>
                <c:formatCode>0.0%</c:formatCode>
                <c:ptCount val="212"/>
                <c:pt idx="0">
                  <c:v>0.15114371916278002</c:v>
                </c:pt>
                <c:pt idx="1">
                  <c:v>0.15114371916278002</c:v>
                </c:pt>
                <c:pt idx="2">
                  <c:v>0.15114371916278002</c:v>
                </c:pt>
                <c:pt idx="3">
                  <c:v>0.15114371916278002</c:v>
                </c:pt>
                <c:pt idx="4">
                  <c:v>0.15114371916278002</c:v>
                </c:pt>
                <c:pt idx="5">
                  <c:v>0.15114371916278002</c:v>
                </c:pt>
                <c:pt idx="6">
                  <c:v>0.15114371916278002</c:v>
                </c:pt>
                <c:pt idx="7">
                  <c:v>0.15114371916278002</c:v>
                </c:pt>
                <c:pt idx="8">
                  <c:v>0.15114371916278002</c:v>
                </c:pt>
                <c:pt idx="9">
                  <c:v>0.15114371916278002</c:v>
                </c:pt>
                <c:pt idx="10">
                  <c:v>0.15114371916278002</c:v>
                </c:pt>
                <c:pt idx="11">
                  <c:v>0.15114371916278002</c:v>
                </c:pt>
                <c:pt idx="12">
                  <c:v>0.15114371916278002</c:v>
                </c:pt>
                <c:pt idx="13">
                  <c:v>0.15114371916278002</c:v>
                </c:pt>
                <c:pt idx="14">
                  <c:v>0.15114371916278002</c:v>
                </c:pt>
                <c:pt idx="15">
                  <c:v>0.15114371916278002</c:v>
                </c:pt>
                <c:pt idx="16">
                  <c:v>0.15114371916278002</c:v>
                </c:pt>
                <c:pt idx="17">
                  <c:v>0.15114371916278002</c:v>
                </c:pt>
                <c:pt idx="18">
                  <c:v>0.15114371916278002</c:v>
                </c:pt>
                <c:pt idx="19">
                  <c:v>0.15114371916278002</c:v>
                </c:pt>
                <c:pt idx="20">
                  <c:v>0.15114371916278002</c:v>
                </c:pt>
                <c:pt idx="21">
                  <c:v>0.15114371916278002</c:v>
                </c:pt>
                <c:pt idx="22">
                  <c:v>0.15114371916278002</c:v>
                </c:pt>
                <c:pt idx="23">
                  <c:v>0.15114371916278002</c:v>
                </c:pt>
                <c:pt idx="24">
                  <c:v>0.15114371916278002</c:v>
                </c:pt>
                <c:pt idx="25">
                  <c:v>0.15114371916278002</c:v>
                </c:pt>
                <c:pt idx="26">
                  <c:v>0.15114371916278002</c:v>
                </c:pt>
                <c:pt idx="27">
                  <c:v>0.15114371916278002</c:v>
                </c:pt>
                <c:pt idx="28">
                  <c:v>0.15114371916278002</c:v>
                </c:pt>
                <c:pt idx="29">
                  <c:v>0.15114371916278002</c:v>
                </c:pt>
                <c:pt idx="30">
                  <c:v>0.15114371916278002</c:v>
                </c:pt>
                <c:pt idx="31">
                  <c:v>0.15114371916278002</c:v>
                </c:pt>
                <c:pt idx="32">
                  <c:v>0.15114371916278002</c:v>
                </c:pt>
                <c:pt idx="33">
                  <c:v>0.15114371916278002</c:v>
                </c:pt>
                <c:pt idx="34">
                  <c:v>0.15114371916278002</c:v>
                </c:pt>
                <c:pt idx="35">
                  <c:v>0.15114371916278002</c:v>
                </c:pt>
                <c:pt idx="36">
                  <c:v>0.15114371916278002</c:v>
                </c:pt>
                <c:pt idx="37">
                  <c:v>0.15114371916278002</c:v>
                </c:pt>
                <c:pt idx="38">
                  <c:v>0.15114371916278002</c:v>
                </c:pt>
                <c:pt idx="39">
                  <c:v>0.15114371916278002</c:v>
                </c:pt>
                <c:pt idx="40">
                  <c:v>0.15114371916278002</c:v>
                </c:pt>
                <c:pt idx="41">
                  <c:v>0.15114371916278002</c:v>
                </c:pt>
                <c:pt idx="42">
                  <c:v>0.15114371916278002</c:v>
                </c:pt>
                <c:pt idx="43">
                  <c:v>0.15114371916278002</c:v>
                </c:pt>
                <c:pt idx="44">
                  <c:v>0.15114371916278002</c:v>
                </c:pt>
                <c:pt idx="45">
                  <c:v>0.15114371916278002</c:v>
                </c:pt>
                <c:pt idx="46">
                  <c:v>0.15114371916278002</c:v>
                </c:pt>
                <c:pt idx="47">
                  <c:v>0.15114371916278002</c:v>
                </c:pt>
                <c:pt idx="48">
                  <c:v>0.15114371916278002</c:v>
                </c:pt>
                <c:pt idx="49">
                  <c:v>0.15114371916278002</c:v>
                </c:pt>
                <c:pt idx="50">
                  <c:v>0.15114371916278002</c:v>
                </c:pt>
                <c:pt idx="51">
                  <c:v>0.15114371916278002</c:v>
                </c:pt>
                <c:pt idx="52">
                  <c:v>0.15114371916278002</c:v>
                </c:pt>
                <c:pt idx="53">
                  <c:v>0.15114371916278002</c:v>
                </c:pt>
                <c:pt idx="54">
                  <c:v>0.15114371916278002</c:v>
                </c:pt>
                <c:pt idx="55">
                  <c:v>0.15114371916278002</c:v>
                </c:pt>
                <c:pt idx="56">
                  <c:v>0.15114371916278002</c:v>
                </c:pt>
                <c:pt idx="57">
                  <c:v>0.15114371916278002</c:v>
                </c:pt>
                <c:pt idx="58">
                  <c:v>0.15114371916278002</c:v>
                </c:pt>
                <c:pt idx="59">
                  <c:v>0.15114371916278002</c:v>
                </c:pt>
                <c:pt idx="60">
                  <c:v>0.15114371916278002</c:v>
                </c:pt>
                <c:pt idx="61">
                  <c:v>0.15114371916278002</c:v>
                </c:pt>
                <c:pt idx="62">
                  <c:v>0.15114371916278002</c:v>
                </c:pt>
                <c:pt idx="63">
                  <c:v>0.15114371916278002</c:v>
                </c:pt>
                <c:pt idx="64">
                  <c:v>0.15114371916278002</c:v>
                </c:pt>
                <c:pt idx="65">
                  <c:v>0.15114371916278002</c:v>
                </c:pt>
                <c:pt idx="66">
                  <c:v>0.15114371916278002</c:v>
                </c:pt>
                <c:pt idx="67">
                  <c:v>0.15114371916278002</c:v>
                </c:pt>
                <c:pt idx="68">
                  <c:v>0.15114371916278002</c:v>
                </c:pt>
                <c:pt idx="69">
                  <c:v>0.15114371916278002</c:v>
                </c:pt>
                <c:pt idx="70">
                  <c:v>0.15114371916278002</c:v>
                </c:pt>
                <c:pt idx="71">
                  <c:v>0.15114371916278002</c:v>
                </c:pt>
                <c:pt idx="72">
                  <c:v>0.15114371916278002</c:v>
                </c:pt>
                <c:pt idx="73">
                  <c:v>0.15114371916278002</c:v>
                </c:pt>
                <c:pt idx="74">
                  <c:v>0.15114371916278002</c:v>
                </c:pt>
                <c:pt idx="75">
                  <c:v>0.15114371916278002</c:v>
                </c:pt>
                <c:pt idx="76">
                  <c:v>0.15114371916278002</c:v>
                </c:pt>
                <c:pt idx="77">
                  <c:v>0.15114371916278002</c:v>
                </c:pt>
                <c:pt idx="78">
                  <c:v>0.15114371916278002</c:v>
                </c:pt>
                <c:pt idx="79">
                  <c:v>0.15114371916278002</c:v>
                </c:pt>
                <c:pt idx="80">
                  <c:v>0.15114371916278002</c:v>
                </c:pt>
                <c:pt idx="81">
                  <c:v>0.15114371916278002</c:v>
                </c:pt>
                <c:pt idx="82">
                  <c:v>0.15114371916278002</c:v>
                </c:pt>
                <c:pt idx="83">
                  <c:v>0.15114371916278002</c:v>
                </c:pt>
                <c:pt idx="84">
                  <c:v>0.15114371916278002</c:v>
                </c:pt>
                <c:pt idx="85">
                  <c:v>0.15114371916278002</c:v>
                </c:pt>
                <c:pt idx="86">
                  <c:v>0.15114371916278002</c:v>
                </c:pt>
                <c:pt idx="87">
                  <c:v>0.15114371916278002</c:v>
                </c:pt>
                <c:pt idx="88">
                  <c:v>0.15114371916278002</c:v>
                </c:pt>
                <c:pt idx="89">
                  <c:v>0.15114371916278002</c:v>
                </c:pt>
                <c:pt idx="90">
                  <c:v>0.15114371916278002</c:v>
                </c:pt>
                <c:pt idx="91">
                  <c:v>0.15114371916278002</c:v>
                </c:pt>
                <c:pt idx="92">
                  <c:v>0.15114371916278002</c:v>
                </c:pt>
                <c:pt idx="93">
                  <c:v>0.15114371916278002</c:v>
                </c:pt>
                <c:pt idx="94">
                  <c:v>0.15114371916278002</c:v>
                </c:pt>
                <c:pt idx="95">
                  <c:v>0.15114371916278002</c:v>
                </c:pt>
                <c:pt idx="96">
                  <c:v>0.15114371916278002</c:v>
                </c:pt>
                <c:pt idx="97">
                  <c:v>0.15114371916278002</c:v>
                </c:pt>
                <c:pt idx="98">
                  <c:v>0.15114371916278002</c:v>
                </c:pt>
                <c:pt idx="99">
                  <c:v>0.15114371916278002</c:v>
                </c:pt>
                <c:pt idx="100">
                  <c:v>0.15114371916278002</c:v>
                </c:pt>
                <c:pt idx="101">
                  <c:v>0.15114371916278002</c:v>
                </c:pt>
                <c:pt idx="102">
                  <c:v>0.15114371916278002</c:v>
                </c:pt>
                <c:pt idx="103">
                  <c:v>0.15114371916278002</c:v>
                </c:pt>
                <c:pt idx="104">
                  <c:v>0.15114371916278002</c:v>
                </c:pt>
                <c:pt idx="105">
                  <c:v>0.15114371916278002</c:v>
                </c:pt>
                <c:pt idx="106">
                  <c:v>0.15114371916278002</c:v>
                </c:pt>
                <c:pt idx="107">
                  <c:v>0.15114371916278002</c:v>
                </c:pt>
                <c:pt idx="108">
                  <c:v>0.15114371916278002</c:v>
                </c:pt>
                <c:pt idx="109">
                  <c:v>0.15114371916278002</c:v>
                </c:pt>
                <c:pt idx="110">
                  <c:v>0.15114371916278002</c:v>
                </c:pt>
                <c:pt idx="111">
                  <c:v>0.15114371916278002</c:v>
                </c:pt>
                <c:pt idx="112">
                  <c:v>0.15114371916278002</c:v>
                </c:pt>
                <c:pt idx="113">
                  <c:v>0.15114371916278002</c:v>
                </c:pt>
                <c:pt idx="114">
                  <c:v>0.15114371916278002</c:v>
                </c:pt>
                <c:pt idx="115">
                  <c:v>0.15114371916278002</c:v>
                </c:pt>
                <c:pt idx="116">
                  <c:v>0.15114371916278002</c:v>
                </c:pt>
                <c:pt idx="117">
                  <c:v>0.15114371916278002</c:v>
                </c:pt>
                <c:pt idx="118">
                  <c:v>0.15114371916278002</c:v>
                </c:pt>
                <c:pt idx="119">
                  <c:v>0.15114371916278002</c:v>
                </c:pt>
                <c:pt idx="120">
                  <c:v>0.15114371916278002</c:v>
                </c:pt>
                <c:pt idx="121">
                  <c:v>0.15114371916278002</c:v>
                </c:pt>
                <c:pt idx="122">
                  <c:v>0.15114371916278002</c:v>
                </c:pt>
                <c:pt idx="123">
                  <c:v>0.15114371916278002</c:v>
                </c:pt>
                <c:pt idx="124">
                  <c:v>0.15114371916278002</c:v>
                </c:pt>
                <c:pt idx="125">
                  <c:v>0.15114371916278002</c:v>
                </c:pt>
                <c:pt idx="126">
                  <c:v>0.15114371916278002</c:v>
                </c:pt>
                <c:pt idx="127">
                  <c:v>0.15114371916278002</c:v>
                </c:pt>
                <c:pt idx="128">
                  <c:v>0.15114371916278002</c:v>
                </c:pt>
                <c:pt idx="129">
                  <c:v>0.15114371916278002</c:v>
                </c:pt>
                <c:pt idx="130">
                  <c:v>0.15114371916278002</c:v>
                </c:pt>
                <c:pt idx="131">
                  <c:v>0.15114371916278002</c:v>
                </c:pt>
                <c:pt idx="132">
                  <c:v>0.15114371916278002</c:v>
                </c:pt>
                <c:pt idx="133">
                  <c:v>0.15114371916278002</c:v>
                </c:pt>
                <c:pt idx="134">
                  <c:v>0.15114371916278002</c:v>
                </c:pt>
                <c:pt idx="135">
                  <c:v>0.15114371916278002</c:v>
                </c:pt>
                <c:pt idx="136">
                  <c:v>0.15114371916278002</c:v>
                </c:pt>
                <c:pt idx="137">
                  <c:v>0.15114371916278002</c:v>
                </c:pt>
                <c:pt idx="138">
                  <c:v>0.15114371916278002</c:v>
                </c:pt>
                <c:pt idx="139">
                  <c:v>0.15114371916278002</c:v>
                </c:pt>
                <c:pt idx="140">
                  <c:v>0.15114371916278002</c:v>
                </c:pt>
                <c:pt idx="141">
                  <c:v>0.15114371916278002</c:v>
                </c:pt>
                <c:pt idx="142">
                  <c:v>0.15114371916278002</c:v>
                </c:pt>
                <c:pt idx="143">
                  <c:v>0.15114371916278002</c:v>
                </c:pt>
                <c:pt idx="144">
                  <c:v>0.15114371916278002</c:v>
                </c:pt>
                <c:pt idx="145">
                  <c:v>0.15114371916278002</c:v>
                </c:pt>
                <c:pt idx="146">
                  <c:v>0.15114371916278002</c:v>
                </c:pt>
                <c:pt idx="147">
                  <c:v>0.15114371916278002</c:v>
                </c:pt>
                <c:pt idx="148">
                  <c:v>0.15114371916278002</c:v>
                </c:pt>
                <c:pt idx="149">
                  <c:v>0.15114371916278002</c:v>
                </c:pt>
                <c:pt idx="150">
                  <c:v>0.15114371916278002</c:v>
                </c:pt>
                <c:pt idx="151">
                  <c:v>0.15114371916278002</c:v>
                </c:pt>
                <c:pt idx="152">
                  <c:v>0.15114371916278002</c:v>
                </c:pt>
                <c:pt idx="153">
                  <c:v>0.15114371916278002</c:v>
                </c:pt>
                <c:pt idx="154">
                  <c:v>0.15114371916278002</c:v>
                </c:pt>
                <c:pt idx="155">
                  <c:v>0.15114371916278002</c:v>
                </c:pt>
                <c:pt idx="156">
                  <c:v>0.15114371916278002</c:v>
                </c:pt>
                <c:pt idx="157">
                  <c:v>0.15114371916278002</c:v>
                </c:pt>
                <c:pt idx="158">
                  <c:v>0.15114371916278002</c:v>
                </c:pt>
                <c:pt idx="159">
                  <c:v>0.15114371916278002</c:v>
                </c:pt>
                <c:pt idx="160">
                  <c:v>0.15114371916278002</c:v>
                </c:pt>
                <c:pt idx="161">
                  <c:v>0.15114371916278002</c:v>
                </c:pt>
                <c:pt idx="162">
                  <c:v>0.15114371916278002</c:v>
                </c:pt>
                <c:pt idx="163">
                  <c:v>0.15114371916278002</c:v>
                </c:pt>
                <c:pt idx="164">
                  <c:v>0.15114371916278002</c:v>
                </c:pt>
                <c:pt idx="165">
                  <c:v>0.15114371916278002</c:v>
                </c:pt>
                <c:pt idx="166">
                  <c:v>0.15114371916278002</c:v>
                </c:pt>
                <c:pt idx="167">
                  <c:v>0.15114371916278002</c:v>
                </c:pt>
                <c:pt idx="168">
                  <c:v>0.15114371916278002</c:v>
                </c:pt>
                <c:pt idx="169">
                  <c:v>0.15114371916278002</c:v>
                </c:pt>
                <c:pt idx="170">
                  <c:v>0.15114371916278002</c:v>
                </c:pt>
                <c:pt idx="171">
                  <c:v>0.15114371916278002</c:v>
                </c:pt>
                <c:pt idx="172">
                  <c:v>0.15114371916278002</c:v>
                </c:pt>
                <c:pt idx="173">
                  <c:v>0.15114371916278002</c:v>
                </c:pt>
                <c:pt idx="174">
                  <c:v>0.15114371916278002</c:v>
                </c:pt>
                <c:pt idx="175">
                  <c:v>0.15114371916278002</c:v>
                </c:pt>
                <c:pt idx="176">
                  <c:v>0.15114371916278002</c:v>
                </c:pt>
                <c:pt idx="177">
                  <c:v>0.15114371916278002</c:v>
                </c:pt>
                <c:pt idx="178">
                  <c:v>0.15114371916278002</c:v>
                </c:pt>
                <c:pt idx="179">
                  <c:v>0.15114371916278002</c:v>
                </c:pt>
                <c:pt idx="180">
                  <c:v>0.15114371916278002</c:v>
                </c:pt>
                <c:pt idx="181">
                  <c:v>0.15114371916278002</c:v>
                </c:pt>
                <c:pt idx="182">
                  <c:v>0.15114371916278002</c:v>
                </c:pt>
                <c:pt idx="183">
                  <c:v>0.15114371916278002</c:v>
                </c:pt>
                <c:pt idx="184">
                  <c:v>0.15114371916278002</c:v>
                </c:pt>
                <c:pt idx="185">
                  <c:v>0.15114371916278002</c:v>
                </c:pt>
                <c:pt idx="186">
                  <c:v>0.15114371916278002</c:v>
                </c:pt>
                <c:pt idx="187">
                  <c:v>0.15114371916278002</c:v>
                </c:pt>
                <c:pt idx="188">
                  <c:v>0.15114371916278002</c:v>
                </c:pt>
                <c:pt idx="189">
                  <c:v>0.15114371916278002</c:v>
                </c:pt>
                <c:pt idx="190">
                  <c:v>0.15114371916278002</c:v>
                </c:pt>
                <c:pt idx="191">
                  <c:v>0.15114371916278002</c:v>
                </c:pt>
                <c:pt idx="192">
                  <c:v>0.15114371916278002</c:v>
                </c:pt>
                <c:pt idx="193">
                  <c:v>0.15114371916278002</c:v>
                </c:pt>
                <c:pt idx="194">
                  <c:v>0.15114371916278002</c:v>
                </c:pt>
                <c:pt idx="195">
                  <c:v>0.15114371916278002</c:v>
                </c:pt>
                <c:pt idx="196">
                  <c:v>0.15114371916278002</c:v>
                </c:pt>
                <c:pt idx="197">
                  <c:v>0.15114371916278002</c:v>
                </c:pt>
                <c:pt idx="198">
                  <c:v>0.15114371916278002</c:v>
                </c:pt>
                <c:pt idx="199">
                  <c:v>0.15114371916278002</c:v>
                </c:pt>
                <c:pt idx="200">
                  <c:v>0.15114371916278002</c:v>
                </c:pt>
                <c:pt idx="201">
                  <c:v>0.15114371916278002</c:v>
                </c:pt>
                <c:pt idx="202">
                  <c:v>0.15114371916278002</c:v>
                </c:pt>
                <c:pt idx="203">
                  <c:v>0.15114371916278002</c:v>
                </c:pt>
                <c:pt idx="204">
                  <c:v>0.15114371916278002</c:v>
                </c:pt>
                <c:pt idx="205">
                  <c:v>0.15114371916278002</c:v>
                </c:pt>
                <c:pt idx="206">
                  <c:v>0.15114371916278002</c:v>
                </c:pt>
                <c:pt idx="207">
                  <c:v>0.15114371916278002</c:v>
                </c:pt>
                <c:pt idx="208">
                  <c:v>0.15114371916278002</c:v>
                </c:pt>
                <c:pt idx="209">
                  <c:v>0.15114371916278002</c:v>
                </c:pt>
                <c:pt idx="210">
                  <c:v>0.15114371916278002</c:v>
                </c:pt>
                <c:pt idx="211">
                  <c:v>0.15114371916278002</c:v>
                </c:pt>
              </c:numCache>
            </c:numRef>
          </c:val>
          <c:smooth val="0"/>
          <c:extLst>
            <c:ext xmlns:c16="http://schemas.microsoft.com/office/drawing/2014/chart" uri="{C3380CC4-5D6E-409C-BE32-E72D297353CC}">
              <c16:uniqueId val="{00000002-B861-4587-B845-02BBBDAF84D2}"/>
            </c:ext>
          </c:extLst>
        </c:ser>
        <c:dLbls>
          <c:showLegendKey val="0"/>
          <c:showVal val="0"/>
          <c:showCatName val="0"/>
          <c:showSerName val="0"/>
          <c:showPercent val="0"/>
          <c:showBubbleSize val="0"/>
        </c:dLbls>
        <c:marker val="1"/>
        <c:smooth val="0"/>
        <c:axId val="158029696"/>
        <c:axId val="158031872"/>
      </c:lineChart>
      <c:catAx>
        <c:axId val="158029696"/>
        <c:scaling>
          <c:orientation val="minMax"/>
        </c:scaling>
        <c:delete val="1"/>
        <c:axPos val="b"/>
        <c:title>
          <c:tx>
            <c:rich>
              <a:bodyPr/>
              <a:lstStyle/>
              <a:p>
                <a:pPr>
                  <a:defRPr/>
                </a:pPr>
                <a:r>
                  <a:rPr lang="en-US"/>
                  <a:t>CCGs</a:t>
                </a:r>
              </a:p>
            </c:rich>
          </c:tx>
          <c:layout>
            <c:manualLayout>
              <c:xMode val="edge"/>
              <c:yMode val="edge"/>
              <c:x val="0.51229774387009919"/>
              <c:y val="0.93678805774278218"/>
            </c:manualLayout>
          </c:layout>
          <c:overlay val="0"/>
        </c:title>
        <c:numFmt formatCode="General" sourceLinked="1"/>
        <c:majorTickMark val="out"/>
        <c:minorTickMark val="none"/>
        <c:tickLblPos val="nextTo"/>
        <c:crossAx val="158031872"/>
        <c:crosses val="autoZero"/>
        <c:auto val="1"/>
        <c:lblAlgn val="ctr"/>
        <c:lblOffset val="100"/>
        <c:noMultiLvlLbl val="0"/>
      </c:catAx>
      <c:valAx>
        <c:axId val="158031872"/>
        <c:scaling>
          <c:orientation val="minMax"/>
        </c:scaling>
        <c:delete val="0"/>
        <c:axPos val="l"/>
        <c:majorGridlines/>
        <c:title>
          <c:tx>
            <c:rich>
              <a:bodyPr rot="-5400000" vert="horz"/>
              <a:lstStyle/>
              <a:p>
                <a:pPr>
                  <a:defRPr/>
                </a:pPr>
                <a:r>
                  <a:rPr lang="en-US"/>
                  <a:t>Percentage</a:t>
                </a:r>
              </a:p>
            </c:rich>
          </c:tx>
          <c:overlay val="0"/>
        </c:title>
        <c:numFmt formatCode="0%" sourceLinked="0"/>
        <c:majorTickMark val="out"/>
        <c:minorTickMark val="none"/>
        <c:tickLblPos val="nextTo"/>
        <c:crossAx val="158029696"/>
        <c:crosses val="autoZero"/>
        <c:crossBetween val="between"/>
      </c:valAx>
      <c:spPr>
        <a:noFill/>
      </c:spPr>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333488639363865E-2"/>
          <c:y val="3.0241935483870969E-2"/>
          <c:w val="0.87574011088850578"/>
          <c:h val="0.81182859199051727"/>
        </c:manualLayout>
      </c:layout>
      <c:scatterChart>
        <c:scatterStyle val="lineMarker"/>
        <c:varyColors val="0"/>
        <c:ser>
          <c:idx val="0"/>
          <c:order val="0"/>
          <c:tx>
            <c:v>Data</c:v>
          </c:tx>
          <c:spPr>
            <a:ln w="28575">
              <a:noFill/>
            </a:ln>
          </c:spPr>
          <c:marker>
            <c:symbol val="circle"/>
            <c:size val="3"/>
            <c:spPr>
              <a:solidFill>
                <a:srgbClr val="003360"/>
              </a:solidFill>
              <a:ln w="9525">
                <a:noFill/>
              </a:ln>
            </c:spPr>
          </c:marker>
          <c:xVal>
            <c:numLit>
              <c:formatCode>??,??0</c:formatCode>
              <c:ptCount val="1500"/>
              <c:pt idx="0">
                <c:v>272</c:v>
              </c:pt>
              <c:pt idx="1">
                <c:v>287</c:v>
              </c:pt>
              <c:pt idx="2">
                <c:v>326</c:v>
              </c:pt>
              <c:pt idx="3">
                <c:v>570</c:v>
              </c:pt>
              <c:pt idx="4">
                <c:v>714</c:v>
              </c:pt>
              <c:pt idx="5">
                <c:v>1641</c:v>
              </c:pt>
              <c:pt idx="6">
                <c:v>963</c:v>
              </c:pt>
              <c:pt idx="7">
                <c:v>1025</c:v>
              </c:pt>
              <c:pt idx="8">
                <c:v>693</c:v>
              </c:pt>
              <c:pt idx="9">
                <c:v>638</c:v>
              </c:pt>
              <c:pt idx="10">
                <c:v>620</c:v>
              </c:pt>
              <c:pt idx="11">
                <c:v>798</c:v>
              </c:pt>
              <c:pt idx="12">
                <c:v>796</c:v>
              </c:pt>
              <c:pt idx="13">
                <c:v>1649</c:v>
              </c:pt>
              <c:pt idx="14">
                <c:v>427</c:v>
              </c:pt>
              <c:pt idx="15">
                <c:v>758</c:v>
              </c:pt>
              <c:pt idx="16">
                <c:v>618</c:v>
              </c:pt>
              <c:pt idx="17">
                <c:v>721</c:v>
              </c:pt>
              <c:pt idx="18">
                <c:v>864</c:v>
              </c:pt>
              <c:pt idx="19">
                <c:v>850</c:v>
              </c:pt>
              <c:pt idx="20">
                <c:v>504</c:v>
              </c:pt>
              <c:pt idx="21">
                <c:v>882</c:v>
              </c:pt>
              <c:pt idx="22">
                <c:v>573</c:v>
              </c:pt>
              <c:pt idx="23">
                <c:v>582</c:v>
              </c:pt>
              <c:pt idx="24">
                <c:v>228</c:v>
              </c:pt>
              <c:pt idx="25">
                <c:v>735</c:v>
              </c:pt>
              <c:pt idx="26">
                <c:v>1328</c:v>
              </c:pt>
              <c:pt idx="27">
                <c:v>783</c:v>
              </c:pt>
              <c:pt idx="28">
                <c:v>681</c:v>
              </c:pt>
              <c:pt idx="29">
                <c:v>1712</c:v>
              </c:pt>
              <c:pt idx="30">
                <c:v>569</c:v>
              </c:pt>
              <c:pt idx="31">
                <c:v>529</c:v>
              </c:pt>
              <c:pt idx="32">
                <c:v>423</c:v>
              </c:pt>
              <c:pt idx="33">
                <c:v>232</c:v>
              </c:pt>
              <c:pt idx="34">
                <c:v>516</c:v>
              </c:pt>
              <c:pt idx="35">
                <c:v>401</c:v>
              </c:pt>
              <c:pt idx="36">
                <c:v>2062</c:v>
              </c:pt>
              <c:pt idx="37">
                <c:v>456</c:v>
              </c:pt>
              <c:pt idx="38">
                <c:v>529</c:v>
              </c:pt>
              <c:pt idx="39">
                <c:v>419</c:v>
              </c:pt>
              <c:pt idx="40">
                <c:v>896</c:v>
              </c:pt>
              <c:pt idx="41">
                <c:v>582</c:v>
              </c:pt>
              <c:pt idx="42">
                <c:v>1370</c:v>
              </c:pt>
              <c:pt idx="43">
                <c:v>739</c:v>
              </c:pt>
              <c:pt idx="44">
                <c:v>458</c:v>
              </c:pt>
              <c:pt idx="45">
                <c:v>210</c:v>
              </c:pt>
              <c:pt idx="46">
                <c:v>546</c:v>
              </c:pt>
              <c:pt idx="47">
                <c:v>615</c:v>
              </c:pt>
              <c:pt idx="48">
                <c:v>547</c:v>
              </c:pt>
              <c:pt idx="49">
                <c:v>816</c:v>
              </c:pt>
              <c:pt idx="50">
                <c:v>737</c:v>
              </c:pt>
              <c:pt idx="51">
                <c:v>1010</c:v>
              </c:pt>
              <c:pt idx="52">
                <c:v>402</c:v>
              </c:pt>
              <c:pt idx="53">
                <c:v>452</c:v>
              </c:pt>
              <c:pt idx="54">
                <c:v>560</c:v>
              </c:pt>
              <c:pt idx="55">
                <c:v>863</c:v>
              </c:pt>
              <c:pt idx="56">
                <c:v>314</c:v>
              </c:pt>
              <c:pt idx="57">
                <c:v>870</c:v>
              </c:pt>
              <c:pt idx="58">
                <c:v>687</c:v>
              </c:pt>
              <c:pt idx="59">
                <c:v>337</c:v>
              </c:pt>
              <c:pt idx="60">
                <c:v>492</c:v>
              </c:pt>
              <c:pt idx="61">
                <c:v>244</c:v>
              </c:pt>
              <c:pt idx="62">
                <c:v>241</c:v>
              </c:pt>
              <c:pt idx="63">
                <c:v>349</c:v>
              </c:pt>
              <c:pt idx="64">
                <c:v>1027</c:v>
              </c:pt>
              <c:pt idx="65">
                <c:v>1828</c:v>
              </c:pt>
              <c:pt idx="66">
                <c:v>670</c:v>
              </c:pt>
              <c:pt idx="67">
                <c:v>628</c:v>
              </c:pt>
              <c:pt idx="68">
                <c:v>356</c:v>
              </c:pt>
              <c:pt idx="69">
                <c:v>505</c:v>
              </c:pt>
              <c:pt idx="70">
                <c:v>2288</c:v>
              </c:pt>
              <c:pt idx="71">
                <c:v>624</c:v>
              </c:pt>
              <c:pt idx="72">
                <c:v>418</c:v>
              </c:pt>
              <c:pt idx="73">
                <c:v>922</c:v>
              </c:pt>
              <c:pt idx="74">
                <c:v>406</c:v>
              </c:pt>
              <c:pt idx="75">
                <c:v>442</c:v>
              </c:pt>
              <c:pt idx="76">
                <c:v>505</c:v>
              </c:pt>
              <c:pt idx="77">
                <c:v>640</c:v>
              </c:pt>
              <c:pt idx="78">
                <c:v>982</c:v>
              </c:pt>
              <c:pt idx="79">
                <c:v>924</c:v>
              </c:pt>
              <c:pt idx="80">
                <c:v>666</c:v>
              </c:pt>
              <c:pt idx="81">
                <c:v>552</c:v>
              </c:pt>
              <c:pt idx="82">
                <c:v>388</c:v>
              </c:pt>
              <c:pt idx="83">
                <c:v>500</c:v>
              </c:pt>
              <c:pt idx="84">
                <c:v>723</c:v>
              </c:pt>
              <c:pt idx="85">
                <c:v>612</c:v>
              </c:pt>
              <c:pt idx="86">
                <c:v>705</c:v>
              </c:pt>
              <c:pt idx="87">
                <c:v>604</c:v>
              </c:pt>
              <c:pt idx="88">
                <c:v>1031</c:v>
              </c:pt>
              <c:pt idx="89">
                <c:v>590</c:v>
              </c:pt>
              <c:pt idx="90">
                <c:v>446</c:v>
              </c:pt>
              <c:pt idx="91">
                <c:v>396</c:v>
              </c:pt>
              <c:pt idx="92">
                <c:v>414</c:v>
              </c:pt>
              <c:pt idx="93">
                <c:v>639</c:v>
              </c:pt>
              <c:pt idx="94">
                <c:v>489</c:v>
              </c:pt>
              <c:pt idx="95">
                <c:v>3199</c:v>
              </c:pt>
              <c:pt idx="96">
                <c:v>362</c:v>
              </c:pt>
              <c:pt idx="97">
                <c:v>826</c:v>
              </c:pt>
              <c:pt idx="98">
                <c:v>827</c:v>
              </c:pt>
              <c:pt idx="99">
                <c:v>1530</c:v>
              </c:pt>
              <c:pt idx="100">
                <c:v>450</c:v>
              </c:pt>
              <c:pt idx="101">
                <c:v>331</c:v>
              </c:pt>
              <c:pt idx="102">
                <c:v>855</c:v>
              </c:pt>
              <c:pt idx="103">
                <c:v>2439</c:v>
              </c:pt>
              <c:pt idx="104">
                <c:v>445</c:v>
              </c:pt>
              <c:pt idx="105">
                <c:v>2046</c:v>
              </c:pt>
              <c:pt idx="106">
                <c:v>421</c:v>
              </c:pt>
              <c:pt idx="107">
                <c:v>545</c:v>
              </c:pt>
              <c:pt idx="108">
                <c:v>283</c:v>
              </c:pt>
              <c:pt idx="109">
                <c:v>798</c:v>
              </c:pt>
              <c:pt idx="110">
                <c:v>942</c:v>
              </c:pt>
              <c:pt idx="111">
                <c:v>411</c:v>
              </c:pt>
              <c:pt idx="112">
                <c:v>298</c:v>
              </c:pt>
              <c:pt idx="113">
                <c:v>504</c:v>
              </c:pt>
              <c:pt idx="114">
                <c:v>493</c:v>
              </c:pt>
              <c:pt idx="115">
                <c:v>325</c:v>
              </c:pt>
              <c:pt idx="116">
                <c:v>624</c:v>
              </c:pt>
              <c:pt idx="117">
                <c:v>267</c:v>
              </c:pt>
              <c:pt idx="118">
                <c:v>1275</c:v>
              </c:pt>
              <c:pt idx="119">
                <c:v>374</c:v>
              </c:pt>
              <c:pt idx="120">
                <c:v>1124</c:v>
              </c:pt>
              <c:pt idx="121">
                <c:v>894</c:v>
              </c:pt>
              <c:pt idx="122">
                <c:v>900</c:v>
              </c:pt>
              <c:pt idx="123">
                <c:v>986</c:v>
              </c:pt>
              <c:pt idx="124">
                <c:v>382</c:v>
              </c:pt>
              <c:pt idx="125">
                <c:v>574</c:v>
              </c:pt>
              <c:pt idx="126">
                <c:v>1111</c:v>
              </c:pt>
              <c:pt idx="127">
                <c:v>602</c:v>
              </c:pt>
              <c:pt idx="128">
                <c:v>797</c:v>
              </c:pt>
              <c:pt idx="129">
                <c:v>396</c:v>
              </c:pt>
              <c:pt idx="130">
                <c:v>794</c:v>
              </c:pt>
              <c:pt idx="131">
                <c:v>439</c:v>
              </c:pt>
              <c:pt idx="132">
                <c:v>896</c:v>
              </c:pt>
              <c:pt idx="133">
                <c:v>459</c:v>
              </c:pt>
              <c:pt idx="134">
                <c:v>1254</c:v>
              </c:pt>
              <c:pt idx="135">
                <c:v>513</c:v>
              </c:pt>
              <c:pt idx="136">
                <c:v>325</c:v>
              </c:pt>
              <c:pt idx="137">
                <c:v>715</c:v>
              </c:pt>
              <c:pt idx="138">
                <c:v>740</c:v>
              </c:pt>
              <c:pt idx="139">
                <c:v>777</c:v>
              </c:pt>
              <c:pt idx="140">
                <c:v>995</c:v>
              </c:pt>
              <c:pt idx="141">
                <c:v>503</c:v>
              </c:pt>
              <c:pt idx="142">
                <c:v>411</c:v>
              </c:pt>
              <c:pt idx="143">
                <c:v>357</c:v>
              </c:pt>
              <c:pt idx="144">
                <c:v>1049</c:v>
              </c:pt>
              <c:pt idx="145">
                <c:v>385</c:v>
              </c:pt>
              <c:pt idx="146">
                <c:v>392</c:v>
              </c:pt>
              <c:pt idx="147">
                <c:v>826</c:v>
              </c:pt>
              <c:pt idx="148">
                <c:v>336</c:v>
              </c:pt>
              <c:pt idx="149">
                <c:v>632</c:v>
              </c:pt>
              <c:pt idx="150">
                <c:v>470</c:v>
              </c:pt>
              <c:pt idx="151">
                <c:v>1546</c:v>
              </c:pt>
              <c:pt idx="152">
                <c:v>489</c:v>
              </c:pt>
              <c:pt idx="153">
                <c:v>990</c:v>
              </c:pt>
              <c:pt idx="154">
                <c:v>292</c:v>
              </c:pt>
              <c:pt idx="155">
                <c:v>516</c:v>
              </c:pt>
              <c:pt idx="156">
                <c:v>339</c:v>
              </c:pt>
              <c:pt idx="157">
                <c:v>389</c:v>
              </c:pt>
              <c:pt idx="158">
                <c:v>625</c:v>
              </c:pt>
              <c:pt idx="159">
                <c:v>276</c:v>
              </c:pt>
              <c:pt idx="160">
                <c:v>378</c:v>
              </c:pt>
              <c:pt idx="161">
                <c:v>258</c:v>
              </c:pt>
              <c:pt idx="162">
                <c:v>578</c:v>
              </c:pt>
              <c:pt idx="163">
                <c:v>326</c:v>
              </c:pt>
              <c:pt idx="164">
                <c:v>977</c:v>
              </c:pt>
              <c:pt idx="165">
                <c:v>641</c:v>
              </c:pt>
              <c:pt idx="166">
                <c:v>490</c:v>
              </c:pt>
              <c:pt idx="167">
                <c:v>1053</c:v>
              </c:pt>
              <c:pt idx="168">
                <c:v>540</c:v>
              </c:pt>
              <c:pt idx="169">
                <c:v>1620</c:v>
              </c:pt>
              <c:pt idx="170">
                <c:v>348</c:v>
              </c:pt>
              <c:pt idx="171">
                <c:v>708</c:v>
              </c:pt>
              <c:pt idx="172">
                <c:v>1575</c:v>
              </c:pt>
              <c:pt idx="173">
                <c:v>1246</c:v>
              </c:pt>
              <c:pt idx="174">
                <c:v>622</c:v>
              </c:pt>
              <c:pt idx="175">
                <c:v>1331</c:v>
              </c:pt>
              <c:pt idx="176">
                <c:v>371</c:v>
              </c:pt>
              <c:pt idx="177">
                <c:v>723</c:v>
              </c:pt>
              <c:pt idx="178">
                <c:v>508</c:v>
              </c:pt>
              <c:pt idx="179">
                <c:v>508</c:v>
              </c:pt>
              <c:pt idx="180">
                <c:v>719</c:v>
              </c:pt>
              <c:pt idx="181">
                <c:v>556</c:v>
              </c:pt>
              <c:pt idx="182">
                <c:v>611</c:v>
              </c:pt>
              <c:pt idx="183">
                <c:v>2010</c:v>
              </c:pt>
              <c:pt idx="184">
                <c:v>564</c:v>
              </c:pt>
              <c:pt idx="185">
                <c:v>431</c:v>
              </c:pt>
              <c:pt idx="186">
                <c:v>638</c:v>
              </c:pt>
              <c:pt idx="187">
                <c:v>628</c:v>
              </c:pt>
              <c:pt idx="188">
                <c:v>272</c:v>
              </c:pt>
              <c:pt idx="189">
                <c:v>523</c:v>
              </c:pt>
              <c:pt idx="190">
                <c:v>731</c:v>
              </c:pt>
              <c:pt idx="191">
                <c:v>362</c:v>
              </c:pt>
              <c:pt idx="192">
                <c:v>311</c:v>
              </c:pt>
              <c:pt idx="193">
                <c:v>#N/A</c:v>
              </c:pt>
              <c:pt idx="194">
                <c:v>#N/A</c:v>
              </c:pt>
              <c:pt idx="195">
                <c:v>#N/A</c:v>
              </c:pt>
              <c:pt idx="196">
                <c:v>#N/A</c:v>
              </c:pt>
              <c:pt idx="197">
                <c:v>#N/A</c:v>
              </c:pt>
              <c:pt idx="198">
                <c:v>#N/A</c:v>
              </c:pt>
              <c:pt idx="199">
                <c:v>#N/A</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#N/A</c:v>
              </c:pt>
              <c:pt idx="238">
                <c:v>#N/A</c:v>
              </c:pt>
              <c:pt idx="239">
                <c:v>#N/A</c:v>
              </c:pt>
              <c:pt idx="240">
                <c:v>#N/A</c:v>
              </c:pt>
              <c:pt idx="241">
                <c:v>#N/A</c:v>
              </c:pt>
              <c:pt idx="242">
                <c:v>#N/A</c:v>
              </c:pt>
              <c:pt idx="243">
                <c:v>#N/A</c:v>
              </c:pt>
              <c:pt idx="244">
                <c:v>#N/A</c:v>
              </c:pt>
              <c:pt idx="245">
                <c:v>#N/A</c:v>
              </c:pt>
              <c:pt idx="246">
                <c:v>#N/A</c:v>
              </c:pt>
              <c:pt idx="247">
                <c:v>#N/A</c:v>
              </c:pt>
              <c:pt idx="248">
                <c:v>#N/A</c:v>
              </c:pt>
              <c:pt idx="249">
                <c:v>#N/A</c:v>
              </c:pt>
              <c:pt idx="250">
                <c:v>#N/A</c:v>
              </c:pt>
              <c:pt idx="251">
                <c:v>#N/A</c:v>
              </c:pt>
              <c:pt idx="252">
                <c:v>#N/A</c:v>
              </c:pt>
              <c:pt idx="253">
                <c:v>#N/A</c:v>
              </c:pt>
              <c:pt idx="254">
                <c:v>#N/A</c:v>
              </c:pt>
              <c:pt idx="255">
                <c:v>#N/A</c:v>
              </c:pt>
              <c:pt idx="256">
                <c:v>#N/A</c:v>
              </c:pt>
              <c:pt idx="257">
                <c:v>#N/A</c:v>
              </c:pt>
              <c:pt idx="258">
                <c:v>#N/A</c:v>
              </c:pt>
              <c:pt idx="259">
                <c:v>#N/A</c:v>
              </c:pt>
              <c:pt idx="260">
                <c:v>#N/A</c:v>
              </c:pt>
              <c:pt idx="261">
                <c:v>#N/A</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pt idx="299">
                <c:v>#N/A</c:v>
              </c:pt>
              <c:pt idx="300">
                <c:v>#N/A</c:v>
              </c:pt>
              <c:pt idx="301">
                <c:v>#N/A</c:v>
              </c:pt>
              <c:pt idx="302">
                <c:v>#N/A</c:v>
              </c:pt>
              <c:pt idx="303">
                <c:v>#N/A</c:v>
              </c:pt>
              <c:pt idx="304">
                <c:v>#N/A</c:v>
              </c:pt>
              <c:pt idx="305">
                <c:v>#N/A</c:v>
              </c:pt>
              <c:pt idx="306">
                <c:v>#N/A</c:v>
              </c:pt>
              <c:pt idx="307">
                <c:v>#N/A</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pt idx="365">
                <c:v>#N/A</c:v>
              </c:pt>
              <c:pt idx="366">
                <c:v>#N/A</c:v>
              </c:pt>
              <c:pt idx="367">
                <c:v>#N/A</c:v>
              </c:pt>
              <c:pt idx="368">
                <c:v>#N/A</c:v>
              </c:pt>
              <c:pt idx="369">
                <c:v>#N/A</c:v>
              </c:pt>
              <c:pt idx="370">
                <c:v>#N/A</c:v>
              </c:pt>
              <c:pt idx="371">
                <c:v>#N/A</c:v>
              </c:pt>
              <c:pt idx="372">
                <c:v>#N/A</c:v>
              </c:pt>
              <c:pt idx="373">
                <c:v>#N/A</c:v>
              </c:pt>
              <c:pt idx="374">
                <c:v>#N/A</c:v>
              </c:pt>
              <c:pt idx="375">
                <c:v>#N/A</c:v>
              </c:pt>
              <c:pt idx="376">
                <c:v>#N/A</c:v>
              </c:pt>
              <c:pt idx="377">
                <c:v>#N/A</c:v>
              </c:pt>
              <c:pt idx="378">
                <c:v>#N/A</c:v>
              </c:pt>
              <c:pt idx="379">
                <c:v>#N/A</c:v>
              </c:pt>
              <c:pt idx="380">
                <c:v>#N/A</c:v>
              </c:pt>
              <c:pt idx="381">
                <c:v>#N/A</c:v>
              </c:pt>
              <c:pt idx="382">
                <c:v>#N/A</c:v>
              </c:pt>
              <c:pt idx="383">
                <c:v>#N/A</c:v>
              </c:pt>
              <c:pt idx="384">
                <c:v>#N/A</c:v>
              </c:pt>
              <c:pt idx="385">
                <c:v>#N/A</c:v>
              </c:pt>
              <c:pt idx="386">
                <c:v>#N/A</c:v>
              </c:pt>
              <c:pt idx="387">
                <c:v>#N/A</c:v>
              </c:pt>
              <c:pt idx="388">
                <c:v>#N/A</c:v>
              </c:pt>
              <c:pt idx="389">
                <c:v>#N/A</c:v>
              </c:pt>
              <c:pt idx="390">
                <c:v>#N/A</c:v>
              </c:pt>
              <c:pt idx="391">
                <c:v>#N/A</c:v>
              </c:pt>
              <c:pt idx="392">
                <c:v>#N/A</c:v>
              </c:pt>
              <c:pt idx="393">
                <c:v>#N/A</c:v>
              </c:pt>
              <c:pt idx="394">
                <c:v>#N/A</c:v>
              </c:pt>
              <c:pt idx="395">
                <c:v>#N/A</c:v>
              </c:pt>
              <c:pt idx="396">
                <c:v>#N/A</c:v>
              </c:pt>
              <c:pt idx="397">
                <c:v>#N/A</c:v>
              </c:pt>
              <c:pt idx="398">
                <c:v>#N/A</c:v>
              </c:pt>
              <c:pt idx="399">
                <c:v>#N/A</c:v>
              </c:pt>
              <c:pt idx="400">
                <c:v>#N/A</c:v>
              </c:pt>
              <c:pt idx="401">
                <c:v>#N/A</c:v>
              </c:pt>
              <c:pt idx="402">
                <c:v>#N/A</c:v>
              </c:pt>
              <c:pt idx="403">
                <c:v>#N/A</c:v>
              </c:pt>
              <c:pt idx="404">
                <c:v>#N/A</c:v>
              </c:pt>
              <c:pt idx="405">
                <c:v>#N/A</c:v>
              </c:pt>
              <c:pt idx="406">
                <c:v>#N/A</c:v>
              </c:pt>
              <c:pt idx="407">
                <c:v>#N/A</c:v>
              </c:pt>
              <c:pt idx="408">
                <c:v>#N/A</c:v>
              </c:pt>
              <c:pt idx="409">
                <c:v>#N/A</c:v>
              </c:pt>
              <c:pt idx="410">
                <c:v>#N/A</c:v>
              </c:pt>
              <c:pt idx="411">
                <c:v>#N/A</c:v>
              </c:pt>
              <c:pt idx="412">
                <c:v>#N/A</c:v>
              </c:pt>
              <c:pt idx="413">
                <c:v>#N/A</c:v>
              </c:pt>
              <c:pt idx="414">
                <c:v>#N/A</c:v>
              </c:pt>
              <c:pt idx="415">
                <c:v>#N/A</c:v>
              </c:pt>
              <c:pt idx="416">
                <c:v>#N/A</c:v>
              </c:pt>
              <c:pt idx="417">
                <c:v>#N/A</c:v>
              </c:pt>
              <c:pt idx="418">
                <c:v>#N/A</c:v>
              </c:pt>
              <c:pt idx="419">
                <c:v>#N/A</c:v>
              </c:pt>
              <c:pt idx="420">
                <c:v>#N/A</c:v>
              </c:pt>
              <c:pt idx="421">
                <c:v>#N/A</c:v>
              </c:pt>
              <c:pt idx="422">
                <c:v>#N/A</c:v>
              </c:pt>
              <c:pt idx="423">
                <c:v>#N/A</c:v>
              </c:pt>
              <c:pt idx="424">
                <c:v>#N/A</c:v>
              </c:pt>
              <c:pt idx="425">
                <c:v>#N/A</c:v>
              </c:pt>
              <c:pt idx="426">
                <c:v>#N/A</c:v>
              </c:pt>
              <c:pt idx="427">
                <c:v>#N/A</c:v>
              </c:pt>
              <c:pt idx="428">
                <c:v>#N/A</c:v>
              </c:pt>
              <c:pt idx="429">
                <c:v>#N/A</c:v>
              </c:pt>
              <c:pt idx="430">
                <c:v>#N/A</c:v>
              </c:pt>
              <c:pt idx="431">
                <c:v>#N/A</c:v>
              </c:pt>
              <c:pt idx="432">
                <c:v>#N/A</c:v>
              </c:pt>
              <c:pt idx="433">
                <c:v>#N/A</c:v>
              </c:pt>
              <c:pt idx="434">
                <c:v>#N/A</c:v>
              </c:pt>
              <c:pt idx="435">
                <c:v>#N/A</c:v>
              </c:pt>
              <c:pt idx="436">
                <c:v>#N/A</c:v>
              </c:pt>
              <c:pt idx="437">
                <c:v>#N/A</c:v>
              </c:pt>
              <c:pt idx="438">
                <c:v>#N/A</c:v>
              </c:pt>
              <c:pt idx="439">
                <c:v>#N/A</c:v>
              </c:pt>
              <c:pt idx="440">
                <c:v>#N/A</c:v>
              </c:pt>
              <c:pt idx="441">
                <c:v>#N/A</c:v>
              </c:pt>
              <c:pt idx="442">
                <c:v>#N/A</c:v>
              </c:pt>
              <c:pt idx="443">
                <c:v>#N/A</c:v>
              </c:pt>
              <c:pt idx="444">
                <c:v>#N/A</c:v>
              </c:pt>
              <c:pt idx="445">
                <c:v>#N/A</c:v>
              </c:pt>
              <c:pt idx="446">
                <c:v>#N/A</c:v>
              </c:pt>
              <c:pt idx="447">
                <c:v>#N/A</c:v>
              </c:pt>
              <c:pt idx="448">
                <c:v>#N/A</c:v>
              </c:pt>
              <c:pt idx="449">
                <c:v>#N/A</c:v>
              </c:pt>
              <c:pt idx="450">
                <c:v>#N/A</c:v>
              </c:pt>
              <c:pt idx="451">
                <c:v>#N/A</c:v>
              </c:pt>
              <c:pt idx="452">
                <c:v>#N/A</c:v>
              </c:pt>
              <c:pt idx="453">
                <c:v>#N/A</c:v>
              </c:pt>
              <c:pt idx="454">
                <c:v>#N/A</c:v>
              </c:pt>
              <c:pt idx="455">
                <c:v>#N/A</c:v>
              </c:pt>
              <c:pt idx="456">
                <c:v>#N/A</c:v>
              </c:pt>
              <c:pt idx="457">
                <c:v>#N/A</c:v>
              </c:pt>
              <c:pt idx="458">
                <c:v>#N/A</c:v>
              </c:pt>
              <c:pt idx="459">
                <c:v>#N/A</c:v>
              </c:pt>
              <c:pt idx="460">
                <c:v>#N/A</c:v>
              </c:pt>
              <c:pt idx="461">
                <c:v>#N/A</c:v>
              </c:pt>
              <c:pt idx="462">
                <c:v>#N/A</c:v>
              </c:pt>
              <c:pt idx="463">
                <c:v>#N/A</c:v>
              </c:pt>
              <c:pt idx="464">
                <c:v>#N/A</c:v>
              </c:pt>
              <c:pt idx="465">
                <c:v>#N/A</c:v>
              </c:pt>
              <c:pt idx="466">
                <c:v>#N/A</c:v>
              </c:pt>
              <c:pt idx="467">
                <c:v>#N/A</c:v>
              </c:pt>
              <c:pt idx="468">
                <c:v>#N/A</c:v>
              </c:pt>
              <c:pt idx="469">
                <c:v>#N/A</c:v>
              </c:pt>
              <c:pt idx="470">
                <c:v>#N/A</c:v>
              </c:pt>
              <c:pt idx="471">
                <c:v>#N/A</c:v>
              </c:pt>
              <c:pt idx="472">
                <c:v>#N/A</c:v>
              </c:pt>
              <c:pt idx="473">
                <c:v>#N/A</c:v>
              </c:pt>
              <c:pt idx="474">
                <c:v>#N/A</c:v>
              </c:pt>
              <c:pt idx="475">
                <c:v>#N/A</c:v>
              </c:pt>
              <c:pt idx="476">
                <c:v>#N/A</c:v>
              </c:pt>
              <c:pt idx="477">
                <c:v>#N/A</c:v>
              </c:pt>
              <c:pt idx="478">
                <c:v>#N/A</c:v>
              </c:pt>
              <c:pt idx="479">
                <c:v>#N/A</c:v>
              </c:pt>
              <c:pt idx="480">
                <c:v>#N/A</c:v>
              </c:pt>
              <c:pt idx="481">
                <c:v>#N/A</c:v>
              </c:pt>
              <c:pt idx="482">
                <c:v>#N/A</c:v>
              </c:pt>
              <c:pt idx="483">
                <c:v>#N/A</c:v>
              </c:pt>
              <c:pt idx="484">
                <c:v>#N/A</c:v>
              </c:pt>
              <c:pt idx="485">
                <c:v>#N/A</c:v>
              </c:pt>
              <c:pt idx="486">
                <c:v>#N/A</c:v>
              </c:pt>
              <c:pt idx="487">
                <c:v>#N/A</c:v>
              </c:pt>
              <c:pt idx="488">
                <c:v>#N/A</c:v>
              </c:pt>
              <c:pt idx="489">
                <c:v>#N/A</c:v>
              </c:pt>
              <c:pt idx="490">
                <c:v>#N/A</c:v>
              </c:pt>
              <c:pt idx="491">
                <c:v>#N/A</c:v>
              </c:pt>
              <c:pt idx="492">
                <c:v>#N/A</c:v>
              </c:pt>
              <c:pt idx="493">
                <c:v>#N/A</c:v>
              </c:pt>
              <c:pt idx="494">
                <c:v>#N/A</c:v>
              </c:pt>
              <c:pt idx="495">
                <c:v>#N/A</c:v>
              </c:pt>
              <c:pt idx="496">
                <c:v>#N/A</c:v>
              </c:pt>
              <c:pt idx="497">
                <c:v>#N/A</c:v>
              </c:pt>
              <c:pt idx="498">
                <c:v>#N/A</c:v>
              </c:pt>
              <c:pt idx="499">
                <c:v>#N/A</c:v>
              </c:pt>
              <c:pt idx="500">
                <c:v>#N/A</c:v>
              </c:pt>
              <c:pt idx="501">
                <c:v>#N/A</c:v>
              </c:pt>
              <c:pt idx="502">
                <c:v>#N/A</c:v>
              </c:pt>
              <c:pt idx="503">
                <c:v>#N/A</c:v>
              </c:pt>
              <c:pt idx="504">
                <c:v>#N/A</c:v>
              </c:pt>
              <c:pt idx="505">
                <c:v>#N/A</c:v>
              </c:pt>
              <c:pt idx="506">
                <c:v>#N/A</c:v>
              </c:pt>
              <c:pt idx="507">
                <c:v>#N/A</c:v>
              </c:pt>
              <c:pt idx="508">
                <c:v>#N/A</c:v>
              </c:pt>
              <c:pt idx="509">
                <c:v>#N/A</c:v>
              </c:pt>
              <c:pt idx="510">
                <c:v>#N/A</c:v>
              </c:pt>
              <c:pt idx="511">
                <c:v>#N/A</c:v>
              </c:pt>
              <c:pt idx="512">
                <c:v>#N/A</c:v>
              </c:pt>
              <c:pt idx="513">
                <c:v>#N/A</c:v>
              </c:pt>
              <c:pt idx="514">
                <c:v>#N/A</c:v>
              </c:pt>
              <c:pt idx="515">
                <c:v>#N/A</c:v>
              </c:pt>
              <c:pt idx="516">
                <c:v>#N/A</c:v>
              </c:pt>
              <c:pt idx="517">
                <c:v>#N/A</c:v>
              </c:pt>
              <c:pt idx="518">
                <c:v>#N/A</c:v>
              </c:pt>
              <c:pt idx="519">
                <c:v>#N/A</c:v>
              </c:pt>
              <c:pt idx="520">
                <c:v>#N/A</c:v>
              </c:pt>
              <c:pt idx="521">
                <c:v>#N/A</c:v>
              </c:pt>
              <c:pt idx="522">
                <c:v>#N/A</c:v>
              </c:pt>
              <c:pt idx="523">
                <c:v>#N/A</c:v>
              </c:pt>
              <c:pt idx="524">
                <c:v>#N/A</c:v>
              </c:pt>
              <c:pt idx="525">
                <c:v>#N/A</c:v>
              </c:pt>
              <c:pt idx="526">
                <c:v>#N/A</c:v>
              </c:pt>
              <c:pt idx="527">
                <c:v>#N/A</c:v>
              </c:pt>
              <c:pt idx="528">
                <c:v>#N/A</c:v>
              </c:pt>
              <c:pt idx="529">
                <c:v>#N/A</c:v>
              </c:pt>
              <c:pt idx="530">
                <c:v>#N/A</c:v>
              </c:pt>
              <c:pt idx="531">
                <c:v>#N/A</c:v>
              </c:pt>
              <c:pt idx="532">
                <c:v>#N/A</c:v>
              </c:pt>
              <c:pt idx="533">
                <c:v>#N/A</c:v>
              </c:pt>
              <c:pt idx="534">
                <c:v>#N/A</c:v>
              </c:pt>
              <c:pt idx="535">
                <c:v>#N/A</c:v>
              </c:pt>
              <c:pt idx="536">
                <c:v>#N/A</c:v>
              </c:pt>
              <c:pt idx="537">
                <c:v>#N/A</c:v>
              </c:pt>
              <c:pt idx="538">
                <c:v>#N/A</c:v>
              </c:pt>
              <c:pt idx="539">
                <c:v>#N/A</c:v>
              </c:pt>
              <c:pt idx="540">
                <c:v>#N/A</c:v>
              </c:pt>
              <c:pt idx="541">
                <c:v>#N/A</c:v>
              </c:pt>
              <c:pt idx="542">
                <c:v>#N/A</c:v>
              </c:pt>
              <c:pt idx="543">
                <c:v>#N/A</c:v>
              </c:pt>
              <c:pt idx="544">
                <c:v>#N/A</c:v>
              </c:pt>
              <c:pt idx="545">
                <c:v>#N/A</c:v>
              </c:pt>
              <c:pt idx="546">
                <c:v>#N/A</c:v>
              </c:pt>
              <c:pt idx="547">
                <c:v>#N/A</c:v>
              </c:pt>
              <c:pt idx="548">
                <c:v>#N/A</c:v>
              </c:pt>
              <c:pt idx="549">
                <c:v>#N/A</c:v>
              </c:pt>
              <c:pt idx="550">
                <c:v>#N/A</c:v>
              </c:pt>
              <c:pt idx="551">
                <c:v>#N/A</c:v>
              </c:pt>
              <c:pt idx="552">
                <c:v>#N/A</c:v>
              </c:pt>
              <c:pt idx="553">
                <c:v>#N/A</c:v>
              </c:pt>
              <c:pt idx="554">
                <c:v>#N/A</c:v>
              </c:pt>
              <c:pt idx="555">
                <c:v>#N/A</c:v>
              </c:pt>
              <c:pt idx="556">
                <c:v>#N/A</c:v>
              </c:pt>
              <c:pt idx="557">
                <c:v>#N/A</c:v>
              </c:pt>
              <c:pt idx="558">
                <c:v>#N/A</c:v>
              </c:pt>
              <c:pt idx="559">
                <c:v>#N/A</c:v>
              </c:pt>
              <c:pt idx="560">
                <c:v>#N/A</c:v>
              </c:pt>
              <c:pt idx="561">
                <c:v>#N/A</c:v>
              </c:pt>
              <c:pt idx="562">
                <c:v>#N/A</c:v>
              </c:pt>
              <c:pt idx="563">
                <c:v>#N/A</c:v>
              </c:pt>
              <c:pt idx="564">
                <c:v>#N/A</c:v>
              </c:pt>
              <c:pt idx="565">
                <c:v>#N/A</c:v>
              </c:pt>
              <c:pt idx="566">
                <c:v>#N/A</c:v>
              </c:pt>
              <c:pt idx="567">
                <c:v>#N/A</c:v>
              </c:pt>
              <c:pt idx="568">
                <c:v>#N/A</c:v>
              </c:pt>
              <c:pt idx="569">
                <c:v>#N/A</c:v>
              </c:pt>
              <c:pt idx="570">
                <c:v>#N/A</c:v>
              </c:pt>
              <c:pt idx="571">
                <c:v>#N/A</c:v>
              </c:pt>
              <c:pt idx="572">
                <c:v>#N/A</c:v>
              </c:pt>
              <c:pt idx="573">
                <c:v>#N/A</c:v>
              </c:pt>
              <c:pt idx="574">
                <c:v>#N/A</c:v>
              </c:pt>
              <c:pt idx="575">
                <c:v>#N/A</c:v>
              </c:pt>
              <c:pt idx="576">
                <c:v>#N/A</c:v>
              </c:pt>
              <c:pt idx="577">
                <c:v>#N/A</c:v>
              </c:pt>
              <c:pt idx="578">
                <c:v>#N/A</c:v>
              </c:pt>
              <c:pt idx="579">
                <c:v>#N/A</c:v>
              </c:pt>
              <c:pt idx="580">
                <c:v>#N/A</c:v>
              </c:pt>
              <c:pt idx="581">
                <c:v>#N/A</c:v>
              </c:pt>
              <c:pt idx="582">
                <c:v>#N/A</c:v>
              </c:pt>
              <c:pt idx="583">
                <c:v>#N/A</c:v>
              </c:pt>
              <c:pt idx="584">
                <c:v>#N/A</c:v>
              </c:pt>
              <c:pt idx="585">
                <c:v>#N/A</c:v>
              </c:pt>
              <c:pt idx="586">
                <c:v>#N/A</c:v>
              </c:pt>
              <c:pt idx="587">
                <c:v>#N/A</c:v>
              </c:pt>
              <c:pt idx="588">
                <c:v>#N/A</c:v>
              </c:pt>
              <c:pt idx="589">
                <c:v>#N/A</c:v>
              </c:pt>
              <c:pt idx="590">
                <c:v>#N/A</c:v>
              </c:pt>
              <c:pt idx="591">
                <c:v>#N/A</c:v>
              </c:pt>
              <c:pt idx="592">
                <c:v>#N/A</c:v>
              </c:pt>
              <c:pt idx="593">
                <c:v>#N/A</c:v>
              </c:pt>
              <c:pt idx="594">
                <c:v>#N/A</c:v>
              </c:pt>
              <c:pt idx="595">
                <c:v>#N/A</c:v>
              </c:pt>
              <c:pt idx="596">
                <c:v>#N/A</c:v>
              </c:pt>
              <c:pt idx="597">
                <c:v>#N/A</c:v>
              </c:pt>
              <c:pt idx="598">
                <c:v>#N/A</c:v>
              </c:pt>
              <c:pt idx="599">
                <c:v>#N/A</c:v>
              </c:pt>
              <c:pt idx="600">
                <c:v>#N/A</c:v>
              </c:pt>
              <c:pt idx="601">
                <c:v>#N/A</c:v>
              </c:pt>
              <c:pt idx="602">
                <c:v>#N/A</c:v>
              </c:pt>
              <c:pt idx="603">
                <c:v>#N/A</c:v>
              </c:pt>
              <c:pt idx="604">
                <c:v>#N/A</c:v>
              </c:pt>
              <c:pt idx="605">
                <c:v>#N/A</c:v>
              </c:pt>
              <c:pt idx="606">
                <c:v>#N/A</c:v>
              </c:pt>
              <c:pt idx="607">
                <c:v>#N/A</c:v>
              </c:pt>
              <c:pt idx="608">
                <c:v>#N/A</c:v>
              </c:pt>
              <c:pt idx="609">
                <c:v>#N/A</c:v>
              </c:pt>
              <c:pt idx="610">
                <c:v>#N/A</c:v>
              </c:pt>
              <c:pt idx="611">
                <c:v>#N/A</c:v>
              </c:pt>
              <c:pt idx="612">
                <c:v>#N/A</c:v>
              </c:pt>
              <c:pt idx="613">
                <c:v>#N/A</c:v>
              </c:pt>
              <c:pt idx="614">
                <c:v>#N/A</c:v>
              </c:pt>
              <c:pt idx="615">
                <c:v>#N/A</c:v>
              </c:pt>
              <c:pt idx="616">
                <c:v>#N/A</c:v>
              </c:pt>
              <c:pt idx="617">
                <c:v>#N/A</c:v>
              </c:pt>
              <c:pt idx="618">
                <c:v>#N/A</c:v>
              </c:pt>
              <c:pt idx="619">
                <c:v>#N/A</c:v>
              </c:pt>
              <c:pt idx="620">
                <c:v>#N/A</c:v>
              </c:pt>
              <c:pt idx="621">
                <c:v>#N/A</c:v>
              </c:pt>
              <c:pt idx="622">
                <c:v>#N/A</c:v>
              </c:pt>
              <c:pt idx="623">
                <c:v>#N/A</c:v>
              </c:pt>
              <c:pt idx="624">
                <c:v>#N/A</c:v>
              </c:pt>
              <c:pt idx="625">
                <c:v>#N/A</c:v>
              </c:pt>
              <c:pt idx="626">
                <c:v>#N/A</c:v>
              </c:pt>
              <c:pt idx="627">
                <c:v>#N/A</c:v>
              </c:pt>
              <c:pt idx="628">
                <c:v>#N/A</c:v>
              </c:pt>
              <c:pt idx="629">
                <c:v>#N/A</c:v>
              </c:pt>
              <c:pt idx="630">
                <c:v>#N/A</c:v>
              </c:pt>
              <c:pt idx="631">
                <c:v>#N/A</c:v>
              </c:pt>
              <c:pt idx="632">
                <c:v>#N/A</c:v>
              </c:pt>
              <c:pt idx="633">
                <c:v>#N/A</c:v>
              </c:pt>
              <c:pt idx="634">
                <c:v>#N/A</c:v>
              </c:pt>
              <c:pt idx="635">
                <c:v>#N/A</c:v>
              </c:pt>
              <c:pt idx="636">
                <c:v>#N/A</c:v>
              </c:pt>
              <c:pt idx="637">
                <c:v>#N/A</c:v>
              </c:pt>
              <c:pt idx="638">
                <c:v>#N/A</c:v>
              </c:pt>
              <c:pt idx="639">
                <c:v>#N/A</c:v>
              </c:pt>
              <c:pt idx="640">
                <c:v>#N/A</c:v>
              </c:pt>
              <c:pt idx="641">
                <c:v>#N/A</c:v>
              </c:pt>
              <c:pt idx="642">
                <c:v>#N/A</c:v>
              </c:pt>
              <c:pt idx="643">
                <c:v>#N/A</c:v>
              </c:pt>
              <c:pt idx="644">
                <c:v>#N/A</c:v>
              </c:pt>
              <c:pt idx="645">
                <c:v>#N/A</c:v>
              </c:pt>
              <c:pt idx="646">
                <c:v>#N/A</c:v>
              </c:pt>
              <c:pt idx="647">
                <c:v>#N/A</c:v>
              </c:pt>
              <c:pt idx="648">
                <c:v>#N/A</c:v>
              </c:pt>
              <c:pt idx="649">
                <c:v>#N/A</c:v>
              </c:pt>
              <c:pt idx="650">
                <c:v>#N/A</c:v>
              </c:pt>
              <c:pt idx="651">
                <c:v>#N/A</c:v>
              </c:pt>
              <c:pt idx="652">
                <c:v>#N/A</c:v>
              </c:pt>
              <c:pt idx="653">
                <c:v>#N/A</c:v>
              </c:pt>
              <c:pt idx="654">
                <c:v>#N/A</c:v>
              </c:pt>
              <c:pt idx="655">
                <c:v>#N/A</c:v>
              </c:pt>
              <c:pt idx="656">
                <c:v>#N/A</c:v>
              </c:pt>
              <c:pt idx="657">
                <c:v>#N/A</c:v>
              </c:pt>
              <c:pt idx="658">
                <c:v>#N/A</c:v>
              </c:pt>
              <c:pt idx="659">
                <c:v>#N/A</c:v>
              </c:pt>
              <c:pt idx="660">
                <c:v>#N/A</c:v>
              </c:pt>
              <c:pt idx="661">
                <c:v>#N/A</c:v>
              </c:pt>
              <c:pt idx="662">
                <c:v>#N/A</c:v>
              </c:pt>
              <c:pt idx="663">
                <c:v>#N/A</c:v>
              </c:pt>
              <c:pt idx="664">
                <c:v>#N/A</c:v>
              </c:pt>
              <c:pt idx="665">
                <c:v>#N/A</c:v>
              </c:pt>
              <c:pt idx="666">
                <c:v>#N/A</c:v>
              </c:pt>
              <c:pt idx="667">
                <c:v>#N/A</c:v>
              </c:pt>
              <c:pt idx="668">
                <c:v>#N/A</c:v>
              </c:pt>
              <c:pt idx="669">
                <c:v>#N/A</c:v>
              </c:pt>
              <c:pt idx="670">
                <c:v>#N/A</c:v>
              </c:pt>
              <c:pt idx="671">
                <c:v>#N/A</c:v>
              </c:pt>
              <c:pt idx="672">
                <c:v>#N/A</c:v>
              </c:pt>
              <c:pt idx="673">
                <c:v>#N/A</c:v>
              </c:pt>
              <c:pt idx="674">
                <c:v>#N/A</c:v>
              </c:pt>
              <c:pt idx="675">
                <c:v>#N/A</c:v>
              </c:pt>
              <c:pt idx="676">
                <c:v>#N/A</c:v>
              </c:pt>
              <c:pt idx="677">
                <c:v>#N/A</c:v>
              </c:pt>
              <c:pt idx="678">
                <c:v>#N/A</c:v>
              </c:pt>
              <c:pt idx="679">
                <c:v>#N/A</c:v>
              </c:pt>
              <c:pt idx="680">
                <c:v>#N/A</c:v>
              </c:pt>
              <c:pt idx="681">
                <c:v>#N/A</c:v>
              </c:pt>
              <c:pt idx="682">
                <c:v>#N/A</c:v>
              </c:pt>
              <c:pt idx="683">
                <c:v>#N/A</c:v>
              </c:pt>
              <c:pt idx="684">
                <c:v>#N/A</c:v>
              </c:pt>
              <c:pt idx="685">
                <c:v>#N/A</c:v>
              </c:pt>
              <c:pt idx="686">
                <c:v>#N/A</c:v>
              </c:pt>
              <c:pt idx="687">
                <c:v>#N/A</c:v>
              </c:pt>
              <c:pt idx="688">
                <c:v>#N/A</c:v>
              </c:pt>
              <c:pt idx="689">
                <c:v>#N/A</c:v>
              </c:pt>
              <c:pt idx="690">
                <c:v>#N/A</c:v>
              </c:pt>
              <c:pt idx="691">
                <c:v>#N/A</c:v>
              </c:pt>
              <c:pt idx="692">
                <c:v>#N/A</c:v>
              </c:pt>
              <c:pt idx="693">
                <c:v>#N/A</c:v>
              </c:pt>
              <c:pt idx="694">
                <c:v>#N/A</c:v>
              </c:pt>
              <c:pt idx="695">
                <c:v>#N/A</c:v>
              </c:pt>
              <c:pt idx="696">
                <c:v>#N/A</c:v>
              </c:pt>
              <c:pt idx="697">
                <c:v>#N/A</c:v>
              </c:pt>
              <c:pt idx="698">
                <c:v>#N/A</c:v>
              </c:pt>
              <c:pt idx="699">
                <c:v>#N/A</c:v>
              </c:pt>
              <c:pt idx="700">
                <c:v>#N/A</c:v>
              </c:pt>
              <c:pt idx="701">
                <c:v>#N/A</c:v>
              </c:pt>
              <c:pt idx="702">
                <c:v>#N/A</c:v>
              </c:pt>
              <c:pt idx="703">
                <c:v>#N/A</c:v>
              </c:pt>
              <c:pt idx="704">
                <c:v>#N/A</c:v>
              </c:pt>
              <c:pt idx="705">
                <c:v>#N/A</c:v>
              </c:pt>
              <c:pt idx="706">
                <c:v>#N/A</c:v>
              </c:pt>
              <c:pt idx="707">
                <c:v>#N/A</c:v>
              </c:pt>
              <c:pt idx="708">
                <c:v>#N/A</c:v>
              </c:pt>
              <c:pt idx="709">
                <c:v>#N/A</c:v>
              </c:pt>
              <c:pt idx="710">
                <c:v>#N/A</c:v>
              </c:pt>
              <c:pt idx="711">
                <c:v>#N/A</c:v>
              </c:pt>
              <c:pt idx="712">
                <c:v>#N/A</c:v>
              </c:pt>
              <c:pt idx="713">
                <c:v>#N/A</c:v>
              </c:pt>
              <c:pt idx="714">
                <c:v>#N/A</c:v>
              </c:pt>
              <c:pt idx="715">
                <c:v>#N/A</c:v>
              </c:pt>
              <c:pt idx="716">
                <c:v>#N/A</c:v>
              </c:pt>
              <c:pt idx="717">
                <c:v>#N/A</c:v>
              </c:pt>
              <c:pt idx="718">
                <c:v>#N/A</c:v>
              </c:pt>
              <c:pt idx="719">
                <c:v>#N/A</c:v>
              </c:pt>
              <c:pt idx="720">
                <c:v>#N/A</c:v>
              </c:pt>
              <c:pt idx="721">
                <c:v>#N/A</c:v>
              </c:pt>
              <c:pt idx="722">
                <c:v>#N/A</c:v>
              </c:pt>
              <c:pt idx="723">
                <c:v>#N/A</c:v>
              </c:pt>
              <c:pt idx="724">
                <c:v>#N/A</c:v>
              </c:pt>
              <c:pt idx="725">
                <c:v>#N/A</c:v>
              </c:pt>
              <c:pt idx="726">
                <c:v>#N/A</c:v>
              </c:pt>
              <c:pt idx="727">
                <c:v>#N/A</c:v>
              </c:pt>
              <c:pt idx="728">
                <c:v>#N/A</c:v>
              </c:pt>
              <c:pt idx="729">
                <c:v>#N/A</c:v>
              </c:pt>
              <c:pt idx="730">
                <c:v>#N/A</c:v>
              </c:pt>
              <c:pt idx="731">
                <c:v>#N/A</c:v>
              </c:pt>
              <c:pt idx="732">
                <c:v>#N/A</c:v>
              </c:pt>
              <c:pt idx="733">
                <c:v>#N/A</c:v>
              </c:pt>
              <c:pt idx="734">
                <c:v>#N/A</c:v>
              </c:pt>
              <c:pt idx="735">
                <c:v>#N/A</c:v>
              </c:pt>
              <c:pt idx="736">
                <c:v>#N/A</c:v>
              </c:pt>
              <c:pt idx="737">
                <c:v>#N/A</c:v>
              </c:pt>
              <c:pt idx="738">
                <c:v>#N/A</c:v>
              </c:pt>
              <c:pt idx="739">
                <c:v>#N/A</c:v>
              </c:pt>
              <c:pt idx="740">
                <c:v>#N/A</c:v>
              </c:pt>
              <c:pt idx="741">
                <c:v>#N/A</c:v>
              </c:pt>
              <c:pt idx="742">
                <c:v>#N/A</c:v>
              </c:pt>
              <c:pt idx="743">
                <c:v>#N/A</c:v>
              </c:pt>
              <c:pt idx="744">
                <c:v>#N/A</c:v>
              </c:pt>
              <c:pt idx="745">
                <c:v>#N/A</c:v>
              </c:pt>
              <c:pt idx="746">
                <c:v>#N/A</c:v>
              </c:pt>
              <c:pt idx="747">
                <c:v>#N/A</c:v>
              </c:pt>
              <c:pt idx="748">
                <c:v>#N/A</c:v>
              </c:pt>
              <c:pt idx="749">
                <c:v>#N/A</c:v>
              </c:pt>
              <c:pt idx="750">
                <c:v>#N/A</c:v>
              </c:pt>
              <c:pt idx="751">
                <c:v>#N/A</c:v>
              </c:pt>
              <c:pt idx="752">
                <c:v>#N/A</c:v>
              </c:pt>
              <c:pt idx="753">
                <c:v>#N/A</c:v>
              </c:pt>
              <c:pt idx="754">
                <c:v>#N/A</c:v>
              </c:pt>
              <c:pt idx="755">
                <c:v>#N/A</c:v>
              </c:pt>
              <c:pt idx="756">
                <c:v>#N/A</c:v>
              </c:pt>
              <c:pt idx="757">
                <c:v>#N/A</c:v>
              </c:pt>
              <c:pt idx="758">
                <c:v>#N/A</c:v>
              </c:pt>
              <c:pt idx="759">
                <c:v>#N/A</c:v>
              </c:pt>
              <c:pt idx="760">
                <c:v>#N/A</c:v>
              </c:pt>
              <c:pt idx="761">
                <c:v>#N/A</c:v>
              </c:pt>
              <c:pt idx="762">
                <c:v>#N/A</c:v>
              </c:pt>
              <c:pt idx="763">
                <c:v>#N/A</c:v>
              </c:pt>
              <c:pt idx="764">
                <c:v>#N/A</c:v>
              </c:pt>
              <c:pt idx="765">
                <c:v>#N/A</c:v>
              </c:pt>
              <c:pt idx="766">
                <c:v>#N/A</c:v>
              </c:pt>
              <c:pt idx="767">
                <c:v>#N/A</c:v>
              </c:pt>
              <c:pt idx="768">
                <c:v>#N/A</c:v>
              </c:pt>
              <c:pt idx="769">
                <c:v>#N/A</c:v>
              </c:pt>
              <c:pt idx="770">
                <c:v>#N/A</c:v>
              </c:pt>
              <c:pt idx="771">
                <c:v>#N/A</c:v>
              </c:pt>
              <c:pt idx="772">
                <c:v>#N/A</c:v>
              </c:pt>
              <c:pt idx="773">
                <c:v>#N/A</c:v>
              </c:pt>
              <c:pt idx="774">
                <c:v>#N/A</c:v>
              </c:pt>
              <c:pt idx="775">
                <c:v>#N/A</c:v>
              </c:pt>
              <c:pt idx="776">
                <c:v>#N/A</c:v>
              </c:pt>
              <c:pt idx="777">
                <c:v>#N/A</c:v>
              </c:pt>
              <c:pt idx="778">
                <c:v>#N/A</c:v>
              </c:pt>
              <c:pt idx="779">
                <c:v>#N/A</c:v>
              </c:pt>
              <c:pt idx="780">
                <c:v>#N/A</c:v>
              </c:pt>
              <c:pt idx="781">
                <c:v>#N/A</c:v>
              </c:pt>
              <c:pt idx="782">
                <c:v>#N/A</c:v>
              </c:pt>
              <c:pt idx="783">
                <c:v>#N/A</c:v>
              </c:pt>
              <c:pt idx="784">
                <c:v>#N/A</c:v>
              </c:pt>
              <c:pt idx="785">
                <c:v>#N/A</c:v>
              </c:pt>
              <c:pt idx="786">
                <c:v>#N/A</c:v>
              </c:pt>
              <c:pt idx="787">
                <c:v>#N/A</c:v>
              </c:pt>
              <c:pt idx="788">
                <c:v>#N/A</c:v>
              </c:pt>
              <c:pt idx="789">
                <c:v>#N/A</c:v>
              </c:pt>
              <c:pt idx="790">
                <c:v>#N/A</c:v>
              </c:pt>
              <c:pt idx="791">
                <c:v>#N/A</c:v>
              </c:pt>
              <c:pt idx="792">
                <c:v>#N/A</c:v>
              </c:pt>
              <c:pt idx="793">
                <c:v>#N/A</c:v>
              </c:pt>
              <c:pt idx="794">
                <c:v>#N/A</c:v>
              </c:pt>
              <c:pt idx="795">
                <c:v>#N/A</c:v>
              </c:pt>
              <c:pt idx="796">
                <c:v>#N/A</c:v>
              </c:pt>
              <c:pt idx="797">
                <c:v>#N/A</c:v>
              </c:pt>
              <c:pt idx="798">
                <c:v>#N/A</c:v>
              </c:pt>
              <c:pt idx="799">
                <c:v>#N/A</c:v>
              </c:pt>
              <c:pt idx="800">
                <c:v>#N/A</c:v>
              </c:pt>
              <c:pt idx="801">
                <c:v>#N/A</c:v>
              </c:pt>
              <c:pt idx="802">
                <c:v>#N/A</c:v>
              </c:pt>
              <c:pt idx="803">
                <c:v>#N/A</c:v>
              </c:pt>
              <c:pt idx="804">
                <c:v>#N/A</c:v>
              </c:pt>
              <c:pt idx="805">
                <c:v>#N/A</c:v>
              </c:pt>
              <c:pt idx="806">
                <c:v>#N/A</c:v>
              </c:pt>
              <c:pt idx="807">
                <c:v>#N/A</c:v>
              </c:pt>
              <c:pt idx="808">
                <c:v>#N/A</c:v>
              </c:pt>
              <c:pt idx="809">
                <c:v>#N/A</c:v>
              </c:pt>
              <c:pt idx="810">
                <c:v>#N/A</c:v>
              </c:pt>
              <c:pt idx="811">
                <c:v>#N/A</c:v>
              </c:pt>
              <c:pt idx="812">
                <c:v>#N/A</c:v>
              </c:pt>
              <c:pt idx="813">
                <c:v>#N/A</c:v>
              </c:pt>
              <c:pt idx="814">
                <c:v>#N/A</c:v>
              </c:pt>
              <c:pt idx="815">
                <c:v>#N/A</c:v>
              </c:pt>
              <c:pt idx="816">
                <c:v>#N/A</c:v>
              </c:pt>
              <c:pt idx="817">
                <c:v>#N/A</c:v>
              </c:pt>
              <c:pt idx="818">
                <c:v>#N/A</c:v>
              </c:pt>
              <c:pt idx="819">
                <c:v>#N/A</c:v>
              </c:pt>
              <c:pt idx="820">
                <c:v>#N/A</c:v>
              </c:pt>
              <c:pt idx="821">
                <c:v>#N/A</c:v>
              </c:pt>
              <c:pt idx="822">
                <c:v>#N/A</c:v>
              </c:pt>
              <c:pt idx="823">
                <c:v>#N/A</c:v>
              </c:pt>
              <c:pt idx="824">
                <c:v>#N/A</c:v>
              </c:pt>
              <c:pt idx="825">
                <c:v>#N/A</c:v>
              </c:pt>
              <c:pt idx="826">
                <c:v>#N/A</c:v>
              </c:pt>
              <c:pt idx="827">
                <c:v>#N/A</c:v>
              </c:pt>
              <c:pt idx="828">
                <c:v>#N/A</c:v>
              </c:pt>
              <c:pt idx="829">
                <c:v>#N/A</c:v>
              </c:pt>
              <c:pt idx="830">
                <c:v>#N/A</c:v>
              </c:pt>
              <c:pt idx="831">
                <c:v>#N/A</c:v>
              </c:pt>
              <c:pt idx="832">
                <c:v>#N/A</c:v>
              </c:pt>
              <c:pt idx="833">
                <c:v>#N/A</c:v>
              </c:pt>
              <c:pt idx="834">
                <c:v>#N/A</c:v>
              </c:pt>
              <c:pt idx="835">
                <c:v>#N/A</c:v>
              </c:pt>
              <c:pt idx="836">
                <c:v>#N/A</c:v>
              </c:pt>
              <c:pt idx="837">
                <c:v>#N/A</c:v>
              </c:pt>
              <c:pt idx="838">
                <c:v>#N/A</c:v>
              </c:pt>
              <c:pt idx="839">
                <c:v>#N/A</c:v>
              </c:pt>
              <c:pt idx="840">
                <c:v>#N/A</c:v>
              </c:pt>
              <c:pt idx="841">
                <c:v>#N/A</c:v>
              </c:pt>
              <c:pt idx="842">
                <c:v>#N/A</c:v>
              </c:pt>
              <c:pt idx="843">
                <c:v>#N/A</c:v>
              </c:pt>
              <c:pt idx="844">
                <c:v>#N/A</c:v>
              </c:pt>
              <c:pt idx="845">
                <c:v>#N/A</c:v>
              </c:pt>
              <c:pt idx="846">
                <c:v>#N/A</c:v>
              </c:pt>
              <c:pt idx="847">
                <c:v>#N/A</c:v>
              </c:pt>
              <c:pt idx="848">
                <c:v>#N/A</c:v>
              </c:pt>
              <c:pt idx="849">
                <c:v>#N/A</c:v>
              </c:pt>
              <c:pt idx="850">
                <c:v>#N/A</c:v>
              </c:pt>
              <c:pt idx="851">
                <c:v>#N/A</c:v>
              </c:pt>
              <c:pt idx="852">
                <c:v>#N/A</c:v>
              </c:pt>
              <c:pt idx="853">
                <c:v>#N/A</c:v>
              </c:pt>
              <c:pt idx="854">
                <c:v>#N/A</c:v>
              </c:pt>
              <c:pt idx="855">
                <c:v>#N/A</c:v>
              </c:pt>
              <c:pt idx="856">
                <c:v>#N/A</c:v>
              </c:pt>
              <c:pt idx="857">
                <c:v>#N/A</c:v>
              </c:pt>
              <c:pt idx="858">
                <c:v>#N/A</c:v>
              </c:pt>
              <c:pt idx="859">
                <c:v>#N/A</c:v>
              </c:pt>
              <c:pt idx="860">
                <c:v>#N/A</c:v>
              </c:pt>
              <c:pt idx="861">
                <c:v>#N/A</c:v>
              </c:pt>
              <c:pt idx="862">
                <c:v>#N/A</c:v>
              </c:pt>
              <c:pt idx="863">
                <c:v>#N/A</c:v>
              </c:pt>
              <c:pt idx="864">
                <c:v>#N/A</c:v>
              </c:pt>
              <c:pt idx="865">
                <c:v>#N/A</c:v>
              </c:pt>
              <c:pt idx="866">
                <c:v>#N/A</c:v>
              </c:pt>
              <c:pt idx="867">
                <c:v>#N/A</c:v>
              </c:pt>
              <c:pt idx="868">
                <c:v>#N/A</c:v>
              </c:pt>
              <c:pt idx="869">
                <c:v>#N/A</c:v>
              </c:pt>
              <c:pt idx="870">
                <c:v>#N/A</c:v>
              </c:pt>
              <c:pt idx="871">
                <c:v>#N/A</c:v>
              </c:pt>
              <c:pt idx="872">
                <c:v>#N/A</c:v>
              </c:pt>
              <c:pt idx="873">
                <c:v>#N/A</c:v>
              </c:pt>
              <c:pt idx="874">
                <c:v>#N/A</c:v>
              </c:pt>
              <c:pt idx="875">
                <c:v>#N/A</c:v>
              </c:pt>
              <c:pt idx="876">
                <c:v>#N/A</c:v>
              </c:pt>
              <c:pt idx="877">
                <c:v>#N/A</c:v>
              </c:pt>
              <c:pt idx="878">
                <c:v>#N/A</c:v>
              </c:pt>
              <c:pt idx="879">
                <c:v>#N/A</c:v>
              </c:pt>
              <c:pt idx="880">
                <c:v>#N/A</c:v>
              </c:pt>
              <c:pt idx="881">
                <c:v>#N/A</c:v>
              </c:pt>
              <c:pt idx="882">
                <c:v>#N/A</c:v>
              </c:pt>
              <c:pt idx="883">
                <c:v>#N/A</c:v>
              </c:pt>
              <c:pt idx="884">
                <c:v>#N/A</c:v>
              </c:pt>
              <c:pt idx="885">
                <c:v>#N/A</c:v>
              </c:pt>
              <c:pt idx="886">
                <c:v>#N/A</c:v>
              </c:pt>
              <c:pt idx="887">
                <c:v>#N/A</c:v>
              </c:pt>
              <c:pt idx="888">
                <c:v>#N/A</c:v>
              </c:pt>
              <c:pt idx="889">
                <c:v>#N/A</c:v>
              </c:pt>
              <c:pt idx="890">
                <c:v>#N/A</c:v>
              </c:pt>
              <c:pt idx="891">
                <c:v>#N/A</c:v>
              </c:pt>
              <c:pt idx="892">
                <c:v>#N/A</c:v>
              </c:pt>
              <c:pt idx="893">
                <c:v>#N/A</c:v>
              </c:pt>
              <c:pt idx="894">
                <c:v>#N/A</c:v>
              </c:pt>
              <c:pt idx="895">
                <c:v>#N/A</c:v>
              </c:pt>
              <c:pt idx="896">
                <c:v>#N/A</c:v>
              </c:pt>
              <c:pt idx="897">
                <c:v>#N/A</c:v>
              </c:pt>
              <c:pt idx="898">
                <c:v>#N/A</c:v>
              </c:pt>
              <c:pt idx="899">
                <c:v>#N/A</c:v>
              </c:pt>
              <c:pt idx="900">
                <c:v>#N/A</c:v>
              </c:pt>
              <c:pt idx="901">
                <c:v>#N/A</c:v>
              </c:pt>
              <c:pt idx="902">
                <c:v>#N/A</c:v>
              </c:pt>
              <c:pt idx="903">
                <c:v>#N/A</c:v>
              </c:pt>
              <c:pt idx="904">
                <c:v>#N/A</c:v>
              </c:pt>
              <c:pt idx="905">
                <c:v>#N/A</c:v>
              </c:pt>
              <c:pt idx="906">
                <c:v>#N/A</c:v>
              </c:pt>
              <c:pt idx="907">
                <c:v>#N/A</c:v>
              </c:pt>
              <c:pt idx="908">
                <c:v>#N/A</c:v>
              </c:pt>
              <c:pt idx="909">
                <c:v>#N/A</c:v>
              </c:pt>
              <c:pt idx="910">
                <c:v>#N/A</c:v>
              </c:pt>
              <c:pt idx="911">
                <c:v>#N/A</c:v>
              </c:pt>
              <c:pt idx="912">
                <c:v>#N/A</c:v>
              </c:pt>
              <c:pt idx="913">
                <c:v>#N/A</c:v>
              </c:pt>
              <c:pt idx="914">
                <c:v>#N/A</c:v>
              </c:pt>
              <c:pt idx="915">
                <c:v>#N/A</c:v>
              </c:pt>
              <c:pt idx="916">
                <c:v>#N/A</c:v>
              </c:pt>
              <c:pt idx="917">
                <c:v>#N/A</c:v>
              </c:pt>
              <c:pt idx="918">
                <c:v>#N/A</c:v>
              </c:pt>
              <c:pt idx="919">
                <c:v>#N/A</c:v>
              </c:pt>
              <c:pt idx="920">
                <c:v>#N/A</c:v>
              </c:pt>
              <c:pt idx="921">
                <c:v>#N/A</c:v>
              </c:pt>
              <c:pt idx="922">
                <c:v>#N/A</c:v>
              </c:pt>
              <c:pt idx="923">
                <c:v>#N/A</c:v>
              </c:pt>
              <c:pt idx="924">
                <c:v>#N/A</c:v>
              </c:pt>
              <c:pt idx="925">
                <c:v>#N/A</c:v>
              </c:pt>
              <c:pt idx="926">
                <c:v>#N/A</c:v>
              </c:pt>
              <c:pt idx="927">
                <c:v>#N/A</c:v>
              </c:pt>
              <c:pt idx="928">
                <c:v>#N/A</c:v>
              </c:pt>
              <c:pt idx="929">
                <c:v>#N/A</c:v>
              </c:pt>
              <c:pt idx="930">
                <c:v>#N/A</c:v>
              </c:pt>
              <c:pt idx="931">
                <c:v>#N/A</c:v>
              </c:pt>
              <c:pt idx="932">
                <c:v>#N/A</c:v>
              </c:pt>
              <c:pt idx="933">
                <c:v>#N/A</c:v>
              </c:pt>
              <c:pt idx="934">
                <c:v>#N/A</c:v>
              </c:pt>
              <c:pt idx="935">
                <c:v>#N/A</c:v>
              </c:pt>
              <c:pt idx="936">
                <c:v>#N/A</c:v>
              </c:pt>
              <c:pt idx="937">
                <c:v>#N/A</c:v>
              </c:pt>
              <c:pt idx="938">
                <c:v>#N/A</c:v>
              </c:pt>
              <c:pt idx="939">
                <c:v>#N/A</c:v>
              </c:pt>
              <c:pt idx="940">
                <c:v>#N/A</c:v>
              </c:pt>
              <c:pt idx="941">
                <c:v>#N/A</c:v>
              </c:pt>
              <c:pt idx="942">
                <c:v>#N/A</c:v>
              </c:pt>
              <c:pt idx="943">
                <c:v>#N/A</c:v>
              </c:pt>
              <c:pt idx="944">
                <c:v>#N/A</c:v>
              </c:pt>
              <c:pt idx="945">
                <c:v>#N/A</c:v>
              </c:pt>
              <c:pt idx="946">
                <c:v>#N/A</c:v>
              </c:pt>
              <c:pt idx="947">
                <c:v>#N/A</c:v>
              </c:pt>
              <c:pt idx="948">
                <c:v>#N/A</c:v>
              </c:pt>
              <c:pt idx="949">
                <c:v>#N/A</c:v>
              </c:pt>
              <c:pt idx="950">
                <c:v>#N/A</c:v>
              </c:pt>
              <c:pt idx="951">
                <c:v>#N/A</c:v>
              </c:pt>
              <c:pt idx="952">
                <c:v>#N/A</c:v>
              </c:pt>
              <c:pt idx="953">
                <c:v>#N/A</c:v>
              </c:pt>
              <c:pt idx="954">
                <c:v>#N/A</c:v>
              </c:pt>
              <c:pt idx="955">
                <c:v>#N/A</c:v>
              </c:pt>
              <c:pt idx="956">
                <c:v>#N/A</c:v>
              </c:pt>
              <c:pt idx="957">
                <c:v>#N/A</c:v>
              </c:pt>
              <c:pt idx="958">
                <c:v>#N/A</c:v>
              </c:pt>
              <c:pt idx="959">
                <c:v>#N/A</c:v>
              </c:pt>
              <c:pt idx="960">
                <c:v>#N/A</c:v>
              </c:pt>
              <c:pt idx="961">
                <c:v>#N/A</c:v>
              </c:pt>
              <c:pt idx="962">
                <c:v>#N/A</c:v>
              </c:pt>
              <c:pt idx="963">
                <c:v>#N/A</c:v>
              </c:pt>
              <c:pt idx="964">
                <c:v>#N/A</c:v>
              </c:pt>
              <c:pt idx="965">
                <c:v>#N/A</c:v>
              </c:pt>
              <c:pt idx="966">
                <c:v>#N/A</c:v>
              </c:pt>
              <c:pt idx="967">
                <c:v>#N/A</c:v>
              </c:pt>
              <c:pt idx="968">
                <c:v>#N/A</c:v>
              </c:pt>
              <c:pt idx="969">
                <c:v>#N/A</c:v>
              </c:pt>
              <c:pt idx="970">
                <c:v>#N/A</c:v>
              </c:pt>
              <c:pt idx="971">
                <c:v>#N/A</c:v>
              </c:pt>
              <c:pt idx="972">
                <c:v>#N/A</c:v>
              </c:pt>
              <c:pt idx="973">
                <c:v>#N/A</c:v>
              </c:pt>
              <c:pt idx="974">
                <c:v>#N/A</c:v>
              </c:pt>
              <c:pt idx="975">
                <c:v>#N/A</c:v>
              </c:pt>
              <c:pt idx="976">
                <c:v>#N/A</c:v>
              </c:pt>
              <c:pt idx="977">
                <c:v>#N/A</c:v>
              </c:pt>
              <c:pt idx="978">
                <c:v>#N/A</c:v>
              </c:pt>
              <c:pt idx="979">
                <c:v>#N/A</c:v>
              </c:pt>
              <c:pt idx="980">
                <c:v>#N/A</c:v>
              </c:pt>
              <c:pt idx="981">
                <c:v>#N/A</c:v>
              </c:pt>
              <c:pt idx="982">
                <c:v>#N/A</c:v>
              </c:pt>
              <c:pt idx="983">
                <c:v>#N/A</c:v>
              </c:pt>
              <c:pt idx="984">
                <c:v>#N/A</c:v>
              </c:pt>
              <c:pt idx="985">
                <c:v>#N/A</c:v>
              </c:pt>
              <c:pt idx="986">
                <c:v>#N/A</c:v>
              </c:pt>
              <c:pt idx="987">
                <c:v>#N/A</c:v>
              </c:pt>
              <c:pt idx="988">
                <c:v>#N/A</c:v>
              </c:pt>
              <c:pt idx="989">
                <c:v>#N/A</c:v>
              </c:pt>
              <c:pt idx="990">
                <c:v>#N/A</c:v>
              </c:pt>
              <c:pt idx="991">
                <c:v>#N/A</c:v>
              </c:pt>
              <c:pt idx="992">
                <c:v>#N/A</c:v>
              </c:pt>
              <c:pt idx="993">
                <c:v>#N/A</c:v>
              </c:pt>
              <c:pt idx="994">
                <c:v>#N/A</c:v>
              </c:pt>
              <c:pt idx="995">
                <c:v>#N/A</c:v>
              </c:pt>
              <c:pt idx="996">
                <c:v>#N/A</c:v>
              </c:pt>
              <c:pt idx="997">
                <c:v>#N/A</c:v>
              </c:pt>
              <c:pt idx="998">
                <c:v>#N/A</c:v>
              </c:pt>
              <c:pt idx="999">
                <c:v>#N/A</c:v>
              </c:pt>
              <c:pt idx="1000">
                <c:v>#N/A</c:v>
              </c:pt>
              <c:pt idx="1001">
                <c:v>#N/A</c:v>
              </c:pt>
              <c:pt idx="1002">
                <c:v>#N/A</c:v>
              </c:pt>
              <c:pt idx="1003">
                <c:v>#N/A</c:v>
              </c:pt>
              <c:pt idx="1004">
                <c:v>#N/A</c:v>
              </c:pt>
              <c:pt idx="1005">
                <c:v>#N/A</c:v>
              </c:pt>
              <c:pt idx="1006">
                <c:v>#N/A</c:v>
              </c:pt>
              <c:pt idx="1007">
                <c:v>#N/A</c:v>
              </c:pt>
              <c:pt idx="1008">
                <c:v>#N/A</c:v>
              </c:pt>
              <c:pt idx="1009">
                <c:v>#N/A</c:v>
              </c:pt>
              <c:pt idx="1010">
                <c:v>#N/A</c:v>
              </c:pt>
              <c:pt idx="1011">
                <c:v>#N/A</c:v>
              </c:pt>
              <c:pt idx="1012">
                <c:v>#N/A</c:v>
              </c:pt>
              <c:pt idx="1013">
                <c:v>#N/A</c:v>
              </c:pt>
              <c:pt idx="1014">
                <c:v>#N/A</c:v>
              </c:pt>
              <c:pt idx="1015">
                <c:v>#N/A</c:v>
              </c:pt>
              <c:pt idx="1016">
                <c:v>#N/A</c:v>
              </c:pt>
              <c:pt idx="1017">
                <c:v>#N/A</c:v>
              </c:pt>
              <c:pt idx="1018">
                <c:v>#N/A</c:v>
              </c:pt>
              <c:pt idx="1019">
                <c:v>#N/A</c:v>
              </c:pt>
              <c:pt idx="1020">
                <c:v>#N/A</c:v>
              </c:pt>
              <c:pt idx="1021">
                <c:v>#N/A</c:v>
              </c:pt>
              <c:pt idx="1022">
                <c:v>#N/A</c:v>
              </c:pt>
              <c:pt idx="1023">
                <c:v>#N/A</c:v>
              </c:pt>
              <c:pt idx="1024">
                <c:v>#N/A</c:v>
              </c:pt>
              <c:pt idx="1025">
                <c:v>#N/A</c:v>
              </c:pt>
              <c:pt idx="1026">
                <c:v>#N/A</c:v>
              </c:pt>
              <c:pt idx="1027">
                <c:v>#N/A</c:v>
              </c:pt>
              <c:pt idx="1028">
                <c:v>#N/A</c:v>
              </c:pt>
              <c:pt idx="1029">
                <c:v>#N/A</c:v>
              </c:pt>
              <c:pt idx="1030">
                <c:v>#N/A</c:v>
              </c:pt>
              <c:pt idx="1031">
                <c:v>#N/A</c:v>
              </c:pt>
              <c:pt idx="1032">
                <c:v>#N/A</c:v>
              </c:pt>
              <c:pt idx="1033">
                <c:v>#N/A</c:v>
              </c:pt>
              <c:pt idx="1034">
                <c:v>#N/A</c:v>
              </c:pt>
              <c:pt idx="1035">
                <c:v>#N/A</c:v>
              </c:pt>
              <c:pt idx="1036">
                <c:v>#N/A</c:v>
              </c:pt>
              <c:pt idx="1037">
                <c:v>#N/A</c:v>
              </c:pt>
              <c:pt idx="1038">
                <c:v>#N/A</c:v>
              </c:pt>
              <c:pt idx="1039">
                <c:v>#N/A</c:v>
              </c:pt>
              <c:pt idx="1040">
                <c:v>#N/A</c:v>
              </c:pt>
              <c:pt idx="1041">
                <c:v>#N/A</c:v>
              </c:pt>
              <c:pt idx="1042">
                <c:v>#N/A</c:v>
              </c:pt>
              <c:pt idx="1043">
                <c:v>#N/A</c:v>
              </c:pt>
              <c:pt idx="1044">
                <c:v>#N/A</c:v>
              </c:pt>
              <c:pt idx="1045">
                <c:v>#N/A</c:v>
              </c:pt>
              <c:pt idx="1046">
                <c:v>#N/A</c:v>
              </c:pt>
              <c:pt idx="1047">
                <c:v>#N/A</c:v>
              </c:pt>
              <c:pt idx="1048">
                <c:v>#N/A</c:v>
              </c:pt>
              <c:pt idx="1049">
                <c:v>#N/A</c:v>
              </c:pt>
              <c:pt idx="1050">
                <c:v>#N/A</c:v>
              </c:pt>
              <c:pt idx="1051">
                <c:v>#N/A</c:v>
              </c:pt>
              <c:pt idx="1052">
                <c:v>#N/A</c:v>
              </c:pt>
              <c:pt idx="1053">
                <c:v>#N/A</c:v>
              </c:pt>
              <c:pt idx="1054">
                <c:v>#N/A</c:v>
              </c:pt>
              <c:pt idx="1055">
                <c:v>#N/A</c:v>
              </c:pt>
              <c:pt idx="1056">
                <c:v>#N/A</c:v>
              </c:pt>
              <c:pt idx="1057">
                <c:v>#N/A</c:v>
              </c:pt>
              <c:pt idx="1058">
                <c:v>#N/A</c:v>
              </c:pt>
              <c:pt idx="1059">
                <c:v>#N/A</c:v>
              </c:pt>
              <c:pt idx="1060">
                <c:v>#N/A</c:v>
              </c:pt>
              <c:pt idx="1061">
                <c:v>#N/A</c:v>
              </c:pt>
              <c:pt idx="1062">
                <c:v>#N/A</c:v>
              </c:pt>
              <c:pt idx="1063">
                <c:v>#N/A</c:v>
              </c:pt>
              <c:pt idx="1064">
                <c:v>#N/A</c:v>
              </c:pt>
              <c:pt idx="1065">
                <c:v>#N/A</c:v>
              </c:pt>
              <c:pt idx="1066">
                <c:v>#N/A</c:v>
              </c:pt>
              <c:pt idx="1067">
                <c:v>#N/A</c:v>
              </c:pt>
              <c:pt idx="1068">
                <c:v>#N/A</c:v>
              </c:pt>
              <c:pt idx="1069">
                <c:v>#N/A</c:v>
              </c:pt>
              <c:pt idx="1070">
                <c:v>#N/A</c:v>
              </c:pt>
              <c:pt idx="1071">
                <c:v>#N/A</c:v>
              </c:pt>
              <c:pt idx="1072">
                <c:v>#N/A</c:v>
              </c:pt>
              <c:pt idx="1073">
                <c:v>#N/A</c:v>
              </c:pt>
              <c:pt idx="1074">
                <c:v>#N/A</c:v>
              </c:pt>
              <c:pt idx="1075">
                <c:v>#N/A</c:v>
              </c:pt>
              <c:pt idx="1076">
                <c:v>#N/A</c:v>
              </c:pt>
              <c:pt idx="1077">
                <c:v>#N/A</c:v>
              </c:pt>
              <c:pt idx="1078">
                <c:v>#N/A</c:v>
              </c:pt>
              <c:pt idx="1079">
                <c:v>#N/A</c:v>
              </c:pt>
              <c:pt idx="1080">
                <c:v>#N/A</c:v>
              </c:pt>
              <c:pt idx="1081">
                <c:v>#N/A</c:v>
              </c:pt>
              <c:pt idx="1082">
                <c:v>#N/A</c:v>
              </c:pt>
              <c:pt idx="1083">
                <c:v>#N/A</c:v>
              </c:pt>
              <c:pt idx="1084">
                <c:v>#N/A</c:v>
              </c:pt>
              <c:pt idx="1085">
                <c:v>#N/A</c:v>
              </c:pt>
              <c:pt idx="1086">
                <c:v>#N/A</c:v>
              </c:pt>
              <c:pt idx="1087">
                <c:v>#N/A</c:v>
              </c:pt>
              <c:pt idx="1088">
                <c:v>#N/A</c:v>
              </c:pt>
              <c:pt idx="1089">
                <c:v>#N/A</c:v>
              </c:pt>
              <c:pt idx="1090">
                <c:v>#N/A</c:v>
              </c:pt>
              <c:pt idx="1091">
                <c:v>#N/A</c:v>
              </c:pt>
              <c:pt idx="1092">
                <c:v>#N/A</c:v>
              </c:pt>
              <c:pt idx="1093">
                <c:v>#N/A</c:v>
              </c:pt>
              <c:pt idx="1094">
                <c:v>#N/A</c:v>
              </c:pt>
              <c:pt idx="1095">
                <c:v>#N/A</c:v>
              </c:pt>
              <c:pt idx="1096">
                <c:v>#N/A</c:v>
              </c:pt>
              <c:pt idx="1097">
                <c:v>#N/A</c:v>
              </c:pt>
              <c:pt idx="1098">
                <c:v>#N/A</c:v>
              </c:pt>
              <c:pt idx="1099">
                <c:v>#N/A</c:v>
              </c:pt>
              <c:pt idx="1100">
                <c:v>#N/A</c:v>
              </c:pt>
              <c:pt idx="1101">
                <c:v>#N/A</c:v>
              </c:pt>
              <c:pt idx="1102">
                <c:v>#N/A</c:v>
              </c:pt>
              <c:pt idx="1103">
                <c:v>#N/A</c:v>
              </c:pt>
              <c:pt idx="1104">
                <c:v>#N/A</c:v>
              </c:pt>
              <c:pt idx="1105">
                <c:v>#N/A</c:v>
              </c:pt>
              <c:pt idx="1106">
                <c:v>#N/A</c:v>
              </c:pt>
              <c:pt idx="1107">
                <c:v>#N/A</c:v>
              </c:pt>
              <c:pt idx="1108">
                <c:v>#N/A</c:v>
              </c:pt>
              <c:pt idx="1109">
                <c:v>#N/A</c:v>
              </c:pt>
              <c:pt idx="1110">
                <c:v>#N/A</c:v>
              </c:pt>
              <c:pt idx="1111">
                <c:v>#N/A</c:v>
              </c:pt>
              <c:pt idx="1112">
                <c:v>#N/A</c:v>
              </c:pt>
              <c:pt idx="1113">
                <c:v>#N/A</c:v>
              </c:pt>
              <c:pt idx="1114">
                <c:v>#N/A</c:v>
              </c:pt>
              <c:pt idx="1115">
                <c:v>#N/A</c:v>
              </c:pt>
              <c:pt idx="1116">
                <c:v>#N/A</c:v>
              </c:pt>
              <c:pt idx="1117">
                <c:v>#N/A</c:v>
              </c:pt>
              <c:pt idx="1118">
                <c:v>#N/A</c:v>
              </c:pt>
              <c:pt idx="1119">
                <c:v>#N/A</c:v>
              </c:pt>
              <c:pt idx="1120">
                <c:v>#N/A</c:v>
              </c:pt>
              <c:pt idx="1121">
                <c:v>#N/A</c:v>
              </c:pt>
              <c:pt idx="1122">
                <c:v>#N/A</c:v>
              </c:pt>
              <c:pt idx="1123">
                <c:v>#N/A</c:v>
              </c:pt>
              <c:pt idx="1124">
                <c:v>#N/A</c:v>
              </c:pt>
              <c:pt idx="1125">
                <c:v>#N/A</c:v>
              </c:pt>
              <c:pt idx="1126">
                <c:v>#N/A</c:v>
              </c:pt>
              <c:pt idx="1127">
                <c:v>#N/A</c:v>
              </c:pt>
              <c:pt idx="1128">
                <c:v>#N/A</c:v>
              </c:pt>
              <c:pt idx="1129">
                <c:v>#N/A</c:v>
              </c:pt>
              <c:pt idx="1130">
                <c:v>#N/A</c:v>
              </c:pt>
              <c:pt idx="1131">
                <c:v>#N/A</c:v>
              </c:pt>
              <c:pt idx="1132">
                <c:v>#N/A</c:v>
              </c:pt>
              <c:pt idx="1133">
                <c:v>#N/A</c:v>
              </c:pt>
              <c:pt idx="1134">
                <c:v>#N/A</c:v>
              </c:pt>
              <c:pt idx="1135">
                <c:v>#N/A</c:v>
              </c:pt>
              <c:pt idx="1136">
                <c:v>#N/A</c:v>
              </c:pt>
              <c:pt idx="1137">
                <c:v>#N/A</c:v>
              </c:pt>
              <c:pt idx="1138">
                <c:v>#N/A</c:v>
              </c:pt>
              <c:pt idx="1139">
                <c:v>#N/A</c:v>
              </c:pt>
              <c:pt idx="1140">
                <c:v>#N/A</c:v>
              </c:pt>
              <c:pt idx="1141">
                <c:v>#N/A</c:v>
              </c:pt>
              <c:pt idx="1142">
                <c:v>#N/A</c:v>
              </c:pt>
              <c:pt idx="1143">
                <c:v>#N/A</c:v>
              </c:pt>
              <c:pt idx="1144">
                <c:v>#N/A</c:v>
              </c:pt>
              <c:pt idx="1145">
                <c:v>#N/A</c:v>
              </c:pt>
              <c:pt idx="1146">
                <c:v>#N/A</c:v>
              </c:pt>
              <c:pt idx="1147">
                <c:v>#N/A</c:v>
              </c:pt>
              <c:pt idx="1148">
                <c:v>#N/A</c:v>
              </c:pt>
              <c:pt idx="1149">
                <c:v>#N/A</c:v>
              </c:pt>
              <c:pt idx="1150">
                <c:v>#N/A</c:v>
              </c:pt>
              <c:pt idx="1151">
                <c:v>#N/A</c:v>
              </c:pt>
              <c:pt idx="1152">
                <c:v>#N/A</c:v>
              </c:pt>
              <c:pt idx="1153">
                <c:v>#N/A</c:v>
              </c:pt>
              <c:pt idx="1154">
                <c:v>#N/A</c:v>
              </c:pt>
              <c:pt idx="1155">
                <c:v>#N/A</c:v>
              </c:pt>
              <c:pt idx="1156">
                <c:v>#N/A</c:v>
              </c:pt>
              <c:pt idx="1157">
                <c:v>#N/A</c:v>
              </c:pt>
              <c:pt idx="1158">
                <c:v>#N/A</c:v>
              </c:pt>
              <c:pt idx="1159">
                <c:v>#N/A</c:v>
              </c:pt>
              <c:pt idx="1160">
                <c:v>#N/A</c:v>
              </c:pt>
              <c:pt idx="1161">
                <c:v>#N/A</c:v>
              </c:pt>
              <c:pt idx="1162">
                <c:v>#N/A</c:v>
              </c:pt>
              <c:pt idx="1163">
                <c:v>#N/A</c:v>
              </c:pt>
              <c:pt idx="1164">
                <c:v>#N/A</c:v>
              </c:pt>
              <c:pt idx="1165">
                <c:v>#N/A</c:v>
              </c:pt>
              <c:pt idx="1166">
                <c:v>#N/A</c:v>
              </c:pt>
              <c:pt idx="1167">
                <c:v>#N/A</c:v>
              </c:pt>
              <c:pt idx="1168">
                <c:v>#N/A</c:v>
              </c:pt>
              <c:pt idx="1169">
                <c:v>#N/A</c:v>
              </c:pt>
              <c:pt idx="1170">
                <c:v>#N/A</c:v>
              </c:pt>
              <c:pt idx="1171">
                <c:v>#N/A</c:v>
              </c:pt>
              <c:pt idx="1172">
                <c:v>#N/A</c:v>
              </c:pt>
              <c:pt idx="1173">
                <c:v>#N/A</c:v>
              </c:pt>
              <c:pt idx="1174">
                <c:v>#N/A</c:v>
              </c:pt>
              <c:pt idx="1175">
                <c:v>#N/A</c:v>
              </c:pt>
              <c:pt idx="1176">
                <c:v>#N/A</c:v>
              </c:pt>
              <c:pt idx="1177">
                <c:v>#N/A</c:v>
              </c:pt>
              <c:pt idx="1178">
                <c:v>#N/A</c:v>
              </c:pt>
              <c:pt idx="1179">
                <c:v>#N/A</c:v>
              </c:pt>
              <c:pt idx="1180">
                <c:v>#N/A</c:v>
              </c:pt>
              <c:pt idx="1181">
                <c:v>#N/A</c:v>
              </c:pt>
              <c:pt idx="1182">
                <c:v>#N/A</c:v>
              </c:pt>
              <c:pt idx="1183">
                <c:v>#N/A</c:v>
              </c:pt>
              <c:pt idx="1184">
                <c:v>#N/A</c:v>
              </c:pt>
              <c:pt idx="1185">
                <c:v>#N/A</c:v>
              </c:pt>
              <c:pt idx="1186">
                <c:v>#N/A</c:v>
              </c:pt>
              <c:pt idx="1187">
                <c:v>#N/A</c:v>
              </c:pt>
              <c:pt idx="1188">
                <c:v>#N/A</c:v>
              </c:pt>
              <c:pt idx="1189">
                <c:v>#N/A</c:v>
              </c:pt>
              <c:pt idx="1190">
                <c:v>#N/A</c:v>
              </c:pt>
              <c:pt idx="1191">
                <c:v>#N/A</c:v>
              </c:pt>
              <c:pt idx="1192">
                <c:v>#N/A</c:v>
              </c:pt>
              <c:pt idx="1193">
                <c:v>#N/A</c:v>
              </c:pt>
              <c:pt idx="1194">
                <c:v>#N/A</c:v>
              </c:pt>
              <c:pt idx="1195">
                <c:v>#N/A</c:v>
              </c:pt>
              <c:pt idx="1196">
                <c:v>#N/A</c:v>
              </c:pt>
              <c:pt idx="1197">
                <c:v>#N/A</c:v>
              </c:pt>
              <c:pt idx="1198">
                <c:v>#N/A</c:v>
              </c:pt>
              <c:pt idx="1199">
                <c:v>#N/A</c:v>
              </c:pt>
              <c:pt idx="1200">
                <c:v>#N/A</c:v>
              </c:pt>
              <c:pt idx="1201">
                <c:v>#N/A</c:v>
              </c:pt>
              <c:pt idx="1202">
                <c:v>#N/A</c:v>
              </c:pt>
              <c:pt idx="1203">
                <c:v>#N/A</c:v>
              </c:pt>
              <c:pt idx="1204">
                <c:v>#N/A</c:v>
              </c:pt>
              <c:pt idx="1205">
                <c:v>#N/A</c:v>
              </c:pt>
              <c:pt idx="1206">
                <c:v>#N/A</c:v>
              </c:pt>
              <c:pt idx="1207">
                <c:v>#N/A</c:v>
              </c:pt>
              <c:pt idx="1208">
                <c:v>#N/A</c:v>
              </c:pt>
              <c:pt idx="1209">
                <c:v>#N/A</c:v>
              </c:pt>
              <c:pt idx="1210">
                <c:v>#N/A</c:v>
              </c:pt>
              <c:pt idx="1211">
                <c:v>#N/A</c:v>
              </c:pt>
              <c:pt idx="1212">
                <c:v>#N/A</c:v>
              </c:pt>
              <c:pt idx="1213">
                <c:v>#N/A</c:v>
              </c:pt>
              <c:pt idx="1214">
                <c:v>#N/A</c:v>
              </c:pt>
              <c:pt idx="1215">
                <c:v>#N/A</c:v>
              </c:pt>
              <c:pt idx="1216">
                <c:v>#N/A</c:v>
              </c:pt>
              <c:pt idx="1217">
                <c:v>#N/A</c:v>
              </c:pt>
              <c:pt idx="1218">
                <c:v>#N/A</c:v>
              </c:pt>
              <c:pt idx="1219">
                <c:v>#N/A</c:v>
              </c:pt>
              <c:pt idx="1220">
                <c:v>#N/A</c:v>
              </c:pt>
              <c:pt idx="1221">
                <c:v>#N/A</c:v>
              </c:pt>
              <c:pt idx="1222">
                <c:v>#N/A</c:v>
              </c:pt>
              <c:pt idx="1223">
                <c:v>#N/A</c:v>
              </c:pt>
              <c:pt idx="1224">
                <c:v>#N/A</c:v>
              </c:pt>
              <c:pt idx="1225">
                <c:v>#N/A</c:v>
              </c:pt>
              <c:pt idx="1226">
                <c:v>#N/A</c:v>
              </c:pt>
              <c:pt idx="1227">
                <c:v>#N/A</c:v>
              </c:pt>
              <c:pt idx="1228">
                <c:v>#N/A</c:v>
              </c:pt>
              <c:pt idx="1229">
                <c:v>#N/A</c:v>
              </c:pt>
              <c:pt idx="1230">
                <c:v>#N/A</c:v>
              </c:pt>
              <c:pt idx="1231">
                <c:v>#N/A</c:v>
              </c:pt>
              <c:pt idx="1232">
                <c:v>#N/A</c:v>
              </c:pt>
              <c:pt idx="1233">
                <c:v>#N/A</c:v>
              </c:pt>
              <c:pt idx="1234">
                <c:v>#N/A</c:v>
              </c:pt>
              <c:pt idx="1235">
                <c:v>#N/A</c:v>
              </c:pt>
              <c:pt idx="1236">
                <c:v>#N/A</c:v>
              </c:pt>
              <c:pt idx="1237">
                <c:v>#N/A</c:v>
              </c:pt>
              <c:pt idx="1238">
                <c:v>#N/A</c:v>
              </c:pt>
              <c:pt idx="1239">
                <c:v>#N/A</c:v>
              </c:pt>
              <c:pt idx="1240">
                <c:v>#N/A</c:v>
              </c:pt>
              <c:pt idx="1241">
                <c:v>#N/A</c:v>
              </c:pt>
              <c:pt idx="1242">
                <c:v>#N/A</c:v>
              </c:pt>
              <c:pt idx="1243">
                <c:v>#N/A</c:v>
              </c:pt>
              <c:pt idx="1244">
                <c:v>#N/A</c:v>
              </c:pt>
              <c:pt idx="1245">
                <c:v>#N/A</c:v>
              </c:pt>
              <c:pt idx="1246">
                <c:v>#N/A</c:v>
              </c:pt>
              <c:pt idx="1247">
                <c:v>#N/A</c:v>
              </c:pt>
              <c:pt idx="1248">
                <c:v>#N/A</c:v>
              </c:pt>
              <c:pt idx="1249">
                <c:v>#N/A</c:v>
              </c:pt>
              <c:pt idx="1250">
                <c:v>#N/A</c:v>
              </c:pt>
              <c:pt idx="1251">
                <c:v>#N/A</c:v>
              </c:pt>
              <c:pt idx="1252">
                <c:v>#N/A</c:v>
              </c:pt>
              <c:pt idx="1253">
                <c:v>#N/A</c:v>
              </c:pt>
              <c:pt idx="1254">
                <c:v>#N/A</c:v>
              </c:pt>
              <c:pt idx="1255">
                <c:v>#N/A</c:v>
              </c:pt>
              <c:pt idx="1256">
                <c:v>#N/A</c:v>
              </c:pt>
              <c:pt idx="1257">
                <c:v>#N/A</c:v>
              </c:pt>
              <c:pt idx="1258">
                <c:v>#N/A</c:v>
              </c:pt>
              <c:pt idx="1259">
                <c:v>#N/A</c:v>
              </c:pt>
              <c:pt idx="1260">
                <c:v>#N/A</c:v>
              </c:pt>
              <c:pt idx="1261">
                <c:v>#N/A</c:v>
              </c:pt>
              <c:pt idx="1262">
                <c:v>#N/A</c:v>
              </c:pt>
              <c:pt idx="1263">
                <c:v>#N/A</c:v>
              </c:pt>
              <c:pt idx="1264">
                <c:v>#N/A</c:v>
              </c:pt>
              <c:pt idx="1265">
                <c:v>#N/A</c:v>
              </c:pt>
              <c:pt idx="1266">
                <c:v>#N/A</c:v>
              </c:pt>
              <c:pt idx="1267">
                <c:v>#N/A</c:v>
              </c:pt>
              <c:pt idx="1268">
                <c:v>#N/A</c:v>
              </c:pt>
              <c:pt idx="1269">
                <c:v>#N/A</c:v>
              </c:pt>
              <c:pt idx="1270">
                <c:v>#N/A</c:v>
              </c:pt>
              <c:pt idx="1271">
                <c:v>#N/A</c:v>
              </c:pt>
              <c:pt idx="1272">
                <c:v>#N/A</c:v>
              </c:pt>
              <c:pt idx="1273">
                <c:v>#N/A</c:v>
              </c:pt>
              <c:pt idx="1274">
                <c:v>#N/A</c:v>
              </c:pt>
              <c:pt idx="1275">
                <c:v>#N/A</c:v>
              </c:pt>
              <c:pt idx="1276">
                <c:v>#N/A</c:v>
              </c:pt>
              <c:pt idx="1277">
                <c:v>#N/A</c:v>
              </c:pt>
              <c:pt idx="1278">
                <c:v>#N/A</c:v>
              </c:pt>
              <c:pt idx="1279">
                <c:v>#N/A</c:v>
              </c:pt>
              <c:pt idx="1280">
                <c:v>#N/A</c:v>
              </c:pt>
              <c:pt idx="1281">
                <c:v>#N/A</c:v>
              </c:pt>
              <c:pt idx="1282">
                <c:v>#N/A</c:v>
              </c:pt>
              <c:pt idx="1283">
                <c:v>#N/A</c:v>
              </c:pt>
              <c:pt idx="1284">
                <c:v>#N/A</c:v>
              </c:pt>
              <c:pt idx="1285">
                <c:v>#N/A</c:v>
              </c:pt>
              <c:pt idx="1286">
                <c:v>#N/A</c:v>
              </c:pt>
              <c:pt idx="1287">
                <c:v>#N/A</c:v>
              </c:pt>
              <c:pt idx="1288">
                <c:v>#N/A</c:v>
              </c:pt>
              <c:pt idx="1289">
                <c:v>#N/A</c:v>
              </c:pt>
              <c:pt idx="1290">
                <c:v>#N/A</c:v>
              </c:pt>
              <c:pt idx="1291">
                <c:v>#N/A</c:v>
              </c:pt>
              <c:pt idx="1292">
                <c:v>#N/A</c:v>
              </c:pt>
              <c:pt idx="1293">
                <c:v>#N/A</c:v>
              </c:pt>
              <c:pt idx="1294">
                <c:v>#N/A</c:v>
              </c:pt>
              <c:pt idx="1295">
                <c:v>#N/A</c:v>
              </c:pt>
              <c:pt idx="1296">
                <c:v>#N/A</c:v>
              </c:pt>
              <c:pt idx="1297">
                <c:v>#N/A</c:v>
              </c:pt>
              <c:pt idx="1298">
                <c:v>#N/A</c:v>
              </c:pt>
              <c:pt idx="1299">
                <c:v>#N/A</c:v>
              </c:pt>
              <c:pt idx="1300">
                <c:v>#N/A</c:v>
              </c:pt>
              <c:pt idx="1301">
                <c:v>#N/A</c:v>
              </c:pt>
              <c:pt idx="1302">
                <c:v>#N/A</c:v>
              </c:pt>
              <c:pt idx="1303">
                <c:v>#N/A</c:v>
              </c:pt>
              <c:pt idx="1304">
                <c:v>#N/A</c:v>
              </c:pt>
              <c:pt idx="1305">
                <c:v>#N/A</c:v>
              </c:pt>
              <c:pt idx="1306">
                <c:v>#N/A</c:v>
              </c:pt>
              <c:pt idx="1307">
                <c:v>#N/A</c:v>
              </c:pt>
              <c:pt idx="1308">
                <c:v>#N/A</c:v>
              </c:pt>
              <c:pt idx="1309">
                <c:v>#N/A</c:v>
              </c:pt>
              <c:pt idx="1310">
                <c:v>#N/A</c:v>
              </c:pt>
              <c:pt idx="1311">
                <c:v>#N/A</c:v>
              </c:pt>
              <c:pt idx="1312">
                <c:v>#N/A</c:v>
              </c:pt>
              <c:pt idx="1313">
                <c:v>#N/A</c:v>
              </c:pt>
              <c:pt idx="1314">
                <c:v>#N/A</c:v>
              </c:pt>
              <c:pt idx="1315">
                <c:v>#N/A</c:v>
              </c:pt>
              <c:pt idx="1316">
                <c:v>#N/A</c:v>
              </c:pt>
              <c:pt idx="1317">
                <c:v>#N/A</c:v>
              </c:pt>
              <c:pt idx="1318">
                <c:v>#N/A</c:v>
              </c:pt>
              <c:pt idx="1319">
                <c:v>#N/A</c:v>
              </c:pt>
              <c:pt idx="1320">
                <c:v>#N/A</c:v>
              </c:pt>
              <c:pt idx="1321">
                <c:v>#N/A</c:v>
              </c:pt>
              <c:pt idx="1322">
                <c:v>#N/A</c:v>
              </c:pt>
              <c:pt idx="1323">
                <c:v>#N/A</c:v>
              </c:pt>
              <c:pt idx="1324">
                <c:v>#N/A</c:v>
              </c:pt>
              <c:pt idx="1325">
                <c:v>#N/A</c:v>
              </c:pt>
              <c:pt idx="1326">
                <c:v>#N/A</c:v>
              </c:pt>
              <c:pt idx="1327">
                <c:v>#N/A</c:v>
              </c:pt>
              <c:pt idx="1328">
                <c:v>#N/A</c:v>
              </c:pt>
              <c:pt idx="1329">
                <c:v>#N/A</c:v>
              </c:pt>
              <c:pt idx="1330">
                <c:v>#N/A</c:v>
              </c:pt>
              <c:pt idx="1331">
                <c:v>#N/A</c:v>
              </c:pt>
              <c:pt idx="1332">
                <c:v>#N/A</c:v>
              </c:pt>
              <c:pt idx="1333">
                <c:v>#N/A</c:v>
              </c:pt>
              <c:pt idx="1334">
                <c:v>#N/A</c:v>
              </c:pt>
              <c:pt idx="1335">
                <c:v>#N/A</c:v>
              </c:pt>
              <c:pt idx="1336">
                <c:v>#N/A</c:v>
              </c:pt>
              <c:pt idx="1337">
                <c:v>#N/A</c:v>
              </c:pt>
              <c:pt idx="1338">
                <c:v>#N/A</c:v>
              </c:pt>
              <c:pt idx="1339">
                <c:v>#N/A</c:v>
              </c:pt>
              <c:pt idx="1340">
                <c:v>#N/A</c:v>
              </c:pt>
              <c:pt idx="1341">
                <c:v>#N/A</c:v>
              </c:pt>
              <c:pt idx="1342">
                <c:v>#N/A</c:v>
              </c:pt>
              <c:pt idx="1343">
                <c:v>#N/A</c:v>
              </c:pt>
              <c:pt idx="1344">
                <c:v>#N/A</c:v>
              </c:pt>
              <c:pt idx="1345">
                <c:v>#N/A</c:v>
              </c:pt>
              <c:pt idx="1346">
                <c:v>#N/A</c:v>
              </c:pt>
              <c:pt idx="1347">
                <c:v>#N/A</c:v>
              </c:pt>
              <c:pt idx="1348">
                <c:v>#N/A</c:v>
              </c:pt>
              <c:pt idx="1349">
                <c:v>#N/A</c:v>
              </c:pt>
              <c:pt idx="1350">
                <c:v>#N/A</c:v>
              </c:pt>
              <c:pt idx="1351">
                <c:v>#N/A</c:v>
              </c:pt>
              <c:pt idx="1352">
                <c:v>#N/A</c:v>
              </c:pt>
              <c:pt idx="1353">
                <c:v>#N/A</c:v>
              </c:pt>
              <c:pt idx="1354">
                <c:v>#N/A</c:v>
              </c:pt>
              <c:pt idx="1355">
                <c:v>#N/A</c:v>
              </c:pt>
              <c:pt idx="1356">
                <c:v>#N/A</c:v>
              </c:pt>
              <c:pt idx="1357">
                <c:v>#N/A</c:v>
              </c:pt>
              <c:pt idx="1358">
                <c:v>#N/A</c:v>
              </c:pt>
              <c:pt idx="1359">
                <c:v>#N/A</c:v>
              </c:pt>
              <c:pt idx="1360">
                <c:v>#N/A</c:v>
              </c:pt>
              <c:pt idx="1361">
                <c:v>#N/A</c:v>
              </c:pt>
              <c:pt idx="1362">
                <c:v>#N/A</c:v>
              </c:pt>
              <c:pt idx="1363">
                <c:v>#N/A</c:v>
              </c:pt>
              <c:pt idx="1364">
                <c:v>#N/A</c:v>
              </c:pt>
              <c:pt idx="1365">
                <c:v>#N/A</c:v>
              </c:pt>
              <c:pt idx="1366">
                <c:v>#N/A</c:v>
              </c:pt>
              <c:pt idx="1367">
                <c:v>#N/A</c:v>
              </c:pt>
              <c:pt idx="1368">
                <c:v>#N/A</c:v>
              </c:pt>
              <c:pt idx="1369">
                <c:v>#N/A</c:v>
              </c:pt>
              <c:pt idx="1370">
                <c:v>#N/A</c:v>
              </c:pt>
              <c:pt idx="1371">
                <c:v>#N/A</c:v>
              </c:pt>
              <c:pt idx="1372">
                <c:v>#N/A</c:v>
              </c:pt>
              <c:pt idx="1373">
                <c:v>#N/A</c:v>
              </c:pt>
              <c:pt idx="1374">
                <c:v>#N/A</c:v>
              </c:pt>
              <c:pt idx="1375">
                <c:v>#N/A</c:v>
              </c:pt>
              <c:pt idx="1376">
                <c:v>#N/A</c:v>
              </c:pt>
              <c:pt idx="1377">
                <c:v>#N/A</c:v>
              </c:pt>
              <c:pt idx="1378">
                <c:v>#N/A</c:v>
              </c:pt>
              <c:pt idx="1379">
                <c:v>#N/A</c:v>
              </c:pt>
              <c:pt idx="1380">
                <c:v>#N/A</c:v>
              </c:pt>
              <c:pt idx="1381">
                <c:v>#N/A</c:v>
              </c:pt>
              <c:pt idx="1382">
                <c:v>#N/A</c:v>
              </c:pt>
              <c:pt idx="1383">
                <c:v>#N/A</c:v>
              </c:pt>
              <c:pt idx="1384">
                <c:v>#N/A</c:v>
              </c:pt>
              <c:pt idx="1385">
                <c:v>#N/A</c:v>
              </c:pt>
              <c:pt idx="1386">
                <c:v>#N/A</c:v>
              </c:pt>
              <c:pt idx="1387">
                <c:v>#N/A</c:v>
              </c:pt>
              <c:pt idx="1388">
                <c:v>#N/A</c:v>
              </c:pt>
              <c:pt idx="1389">
                <c:v>#N/A</c:v>
              </c:pt>
              <c:pt idx="1390">
                <c:v>#N/A</c:v>
              </c:pt>
              <c:pt idx="1391">
                <c:v>#N/A</c:v>
              </c:pt>
              <c:pt idx="1392">
                <c:v>#N/A</c:v>
              </c:pt>
              <c:pt idx="1393">
                <c:v>#N/A</c:v>
              </c:pt>
              <c:pt idx="1394">
                <c:v>#N/A</c:v>
              </c:pt>
              <c:pt idx="1395">
                <c:v>#N/A</c:v>
              </c:pt>
              <c:pt idx="1396">
                <c:v>#N/A</c:v>
              </c:pt>
              <c:pt idx="1397">
                <c:v>#N/A</c:v>
              </c:pt>
              <c:pt idx="1398">
                <c:v>#N/A</c:v>
              </c:pt>
              <c:pt idx="1399">
                <c:v>#N/A</c:v>
              </c:pt>
              <c:pt idx="1400">
                <c:v>#N/A</c:v>
              </c:pt>
              <c:pt idx="1401">
                <c:v>#N/A</c:v>
              </c:pt>
              <c:pt idx="1402">
                <c:v>#N/A</c:v>
              </c:pt>
              <c:pt idx="1403">
                <c:v>#N/A</c:v>
              </c:pt>
              <c:pt idx="1404">
                <c:v>#N/A</c:v>
              </c:pt>
              <c:pt idx="1405">
                <c:v>#N/A</c:v>
              </c:pt>
              <c:pt idx="1406">
                <c:v>#N/A</c:v>
              </c:pt>
              <c:pt idx="1407">
                <c:v>#N/A</c:v>
              </c:pt>
              <c:pt idx="1408">
                <c:v>#N/A</c:v>
              </c:pt>
              <c:pt idx="1409">
                <c:v>#N/A</c:v>
              </c:pt>
              <c:pt idx="1410">
                <c:v>#N/A</c:v>
              </c:pt>
              <c:pt idx="1411">
                <c:v>#N/A</c:v>
              </c:pt>
              <c:pt idx="1412">
                <c:v>#N/A</c:v>
              </c:pt>
              <c:pt idx="1413">
                <c:v>#N/A</c:v>
              </c:pt>
              <c:pt idx="1414">
                <c:v>#N/A</c:v>
              </c:pt>
              <c:pt idx="1415">
                <c:v>#N/A</c:v>
              </c:pt>
              <c:pt idx="1416">
                <c:v>#N/A</c:v>
              </c:pt>
              <c:pt idx="1417">
                <c:v>#N/A</c:v>
              </c:pt>
              <c:pt idx="1418">
                <c:v>#N/A</c:v>
              </c:pt>
              <c:pt idx="1419">
                <c:v>#N/A</c:v>
              </c:pt>
              <c:pt idx="1420">
                <c:v>#N/A</c:v>
              </c:pt>
              <c:pt idx="1421">
                <c:v>#N/A</c:v>
              </c:pt>
              <c:pt idx="1422">
                <c:v>#N/A</c:v>
              </c:pt>
              <c:pt idx="1423">
                <c:v>#N/A</c:v>
              </c:pt>
              <c:pt idx="1424">
                <c:v>#N/A</c:v>
              </c:pt>
              <c:pt idx="1425">
                <c:v>#N/A</c:v>
              </c:pt>
              <c:pt idx="1426">
                <c:v>#N/A</c:v>
              </c:pt>
              <c:pt idx="1427">
                <c:v>#N/A</c:v>
              </c:pt>
              <c:pt idx="1428">
                <c:v>#N/A</c:v>
              </c:pt>
              <c:pt idx="1429">
                <c:v>#N/A</c:v>
              </c:pt>
              <c:pt idx="1430">
                <c:v>#N/A</c:v>
              </c:pt>
              <c:pt idx="1431">
                <c:v>#N/A</c:v>
              </c:pt>
              <c:pt idx="1432">
                <c:v>#N/A</c:v>
              </c:pt>
              <c:pt idx="1433">
                <c:v>#N/A</c:v>
              </c:pt>
              <c:pt idx="1434">
                <c:v>#N/A</c:v>
              </c:pt>
              <c:pt idx="1435">
                <c:v>#N/A</c:v>
              </c:pt>
              <c:pt idx="1436">
                <c:v>#N/A</c:v>
              </c:pt>
              <c:pt idx="1437">
                <c:v>#N/A</c:v>
              </c:pt>
              <c:pt idx="1438">
                <c:v>#N/A</c:v>
              </c:pt>
              <c:pt idx="1439">
                <c:v>#N/A</c:v>
              </c:pt>
              <c:pt idx="1440">
                <c:v>#N/A</c:v>
              </c:pt>
              <c:pt idx="1441">
                <c:v>#N/A</c:v>
              </c:pt>
              <c:pt idx="1442">
                <c:v>#N/A</c:v>
              </c:pt>
              <c:pt idx="1443">
                <c:v>#N/A</c:v>
              </c:pt>
              <c:pt idx="1444">
                <c:v>#N/A</c:v>
              </c:pt>
              <c:pt idx="1445">
                <c:v>#N/A</c:v>
              </c:pt>
              <c:pt idx="1446">
                <c:v>#N/A</c:v>
              </c:pt>
              <c:pt idx="1447">
                <c:v>#N/A</c:v>
              </c:pt>
              <c:pt idx="1448">
                <c:v>#N/A</c:v>
              </c:pt>
              <c:pt idx="1449">
                <c:v>#N/A</c:v>
              </c:pt>
              <c:pt idx="1450">
                <c:v>#N/A</c:v>
              </c:pt>
              <c:pt idx="1451">
                <c:v>#N/A</c:v>
              </c:pt>
              <c:pt idx="1452">
                <c:v>#N/A</c:v>
              </c:pt>
              <c:pt idx="1453">
                <c:v>#N/A</c:v>
              </c:pt>
              <c:pt idx="1454">
                <c:v>#N/A</c:v>
              </c:pt>
              <c:pt idx="1455">
                <c:v>#N/A</c:v>
              </c:pt>
              <c:pt idx="1456">
                <c:v>#N/A</c:v>
              </c:pt>
              <c:pt idx="1457">
                <c:v>#N/A</c:v>
              </c:pt>
              <c:pt idx="1458">
                <c:v>#N/A</c:v>
              </c:pt>
              <c:pt idx="1459">
                <c:v>#N/A</c:v>
              </c:pt>
              <c:pt idx="1460">
                <c:v>#N/A</c:v>
              </c:pt>
              <c:pt idx="1461">
                <c:v>#N/A</c:v>
              </c:pt>
              <c:pt idx="1462">
                <c:v>#N/A</c:v>
              </c:pt>
              <c:pt idx="1463">
                <c:v>#N/A</c:v>
              </c:pt>
              <c:pt idx="1464">
                <c:v>#N/A</c:v>
              </c:pt>
              <c:pt idx="1465">
                <c:v>#N/A</c:v>
              </c:pt>
              <c:pt idx="1466">
                <c:v>#N/A</c:v>
              </c:pt>
              <c:pt idx="1467">
                <c:v>#N/A</c:v>
              </c:pt>
              <c:pt idx="1468">
                <c:v>#N/A</c:v>
              </c:pt>
              <c:pt idx="1469">
                <c:v>#N/A</c:v>
              </c:pt>
              <c:pt idx="1470">
                <c:v>#N/A</c:v>
              </c:pt>
              <c:pt idx="1471">
                <c:v>#N/A</c:v>
              </c:pt>
              <c:pt idx="1472">
                <c:v>#N/A</c:v>
              </c:pt>
              <c:pt idx="1473">
                <c:v>#N/A</c:v>
              </c:pt>
              <c:pt idx="1474">
                <c:v>#N/A</c:v>
              </c:pt>
              <c:pt idx="1475">
                <c:v>#N/A</c:v>
              </c:pt>
              <c:pt idx="1476">
                <c:v>#N/A</c:v>
              </c:pt>
              <c:pt idx="1477">
                <c:v>#N/A</c:v>
              </c:pt>
              <c:pt idx="1478">
                <c:v>#N/A</c:v>
              </c:pt>
              <c:pt idx="1479">
                <c:v>#N/A</c:v>
              </c:pt>
              <c:pt idx="1480">
                <c:v>#N/A</c:v>
              </c:pt>
              <c:pt idx="1481">
                <c:v>#N/A</c:v>
              </c:pt>
              <c:pt idx="1482">
                <c:v>#N/A</c:v>
              </c:pt>
              <c:pt idx="1483">
                <c:v>#N/A</c:v>
              </c:pt>
              <c:pt idx="1484">
                <c:v>#N/A</c:v>
              </c:pt>
              <c:pt idx="1485">
                <c:v>#N/A</c:v>
              </c:pt>
              <c:pt idx="1486">
                <c:v>#N/A</c:v>
              </c:pt>
              <c:pt idx="1487">
                <c:v>#N/A</c:v>
              </c:pt>
              <c:pt idx="1488">
                <c:v>#N/A</c:v>
              </c:pt>
              <c:pt idx="1489">
                <c:v>#N/A</c:v>
              </c:pt>
              <c:pt idx="1490">
                <c:v>#N/A</c:v>
              </c:pt>
              <c:pt idx="1491">
                <c:v>#N/A</c:v>
              </c:pt>
              <c:pt idx="1492">
                <c:v>#N/A</c:v>
              </c:pt>
              <c:pt idx="1493">
                <c:v>#N/A</c:v>
              </c:pt>
              <c:pt idx="1494">
                <c:v>#N/A</c:v>
              </c:pt>
              <c:pt idx="1495">
                <c:v>#N/A</c:v>
              </c:pt>
              <c:pt idx="1496">
                <c:v>#N/A</c:v>
              </c:pt>
              <c:pt idx="1497">
                <c:v>#N/A</c:v>
              </c:pt>
              <c:pt idx="1498">
                <c:v>#N/A</c:v>
              </c:pt>
              <c:pt idx="1499">
                <c:v>#N/A</c:v>
              </c:pt>
            </c:numLit>
          </c:xVal>
          <c:yVal>
            <c:numLit>
              <c:formatCode>??0</c:formatCode>
              <c:ptCount val="1500"/>
              <c:pt idx="0">
                <c:v>0</c:v>
              </c:pt>
              <c:pt idx="1">
                <c:v>0</c:v>
              </c:pt>
              <c:pt idx="2">
                <c:v>0</c:v>
              </c:pt>
              <c:pt idx="3">
                <c:v>0</c:v>
              </c:pt>
              <c:pt idx="4">
                <c:v>0</c:v>
              </c:pt>
              <c:pt idx="5">
                <c:v>0.48750761730652042</c:v>
              </c:pt>
              <c:pt idx="6">
                <c:v>0.83073727933541019</c:v>
              </c:pt>
              <c:pt idx="7">
                <c:v>0.87804878048780499</c:v>
              </c:pt>
              <c:pt idx="8">
                <c:v>1.0101010101010102</c:v>
              </c:pt>
              <c:pt idx="9">
                <c:v>1.4106583072100314</c:v>
              </c:pt>
              <c:pt idx="10">
                <c:v>1.4516129032258065</c:v>
              </c:pt>
              <c:pt idx="11">
                <c:v>1.5037593984962405</c:v>
              </c:pt>
              <c:pt idx="12">
                <c:v>1.5075376884422109</c:v>
              </c:pt>
              <c:pt idx="13">
                <c:v>1.6373559733171621</c:v>
              </c:pt>
              <c:pt idx="14">
                <c:v>1.639344262295082</c:v>
              </c:pt>
              <c:pt idx="15">
                <c:v>1.7150395778364116</c:v>
              </c:pt>
              <c:pt idx="16">
                <c:v>1.9417475728155338</c:v>
              </c:pt>
              <c:pt idx="17">
                <c:v>1.9417475728155338</c:v>
              </c:pt>
              <c:pt idx="18">
                <c:v>1.9675925925925926</c:v>
              </c:pt>
              <c:pt idx="19">
                <c:v>2</c:v>
              </c:pt>
              <c:pt idx="20">
                <c:v>2.1825396825396823</c:v>
              </c:pt>
              <c:pt idx="21">
                <c:v>2.2675736961451247</c:v>
              </c:pt>
              <c:pt idx="22">
                <c:v>2.2687609075043627</c:v>
              </c:pt>
              <c:pt idx="23">
                <c:v>2.4054982817869419</c:v>
              </c:pt>
              <c:pt idx="24">
                <c:v>2.6315789473684208</c:v>
              </c:pt>
              <c:pt idx="25">
                <c:v>2.8571428571428572</c:v>
              </c:pt>
              <c:pt idx="26">
                <c:v>3.3132530120481931</c:v>
              </c:pt>
              <c:pt idx="27">
                <c:v>3.3205619412515963</c:v>
              </c:pt>
              <c:pt idx="28">
                <c:v>3.3773861967694567</c:v>
              </c:pt>
              <c:pt idx="29">
                <c:v>3.5046728971962615</c:v>
              </c:pt>
              <c:pt idx="30">
                <c:v>3.5149384885764503</c:v>
              </c:pt>
              <c:pt idx="31">
                <c:v>3.5916824196597354</c:v>
              </c:pt>
              <c:pt idx="32">
                <c:v>3.7825059101654848</c:v>
              </c:pt>
              <c:pt idx="33">
                <c:v>3.8793103448275863</c:v>
              </c:pt>
              <c:pt idx="34">
                <c:v>4.0697674418604652</c:v>
              </c:pt>
              <c:pt idx="35">
                <c:v>4.4887780548628431</c:v>
              </c:pt>
              <c:pt idx="36">
                <c:v>4.7526673132880699</c:v>
              </c:pt>
              <c:pt idx="37">
                <c:v>4.8245614035087714</c:v>
              </c:pt>
              <c:pt idx="38">
                <c:v>4.9149338374291114</c:v>
              </c:pt>
              <c:pt idx="39">
                <c:v>5.0119331742243434</c:v>
              </c:pt>
              <c:pt idx="40">
                <c:v>5.2455357142857144</c:v>
              </c:pt>
              <c:pt idx="41">
                <c:v>5.3264604810996561</c:v>
              </c:pt>
              <c:pt idx="42">
                <c:v>5.6204379562043796</c:v>
              </c:pt>
              <c:pt idx="43">
                <c:v>5.6833558863328824</c:v>
              </c:pt>
              <c:pt idx="44">
                <c:v>5.8951965065502181</c:v>
              </c:pt>
              <c:pt idx="45">
                <c:v>6.1904761904761907</c:v>
              </c:pt>
              <c:pt idx="46">
                <c:v>6.2271062271062272</c:v>
              </c:pt>
              <c:pt idx="47">
                <c:v>6.3414634146341466</c:v>
              </c:pt>
              <c:pt idx="48">
                <c:v>6.3985374771480803</c:v>
              </c:pt>
              <c:pt idx="49">
                <c:v>6.4950980392156872</c:v>
              </c:pt>
              <c:pt idx="50">
                <c:v>6.6485753052917236</c:v>
              </c:pt>
              <c:pt idx="51">
                <c:v>6.7326732673267333</c:v>
              </c:pt>
              <c:pt idx="52">
                <c:v>7.4626865671641784</c:v>
              </c:pt>
              <c:pt idx="53">
                <c:v>7.7433628318584065</c:v>
              </c:pt>
              <c:pt idx="54">
                <c:v>7.8571428571428568</c:v>
              </c:pt>
              <c:pt idx="55">
                <c:v>7.8794901506373112</c:v>
              </c:pt>
              <c:pt idx="56">
                <c:v>7.9617834394904454</c:v>
              </c:pt>
              <c:pt idx="57">
                <c:v>8.1609195402298855</c:v>
              </c:pt>
              <c:pt idx="58">
                <c:v>8.4425036390101891</c:v>
              </c:pt>
              <c:pt idx="59">
                <c:v>8.6053412462908021</c:v>
              </c:pt>
              <c:pt idx="60">
                <c:v>8.9430894308943092</c:v>
              </c:pt>
              <c:pt idx="61">
                <c:v>9.0163934426229506</c:v>
              </c:pt>
              <c:pt idx="62">
                <c:v>9.1286307053941904</c:v>
              </c:pt>
              <c:pt idx="63">
                <c:v>9.1690544412607444</c:v>
              </c:pt>
              <c:pt idx="64">
                <c:v>9.4449853943524822</c:v>
              </c:pt>
              <c:pt idx="65">
                <c:v>9.5733041575492344</c:v>
              </c:pt>
              <c:pt idx="66">
                <c:v>9.7014925373134329</c:v>
              </c:pt>
              <c:pt idx="67">
                <c:v>9.7133757961783438</c:v>
              </c:pt>
              <c:pt idx="68">
                <c:v>10.112359550561797</c:v>
              </c:pt>
              <c:pt idx="69">
                <c:v>10.297029702970297</c:v>
              </c:pt>
              <c:pt idx="70">
                <c:v>10.48951048951049</c:v>
              </c:pt>
              <c:pt idx="71">
                <c:v>10.737179487179487</c:v>
              </c:pt>
              <c:pt idx="72">
                <c:v>10.76555023923445</c:v>
              </c:pt>
              <c:pt idx="73">
                <c:v>11.062906724511931</c:v>
              </c:pt>
              <c:pt idx="74">
                <c:v>11.083743842364532</c:v>
              </c:pt>
              <c:pt idx="75">
                <c:v>11.085972850678733</c:v>
              </c:pt>
              <c:pt idx="76">
                <c:v>11.08910891089109</c:v>
              </c:pt>
              <c:pt idx="77">
                <c:v>11.25</c:v>
              </c:pt>
              <c:pt idx="78">
                <c:v>11.405295315682281</c:v>
              </c:pt>
              <c:pt idx="79">
                <c:v>11.471861471861471</c:v>
              </c:pt>
              <c:pt idx="80">
                <c:v>11.711711711711711</c:v>
              </c:pt>
              <c:pt idx="81">
                <c:v>11.77536231884058</c:v>
              </c:pt>
              <c:pt idx="82">
                <c:v>12.371134020618557</c:v>
              </c:pt>
              <c:pt idx="83">
                <c:v>12.4</c:v>
              </c:pt>
              <c:pt idx="84">
                <c:v>12.448132780082988</c:v>
              </c:pt>
              <c:pt idx="85">
                <c:v>12.581699346405228</c:v>
              </c:pt>
              <c:pt idx="86">
                <c:v>12.907801418439716</c:v>
              </c:pt>
              <c:pt idx="87">
                <c:v>13.245033112582782</c:v>
              </c:pt>
              <c:pt idx="88">
                <c:v>13.38506304558681</c:v>
              </c:pt>
              <c:pt idx="89">
                <c:v>13.559322033898304</c:v>
              </c:pt>
              <c:pt idx="90">
                <c:v>13.901345291479823</c:v>
              </c:pt>
              <c:pt idx="91">
                <c:v>14.14141414141414</c:v>
              </c:pt>
              <c:pt idx="92">
                <c:v>14.251207729468598</c:v>
              </c:pt>
              <c:pt idx="93">
                <c:v>14.866979655712051</c:v>
              </c:pt>
              <c:pt idx="94">
                <c:v>14.928425357873209</c:v>
              </c:pt>
              <c:pt idx="95">
                <c:v>15.160987808690216</c:v>
              </c:pt>
              <c:pt idx="96">
                <c:v>15.193370165745856</c:v>
              </c:pt>
              <c:pt idx="97">
                <c:v>15.254237288135593</c:v>
              </c:pt>
              <c:pt idx="98">
                <c:v>15.477629987908101</c:v>
              </c:pt>
              <c:pt idx="99">
                <c:v>15.751633986928104</c:v>
              </c:pt>
              <c:pt idx="100">
                <c:v>15.777777777777777</c:v>
              </c:pt>
              <c:pt idx="101">
                <c:v>16.012084592145015</c:v>
              </c:pt>
              <c:pt idx="102">
                <c:v>16.140350877192983</c:v>
              </c:pt>
              <c:pt idx="103">
                <c:v>16.359163591635916</c:v>
              </c:pt>
              <c:pt idx="104">
                <c:v>16.40449438202247</c:v>
              </c:pt>
              <c:pt idx="105">
                <c:v>17.05767350928641</c:v>
              </c:pt>
              <c:pt idx="106">
                <c:v>17.339667458432302</c:v>
              </c:pt>
              <c:pt idx="107">
                <c:v>18.165137614678901</c:v>
              </c:pt>
              <c:pt idx="108">
                <c:v>18.374558303886925</c:v>
              </c:pt>
              <c:pt idx="109">
                <c:v>18.421052631578945</c:v>
              </c:pt>
              <c:pt idx="110">
                <c:v>18.471337579617835</c:v>
              </c:pt>
              <c:pt idx="111">
                <c:v>18.734793187347933</c:v>
              </c:pt>
              <c:pt idx="112">
                <c:v>18.791946308724832</c:v>
              </c:pt>
              <c:pt idx="113">
                <c:v>19.246031746031747</c:v>
              </c:pt>
              <c:pt idx="114">
                <c:v>20.486815415821503</c:v>
              </c:pt>
              <c:pt idx="115">
                <c:v>20.615384615384617</c:v>
              </c:pt>
              <c:pt idx="116">
                <c:v>20.673076923076923</c:v>
              </c:pt>
              <c:pt idx="117">
                <c:v>20.973782771535582</c:v>
              </c:pt>
              <c:pt idx="118">
                <c:v>21.098039215686274</c:v>
              </c:pt>
              <c:pt idx="119">
                <c:v>21.390374331550802</c:v>
              </c:pt>
              <c:pt idx="120">
                <c:v>21.441281138790035</c:v>
              </c:pt>
              <c:pt idx="121">
                <c:v>21.476510067114095</c:v>
              </c:pt>
              <c:pt idx="122">
                <c:v>21.777777777777775</c:v>
              </c:pt>
              <c:pt idx="123">
                <c:v>21.8052738336714</c:v>
              </c:pt>
              <c:pt idx="124">
                <c:v>21.98952879581152</c:v>
              </c:pt>
              <c:pt idx="125">
                <c:v>22.125435540069684</c:v>
              </c:pt>
              <c:pt idx="126">
                <c:v>22.232223222322229</c:v>
              </c:pt>
              <c:pt idx="127">
                <c:v>22.425249169435215</c:v>
              </c:pt>
              <c:pt idx="128">
                <c:v>22.459222082810541</c:v>
              </c:pt>
              <c:pt idx="129">
                <c:v>22.474747474747474</c:v>
              </c:pt>
              <c:pt idx="130">
                <c:v>22.921914357682617</c:v>
              </c:pt>
              <c:pt idx="131">
                <c:v>23.006833712984054</c:v>
              </c:pt>
              <c:pt idx="132">
                <c:v>23.325892857142858</c:v>
              </c:pt>
              <c:pt idx="133">
                <c:v>23.747276688453159</c:v>
              </c:pt>
              <c:pt idx="134">
                <c:v>24.082934609250398</c:v>
              </c:pt>
              <c:pt idx="135">
                <c:v>24.171539961013643</c:v>
              </c:pt>
              <c:pt idx="136">
                <c:v>24.307692307692307</c:v>
              </c:pt>
              <c:pt idx="137">
                <c:v>24.615384615384617</c:v>
              </c:pt>
              <c:pt idx="138">
                <c:v>24.864864864864867</c:v>
              </c:pt>
              <c:pt idx="139">
                <c:v>25.225225225225223</c:v>
              </c:pt>
              <c:pt idx="140">
                <c:v>25.427135678391959</c:v>
              </c:pt>
              <c:pt idx="141">
                <c:v>25.44731610337972</c:v>
              </c:pt>
              <c:pt idx="142">
                <c:v>25.547445255474454</c:v>
              </c:pt>
              <c:pt idx="143">
                <c:v>26.05042016806723</c:v>
              </c:pt>
              <c:pt idx="144">
                <c:v>26.120114394661581</c:v>
              </c:pt>
              <c:pt idx="145">
                <c:v>26.233766233766232</c:v>
              </c:pt>
              <c:pt idx="146">
                <c:v>26.27551020408163</c:v>
              </c:pt>
              <c:pt idx="147">
                <c:v>26.513317191283292</c:v>
              </c:pt>
              <c:pt idx="148">
                <c:v>26.785714285714285</c:v>
              </c:pt>
              <c:pt idx="149">
                <c:v>27.215189873417721</c:v>
              </c:pt>
              <c:pt idx="150">
                <c:v>27.23404255319149</c:v>
              </c:pt>
              <c:pt idx="151">
                <c:v>27.749029754204397</c:v>
              </c:pt>
              <c:pt idx="152">
                <c:v>27.811860940695297</c:v>
              </c:pt>
              <c:pt idx="153">
                <c:v>27.979797979797983</c:v>
              </c:pt>
              <c:pt idx="154">
                <c:v>28.082191780821919</c:v>
              </c:pt>
              <c:pt idx="155">
                <c:v>28.100775193798448</c:v>
              </c:pt>
              <c:pt idx="156">
                <c:v>28.318584070796462</c:v>
              </c:pt>
              <c:pt idx="157">
                <c:v>28.791773778920309</c:v>
              </c:pt>
              <c:pt idx="158">
                <c:v>28.96</c:v>
              </c:pt>
              <c:pt idx="159">
                <c:v>29.347826086956523</c:v>
              </c:pt>
              <c:pt idx="160">
                <c:v>29.365079365079367</c:v>
              </c:pt>
              <c:pt idx="161">
                <c:v>29.457364341085274</c:v>
              </c:pt>
              <c:pt idx="162">
                <c:v>29.930795847750861</c:v>
              </c:pt>
              <c:pt idx="163">
                <c:v>30.368098159509206</c:v>
              </c:pt>
              <c:pt idx="164">
                <c:v>30.399181166837259</c:v>
              </c:pt>
              <c:pt idx="165">
                <c:v>30.733229329173167</c:v>
              </c:pt>
              <c:pt idx="166">
                <c:v>31.22448979591837</c:v>
              </c:pt>
              <c:pt idx="167">
                <c:v>31.433998100664766</c:v>
              </c:pt>
              <c:pt idx="168">
                <c:v>31.481481481481481</c:v>
              </c:pt>
              <c:pt idx="169">
                <c:v>31.913580246913583</c:v>
              </c:pt>
              <c:pt idx="170">
                <c:v>32.183908045977013</c:v>
              </c:pt>
              <c:pt idx="171">
                <c:v>32.485875706214692</c:v>
              </c:pt>
              <c:pt idx="172">
                <c:v>32.507936507936506</c:v>
              </c:pt>
              <c:pt idx="173">
                <c:v>32.744783306581063</c:v>
              </c:pt>
              <c:pt idx="174">
                <c:v>33.279742765273312</c:v>
              </c:pt>
              <c:pt idx="175">
                <c:v>33.433508640120216</c:v>
              </c:pt>
              <c:pt idx="176">
                <c:v>33.962264150943398</c:v>
              </c:pt>
              <c:pt idx="177">
                <c:v>34.024896265560166</c:v>
              </c:pt>
              <c:pt idx="178">
                <c:v>34.448818897637793</c:v>
              </c:pt>
              <c:pt idx="179">
                <c:v>34.448818897637793</c:v>
              </c:pt>
              <c:pt idx="180">
                <c:v>35.048678720445068</c:v>
              </c:pt>
              <c:pt idx="181">
                <c:v>35.97122302158273</c:v>
              </c:pt>
              <c:pt idx="182">
                <c:v>36.006546644844519</c:v>
              </c:pt>
              <c:pt idx="183">
                <c:v>36.268656716417915</c:v>
              </c:pt>
              <c:pt idx="184">
                <c:v>37.765957446808514</c:v>
              </c:pt>
              <c:pt idx="185">
                <c:v>38.051044083526683</c:v>
              </c:pt>
              <c:pt idx="186">
                <c:v>38.087774294670844</c:v>
              </c:pt>
              <c:pt idx="187">
                <c:v>38.69426751592357</c:v>
              </c:pt>
              <c:pt idx="188">
                <c:v>40.808823529411761</c:v>
              </c:pt>
              <c:pt idx="189">
                <c:v>40.917782026768641</c:v>
              </c:pt>
              <c:pt idx="190">
                <c:v>42.407660738714092</c:v>
              </c:pt>
              <c:pt idx="191">
                <c:v>44.475138121546962</c:v>
              </c:pt>
              <c:pt idx="192">
                <c:v>45.337620578778136</c:v>
              </c:pt>
              <c:pt idx="193">
                <c:v>#N/A</c:v>
              </c:pt>
              <c:pt idx="194">
                <c:v>#N/A</c:v>
              </c:pt>
              <c:pt idx="195">
                <c:v>#N/A</c:v>
              </c:pt>
              <c:pt idx="196">
                <c:v>#N/A</c:v>
              </c:pt>
              <c:pt idx="197">
                <c:v>#N/A</c:v>
              </c:pt>
              <c:pt idx="198">
                <c:v>#N/A</c:v>
              </c:pt>
              <c:pt idx="199">
                <c:v>#N/A</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#N/A</c:v>
              </c:pt>
              <c:pt idx="238">
                <c:v>#N/A</c:v>
              </c:pt>
              <c:pt idx="239">
                <c:v>#N/A</c:v>
              </c:pt>
              <c:pt idx="240">
                <c:v>#N/A</c:v>
              </c:pt>
              <c:pt idx="241">
                <c:v>#N/A</c:v>
              </c:pt>
              <c:pt idx="242">
                <c:v>#N/A</c:v>
              </c:pt>
              <c:pt idx="243">
                <c:v>#N/A</c:v>
              </c:pt>
              <c:pt idx="244">
                <c:v>#N/A</c:v>
              </c:pt>
              <c:pt idx="245">
                <c:v>#N/A</c:v>
              </c:pt>
              <c:pt idx="246">
                <c:v>#N/A</c:v>
              </c:pt>
              <c:pt idx="247">
                <c:v>#N/A</c:v>
              </c:pt>
              <c:pt idx="248">
                <c:v>#N/A</c:v>
              </c:pt>
              <c:pt idx="249">
                <c:v>#N/A</c:v>
              </c:pt>
              <c:pt idx="250">
                <c:v>#N/A</c:v>
              </c:pt>
              <c:pt idx="251">
                <c:v>#N/A</c:v>
              </c:pt>
              <c:pt idx="252">
                <c:v>#N/A</c:v>
              </c:pt>
              <c:pt idx="253">
                <c:v>#N/A</c:v>
              </c:pt>
              <c:pt idx="254">
                <c:v>#N/A</c:v>
              </c:pt>
              <c:pt idx="255">
                <c:v>#N/A</c:v>
              </c:pt>
              <c:pt idx="256">
                <c:v>#N/A</c:v>
              </c:pt>
              <c:pt idx="257">
                <c:v>#N/A</c:v>
              </c:pt>
              <c:pt idx="258">
                <c:v>#N/A</c:v>
              </c:pt>
              <c:pt idx="259">
                <c:v>#N/A</c:v>
              </c:pt>
              <c:pt idx="260">
                <c:v>#N/A</c:v>
              </c:pt>
              <c:pt idx="261">
                <c:v>#N/A</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pt idx="299">
                <c:v>#N/A</c:v>
              </c:pt>
              <c:pt idx="300">
                <c:v>#N/A</c:v>
              </c:pt>
              <c:pt idx="301">
                <c:v>#N/A</c:v>
              </c:pt>
              <c:pt idx="302">
                <c:v>#N/A</c:v>
              </c:pt>
              <c:pt idx="303">
                <c:v>#N/A</c:v>
              </c:pt>
              <c:pt idx="304">
                <c:v>#N/A</c:v>
              </c:pt>
              <c:pt idx="305">
                <c:v>#N/A</c:v>
              </c:pt>
              <c:pt idx="306">
                <c:v>#N/A</c:v>
              </c:pt>
              <c:pt idx="307">
                <c:v>#N/A</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pt idx="365">
                <c:v>#N/A</c:v>
              </c:pt>
              <c:pt idx="366">
                <c:v>#N/A</c:v>
              </c:pt>
              <c:pt idx="367">
                <c:v>#N/A</c:v>
              </c:pt>
              <c:pt idx="368">
                <c:v>#N/A</c:v>
              </c:pt>
              <c:pt idx="369">
                <c:v>#N/A</c:v>
              </c:pt>
              <c:pt idx="370">
                <c:v>#N/A</c:v>
              </c:pt>
              <c:pt idx="371">
                <c:v>#N/A</c:v>
              </c:pt>
              <c:pt idx="372">
                <c:v>#N/A</c:v>
              </c:pt>
              <c:pt idx="373">
                <c:v>#N/A</c:v>
              </c:pt>
              <c:pt idx="374">
                <c:v>#N/A</c:v>
              </c:pt>
              <c:pt idx="375">
                <c:v>#N/A</c:v>
              </c:pt>
              <c:pt idx="376">
                <c:v>#N/A</c:v>
              </c:pt>
              <c:pt idx="377">
                <c:v>#N/A</c:v>
              </c:pt>
              <c:pt idx="378">
                <c:v>#N/A</c:v>
              </c:pt>
              <c:pt idx="379">
                <c:v>#N/A</c:v>
              </c:pt>
              <c:pt idx="380">
                <c:v>#N/A</c:v>
              </c:pt>
              <c:pt idx="381">
                <c:v>#N/A</c:v>
              </c:pt>
              <c:pt idx="382">
                <c:v>#N/A</c:v>
              </c:pt>
              <c:pt idx="383">
                <c:v>#N/A</c:v>
              </c:pt>
              <c:pt idx="384">
                <c:v>#N/A</c:v>
              </c:pt>
              <c:pt idx="385">
                <c:v>#N/A</c:v>
              </c:pt>
              <c:pt idx="386">
                <c:v>#N/A</c:v>
              </c:pt>
              <c:pt idx="387">
                <c:v>#N/A</c:v>
              </c:pt>
              <c:pt idx="388">
                <c:v>#N/A</c:v>
              </c:pt>
              <c:pt idx="389">
                <c:v>#N/A</c:v>
              </c:pt>
              <c:pt idx="390">
                <c:v>#N/A</c:v>
              </c:pt>
              <c:pt idx="391">
                <c:v>#N/A</c:v>
              </c:pt>
              <c:pt idx="392">
                <c:v>#N/A</c:v>
              </c:pt>
              <c:pt idx="393">
                <c:v>#N/A</c:v>
              </c:pt>
              <c:pt idx="394">
                <c:v>#N/A</c:v>
              </c:pt>
              <c:pt idx="395">
                <c:v>#N/A</c:v>
              </c:pt>
              <c:pt idx="396">
                <c:v>#N/A</c:v>
              </c:pt>
              <c:pt idx="397">
                <c:v>#N/A</c:v>
              </c:pt>
              <c:pt idx="398">
                <c:v>#N/A</c:v>
              </c:pt>
              <c:pt idx="399">
                <c:v>#N/A</c:v>
              </c:pt>
              <c:pt idx="400">
                <c:v>#N/A</c:v>
              </c:pt>
              <c:pt idx="401">
                <c:v>#N/A</c:v>
              </c:pt>
              <c:pt idx="402">
                <c:v>#N/A</c:v>
              </c:pt>
              <c:pt idx="403">
                <c:v>#N/A</c:v>
              </c:pt>
              <c:pt idx="404">
                <c:v>#N/A</c:v>
              </c:pt>
              <c:pt idx="405">
                <c:v>#N/A</c:v>
              </c:pt>
              <c:pt idx="406">
                <c:v>#N/A</c:v>
              </c:pt>
              <c:pt idx="407">
                <c:v>#N/A</c:v>
              </c:pt>
              <c:pt idx="408">
                <c:v>#N/A</c:v>
              </c:pt>
              <c:pt idx="409">
                <c:v>#N/A</c:v>
              </c:pt>
              <c:pt idx="410">
                <c:v>#N/A</c:v>
              </c:pt>
              <c:pt idx="411">
                <c:v>#N/A</c:v>
              </c:pt>
              <c:pt idx="412">
                <c:v>#N/A</c:v>
              </c:pt>
              <c:pt idx="413">
                <c:v>#N/A</c:v>
              </c:pt>
              <c:pt idx="414">
                <c:v>#N/A</c:v>
              </c:pt>
              <c:pt idx="415">
                <c:v>#N/A</c:v>
              </c:pt>
              <c:pt idx="416">
                <c:v>#N/A</c:v>
              </c:pt>
              <c:pt idx="417">
                <c:v>#N/A</c:v>
              </c:pt>
              <c:pt idx="418">
                <c:v>#N/A</c:v>
              </c:pt>
              <c:pt idx="419">
                <c:v>#N/A</c:v>
              </c:pt>
              <c:pt idx="420">
                <c:v>#N/A</c:v>
              </c:pt>
              <c:pt idx="421">
                <c:v>#N/A</c:v>
              </c:pt>
              <c:pt idx="422">
                <c:v>#N/A</c:v>
              </c:pt>
              <c:pt idx="423">
                <c:v>#N/A</c:v>
              </c:pt>
              <c:pt idx="424">
                <c:v>#N/A</c:v>
              </c:pt>
              <c:pt idx="425">
                <c:v>#N/A</c:v>
              </c:pt>
              <c:pt idx="426">
                <c:v>#N/A</c:v>
              </c:pt>
              <c:pt idx="427">
                <c:v>#N/A</c:v>
              </c:pt>
              <c:pt idx="428">
                <c:v>#N/A</c:v>
              </c:pt>
              <c:pt idx="429">
                <c:v>#N/A</c:v>
              </c:pt>
              <c:pt idx="430">
                <c:v>#N/A</c:v>
              </c:pt>
              <c:pt idx="431">
                <c:v>#N/A</c:v>
              </c:pt>
              <c:pt idx="432">
                <c:v>#N/A</c:v>
              </c:pt>
              <c:pt idx="433">
                <c:v>#N/A</c:v>
              </c:pt>
              <c:pt idx="434">
                <c:v>#N/A</c:v>
              </c:pt>
              <c:pt idx="435">
                <c:v>#N/A</c:v>
              </c:pt>
              <c:pt idx="436">
                <c:v>#N/A</c:v>
              </c:pt>
              <c:pt idx="437">
                <c:v>#N/A</c:v>
              </c:pt>
              <c:pt idx="438">
                <c:v>#N/A</c:v>
              </c:pt>
              <c:pt idx="439">
                <c:v>#N/A</c:v>
              </c:pt>
              <c:pt idx="440">
                <c:v>#N/A</c:v>
              </c:pt>
              <c:pt idx="441">
                <c:v>#N/A</c:v>
              </c:pt>
              <c:pt idx="442">
                <c:v>#N/A</c:v>
              </c:pt>
              <c:pt idx="443">
                <c:v>#N/A</c:v>
              </c:pt>
              <c:pt idx="444">
                <c:v>#N/A</c:v>
              </c:pt>
              <c:pt idx="445">
                <c:v>#N/A</c:v>
              </c:pt>
              <c:pt idx="446">
                <c:v>#N/A</c:v>
              </c:pt>
              <c:pt idx="447">
                <c:v>#N/A</c:v>
              </c:pt>
              <c:pt idx="448">
                <c:v>#N/A</c:v>
              </c:pt>
              <c:pt idx="449">
                <c:v>#N/A</c:v>
              </c:pt>
              <c:pt idx="450">
                <c:v>#N/A</c:v>
              </c:pt>
              <c:pt idx="451">
                <c:v>#N/A</c:v>
              </c:pt>
              <c:pt idx="452">
                <c:v>#N/A</c:v>
              </c:pt>
              <c:pt idx="453">
                <c:v>#N/A</c:v>
              </c:pt>
              <c:pt idx="454">
                <c:v>#N/A</c:v>
              </c:pt>
              <c:pt idx="455">
                <c:v>#N/A</c:v>
              </c:pt>
              <c:pt idx="456">
                <c:v>#N/A</c:v>
              </c:pt>
              <c:pt idx="457">
                <c:v>#N/A</c:v>
              </c:pt>
              <c:pt idx="458">
                <c:v>#N/A</c:v>
              </c:pt>
              <c:pt idx="459">
                <c:v>#N/A</c:v>
              </c:pt>
              <c:pt idx="460">
                <c:v>#N/A</c:v>
              </c:pt>
              <c:pt idx="461">
                <c:v>#N/A</c:v>
              </c:pt>
              <c:pt idx="462">
                <c:v>#N/A</c:v>
              </c:pt>
              <c:pt idx="463">
                <c:v>#N/A</c:v>
              </c:pt>
              <c:pt idx="464">
                <c:v>#N/A</c:v>
              </c:pt>
              <c:pt idx="465">
                <c:v>#N/A</c:v>
              </c:pt>
              <c:pt idx="466">
                <c:v>#N/A</c:v>
              </c:pt>
              <c:pt idx="467">
                <c:v>#N/A</c:v>
              </c:pt>
              <c:pt idx="468">
                <c:v>#N/A</c:v>
              </c:pt>
              <c:pt idx="469">
                <c:v>#N/A</c:v>
              </c:pt>
              <c:pt idx="470">
                <c:v>#N/A</c:v>
              </c:pt>
              <c:pt idx="471">
                <c:v>#N/A</c:v>
              </c:pt>
              <c:pt idx="472">
                <c:v>#N/A</c:v>
              </c:pt>
              <c:pt idx="473">
                <c:v>#N/A</c:v>
              </c:pt>
              <c:pt idx="474">
                <c:v>#N/A</c:v>
              </c:pt>
              <c:pt idx="475">
                <c:v>#N/A</c:v>
              </c:pt>
              <c:pt idx="476">
                <c:v>#N/A</c:v>
              </c:pt>
              <c:pt idx="477">
                <c:v>#N/A</c:v>
              </c:pt>
              <c:pt idx="478">
                <c:v>#N/A</c:v>
              </c:pt>
              <c:pt idx="479">
                <c:v>#N/A</c:v>
              </c:pt>
              <c:pt idx="480">
                <c:v>#N/A</c:v>
              </c:pt>
              <c:pt idx="481">
                <c:v>#N/A</c:v>
              </c:pt>
              <c:pt idx="482">
                <c:v>#N/A</c:v>
              </c:pt>
              <c:pt idx="483">
                <c:v>#N/A</c:v>
              </c:pt>
              <c:pt idx="484">
                <c:v>#N/A</c:v>
              </c:pt>
              <c:pt idx="485">
                <c:v>#N/A</c:v>
              </c:pt>
              <c:pt idx="486">
                <c:v>#N/A</c:v>
              </c:pt>
              <c:pt idx="487">
                <c:v>#N/A</c:v>
              </c:pt>
              <c:pt idx="488">
                <c:v>#N/A</c:v>
              </c:pt>
              <c:pt idx="489">
                <c:v>#N/A</c:v>
              </c:pt>
              <c:pt idx="490">
                <c:v>#N/A</c:v>
              </c:pt>
              <c:pt idx="491">
                <c:v>#N/A</c:v>
              </c:pt>
              <c:pt idx="492">
                <c:v>#N/A</c:v>
              </c:pt>
              <c:pt idx="493">
                <c:v>#N/A</c:v>
              </c:pt>
              <c:pt idx="494">
                <c:v>#N/A</c:v>
              </c:pt>
              <c:pt idx="495">
                <c:v>#N/A</c:v>
              </c:pt>
              <c:pt idx="496">
                <c:v>#N/A</c:v>
              </c:pt>
              <c:pt idx="497">
                <c:v>#N/A</c:v>
              </c:pt>
              <c:pt idx="498">
                <c:v>#N/A</c:v>
              </c:pt>
              <c:pt idx="499">
                <c:v>#N/A</c:v>
              </c:pt>
              <c:pt idx="500">
                <c:v>#N/A</c:v>
              </c:pt>
              <c:pt idx="501">
                <c:v>#N/A</c:v>
              </c:pt>
              <c:pt idx="502">
                <c:v>#N/A</c:v>
              </c:pt>
              <c:pt idx="503">
                <c:v>#N/A</c:v>
              </c:pt>
              <c:pt idx="504">
                <c:v>#N/A</c:v>
              </c:pt>
              <c:pt idx="505">
                <c:v>#N/A</c:v>
              </c:pt>
              <c:pt idx="506">
                <c:v>#N/A</c:v>
              </c:pt>
              <c:pt idx="507">
                <c:v>#N/A</c:v>
              </c:pt>
              <c:pt idx="508">
                <c:v>#N/A</c:v>
              </c:pt>
              <c:pt idx="509">
                <c:v>#N/A</c:v>
              </c:pt>
              <c:pt idx="510">
                <c:v>#N/A</c:v>
              </c:pt>
              <c:pt idx="511">
                <c:v>#N/A</c:v>
              </c:pt>
              <c:pt idx="512">
                <c:v>#N/A</c:v>
              </c:pt>
              <c:pt idx="513">
                <c:v>#N/A</c:v>
              </c:pt>
              <c:pt idx="514">
                <c:v>#N/A</c:v>
              </c:pt>
              <c:pt idx="515">
                <c:v>#N/A</c:v>
              </c:pt>
              <c:pt idx="516">
                <c:v>#N/A</c:v>
              </c:pt>
              <c:pt idx="517">
                <c:v>#N/A</c:v>
              </c:pt>
              <c:pt idx="518">
                <c:v>#N/A</c:v>
              </c:pt>
              <c:pt idx="519">
                <c:v>#N/A</c:v>
              </c:pt>
              <c:pt idx="520">
                <c:v>#N/A</c:v>
              </c:pt>
              <c:pt idx="521">
                <c:v>#N/A</c:v>
              </c:pt>
              <c:pt idx="522">
                <c:v>#N/A</c:v>
              </c:pt>
              <c:pt idx="523">
                <c:v>#N/A</c:v>
              </c:pt>
              <c:pt idx="524">
                <c:v>#N/A</c:v>
              </c:pt>
              <c:pt idx="525">
                <c:v>#N/A</c:v>
              </c:pt>
              <c:pt idx="526">
                <c:v>#N/A</c:v>
              </c:pt>
              <c:pt idx="527">
                <c:v>#N/A</c:v>
              </c:pt>
              <c:pt idx="528">
                <c:v>#N/A</c:v>
              </c:pt>
              <c:pt idx="529">
                <c:v>#N/A</c:v>
              </c:pt>
              <c:pt idx="530">
                <c:v>#N/A</c:v>
              </c:pt>
              <c:pt idx="531">
                <c:v>#N/A</c:v>
              </c:pt>
              <c:pt idx="532">
                <c:v>#N/A</c:v>
              </c:pt>
              <c:pt idx="533">
                <c:v>#N/A</c:v>
              </c:pt>
              <c:pt idx="534">
                <c:v>#N/A</c:v>
              </c:pt>
              <c:pt idx="535">
                <c:v>#N/A</c:v>
              </c:pt>
              <c:pt idx="536">
                <c:v>#N/A</c:v>
              </c:pt>
              <c:pt idx="537">
                <c:v>#N/A</c:v>
              </c:pt>
              <c:pt idx="538">
                <c:v>#N/A</c:v>
              </c:pt>
              <c:pt idx="539">
                <c:v>#N/A</c:v>
              </c:pt>
              <c:pt idx="540">
                <c:v>#N/A</c:v>
              </c:pt>
              <c:pt idx="541">
                <c:v>#N/A</c:v>
              </c:pt>
              <c:pt idx="542">
                <c:v>#N/A</c:v>
              </c:pt>
              <c:pt idx="543">
                <c:v>#N/A</c:v>
              </c:pt>
              <c:pt idx="544">
                <c:v>#N/A</c:v>
              </c:pt>
              <c:pt idx="545">
                <c:v>#N/A</c:v>
              </c:pt>
              <c:pt idx="546">
                <c:v>#N/A</c:v>
              </c:pt>
              <c:pt idx="547">
                <c:v>#N/A</c:v>
              </c:pt>
              <c:pt idx="548">
                <c:v>#N/A</c:v>
              </c:pt>
              <c:pt idx="549">
                <c:v>#N/A</c:v>
              </c:pt>
              <c:pt idx="550">
                <c:v>#N/A</c:v>
              </c:pt>
              <c:pt idx="551">
                <c:v>#N/A</c:v>
              </c:pt>
              <c:pt idx="552">
                <c:v>#N/A</c:v>
              </c:pt>
              <c:pt idx="553">
                <c:v>#N/A</c:v>
              </c:pt>
              <c:pt idx="554">
                <c:v>#N/A</c:v>
              </c:pt>
              <c:pt idx="555">
                <c:v>#N/A</c:v>
              </c:pt>
              <c:pt idx="556">
                <c:v>#N/A</c:v>
              </c:pt>
              <c:pt idx="557">
                <c:v>#N/A</c:v>
              </c:pt>
              <c:pt idx="558">
                <c:v>#N/A</c:v>
              </c:pt>
              <c:pt idx="559">
                <c:v>#N/A</c:v>
              </c:pt>
              <c:pt idx="560">
                <c:v>#N/A</c:v>
              </c:pt>
              <c:pt idx="561">
                <c:v>#N/A</c:v>
              </c:pt>
              <c:pt idx="562">
                <c:v>#N/A</c:v>
              </c:pt>
              <c:pt idx="563">
                <c:v>#N/A</c:v>
              </c:pt>
              <c:pt idx="564">
                <c:v>#N/A</c:v>
              </c:pt>
              <c:pt idx="565">
                <c:v>#N/A</c:v>
              </c:pt>
              <c:pt idx="566">
                <c:v>#N/A</c:v>
              </c:pt>
              <c:pt idx="567">
                <c:v>#N/A</c:v>
              </c:pt>
              <c:pt idx="568">
                <c:v>#N/A</c:v>
              </c:pt>
              <c:pt idx="569">
                <c:v>#N/A</c:v>
              </c:pt>
              <c:pt idx="570">
                <c:v>#N/A</c:v>
              </c:pt>
              <c:pt idx="571">
                <c:v>#N/A</c:v>
              </c:pt>
              <c:pt idx="572">
                <c:v>#N/A</c:v>
              </c:pt>
              <c:pt idx="573">
                <c:v>#N/A</c:v>
              </c:pt>
              <c:pt idx="574">
                <c:v>#N/A</c:v>
              </c:pt>
              <c:pt idx="575">
                <c:v>#N/A</c:v>
              </c:pt>
              <c:pt idx="576">
                <c:v>#N/A</c:v>
              </c:pt>
              <c:pt idx="577">
                <c:v>#N/A</c:v>
              </c:pt>
              <c:pt idx="578">
                <c:v>#N/A</c:v>
              </c:pt>
              <c:pt idx="579">
                <c:v>#N/A</c:v>
              </c:pt>
              <c:pt idx="580">
                <c:v>#N/A</c:v>
              </c:pt>
              <c:pt idx="581">
                <c:v>#N/A</c:v>
              </c:pt>
              <c:pt idx="582">
                <c:v>#N/A</c:v>
              </c:pt>
              <c:pt idx="583">
                <c:v>#N/A</c:v>
              </c:pt>
              <c:pt idx="584">
                <c:v>#N/A</c:v>
              </c:pt>
              <c:pt idx="585">
                <c:v>#N/A</c:v>
              </c:pt>
              <c:pt idx="586">
                <c:v>#N/A</c:v>
              </c:pt>
              <c:pt idx="587">
                <c:v>#N/A</c:v>
              </c:pt>
              <c:pt idx="588">
                <c:v>#N/A</c:v>
              </c:pt>
              <c:pt idx="589">
                <c:v>#N/A</c:v>
              </c:pt>
              <c:pt idx="590">
                <c:v>#N/A</c:v>
              </c:pt>
              <c:pt idx="591">
                <c:v>#N/A</c:v>
              </c:pt>
              <c:pt idx="592">
                <c:v>#N/A</c:v>
              </c:pt>
              <c:pt idx="593">
                <c:v>#N/A</c:v>
              </c:pt>
              <c:pt idx="594">
                <c:v>#N/A</c:v>
              </c:pt>
              <c:pt idx="595">
                <c:v>#N/A</c:v>
              </c:pt>
              <c:pt idx="596">
                <c:v>#N/A</c:v>
              </c:pt>
              <c:pt idx="597">
                <c:v>#N/A</c:v>
              </c:pt>
              <c:pt idx="598">
                <c:v>#N/A</c:v>
              </c:pt>
              <c:pt idx="599">
                <c:v>#N/A</c:v>
              </c:pt>
              <c:pt idx="600">
                <c:v>#N/A</c:v>
              </c:pt>
              <c:pt idx="601">
                <c:v>#N/A</c:v>
              </c:pt>
              <c:pt idx="602">
                <c:v>#N/A</c:v>
              </c:pt>
              <c:pt idx="603">
                <c:v>#N/A</c:v>
              </c:pt>
              <c:pt idx="604">
                <c:v>#N/A</c:v>
              </c:pt>
              <c:pt idx="605">
                <c:v>#N/A</c:v>
              </c:pt>
              <c:pt idx="606">
                <c:v>#N/A</c:v>
              </c:pt>
              <c:pt idx="607">
                <c:v>#N/A</c:v>
              </c:pt>
              <c:pt idx="608">
                <c:v>#N/A</c:v>
              </c:pt>
              <c:pt idx="609">
                <c:v>#N/A</c:v>
              </c:pt>
              <c:pt idx="610">
                <c:v>#N/A</c:v>
              </c:pt>
              <c:pt idx="611">
                <c:v>#N/A</c:v>
              </c:pt>
              <c:pt idx="612">
                <c:v>#N/A</c:v>
              </c:pt>
              <c:pt idx="613">
                <c:v>#N/A</c:v>
              </c:pt>
              <c:pt idx="614">
                <c:v>#N/A</c:v>
              </c:pt>
              <c:pt idx="615">
                <c:v>#N/A</c:v>
              </c:pt>
              <c:pt idx="616">
                <c:v>#N/A</c:v>
              </c:pt>
              <c:pt idx="617">
                <c:v>#N/A</c:v>
              </c:pt>
              <c:pt idx="618">
                <c:v>#N/A</c:v>
              </c:pt>
              <c:pt idx="619">
                <c:v>#N/A</c:v>
              </c:pt>
              <c:pt idx="620">
                <c:v>#N/A</c:v>
              </c:pt>
              <c:pt idx="621">
                <c:v>#N/A</c:v>
              </c:pt>
              <c:pt idx="622">
                <c:v>#N/A</c:v>
              </c:pt>
              <c:pt idx="623">
                <c:v>#N/A</c:v>
              </c:pt>
              <c:pt idx="624">
                <c:v>#N/A</c:v>
              </c:pt>
              <c:pt idx="625">
                <c:v>#N/A</c:v>
              </c:pt>
              <c:pt idx="626">
                <c:v>#N/A</c:v>
              </c:pt>
              <c:pt idx="627">
                <c:v>#N/A</c:v>
              </c:pt>
              <c:pt idx="628">
                <c:v>#N/A</c:v>
              </c:pt>
              <c:pt idx="629">
                <c:v>#N/A</c:v>
              </c:pt>
              <c:pt idx="630">
                <c:v>#N/A</c:v>
              </c:pt>
              <c:pt idx="631">
                <c:v>#N/A</c:v>
              </c:pt>
              <c:pt idx="632">
                <c:v>#N/A</c:v>
              </c:pt>
              <c:pt idx="633">
                <c:v>#N/A</c:v>
              </c:pt>
              <c:pt idx="634">
                <c:v>#N/A</c:v>
              </c:pt>
              <c:pt idx="635">
                <c:v>#N/A</c:v>
              </c:pt>
              <c:pt idx="636">
                <c:v>#N/A</c:v>
              </c:pt>
              <c:pt idx="637">
                <c:v>#N/A</c:v>
              </c:pt>
              <c:pt idx="638">
                <c:v>#N/A</c:v>
              </c:pt>
              <c:pt idx="639">
                <c:v>#N/A</c:v>
              </c:pt>
              <c:pt idx="640">
                <c:v>#N/A</c:v>
              </c:pt>
              <c:pt idx="641">
                <c:v>#N/A</c:v>
              </c:pt>
              <c:pt idx="642">
                <c:v>#N/A</c:v>
              </c:pt>
              <c:pt idx="643">
                <c:v>#N/A</c:v>
              </c:pt>
              <c:pt idx="644">
                <c:v>#N/A</c:v>
              </c:pt>
              <c:pt idx="645">
                <c:v>#N/A</c:v>
              </c:pt>
              <c:pt idx="646">
                <c:v>#N/A</c:v>
              </c:pt>
              <c:pt idx="647">
                <c:v>#N/A</c:v>
              </c:pt>
              <c:pt idx="648">
                <c:v>#N/A</c:v>
              </c:pt>
              <c:pt idx="649">
                <c:v>#N/A</c:v>
              </c:pt>
              <c:pt idx="650">
                <c:v>#N/A</c:v>
              </c:pt>
              <c:pt idx="651">
                <c:v>#N/A</c:v>
              </c:pt>
              <c:pt idx="652">
                <c:v>#N/A</c:v>
              </c:pt>
              <c:pt idx="653">
                <c:v>#N/A</c:v>
              </c:pt>
              <c:pt idx="654">
                <c:v>#N/A</c:v>
              </c:pt>
              <c:pt idx="655">
                <c:v>#N/A</c:v>
              </c:pt>
              <c:pt idx="656">
                <c:v>#N/A</c:v>
              </c:pt>
              <c:pt idx="657">
                <c:v>#N/A</c:v>
              </c:pt>
              <c:pt idx="658">
                <c:v>#N/A</c:v>
              </c:pt>
              <c:pt idx="659">
                <c:v>#N/A</c:v>
              </c:pt>
              <c:pt idx="660">
                <c:v>#N/A</c:v>
              </c:pt>
              <c:pt idx="661">
                <c:v>#N/A</c:v>
              </c:pt>
              <c:pt idx="662">
                <c:v>#N/A</c:v>
              </c:pt>
              <c:pt idx="663">
                <c:v>#N/A</c:v>
              </c:pt>
              <c:pt idx="664">
                <c:v>#N/A</c:v>
              </c:pt>
              <c:pt idx="665">
                <c:v>#N/A</c:v>
              </c:pt>
              <c:pt idx="666">
                <c:v>#N/A</c:v>
              </c:pt>
              <c:pt idx="667">
                <c:v>#N/A</c:v>
              </c:pt>
              <c:pt idx="668">
                <c:v>#N/A</c:v>
              </c:pt>
              <c:pt idx="669">
                <c:v>#N/A</c:v>
              </c:pt>
              <c:pt idx="670">
                <c:v>#N/A</c:v>
              </c:pt>
              <c:pt idx="671">
                <c:v>#N/A</c:v>
              </c:pt>
              <c:pt idx="672">
                <c:v>#N/A</c:v>
              </c:pt>
              <c:pt idx="673">
                <c:v>#N/A</c:v>
              </c:pt>
              <c:pt idx="674">
                <c:v>#N/A</c:v>
              </c:pt>
              <c:pt idx="675">
                <c:v>#N/A</c:v>
              </c:pt>
              <c:pt idx="676">
                <c:v>#N/A</c:v>
              </c:pt>
              <c:pt idx="677">
                <c:v>#N/A</c:v>
              </c:pt>
              <c:pt idx="678">
                <c:v>#N/A</c:v>
              </c:pt>
              <c:pt idx="679">
                <c:v>#N/A</c:v>
              </c:pt>
              <c:pt idx="680">
                <c:v>#N/A</c:v>
              </c:pt>
              <c:pt idx="681">
                <c:v>#N/A</c:v>
              </c:pt>
              <c:pt idx="682">
                <c:v>#N/A</c:v>
              </c:pt>
              <c:pt idx="683">
                <c:v>#N/A</c:v>
              </c:pt>
              <c:pt idx="684">
                <c:v>#N/A</c:v>
              </c:pt>
              <c:pt idx="685">
                <c:v>#N/A</c:v>
              </c:pt>
              <c:pt idx="686">
                <c:v>#N/A</c:v>
              </c:pt>
              <c:pt idx="687">
                <c:v>#N/A</c:v>
              </c:pt>
              <c:pt idx="688">
                <c:v>#N/A</c:v>
              </c:pt>
              <c:pt idx="689">
                <c:v>#N/A</c:v>
              </c:pt>
              <c:pt idx="690">
                <c:v>#N/A</c:v>
              </c:pt>
              <c:pt idx="691">
                <c:v>#N/A</c:v>
              </c:pt>
              <c:pt idx="692">
                <c:v>#N/A</c:v>
              </c:pt>
              <c:pt idx="693">
                <c:v>#N/A</c:v>
              </c:pt>
              <c:pt idx="694">
                <c:v>#N/A</c:v>
              </c:pt>
              <c:pt idx="695">
                <c:v>#N/A</c:v>
              </c:pt>
              <c:pt idx="696">
                <c:v>#N/A</c:v>
              </c:pt>
              <c:pt idx="697">
                <c:v>#N/A</c:v>
              </c:pt>
              <c:pt idx="698">
                <c:v>#N/A</c:v>
              </c:pt>
              <c:pt idx="699">
                <c:v>#N/A</c:v>
              </c:pt>
              <c:pt idx="700">
                <c:v>#N/A</c:v>
              </c:pt>
              <c:pt idx="701">
                <c:v>#N/A</c:v>
              </c:pt>
              <c:pt idx="702">
                <c:v>#N/A</c:v>
              </c:pt>
              <c:pt idx="703">
                <c:v>#N/A</c:v>
              </c:pt>
              <c:pt idx="704">
                <c:v>#N/A</c:v>
              </c:pt>
              <c:pt idx="705">
                <c:v>#N/A</c:v>
              </c:pt>
              <c:pt idx="706">
                <c:v>#N/A</c:v>
              </c:pt>
              <c:pt idx="707">
                <c:v>#N/A</c:v>
              </c:pt>
              <c:pt idx="708">
                <c:v>#N/A</c:v>
              </c:pt>
              <c:pt idx="709">
                <c:v>#N/A</c:v>
              </c:pt>
              <c:pt idx="710">
                <c:v>#N/A</c:v>
              </c:pt>
              <c:pt idx="711">
                <c:v>#N/A</c:v>
              </c:pt>
              <c:pt idx="712">
                <c:v>#N/A</c:v>
              </c:pt>
              <c:pt idx="713">
                <c:v>#N/A</c:v>
              </c:pt>
              <c:pt idx="714">
                <c:v>#N/A</c:v>
              </c:pt>
              <c:pt idx="715">
                <c:v>#N/A</c:v>
              </c:pt>
              <c:pt idx="716">
                <c:v>#N/A</c:v>
              </c:pt>
              <c:pt idx="717">
                <c:v>#N/A</c:v>
              </c:pt>
              <c:pt idx="718">
                <c:v>#N/A</c:v>
              </c:pt>
              <c:pt idx="719">
                <c:v>#N/A</c:v>
              </c:pt>
              <c:pt idx="720">
                <c:v>#N/A</c:v>
              </c:pt>
              <c:pt idx="721">
                <c:v>#N/A</c:v>
              </c:pt>
              <c:pt idx="722">
                <c:v>#N/A</c:v>
              </c:pt>
              <c:pt idx="723">
                <c:v>#N/A</c:v>
              </c:pt>
              <c:pt idx="724">
                <c:v>#N/A</c:v>
              </c:pt>
              <c:pt idx="725">
                <c:v>#N/A</c:v>
              </c:pt>
              <c:pt idx="726">
                <c:v>#N/A</c:v>
              </c:pt>
              <c:pt idx="727">
                <c:v>#N/A</c:v>
              </c:pt>
              <c:pt idx="728">
                <c:v>#N/A</c:v>
              </c:pt>
              <c:pt idx="729">
                <c:v>#N/A</c:v>
              </c:pt>
              <c:pt idx="730">
                <c:v>#N/A</c:v>
              </c:pt>
              <c:pt idx="731">
                <c:v>#N/A</c:v>
              </c:pt>
              <c:pt idx="732">
                <c:v>#N/A</c:v>
              </c:pt>
              <c:pt idx="733">
                <c:v>#N/A</c:v>
              </c:pt>
              <c:pt idx="734">
                <c:v>#N/A</c:v>
              </c:pt>
              <c:pt idx="735">
                <c:v>#N/A</c:v>
              </c:pt>
              <c:pt idx="736">
                <c:v>#N/A</c:v>
              </c:pt>
              <c:pt idx="737">
                <c:v>#N/A</c:v>
              </c:pt>
              <c:pt idx="738">
                <c:v>#N/A</c:v>
              </c:pt>
              <c:pt idx="739">
                <c:v>#N/A</c:v>
              </c:pt>
              <c:pt idx="740">
                <c:v>#N/A</c:v>
              </c:pt>
              <c:pt idx="741">
                <c:v>#N/A</c:v>
              </c:pt>
              <c:pt idx="742">
                <c:v>#N/A</c:v>
              </c:pt>
              <c:pt idx="743">
                <c:v>#N/A</c:v>
              </c:pt>
              <c:pt idx="744">
                <c:v>#N/A</c:v>
              </c:pt>
              <c:pt idx="745">
                <c:v>#N/A</c:v>
              </c:pt>
              <c:pt idx="746">
                <c:v>#N/A</c:v>
              </c:pt>
              <c:pt idx="747">
                <c:v>#N/A</c:v>
              </c:pt>
              <c:pt idx="748">
                <c:v>#N/A</c:v>
              </c:pt>
              <c:pt idx="749">
                <c:v>#N/A</c:v>
              </c:pt>
              <c:pt idx="750">
                <c:v>#N/A</c:v>
              </c:pt>
              <c:pt idx="751">
                <c:v>#N/A</c:v>
              </c:pt>
              <c:pt idx="752">
                <c:v>#N/A</c:v>
              </c:pt>
              <c:pt idx="753">
                <c:v>#N/A</c:v>
              </c:pt>
              <c:pt idx="754">
                <c:v>#N/A</c:v>
              </c:pt>
              <c:pt idx="755">
                <c:v>#N/A</c:v>
              </c:pt>
              <c:pt idx="756">
                <c:v>#N/A</c:v>
              </c:pt>
              <c:pt idx="757">
                <c:v>#N/A</c:v>
              </c:pt>
              <c:pt idx="758">
                <c:v>#N/A</c:v>
              </c:pt>
              <c:pt idx="759">
                <c:v>#N/A</c:v>
              </c:pt>
              <c:pt idx="760">
                <c:v>#N/A</c:v>
              </c:pt>
              <c:pt idx="761">
                <c:v>#N/A</c:v>
              </c:pt>
              <c:pt idx="762">
                <c:v>#N/A</c:v>
              </c:pt>
              <c:pt idx="763">
                <c:v>#N/A</c:v>
              </c:pt>
              <c:pt idx="764">
                <c:v>#N/A</c:v>
              </c:pt>
              <c:pt idx="765">
                <c:v>#N/A</c:v>
              </c:pt>
              <c:pt idx="766">
                <c:v>#N/A</c:v>
              </c:pt>
              <c:pt idx="767">
                <c:v>#N/A</c:v>
              </c:pt>
              <c:pt idx="768">
                <c:v>#N/A</c:v>
              </c:pt>
              <c:pt idx="769">
                <c:v>#N/A</c:v>
              </c:pt>
              <c:pt idx="770">
                <c:v>#N/A</c:v>
              </c:pt>
              <c:pt idx="771">
                <c:v>#N/A</c:v>
              </c:pt>
              <c:pt idx="772">
                <c:v>#N/A</c:v>
              </c:pt>
              <c:pt idx="773">
                <c:v>#N/A</c:v>
              </c:pt>
              <c:pt idx="774">
                <c:v>#N/A</c:v>
              </c:pt>
              <c:pt idx="775">
                <c:v>#N/A</c:v>
              </c:pt>
              <c:pt idx="776">
                <c:v>#N/A</c:v>
              </c:pt>
              <c:pt idx="777">
                <c:v>#N/A</c:v>
              </c:pt>
              <c:pt idx="778">
                <c:v>#N/A</c:v>
              </c:pt>
              <c:pt idx="779">
                <c:v>#N/A</c:v>
              </c:pt>
              <c:pt idx="780">
                <c:v>#N/A</c:v>
              </c:pt>
              <c:pt idx="781">
                <c:v>#N/A</c:v>
              </c:pt>
              <c:pt idx="782">
                <c:v>#N/A</c:v>
              </c:pt>
              <c:pt idx="783">
                <c:v>#N/A</c:v>
              </c:pt>
              <c:pt idx="784">
                <c:v>#N/A</c:v>
              </c:pt>
              <c:pt idx="785">
                <c:v>#N/A</c:v>
              </c:pt>
              <c:pt idx="786">
                <c:v>#N/A</c:v>
              </c:pt>
              <c:pt idx="787">
                <c:v>#N/A</c:v>
              </c:pt>
              <c:pt idx="788">
                <c:v>#N/A</c:v>
              </c:pt>
              <c:pt idx="789">
                <c:v>#N/A</c:v>
              </c:pt>
              <c:pt idx="790">
                <c:v>#N/A</c:v>
              </c:pt>
              <c:pt idx="791">
                <c:v>#N/A</c:v>
              </c:pt>
              <c:pt idx="792">
                <c:v>#N/A</c:v>
              </c:pt>
              <c:pt idx="793">
                <c:v>#N/A</c:v>
              </c:pt>
              <c:pt idx="794">
                <c:v>#N/A</c:v>
              </c:pt>
              <c:pt idx="795">
                <c:v>#N/A</c:v>
              </c:pt>
              <c:pt idx="796">
                <c:v>#N/A</c:v>
              </c:pt>
              <c:pt idx="797">
                <c:v>#N/A</c:v>
              </c:pt>
              <c:pt idx="798">
                <c:v>#N/A</c:v>
              </c:pt>
              <c:pt idx="799">
                <c:v>#N/A</c:v>
              </c:pt>
              <c:pt idx="800">
                <c:v>#N/A</c:v>
              </c:pt>
              <c:pt idx="801">
                <c:v>#N/A</c:v>
              </c:pt>
              <c:pt idx="802">
                <c:v>#N/A</c:v>
              </c:pt>
              <c:pt idx="803">
                <c:v>#N/A</c:v>
              </c:pt>
              <c:pt idx="804">
                <c:v>#N/A</c:v>
              </c:pt>
              <c:pt idx="805">
                <c:v>#N/A</c:v>
              </c:pt>
              <c:pt idx="806">
                <c:v>#N/A</c:v>
              </c:pt>
              <c:pt idx="807">
                <c:v>#N/A</c:v>
              </c:pt>
              <c:pt idx="808">
                <c:v>#N/A</c:v>
              </c:pt>
              <c:pt idx="809">
                <c:v>#N/A</c:v>
              </c:pt>
              <c:pt idx="810">
                <c:v>#N/A</c:v>
              </c:pt>
              <c:pt idx="811">
                <c:v>#N/A</c:v>
              </c:pt>
              <c:pt idx="812">
                <c:v>#N/A</c:v>
              </c:pt>
              <c:pt idx="813">
                <c:v>#N/A</c:v>
              </c:pt>
              <c:pt idx="814">
                <c:v>#N/A</c:v>
              </c:pt>
              <c:pt idx="815">
                <c:v>#N/A</c:v>
              </c:pt>
              <c:pt idx="816">
                <c:v>#N/A</c:v>
              </c:pt>
              <c:pt idx="817">
                <c:v>#N/A</c:v>
              </c:pt>
              <c:pt idx="818">
                <c:v>#N/A</c:v>
              </c:pt>
              <c:pt idx="819">
                <c:v>#N/A</c:v>
              </c:pt>
              <c:pt idx="820">
                <c:v>#N/A</c:v>
              </c:pt>
              <c:pt idx="821">
                <c:v>#N/A</c:v>
              </c:pt>
              <c:pt idx="822">
                <c:v>#N/A</c:v>
              </c:pt>
              <c:pt idx="823">
                <c:v>#N/A</c:v>
              </c:pt>
              <c:pt idx="824">
                <c:v>#N/A</c:v>
              </c:pt>
              <c:pt idx="825">
                <c:v>#N/A</c:v>
              </c:pt>
              <c:pt idx="826">
                <c:v>#N/A</c:v>
              </c:pt>
              <c:pt idx="827">
                <c:v>#N/A</c:v>
              </c:pt>
              <c:pt idx="828">
                <c:v>#N/A</c:v>
              </c:pt>
              <c:pt idx="829">
                <c:v>#N/A</c:v>
              </c:pt>
              <c:pt idx="830">
                <c:v>#N/A</c:v>
              </c:pt>
              <c:pt idx="831">
                <c:v>#N/A</c:v>
              </c:pt>
              <c:pt idx="832">
                <c:v>#N/A</c:v>
              </c:pt>
              <c:pt idx="833">
                <c:v>#N/A</c:v>
              </c:pt>
              <c:pt idx="834">
                <c:v>#N/A</c:v>
              </c:pt>
              <c:pt idx="835">
                <c:v>#N/A</c:v>
              </c:pt>
              <c:pt idx="836">
                <c:v>#N/A</c:v>
              </c:pt>
              <c:pt idx="837">
                <c:v>#N/A</c:v>
              </c:pt>
              <c:pt idx="838">
                <c:v>#N/A</c:v>
              </c:pt>
              <c:pt idx="839">
                <c:v>#N/A</c:v>
              </c:pt>
              <c:pt idx="840">
                <c:v>#N/A</c:v>
              </c:pt>
              <c:pt idx="841">
                <c:v>#N/A</c:v>
              </c:pt>
              <c:pt idx="842">
                <c:v>#N/A</c:v>
              </c:pt>
              <c:pt idx="843">
                <c:v>#N/A</c:v>
              </c:pt>
              <c:pt idx="844">
                <c:v>#N/A</c:v>
              </c:pt>
              <c:pt idx="845">
                <c:v>#N/A</c:v>
              </c:pt>
              <c:pt idx="846">
                <c:v>#N/A</c:v>
              </c:pt>
              <c:pt idx="847">
                <c:v>#N/A</c:v>
              </c:pt>
              <c:pt idx="848">
                <c:v>#N/A</c:v>
              </c:pt>
              <c:pt idx="849">
                <c:v>#N/A</c:v>
              </c:pt>
              <c:pt idx="850">
                <c:v>#N/A</c:v>
              </c:pt>
              <c:pt idx="851">
                <c:v>#N/A</c:v>
              </c:pt>
              <c:pt idx="852">
                <c:v>#N/A</c:v>
              </c:pt>
              <c:pt idx="853">
                <c:v>#N/A</c:v>
              </c:pt>
              <c:pt idx="854">
                <c:v>#N/A</c:v>
              </c:pt>
              <c:pt idx="855">
                <c:v>#N/A</c:v>
              </c:pt>
              <c:pt idx="856">
                <c:v>#N/A</c:v>
              </c:pt>
              <c:pt idx="857">
                <c:v>#N/A</c:v>
              </c:pt>
              <c:pt idx="858">
                <c:v>#N/A</c:v>
              </c:pt>
              <c:pt idx="859">
                <c:v>#N/A</c:v>
              </c:pt>
              <c:pt idx="860">
                <c:v>#N/A</c:v>
              </c:pt>
              <c:pt idx="861">
                <c:v>#N/A</c:v>
              </c:pt>
              <c:pt idx="862">
                <c:v>#N/A</c:v>
              </c:pt>
              <c:pt idx="863">
                <c:v>#N/A</c:v>
              </c:pt>
              <c:pt idx="864">
                <c:v>#N/A</c:v>
              </c:pt>
              <c:pt idx="865">
                <c:v>#N/A</c:v>
              </c:pt>
              <c:pt idx="866">
                <c:v>#N/A</c:v>
              </c:pt>
              <c:pt idx="867">
                <c:v>#N/A</c:v>
              </c:pt>
              <c:pt idx="868">
                <c:v>#N/A</c:v>
              </c:pt>
              <c:pt idx="869">
                <c:v>#N/A</c:v>
              </c:pt>
              <c:pt idx="870">
                <c:v>#N/A</c:v>
              </c:pt>
              <c:pt idx="871">
                <c:v>#N/A</c:v>
              </c:pt>
              <c:pt idx="872">
                <c:v>#N/A</c:v>
              </c:pt>
              <c:pt idx="873">
                <c:v>#N/A</c:v>
              </c:pt>
              <c:pt idx="874">
                <c:v>#N/A</c:v>
              </c:pt>
              <c:pt idx="875">
                <c:v>#N/A</c:v>
              </c:pt>
              <c:pt idx="876">
                <c:v>#N/A</c:v>
              </c:pt>
              <c:pt idx="877">
                <c:v>#N/A</c:v>
              </c:pt>
              <c:pt idx="878">
                <c:v>#N/A</c:v>
              </c:pt>
              <c:pt idx="879">
                <c:v>#N/A</c:v>
              </c:pt>
              <c:pt idx="880">
                <c:v>#N/A</c:v>
              </c:pt>
              <c:pt idx="881">
                <c:v>#N/A</c:v>
              </c:pt>
              <c:pt idx="882">
                <c:v>#N/A</c:v>
              </c:pt>
              <c:pt idx="883">
                <c:v>#N/A</c:v>
              </c:pt>
              <c:pt idx="884">
                <c:v>#N/A</c:v>
              </c:pt>
              <c:pt idx="885">
                <c:v>#N/A</c:v>
              </c:pt>
              <c:pt idx="886">
                <c:v>#N/A</c:v>
              </c:pt>
              <c:pt idx="887">
                <c:v>#N/A</c:v>
              </c:pt>
              <c:pt idx="888">
                <c:v>#N/A</c:v>
              </c:pt>
              <c:pt idx="889">
                <c:v>#N/A</c:v>
              </c:pt>
              <c:pt idx="890">
                <c:v>#N/A</c:v>
              </c:pt>
              <c:pt idx="891">
                <c:v>#N/A</c:v>
              </c:pt>
              <c:pt idx="892">
                <c:v>#N/A</c:v>
              </c:pt>
              <c:pt idx="893">
                <c:v>#N/A</c:v>
              </c:pt>
              <c:pt idx="894">
                <c:v>#N/A</c:v>
              </c:pt>
              <c:pt idx="895">
                <c:v>#N/A</c:v>
              </c:pt>
              <c:pt idx="896">
                <c:v>#N/A</c:v>
              </c:pt>
              <c:pt idx="897">
                <c:v>#N/A</c:v>
              </c:pt>
              <c:pt idx="898">
                <c:v>#N/A</c:v>
              </c:pt>
              <c:pt idx="899">
                <c:v>#N/A</c:v>
              </c:pt>
              <c:pt idx="900">
                <c:v>#N/A</c:v>
              </c:pt>
              <c:pt idx="901">
                <c:v>#N/A</c:v>
              </c:pt>
              <c:pt idx="902">
                <c:v>#N/A</c:v>
              </c:pt>
              <c:pt idx="903">
                <c:v>#N/A</c:v>
              </c:pt>
              <c:pt idx="904">
                <c:v>#N/A</c:v>
              </c:pt>
              <c:pt idx="905">
                <c:v>#N/A</c:v>
              </c:pt>
              <c:pt idx="906">
                <c:v>#N/A</c:v>
              </c:pt>
              <c:pt idx="907">
                <c:v>#N/A</c:v>
              </c:pt>
              <c:pt idx="908">
                <c:v>#N/A</c:v>
              </c:pt>
              <c:pt idx="909">
                <c:v>#N/A</c:v>
              </c:pt>
              <c:pt idx="910">
                <c:v>#N/A</c:v>
              </c:pt>
              <c:pt idx="911">
                <c:v>#N/A</c:v>
              </c:pt>
              <c:pt idx="912">
                <c:v>#N/A</c:v>
              </c:pt>
              <c:pt idx="913">
                <c:v>#N/A</c:v>
              </c:pt>
              <c:pt idx="914">
                <c:v>#N/A</c:v>
              </c:pt>
              <c:pt idx="915">
                <c:v>#N/A</c:v>
              </c:pt>
              <c:pt idx="916">
                <c:v>#N/A</c:v>
              </c:pt>
              <c:pt idx="917">
                <c:v>#N/A</c:v>
              </c:pt>
              <c:pt idx="918">
                <c:v>#N/A</c:v>
              </c:pt>
              <c:pt idx="919">
                <c:v>#N/A</c:v>
              </c:pt>
              <c:pt idx="920">
                <c:v>#N/A</c:v>
              </c:pt>
              <c:pt idx="921">
                <c:v>#N/A</c:v>
              </c:pt>
              <c:pt idx="922">
                <c:v>#N/A</c:v>
              </c:pt>
              <c:pt idx="923">
                <c:v>#N/A</c:v>
              </c:pt>
              <c:pt idx="924">
                <c:v>#N/A</c:v>
              </c:pt>
              <c:pt idx="925">
                <c:v>#N/A</c:v>
              </c:pt>
              <c:pt idx="926">
                <c:v>#N/A</c:v>
              </c:pt>
              <c:pt idx="927">
                <c:v>#N/A</c:v>
              </c:pt>
              <c:pt idx="928">
                <c:v>#N/A</c:v>
              </c:pt>
              <c:pt idx="929">
                <c:v>#N/A</c:v>
              </c:pt>
              <c:pt idx="930">
                <c:v>#N/A</c:v>
              </c:pt>
              <c:pt idx="931">
                <c:v>#N/A</c:v>
              </c:pt>
              <c:pt idx="932">
                <c:v>#N/A</c:v>
              </c:pt>
              <c:pt idx="933">
                <c:v>#N/A</c:v>
              </c:pt>
              <c:pt idx="934">
                <c:v>#N/A</c:v>
              </c:pt>
              <c:pt idx="935">
                <c:v>#N/A</c:v>
              </c:pt>
              <c:pt idx="936">
                <c:v>#N/A</c:v>
              </c:pt>
              <c:pt idx="937">
                <c:v>#N/A</c:v>
              </c:pt>
              <c:pt idx="938">
                <c:v>#N/A</c:v>
              </c:pt>
              <c:pt idx="939">
                <c:v>#N/A</c:v>
              </c:pt>
              <c:pt idx="940">
                <c:v>#N/A</c:v>
              </c:pt>
              <c:pt idx="941">
                <c:v>#N/A</c:v>
              </c:pt>
              <c:pt idx="942">
                <c:v>#N/A</c:v>
              </c:pt>
              <c:pt idx="943">
                <c:v>#N/A</c:v>
              </c:pt>
              <c:pt idx="944">
                <c:v>#N/A</c:v>
              </c:pt>
              <c:pt idx="945">
                <c:v>#N/A</c:v>
              </c:pt>
              <c:pt idx="946">
                <c:v>#N/A</c:v>
              </c:pt>
              <c:pt idx="947">
                <c:v>#N/A</c:v>
              </c:pt>
              <c:pt idx="948">
                <c:v>#N/A</c:v>
              </c:pt>
              <c:pt idx="949">
                <c:v>#N/A</c:v>
              </c:pt>
              <c:pt idx="950">
                <c:v>#N/A</c:v>
              </c:pt>
              <c:pt idx="951">
                <c:v>#N/A</c:v>
              </c:pt>
              <c:pt idx="952">
                <c:v>#N/A</c:v>
              </c:pt>
              <c:pt idx="953">
                <c:v>#N/A</c:v>
              </c:pt>
              <c:pt idx="954">
                <c:v>#N/A</c:v>
              </c:pt>
              <c:pt idx="955">
                <c:v>#N/A</c:v>
              </c:pt>
              <c:pt idx="956">
                <c:v>#N/A</c:v>
              </c:pt>
              <c:pt idx="957">
                <c:v>#N/A</c:v>
              </c:pt>
              <c:pt idx="958">
                <c:v>#N/A</c:v>
              </c:pt>
              <c:pt idx="959">
                <c:v>#N/A</c:v>
              </c:pt>
              <c:pt idx="960">
                <c:v>#N/A</c:v>
              </c:pt>
              <c:pt idx="961">
                <c:v>#N/A</c:v>
              </c:pt>
              <c:pt idx="962">
                <c:v>#N/A</c:v>
              </c:pt>
              <c:pt idx="963">
                <c:v>#N/A</c:v>
              </c:pt>
              <c:pt idx="964">
                <c:v>#N/A</c:v>
              </c:pt>
              <c:pt idx="965">
                <c:v>#N/A</c:v>
              </c:pt>
              <c:pt idx="966">
                <c:v>#N/A</c:v>
              </c:pt>
              <c:pt idx="967">
                <c:v>#N/A</c:v>
              </c:pt>
              <c:pt idx="968">
                <c:v>#N/A</c:v>
              </c:pt>
              <c:pt idx="969">
                <c:v>#N/A</c:v>
              </c:pt>
              <c:pt idx="970">
                <c:v>#N/A</c:v>
              </c:pt>
              <c:pt idx="971">
                <c:v>#N/A</c:v>
              </c:pt>
              <c:pt idx="972">
                <c:v>#N/A</c:v>
              </c:pt>
              <c:pt idx="973">
                <c:v>#N/A</c:v>
              </c:pt>
              <c:pt idx="974">
                <c:v>#N/A</c:v>
              </c:pt>
              <c:pt idx="975">
                <c:v>#N/A</c:v>
              </c:pt>
              <c:pt idx="976">
                <c:v>#N/A</c:v>
              </c:pt>
              <c:pt idx="977">
                <c:v>#N/A</c:v>
              </c:pt>
              <c:pt idx="978">
                <c:v>#N/A</c:v>
              </c:pt>
              <c:pt idx="979">
                <c:v>#N/A</c:v>
              </c:pt>
              <c:pt idx="980">
                <c:v>#N/A</c:v>
              </c:pt>
              <c:pt idx="981">
                <c:v>#N/A</c:v>
              </c:pt>
              <c:pt idx="982">
                <c:v>#N/A</c:v>
              </c:pt>
              <c:pt idx="983">
                <c:v>#N/A</c:v>
              </c:pt>
              <c:pt idx="984">
                <c:v>#N/A</c:v>
              </c:pt>
              <c:pt idx="985">
                <c:v>#N/A</c:v>
              </c:pt>
              <c:pt idx="986">
                <c:v>#N/A</c:v>
              </c:pt>
              <c:pt idx="987">
                <c:v>#N/A</c:v>
              </c:pt>
              <c:pt idx="988">
                <c:v>#N/A</c:v>
              </c:pt>
              <c:pt idx="989">
                <c:v>#N/A</c:v>
              </c:pt>
              <c:pt idx="990">
                <c:v>#N/A</c:v>
              </c:pt>
              <c:pt idx="991">
                <c:v>#N/A</c:v>
              </c:pt>
              <c:pt idx="992">
                <c:v>#N/A</c:v>
              </c:pt>
              <c:pt idx="993">
                <c:v>#N/A</c:v>
              </c:pt>
              <c:pt idx="994">
                <c:v>#N/A</c:v>
              </c:pt>
              <c:pt idx="995">
                <c:v>#N/A</c:v>
              </c:pt>
              <c:pt idx="996">
                <c:v>#N/A</c:v>
              </c:pt>
              <c:pt idx="997">
                <c:v>#N/A</c:v>
              </c:pt>
              <c:pt idx="998">
                <c:v>#N/A</c:v>
              </c:pt>
              <c:pt idx="999">
                <c:v>#N/A</c:v>
              </c:pt>
              <c:pt idx="1000">
                <c:v>#N/A</c:v>
              </c:pt>
              <c:pt idx="1001">
                <c:v>#N/A</c:v>
              </c:pt>
              <c:pt idx="1002">
                <c:v>#N/A</c:v>
              </c:pt>
              <c:pt idx="1003">
                <c:v>#N/A</c:v>
              </c:pt>
              <c:pt idx="1004">
                <c:v>#N/A</c:v>
              </c:pt>
              <c:pt idx="1005">
                <c:v>#N/A</c:v>
              </c:pt>
              <c:pt idx="1006">
                <c:v>#N/A</c:v>
              </c:pt>
              <c:pt idx="1007">
                <c:v>#N/A</c:v>
              </c:pt>
              <c:pt idx="1008">
                <c:v>#N/A</c:v>
              </c:pt>
              <c:pt idx="1009">
                <c:v>#N/A</c:v>
              </c:pt>
              <c:pt idx="1010">
                <c:v>#N/A</c:v>
              </c:pt>
              <c:pt idx="1011">
                <c:v>#N/A</c:v>
              </c:pt>
              <c:pt idx="1012">
                <c:v>#N/A</c:v>
              </c:pt>
              <c:pt idx="1013">
                <c:v>#N/A</c:v>
              </c:pt>
              <c:pt idx="1014">
                <c:v>#N/A</c:v>
              </c:pt>
              <c:pt idx="1015">
                <c:v>#N/A</c:v>
              </c:pt>
              <c:pt idx="1016">
                <c:v>#N/A</c:v>
              </c:pt>
              <c:pt idx="1017">
                <c:v>#N/A</c:v>
              </c:pt>
              <c:pt idx="1018">
                <c:v>#N/A</c:v>
              </c:pt>
              <c:pt idx="1019">
                <c:v>#N/A</c:v>
              </c:pt>
              <c:pt idx="1020">
                <c:v>#N/A</c:v>
              </c:pt>
              <c:pt idx="1021">
                <c:v>#N/A</c:v>
              </c:pt>
              <c:pt idx="1022">
                <c:v>#N/A</c:v>
              </c:pt>
              <c:pt idx="1023">
                <c:v>#N/A</c:v>
              </c:pt>
              <c:pt idx="1024">
                <c:v>#N/A</c:v>
              </c:pt>
              <c:pt idx="1025">
                <c:v>#N/A</c:v>
              </c:pt>
              <c:pt idx="1026">
                <c:v>#N/A</c:v>
              </c:pt>
              <c:pt idx="1027">
                <c:v>#N/A</c:v>
              </c:pt>
              <c:pt idx="1028">
                <c:v>#N/A</c:v>
              </c:pt>
              <c:pt idx="1029">
                <c:v>#N/A</c:v>
              </c:pt>
              <c:pt idx="1030">
                <c:v>#N/A</c:v>
              </c:pt>
              <c:pt idx="1031">
                <c:v>#N/A</c:v>
              </c:pt>
              <c:pt idx="1032">
                <c:v>#N/A</c:v>
              </c:pt>
              <c:pt idx="1033">
                <c:v>#N/A</c:v>
              </c:pt>
              <c:pt idx="1034">
                <c:v>#N/A</c:v>
              </c:pt>
              <c:pt idx="1035">
                <c:v>#N/A</c:v>
              </c:pt>
              <c:pt idx="1036">
                <c:v>#N/A</c:v>
              </c:pt>
              <c:pt idx="1037">
                <c:v>#N/A</c:v>
              </c:pt>
              <c:pt idx="1038">
                <c:v>#N/A</c:v>
              </c:pt>
              <c:pt idx="1039">
                <c:v>#N/A</c:v>
              </c:pt>
              <c:pt idx="1040">
                <c:v>#N/A</c:v>
              </c:pt>
              <c:pt idx="1041">
                <c:v>#N/A</c:v>
              </c:pt>
              <c:pt idx="1042">
                <c:v>#N/A</c:v>
              </c:pt>
              <c:pt idx="1043">
                <c:v>#N/A</c:v>
              </c:pt>
              <c:pt idx="1044">
                <c:v>#N/A</c:v>
              </c:pt>
              <c:pt idx="1045">
                <c:v>#N/A</c:v>
              </c:pt>
              <c:pt idx="1046">
                <c:v>#N/A</c:v>
              </c:pt>
              <c:pt idx="1047">
                <c:v>#N/A</c:v>
              </c:pt>
              <c:pt idx="1048">
                <c:v>#N/A</c:v>
              </c:pt>
              <c:pt idx="1049">
                <c:v>#N/A</c:v>
              </c:pt>
              <c:pt idx="1050">
                <c:v>#N/A</c:v>
              </c:pt>
              <c:pt idx="1051">
                <c:v>#N/A</c:v>
              </c:pt>
              <c:pt idx="1052">
                <c:v>#N/A</c:v>
              </c:pt>
              <c:pt idx="1053">
                <c:v>#N/A</c:v>
              </c:pt>
              <c:pt idx="1054">
                <c:v>#N/A</c:v>
              </c:pt>
              <c:pt idx="1055">
                <c:v>#N/A</c:v>
              </c:pt>
              <c:pt idx="1056">
                <c:v>#N/A</c:v>
              </c:pt>
              <c:pt idx="1057">
                <c:v>#N/A</c:v>
              </c:pt>
              <c:pt idx="1058">
                <c:v>#N/A</c:v>
              </c:pt>
              <c:pt idx="1059">
                <c:v>#N/A</c:v>
              </c:pt>
              <c:pt idx="1060">
                <c:v>#N/A</c:v>
              </c:pt>
              <c:pt idx="1061">
                <c:v>#N/A</c:v>
              </c:pt>
              <c:pt idx="1062">
                <c:v>#N/A</c:v>
              </c:pt>
              <c:pt idx="1063">
                <c:v>#N/A</c:v>
              </c:pt>
              <c:pt idx="1064">
                <c:v>#N/A</c:v>
              </c:pt>
              <c:pt idx="1065">
                <c:v>#N/A</c:v>
              </c:pt>
              <c:pt idx="1066">
                <c:v>#N/A</c:v>
              </c:pt>
              <c:pt idx="1067">
                <c:v>#N/A</c:v>
              </c:pt>
              <c:pt idx="1068">
                <c:v>#N/A</c:v>
              </c:pt>
              <c:pt idx="1069">
                <c:v>#N/A</c:v>
              </c:pt>
              <c:pt idx="1070">
                <c:v>#N/A</c:v>
              </c:pt>
              <c:pt idx="1071">
                <c:v>#N/A</c:v>
              </c:pt>
              <c:pt idx="1072">
                <c:v>#N/A</c:v>
              </c:pt>
              <c:pt idx="1073">
                <c:v>#N/A</c:v>
              </c:pt>
              <c:pt idx="1074">
                <c:v>#N/A</c:v>
              </c:pt>
              <c:pt idx="1075">
                <c:v>#N/A</c:v>
              </c:pt>
              <c:pt idx="1076">
                <c:v>#N/A</c:v>
              </c:pt>
              <c:pt idx="1077">
                <c:v>#N/A</c:v>
              </c:pt>
              <c:pt idx="1078">
                <c:v>#N/A</c:v>
              </c:pt>
              <c:pt idx="1079">
                <c:v>#N/A</c:v>
              </c:pt>
              <c:pt idx="1080">
                <c:v>#N/A</c:v>
              </c:pt>
              <c:pt idx="1081">
                <c:v>#N/A</c:v>
              </c:pt>
              <c:pt idx="1082">
                <c:v>#N/A</c:v>
              </c:pt>
              <c:pt idx="1083">
                <c:v>#N/A</c:v>
              </c:pt>
              <c:pt idx="1084">
                <c:v>#N/A</c:v>
              </c:pt>
              <c:pt idx="1085">
                <c:v>#N/A</c:v>
              </c:pt>
              <c:pt idx="1086">
                <c:v>#N/A</c:v>
              </c:pt>
              <c:pt idx="1087">
                <c:v>#N/A</c:v>
              </c:pt>
              <c:pt idx="1088">
                <c:v>#N/A</c:v>
              </c:pt>
              <c:pt idx="1089">
                <c:v>#N/A</c:v>
              </c:pt>
              <c:pt idx="1090">
                <c:v>#N/A</c:v>
              </c:pt>
              <c:pt idx="1091">
                <c:v>#N/A</c:v>
              </c:pt>
              <c:pt idx="1092">
                <c:v>#N/A</c:v>
              </c:pt>
              <c:pt idx="1093">
                <c:v>#N/A</c:v>
              </c:pt>
              <c:pt idx="1094">
                <c:v>#N/A</c:v>
              </c:pt>
              <c:pt idx="1095">
                <c:v>#N/A</c:v>
              </c:pt>
              <c:pt idx="1096">
                <c:v>#N/A</c:v>
              </c:pt>
              <c:pt idx="1097">
                <c:v>#N/A</c:v>
              </c:pt>
              <c:pt idx="1098">
                <c:v>#N/A</c:v>
              </c:pt>
              <c:pt idx="1099">
                <c:v>#N/A</c:v>
              </c:pt>
              <c:pt idx="1100">
                <c:v>#N/A</c:v>
              </c:pt>
              <c:pt idx="1101">
                <c:v>#N/A</c:v>
              </c:pt>
              <c:pt idx="1102">
                <c:v>#N/A</c:v>
              </c:pt>
              <c:pt idx="1103">
                <c:v>#N/A</c:v>
              </c:pt>
              <c:pt idx="1104">
                <c:v>#N/A</c:v>
              </c:pt>
              <c:pt idx="1105">
                <c:v>#N/A</c:v>
              </c:pt>
              <c:pt idx="1106">
                <c:v>#N/A</c:v>
              </c:pt>
              <c:pt idx="1107">
                <c:v>#N/A</c:v>
              </c:pt>
              <c:pt idx="1108">
                <c:v>#N/A</c:v>
              </c:pt>
              <c:pt idx="1109">
                <c:v>#N/A</c:v>
              </c:pt>
              <c:pt idx="1110">
                <c:v>#N/A</c:v>
              </c:pt>
              <c:pt idx="1111">
                <c:v>#N/A</c:v>
              </c:pt>
              <c:pt idx="1112">
                <c:v>#N/A</c:v>
              </c:pt>
              <c:pt idx="1113">
                <c:v>#N/A</c:v>
              </c:pt>
              <c:pt idx="1114">
                <c:v>#N/A</c:v>
              </c:pt>
              <c:pt idx="1115">
                <c:v>#N/A</c:v>
              </c:pt>
              <c:pt idx="1116">
                <c:v>#N/A</c:v>
              </c:pt>
              <c:pt idx="1117">
                <c:v>#N/A</c:v>
              </c:pt>
              <c:pt idx="1118">
                <c:v>#N/A</c:v>
              </c:pt>
              <c:pt idx="1119">
                <c:v>#N/A</c:v>
              </c:pt>
              <c:pt idx="1120">
                <c:v>#N/A</c:v>
              </c:pt>
              <c:pt idx="1121">
                <c:v>#N/A</c:v>
              </c:pt>
              <c:pt idx="1122">
                <c:v>#N/A</c:v>
              </c:pt>
              <c:pt idx="1123">
                <c:v>#N/A</c:v>
              </c:pt>
              <c:pt idx="1124">
                <c:v>#N/A</c:v>
              </c:pt>
              <c:pt idx="1125">
                <c:v>#N/A</c:v>
              </c:pt>
              <c:pt idx="1126">
                <c:v>#N/A</c:v>
              </c:pt>
              <c:pt idx="1127">
                <c:v>#N/A</c:v>
              </c:pt>
              <c:pt idx="1128">
                <c:v>#N/A</c:v>
              </c:pt>
              <c:pt idx="1129">
                <c:v>#N/A</c:v>
              </c:pt>
              <c:pt idx="1130">
                <c:v>#N/A</c:v>
              </c:pt>
              <c:pt idx="1131">
                <c:v>#N/A</c:v>
              </c:pt>
              <c:pt idx="1132">
                <c:v>#N/A</c:v>
              </c:pt>
              <c:pt idx="1133">
                <c:v>#N/A</c:v>
              </c:pt>
              <c:pt idx="1134">
                <c:v>#N/A</c:v>
              </c:pt>
              <c:pt idx="1135">
                <c:v>#N/A</c:v>
              </c:pt>
              <c:pt idx="1136">
                <c:v>#N/A</c:v>
              </c:pt>
              <c:pt idx="1137">
                <c:v>#N/A</c:v>
              </c:pt>
              <c:pt idx="1138">
                <c:v>#N/A</c:v>
              </c:pt>
              <c:pt idx="1139">
                <c:v>#N/A</c:v>
              </c:pt>
              <c:pt idx="1140">
                <c:v>#N/A</c:v>
              </c:pt>
              <c:pt idx="1141">
                <c:v>#N/A</c:v>
              </c:pt>
              <c:pt idx="1142">
                <c:v>#N/A</c:v>
              </c:pt>
              <c:pt idx="1143">
                <c:v>#N/A</c:v>
              </c:pt>
              <c:pt idx="1144">
                <c:v>#N/A</c:v>
              </c:pt>
              <c:pt idx="1145">
                <c:v>#N/A</c:v>
              </c:pt>
              <c:pt idx="1146">
                <c:v>#N/A</c:v>
              </c:pt>
              <c:pt idx="1147">
                <c:v>#N/A</c:v>
              </c:pt>
              <c:pt idx="1148">
                <c:v>#N/A</c:v>
              </c:pt>
              <c:pt idx="1149">
                <c:v>#N/A</c:v>
              </c:pt>
              <c:pt idx="1150">
                <c:v>#N/A</c:v>
              </c:pt>
              <c:pt idx="1151">
                <c:v>#N/A</c:v>
              </c:pt>
              <c:pt idx="1152">
                <c:v>#N/A</c:v>
              </c:pt>
              <c:pt idx="1153">
                <c:v>#N/A</c:v>
              </c:pt>
              <c:pt idx="1154">
                <c:v>#N/A</c:v>
              </c:pt>
              <c:pt idx="1155">
                <c:v>#N/A</c:v>
              </c:pt>
              <c:pt idx="1156">
                <c:v>#N/A</c:v>
              </c:pt>
              <c:pt idx="1157">
                <c:v>#N/A</c:v>
              </c:pt>
              <c:pt idx="1158">
                <c:v>#N/A</c:v>
              </c:pt>
              <c:pt idx="1159">
                <c:v>#N/A</c:v>
              </c:pt>
              <c:pt idx="1160">
                <c:v>#N/A</c:v>
              </c:pt>
              <c:pt idx="1161">
                <c:v>#N/A</c:v>
              </c:pt>
              <c:pt idx="1162">
                <c:v>#N/A</c:v>
              </c:pt>
              <c:pt idx="1163">
                <c:v>#N/A</c:v>
              </c:pt>
              <c:pt idx="1164">
                <c:v>#N/A</c:v>
              </c:pt>
              <c:pt idx="1165">
                <c:v>#N/A</c:v>
              </c:pt>
              <c:pt idx="1166">
                <c:v>#N/A</c:v>
              </c:pt>
              <c:pt idx="1167">
                <c:v>#N/A</c:v>
              </c:pt>
              <c:pt idx="1168">
                <c:v>#N/A</c:v>
              </c:pt>
              <c:pt idx="1169">
                <c:v>#N/A</c:v>
              </c:pt>
              <c:pt idx="1170">
                <c:v>#N/A</c:v>
              </c:pt>
              <c:pt idx="1171">
                <c:v>#N/A</c:v>
              </c:pt>
              <c:pt idx="1172">
                <c:v>#N/A</c:v>
              </c:pt>
              <c:pt idx="1173">
                <c:v>#N/A</c:v>
              </c:pt>
              <c:pt idx="1174">
                <c:v>#N/A</c:v>
              </c:pt>
              <c:pt idx="1175">
                <c:v>#N/A</c:v>
              </c:pt>
              <c:pt idx="1176">
                <c:v>#N/A</c:v>
              </c:pt>
              <c:pt idx="1177">
                <c:v>#N/A</c:v>
              </c:pt>
              <c:pt idx="1178">
                <c:v>#N/A</c:v>
              </c:pt>
              <c:pt idx="1179">
                <c:v>#N/A</c:v>
              </c:pt>
              <c:pt idx="1180">
                <c:v>#N/A</c:v>
              </c:pt>
              <c:pt idx="1181">
                <c:v>#N/A</c:v>
              </c:pt>
              <c:pt idx="1182">
                <c:v>#N/A</c:v>
              </c:pt>
              <c:pt idx="1183">
                <c:v>#N/A</c:v>
              </c:pt>
              <c:pt idx="1184">
                <c:v>#N/A</c:v>
              </c:pt>
              <c:pt idx="1185">
                <c:v>#N/A</c:v>
              </c:pt>
              <c:pt idx="1186">
                <c:v>#N/A</c:v>
              </c:pt>
              <c:pt idx="1187">
                <c:v>#N/A</c:v>
              </c:pt>
              <c:pt idx="1188">
                <c:v>#N/A</c:v>
              </c:pt>
              <c:pt idx="1189">
                <c:v>#N/A</c:v>
              </c:pt>
              <c:pt idx="1190">
                <c:v>#N/A</c:v>
              </c:pt>
              <c:pt idx="1191">
                <c:v>#N/A</c:v>
              </c:pt>
              <c:pt idx="1192">
                <c:v>#N/A</c:v>
              </c:pt>
              <c:pt idx="1193">
                <c:v>#N/A</c:v>
              </c:pt>
              <c:pt idx="1194">
                <c:v>#N/A</c:v>
              </c:pt>
              <c:pt idx="1195">
                <c:v>#N/A</c:v>
              </c:pt>
              <c:pt idx="1196">
                <c:v>#N/A</c:v>
              </c:pt>
              <c:pt idx="1197">
                <c:v>#N/A</c:v>
              </c:pt>
              <c:pt idx="1198">
                <c:v>#N/A</c:v>
              </c:pt>
              <c:pt idx="1199">
                <c:v>#N/A</c:v>
              </c:pt>
              <c:pt idx="1200">
                <c:v>#N/A</c:v>
              </c:pt>
              <c:pt idx="1201">
                <c:v>#N/A</c:v>
              </c:pt>
              <c:pt idx="1202">
                <c:v>#N/A</c:v>
              </c:pt>
              <c:pt idx="1203">
                <c:v>#N/A</c:v>
              </c:pt>
              <c:pt idx="1204">
                <c:v>#N/A</c:v>
              </c:pt>
              <c:pt idx="1205">
                <c:v>#N/A</c:v>
              </c:pt>
              <c:pt idx="1206">
                <c:v>#N/A</c:v>
              </c:pt>
              <c:pt idx="1207">
                <c:v>#N/A</c:v>
              </c:pt>
              <c:pt idx="1208">
                <c:v>#N/A</c:v>
              </c:pt>
              <c:pt idx="1209">
                <c:v>#N/A</c:v>
              </c:pt>
              <c:pt idx="1210">
                <c:v>#N/A</c:v>
              </c:pt>
              <c:pt idx="1211">
                <c:v>#N/A</c:v>
              </c:pt>
              <c:pt idx="1212">
                <c:v>#N/A</c:v>
              </c:pt>
              <c:pt idx="1213">
                <c:v>#N/A</c:v>
              </c:pt>
              <c:pt idx="1214">
                <c:v>#N/A</c:v>
              </c:pt>
              <c:pt idx="1215">
                <c:v>#N/A</c:v>
              </c:pt>
              <c:pt idx="1216">
                <c:v>#N/A</c:v>
              </c:pt>
              <c:pt idx="1217">
                <c:v>#N/A</c:v>
              </c:pt>
              <c:pt idx="1218">
                <c:v>#N/A</c:v>
              </c:pt>
              <c:pt idx="1219">
                <c:v>#N/A</c:v>
              </c:pt>
              <c:pt idx="1220">
                <c:v>#N/A</c:v>
              </c:pt>
              <c:pt idx="1221">
                <c:v>#N/A</c:v>
              </c:pt>
              <c:pt idx="1222">
                <c:v>#N/A</c:v>
              </c:pt>
              <c:pt idx="1223">
                <c:v>#N/A</c:v>
              </c:pt>
              <c:pt idx="1224">
                <c:v>#N/A</c:v>
              </c:pt>
              <c:pt idx="1225">
                <c:v>#N/A</c:v>
              </c:pt>
              <c:pt idx="1226">
                <c:v>#N/A</c:v>
              </c:pt>
              <c:pt idx="1227">
                <c:v>#N/A</c:v>
              </c:pt>
              <c:pt idx="1228">
                <c:v>#N/A</c:v>
              </c:pt>
              <c:pt idx="1229">
                <c:v>#N/A</c:v>
              </c:pt>
              <c:pt idx="1230">
                <c:v>#N/A</c:v>
              </c:pt>
              <c:pt idx="1231">
                <c:v>#N/A</c:v>
              </c:pt>
              <c:pt idx="1232">
                <c:v>#N/A</c:v>
              </c:pt>
              <c:pt idx="1233">
                <c:v>#N/A</c:v>
              </c:pt>
              <c:pt idx="1234">
                <c:v>#N/A</c:v>
              </c:pt>
              <c:pt idx="1235">
                <c:v>#N/A</c:v>
              </c:pt>
              <c:pt idx="1236">
                <c:v>#N/A</c:v>
              </c:pt>
              <c:pt idx="1237">
                <c:v>#N/A</c:v>
              </c:pt>
              <c:pt idx="1238">
                <c:v>#N/A</c:v>
              </c:pt>
              <c:pt idx="1239">
                <c:v>#N/A</c:v>
              </c:pt>
              <c:pt idx="1240">
                <c:v>#N/A</c:v>
              </c:pt>
              <c:pt idx="1241">
                <c:v>#N/A</c:v>
              </c:pt>
              <c:pt idx="1242">
                <c:v>#N/A</c:v>
              </c:pt>
              <c:pt idx="1243">
                <c:v>#N/A</c:v>
              </c:pt>
              <c:pt idx="1244">
                <c:v>#N/A</c:v>
              </c:pt>
              <c:pt idx="1245">
                <c:v>#N/A</c:v>
              </c:pt>
              <c:pt idx="1246">
                <c:v>#N/A</c:v>
              </c:pt>
              <c:pt idx="1247">
                <c:v>#N/A</c:v>
              </c:pt>
              <c:pt idx="1248">
                <c:v>#N/A</c:v>
              </c:pt>
              <c:pt idx="1249">
                <c:v>#N/A</c:v>
              </c:pt>
              <c:pt idx="1250">
                <c:v>#N/A</c:v>
              </c:pt>
              <c:pt idx="1251">
                <c:v>#N/A</c:v>
              </c:pt>
              <c:pt idx="1252">
                <c:v>#N/A</c:v>
              </c:pt>
              <c:pt idx="1253">
                <c:v>#N/A</c:v>
              </c:pt>
              <c:pt idx="1254">
                <c:v>#N/A</c:v>
              </c:pt>
              <c:pt idx="1255">
                <c:v>#N/A</c:v>
              </c:pt>
              <c:pt idx="1256">
                <c:v>#N/A</c:v>
              </c:pt>
              <c:pt idx="1257">
                <c:v>#N/A</c:v>
              </c:pt>
              <c:pt idx="1258">
                <c:v>#N/A</c:v>
              </c:pt>
              <c:pt idx="1259">
                <c:v>#N/A</c:v>
              </c:pt>
              <c:pt idx="1260">
                <c:v>#N/A</c:v>
              </c:pt>
              <c:pt idx="1261">
                <c:v>#N/A</c:v>
              </c:pt>
              <c:pt idx="1262">
                <c:v>#N/A</c:v>
              </c:pt>
              <c:pt idx="1263">
                <c:v>#N/A</c:v>
              </c:pt>
              <c:pt idx="1264">
                <c:v>#N/A</c:v>
              </c:pt>
              <c:pt idx="1265">
                <c:v>#N/A</c:v>
              </c:pt>
              <c:pt idx="1266">
                <c:v>#N/A</c:v>
              </c:pt>
              <c:pt idx="1267">
                <c:v>#N/A</c:v>
              </c:pt>
              <c:pt idx="1268">
                <c:v>#N/A</c:v>
              </c:pt>
              <c:pt idx="1269">
                <c:v>#N/A</c:v>
              </c:pt>
              <c:pt idx="1270">
                <c:v>#N/A</c:v>
              </c:pt>
              <c:pt idx="1271">
                <c:v>#N/A</c:v>
              </c:pt>
              <c:pt idx="1272">
                <c:v>#N/A</c:v>
              </c:pt>
              <c:pt idx="1273">
                <c:v>#N/A</c:v>
              </c:pt>
              <c:pt idx="1274">
                <c:v>#N/A</c:v>
              </c:pt>
              <c:pt idx="1275">
                <c:v>#N/A</c:v>
              </c:pt>
              <c:pt idx="1276">
                <c:v>#N/A</c:v>
              </c:pt>
              <c:pt idx="1277">
                <c:v>#N/A</c:v>
              </c:pt>
              <c:pt idx="1278">
                <c:v>#N/A</c:v>
              </c:pt>
              <c:pt idx="1279">
                <c:v>#N/A</c:v>
              </c:pt>
              <c:pt idx="1280">
                <c:v>#N/A</c:v>
              </c:pt>
              <c:pt idx="1281">
                <c:v>#N/A</c:v>
              </c:pt>
              <c:pt idx="1282">
                <c:v>#N/A</c:v>
              </c:pt>
              <c:pt idx="1283">
                <c:v>#N/A</c:v>
              </c:pt>
              <c:pt idx="1284">
                <c:v>#N/A</c:v>
              </c:pt>
              <c:pt idx="1285">
                <c:v>#N/A</c:v>
              </c:pt>
              <c:pt idx="1286">
                <c:v>#N/A</c:v>
              </c:pt>
              <c:pt idx="1287">
                <c:v>#N/A</c:v>
              </c:pt>
              <c:pt idx="1288">
                <c:v>#N/A</c:v>
              </c:pt>
              <c:pt idx="1289">
                <c:v>#N/A</c:v>
              </c:pt>
              <c:pt idx="1290">
                <c:v>#N/A</c:v>
              </c:pt>
              <c:pt idx="1291">
                <c:v>#N/A</c:v>
              </c:pt>
              <c:pt idx="1292">
                <c:v>#N/A</c:v>
              </c:pt>
              <c:pt idx="1293">
                <c:v>#N/A</c:v>
              </c:pt>
              <c:pt idx="1294">
                <c:v>#N/A</c:v>
              </c:pt>
              <c:pt idx="1295">
                <c:v>#N/A</c:v>
              </c:pt>
              <c:pt idx="1296">
                <c:v>#N/A</c:v>
              </c:pt>
              <c:pt idx="1297">
                <c:v>#N/A</c:v>
              </c:pt>
              <c:pt idx="1298">
                <c:v>#N/A</c:v>
              </c:pt>
              <c:pt idx="1299">
                <c:v>#N/A</c:v>
              </c:pt>
              <c:pt idx="1300">
                <c:v>#N/A</c:v>
              </c:pt>
              <c:pt idx="1301">
                <c:v>#N/A</c:v>
              </c:pt>
              <c:pt idx="1302">
                <c:v>#N/A</c:v>
              </c:pt>
              <c:pt idx="1303">
                <c:v>#N/A</c:v>
              </c:pt>
              <c:pt idx="1304">
                <c:v>#N/A</c:v>
              </c:pt>
              <c:pt idx="1305">
                <c:v>#N/A</c:v>
              </c:pt>
              <c:pt idx="1306">
                <c:v>#N/A</c:v>
              </c:pt>
              <c:pt idx="1307">
                <c:v>#N/A</c:v>
              </c:pt>
              <c:pt idx="1308">
                <c:v>#N/A</c:v>
              </c:pt>
              <c:pt idx="1309">
                <c:v>#N/A</c:v>
              </c:pt>
              <c:pt idx="1310">
                <c:v>#N/A</c:v>
              </c:pt>
              <c:pt idx="1311">
                <c:v>#N/A</c:v>
              </c:pt>
              <c:pt idx="1312">
                <c:v>#N/A</c:v>
              </c:pt>
              <c:pt idx="1313">
                <c:v>#N/A</c:v>
              </c:pt>
              <c:pt idx="1314">
                <c:v>#N/A</c:v>
              </c:pt>
              <c:pt idx="1315">
                <c:v>#N/A</c:v>
              </c:pt>
              <c:pt idx="1316">
                <c:v>#N/A</c:v>
              </c:pt>
              <c:pt idx="1317">
                <c:v>#N/A</c:v>
              </c:pt>
              <c:pt idx="1318">
                <c:v>#N/A</c:v>
              </c:pt>
              <c:pt idx="1319">
                <c:v>#N/A</c:v>
              </c:pt>
              <c:pt idx="1320">
                <c:v>#N/A</c:v>
              </c:pt>
              <c:pt idx="1321">
                <c:v>#N/A</c:v>
              </c:pt>
              <c:pt idx="1322">
                <c:v>#N/A</c:v>
              </c:pt>
              <c:pt idx="1323">
                <c:v>#N/A</c:v>
              </c:pt>
              <c:pt idx="1324">
                <c:v>#N/A</c:v>
              </c:pt>
              <c:pt idx="1325">
                <c:v>#N/A</c:v>
              </c:pt>
              <c:pt idx="1326">
                <c:v>#N/A</c:v>
              </c:pt>
              <c:pt idx="1327">
                <c:v>#N/A</c:v>
              </c:pt>
              <c:pt idx="1328">
                <c:v>#N/A</c:v>
              </c:pt>
              <c:pt idx="1329">
                <c:v>#N/A</c:v>
              </c:pt>
              <c:pt idx="1330">
                <c:v>#N/A</c:v>
              </c:pt>
              <c:pt idx="1331">
                <c:v>#N/A</c:v>
              </c:pt>
              <c:pt idx="1332">
                <c:v>#N/A</c:v>
              </c:pt>
              <c:pt idx="1333">
                <c:v>#N/A</c:v>
              </c:pt>
              <c:pt idx="1334">
                <c:v>#N/A</c:v>
              </c:pt>
              <c:pt idx="1335">
                <c:v>#N/A</c:v>
              </c:pt>
              <c:pt idx="1336">
                <c:v>#N/A</c:v>
              </c:pt>
              <c:pt idx="1337">
                <c:v>#N/A</c:v>
              </c:pt>
              <c:pt idx="1338">
                <c:v>#N/A</c:v>
              </c:pt>
              <c:pt idx="1339">
                <c:v>#N/A</c:v>
              </c:pt>
              <c:pt idx="1340">
                <c:v>#N/A</c:v>
              </c:pt>
              <c:pt idx="1341">
                <c:v>#N/A</c:v>
              </c:pt>
              <c:pt idx="1342">
                <c:v>#N/A</c:v>
              </c:pt>
              <c:pt idx="1343">
                <c:v>#N/A</c:v>
              </c:pt>
              <c:pt idx="1344">
                <c:v>#N/A</c:v>
              </c:pt>
              <c:pt idx="1345">
                <c:v>#N/A</c:v>
              </c:pt>
              <c:pt idx="1346">
                <c:v>#N/A</c:v>
              </c:pt>
              <c:pt idx="1347">
                <c:v>#N/A</c:v>
              </c:pt>
              <c:pt idx="1348">
                <c:v>#N/A</c:v>
              </c:pt>
              <c:pt idx="1349">
                <c:v>#N/A</c:v>
              </c:pt>
              <c:pt idx="1350">
                <c:v>#N/A</c:v>
              </c:pt>
              <c:pt idx="1351">
                <c:v>#N/A</c:v>
              </c:pt>
              <c:pt idx="1352">
                <c:v>#N/A</c:v>
              </c:pt>
              <c:pt idx="1353">
                <c:v>#N/A</c:v>
              </c:pt>
              <c:pt idx="1354">
                <c:v>#N/A</c:v>
              </c:pt>
              <c:pt idx="1355">
                <c:v>#N/A</c:v>
              </c:pt>
              <c:pt idx="1356">
                <c:v>#N/A</c:v>
              </c:pt>
              <c:pt idx="1357">
                <c:v>#N/A</c:v>
              </c:pt>
              <c:pt idx="1358">
                <c:v>#N/A</c:v>
              </c:pt>
              <c:pt idx="1359">
                <c:v>#N/A</c:v>
              </c:pt>
              <c:pt idx="1360">
                <c:v>#N/A</c:v>
              </c:pt>
              <c:pt idx="1361">
                <c:v>#N/A</c:v>
              </c:pt>
              <c:pt idx="1362">
                <c:v>#N/A</c:v>
              </c:pt>
              <c:pt idx="1363">
                <c:v>#N/A</c:v>
              </c:pt>
              <c:pt idx="1364">
                <c:v>#N/A</c:v>
              </c:pt>
              <c:pt idx="1365">
                <c:v>#N/A</c:v>
              </c:pt>
              <c:pt idx="1366">
                <c:v>#N/A</c:v>
              </c:pt>
              <c:pt idx="1367">
                <c:v>#N/A</c:v>
              </c:pt>
              <c:pt idx="1368">
                <c:v>#N/A</c:v>
              </c:pt>
              <c:pt idx="1369">
                <c:v>#N/A</c:v>
              </c:pt>
              <c:pt idx="1370">
                <c:v>#N/A</c:v>
              </c:pt>
              <c:pt idx="1371">
                <c:v>#N/A</c:v>
              </c:pt>
              <c:pt idx="1372">
                <c:v>#N/A</c:v>
              </c:pt>
              <c:pt idx="1373">
                <c:v>#N/A</c:v>
              </c:pt>
              <c:pt idx="1374">
                <c:v>#N/A</c:v>
              </c:pt>
              <c:pt idx="1375">
                <c:v>#N/A</c:v>
              </c:pt>
              <c:pt idx="1376">
                <c:v>#N/A</c:v>
              </c:pt>
              <c:pt idx="1377">
                <c:v>#N/A</c:v>
              </c:pt>
              <c:pt idx="1378">
                <c:v>#N/A</c:v>
              </c:pt>
              <c:pt idx="1379">
                <c:v>#N/A</c:v>
              </c:pt>
              <c:pt idx="1380">
                <c:v>#N/A</c:v>
              </c:pt>
              <c:pt idx="1381">
                <c:v>#N/A</c:v>
              </c:pt>
              <c:pt idx="1382">
                <c:v>#N/A</c:v>
              </c:pt>
              <c:pt idx="1383">
                <c:v>#N/A</c:v>
              </c:pt>
              <c:pt idx="1384">
                <c:v>#N/A</c:v>
              </c:pt>
              <c:pt idx="1385">
                <c:v>#N/A</c:v>
              </c:pt>
              <c:pt idx="1386">
                <c:v>#N/A</c:v>
              </c:pt>
              <c:pt idx="1387">
                <c:v>#N/A</c:v>
              </c:pt>
              <c:pt idx="1388">
                <c:v>#N/A</c:v>
              </c:pt>
              <c:pt idx="1389">
                <c:v>#N/A</c:v>
              </c:pt>
              <c:pt idx="1390">
                <c:v>#N/A</c:v>
              </c:pt>
              <c:pt idx="1391">
                <c:v>#N/A</c:v>
              </c:pt>
              <c:pt idx="1392">
                <c:v>#N/A</c:v>
              </c:pt>
              <c:pt idx="1393">
                <c:v>#N/A</c:v>
              </c:pt>
              <c:pt idx="1394">
                <c:v>#N/A</c:v>
              </c:pt>
              <c:pt idx="1395">
                <c:v>#N/A</c:v>
              </c:pt>
              <c:pt idx="1396">
                <c:v>#N/A</c:v>
              </c:pt>
              <c:pt idx="1397">
                <c:v>#N/A</c:v>
              </c:pt>
              <c:pt idx="1398">
                <c:v>#N/A</c:v>
              </c:pt>
              <c:pt idx="1399">
                <c:v>#N/A</c:v>
              </c:pt>
              <c:pt idx="1400">
                <c:v>#N/A</c:v>
              </c:pt>
              <c:pt idx="1401">
                <c:v>#N/A</c:v>
              </c:pt>
              <c:pt idx="1402">
                <c:v>#N/A</c:v>
              </c:pt>
              <c:pt idx="1403">
                <c:v>#N/A</c:v>
              </c:pt>
              <c:pt idx="1404">
                <c:v>#N/A</c:v>
              </c:pt>
              <c:pt idx="1405">
                <c:v>#N/A</c:v>
              </c:pt>
              <c:pt idx="1406">
                <c:v>#N/A</c:v>
              </c:pt>
              <c:pt idx="1407">
                <c:v>#N/A</c:v>
              </c:pt>
              <c:pt idx="1408">
                <c:v>#N/A</c:v>
              </c:pt>
              <c:pt idx="1409">
                <c:v>#N/A</c:v>
              </c:pt>
              <c:pt idx="1410">
                <c:v>#N/A</c:v>
              </c:pt>
              <c:pt idx="1411">
                <c:v>#N/A</c:v>
              </c:pt>
              <c:pt idx="1412">
                <c:v>#N/A</c:v>
              </c:pt>
              <c:pt idx="1413">
                <c:v>#N/A</c:v>
              </c:pt>
              <c:pt idx="1414">
                <c:v>#N/A</c:v>
              </c:pt>
              <c:pt idx="1415">
                <c:v>#N/A</c:v>
              </c:pt>
              <c:pt idx="1416">
                <c:v>#N/A</c:v>
              </c:pt>
              <c:pt idx="1417">
                <c:v>#N/A</c:v>
              </c:pt>
              <c:pt idx="1418">
                <c:v>#N/A</c:v>
              </c:pt>
              <c:pt idx="1419">
                <c:v>#N/A</c:v>
              </c:pt>
              <c:pt idx="1420">
                <c:v>#N/A</c:v>
              </c:pt>
              <c:pt idx="1421">
                <c:v>#N/A</c:v>
              </c:pt>
              <c:pt idx="1422">
                <c:v>#N/A</c:v>
              </c:pt>
              <c:pt idx="1423">
                <c:v>#N/A</c:v>
              </c:pt>
              <c:pt idx="1424">
                <c:v>#N/A</c:v>
              </c:pt>
              <c:pt idx="1425">
                <c:v>#N/A</c:v>
              </c:pt>
              <c:pt idx="1426">
                <c:v>#N/A</c:v>
              </c:pt>
              <c:pt idx="1427">
                <c:v>#N/A</c:v>
              </c:pt>
              <c:pt idx="1428">
                <c:v>#N/A</c:v>
              </c:pt>
              <c:pt idx="1429">
                <c:v>#N/A</c:v>
              </c:pt>
              <c:pt idx="1430">
                <c:v>#N/A</c:v>
              </c:pt>
              <c:pt idx="1431">
                <c:v>#N/A</c:v>
              </c:pt>
              <c:pt idx="1432">
                <c:v>#N/A</c:v>
              </c:pt>
              <c:pt idx="1433">
                <c:v>#N/A</c:v>
              </c:pt>
              <c:pt idx="1434">
                <c:v>#N/A</c:v>
              </c:pt>
              <c:pt idx="1435">
                <c:v>#N/A</c:v>
              </c:pt>
              <c:pt idx="1436">
                <c:v>#N/A</c:v>
              </c:pt>
              <c:pt idx="1437">
                <c:v>#N/A</c:v>
              </c:pt>
              <c:pt idx="1438">
                <c:v>#N/A</c:v>
              </c:pt>
              <c:pt idx="1439">
                <c:v>#N/A</c:v>
              </c:pt>
              <c:pt idx="1440">
                <c:v>#N/A</c:v>
              </c:pt>
              <c:pt idx="1441">
                <c:v>#N/A</c:v>
              </c:pt>
              <c:pt idx="1442">
                <c:v>#N/A</c:v>
              </c:pt>
              <c:pt idx="1443">
                <c:v>#N/A</c:v>
              </c:pt>
              <c:pt idx="1444">
                <c:v>#N/A</c:v>
              </c:pt>
              <c:pt idx="1445">
                <c:v>#N/A</c:v>
              </c:pt>
              <c:pt idx="1446">
                <c:v>#N/A</c:v>
              </c:pt>
              <c:pt idx="1447">
                <c:v>#N/A</c:v>
              </c:pt>
              <c:pt idx="1448">
                <c:v>#N/A</c:v>
              </c:pt>
              <c:pt idx="1449">
                <c:v>#N/A</c:v>
              </c:pt>
              <c:pt idx="1450">
                <c:v>#N/A</c:v>
              </c:pt>
              <c:pt idx="1451">
                <c:v>#N/A</c:v>
              </c:pt>
              <c:pt idx="1452">
                <c:v>#N/A</c:v>
              </c:pt>
              <c:pt idx="1453">
                <c:v>#N/A</c:v>
              </c:pt>
              <c:pt idx="1454">
                <c:v>#N/A</c:v>
              </c:pt>
              <c:pt idx="1455">
                <c:v>#N/A</c:v>
              </c:pt>
              <c:pt idx="1456">
                <c:v>#N/A</c:v>
              </c:pt>
              <c:pt idx="1457">
                <c:v>#N/A</c:v>
              </c:pt>
              <c:pt idx="1458">
                <c:v>#N/A</c:v>
              </c:pt>
              <c:pt idx="1459">
                <c:v>#N/A</c:v>
              </c:pt>
              <c:pt idx="1460">
                <c:v>#N/A</c:v>
              </c:pt>
              <c:pt idx="1461">
                <c:v>#N/A</c:v>
              </c:pt>
              <c:pt idx="1462">
                <c:v>#N/A</c:v>
              </c:pt>
              <c:pt idx="1463">
                <c:v>#N/A</c:v>
              </c:pt>
              <c:pt idx="1464">
                <c:v>#N/A</c:v>
              </c:pt>
              <c:pt idx="1465">
                <c:v>#N/A</c:v>
              </c:pt>
              <c:pt idx="1466">
                <c:v>#N/A</c:v>
              </c:pt>
              <c:pt idx="1467">
                <c:v>#N/A</c:v>
              </c:pt>
              <c:pt idx="1468">
                <c:v>#N/A</c:v>
              </c:pt>
              <c:pt idx="1469">
                <c:v>#N/A</c:v>
              </c:pt>
              <c:pt idx="1470">
                <c:v>#N/A</c:v>
              </c:pt>
              <c:pt idx="1471">
                <c:v>#N/A</c:v>
              </c:pt>
              <c:pt idx="1472">
                <c:v>#N/A</c:v>
              </c:pt>
              <c:pt idx="1473">
                <c:v>#N/A</c:v>
              </c:pt>
              <c:pt idx="1474">
                <c:v>#N/A</c:v>
              </c:pt>
              <c:pt idx="1475">
                <c:v>#N/A</c:v>
              </c:pt>
              <c:pt idx="1476">
                <c:v>#N/A</c:v>
              </c:pt>
              <c:pt idx="1477">
                <c:v>#N/A</c:v>
              </c:pt>
              <c:pt idx="1478">
                <c:v>#N/A</c:v>
              </c:pt>
              <c:pt idx="1479">
                <c:v>#N/A</c:v>
              </c:pt>
              <c:pt idx="1480">
                <c:v>#N/A</c:v>
              </c:pt>
              <c:pt idx="1481">
                <c:v>#N/A</c:v>
              </c:pt>
              <c:pt idx="1482">
                <c:v>#N/A</c:v>
              </c:pt>
              <c:pt idx="1483">
                <c:v>#N/A</c:v>
              </c:pt>
              <c:pt idx="1484">
                <c:v>#N/A</c:v>
              </c:pt>
              <c:pt idx="1485">
                <c:v>#N/A</c:v>
              </c:pt>
              <c:pt idx="1486">
                <c:v>#N/A</c:v>
              </c:pt>
              <c:pt idx="1487">
                <c:v>#N/A</c:v>
              </c:pt>
              <c:pt idx="1488">
                <c:v>#N/A</c:v>
              </c:pt>
              <c:pt idx="1489">
                <c:v>#N/A</c:v>
              </c:pt>
              <c:pt idx="1490">
                <c:v>#N/A</c:v>
              </c:pt>
              <c:pt idx="1491">
                <c:v>#N/A</c:v>
              </c:pt>
              <c:pt idx="1492">
                <c:v>#N/A</c:v>
              </c:pt>
              <c:pt idx="1493">
                <c:v>#N/A</c:v>
              </c:pt>
              <c:pt idx="1494">
                <c:v>#N/A</c:v>
              </c:pt>
              <c:pt idx="1495">
                <c:v>#N/A</c:v>
              </c:pt>
              <c:pt idx="1496">
                <c:v>#N/A</c:v>
              </c:pt>
              <c:pt idx="1497">
                <c:v>#N/A</c:v>
              </c:pt>
              <c:pt idx="1498">
                <c:v>#N/A</c:v>
              </c:pt>
              <c:pt idx="1499">
                <c:v>#N/A</c:v>
              </c:pt>
            </c:numLit>
          </c:yVal>
          <c:smooth val="0"/>
          <c:extLst>
            <c:ext xmlns:c16="http://schemas.microsoft.com/office/drawing/2014/chart" uri="{C3380CC4-5D6E-409C-BE32-E72D297353CC}">
              <c16:uniqueId val="{00000000-0285-46C2-B8CD-FFF467B245B2}"/>
            </c:ext>
          </c:extLst>
        </c:ser>
        <c:ser>
          <c:idx val="5"/>
          <c:order val="1"/>
          <c:tx>
            <c:v>Upper 3SD limit</c:v>
          </c:tx>
          <c:spPr>
            <a:ln w="12700">
              <a:solidFill>
                <a:srgbClr val="505050"/>
              </a:solidFill>
              <a:prstDash val="lgDash"/>
            </a:ln>
          </c:spPr>
          <c:marker>
            <c:symbol val="none"/>
          </c:marker>
          <c:xVal>
            <c:numLit>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25</c:v>
              </c:pt>
              <c:pt idx="24">
                <c:v>27</c:v>
              </c:pt>
              <c:pt idx="25">
                <c:v>29</c:v>
              </c:pt>
              <c:pt idx="26">
                <c:v>31</c:v>
              </c:pt>
              <c:pt idx="27">
                <c:v>33</c:v>
              </c:pt>
              <c:pt idx="28">
                <c:v>35</c:v>
              </c:pt>
              <c:pt idx="29">
                <c:v>37</c:v>
              </c:pt>
              <c:pt idx="30">
                <c:v>39</c:v>
              </c:pt>
              <c:pt idx="31">
                <c:v>42</c:v>
              </c:pt>
              <c:pt idx="32">
                <c:v>45</c:v>
              </c:pt>
              <c:pt idx="33">
                <c:v>48</c:v>
              </c:pt>
              <c:pt idx="34">
                <c:v>51</c:v>
              </c:pt>
              <c:pt idx="35">
                <c:v>54</c:v>
              </c:pt>
              <c:pt idx="36">
                <c:v>58</c:v>
              </c:pt>
              <c:pt idx="37">
                <c:v>62</c:v>
              </c:pt>
              <c:pt idx="38">
                <c:v>66</c:v>
              </c:pt>
              <c:pt idx="39">
                <c:v>70</c:v>
              </c:pt>
              <c:pt idx="40">
                <c:v>75</c:v>
              </c:pt>
              <c:pt idx="41">
                <c:v>80</c:v>
              </c:pt>
              <c:pt idx="42">
                <c:v>85</c:v>
              </c:pt>
              <c:pt idx="43">
                <c:v>91</c:v>
              </c:pt>
              <c:pt idx="44">
                <c:v>97</c:v>
              </c:pt>
              <c:pt idx="45">
                <c:v>103</c:v>
              </c:pt>
              <c:pt idx="46">
                <c:v>110</c:v>
              </c:pt>
              <c:pt idx="47">
                <c:v>117</c:v>
              </c:pt>
              <c:pt idx="48">
                <c:v>125</c:v>
              </c:pt>
              <c:pt idx="49">
                <c:v>133</c:v>
              </c:pt>
              <c:pt idx="50">
                <c:v>142</c:v>
              </c:pt>
              <c:pt idx="51">
                <c:v>152</c:v>
              </c:pt>
              <c:pt idx="52">
                <c:v>162</c:v>
              </c:pt>
              <c:pt idx="53">
                <c:v>173</c:v>
              </c:pt>
              <c:pt idx="54">
                <c:v>185</c:v>
              </c:pt>
              <c:pt idx="55">
                <c:v>197</c:v>
              </c:pt>
              <c:pt idx="56">
                <c:v>210</c:v>
              </c:pt>
              <c:pt idx="57">
                <c:v>224</c:v>
              </c:pt>
              <c:pt idx="58">
                <c:v>239</c:v>
              </c:pt>
              <c:pt idx="59">
                <c:v>255</c:v>
              </c:pt>
              <c:pt idx="60">
                <c:v>272</c:v>
              </c:pt>
              <c:pt idx="61">
                <c:v>290</c:v>
              </c:pt>
              <c:pt idx="62">
                <c:v>309</c:v>
              </c:pt>
              <c:pt idx="63">
                <c:v>330</c:v>
              </c:pt>
              <c:pt idx="64">
                <c:v>352</c:v>
              </c:pt>
              <c:pt idx="65">
                <c:v>376</c:v>
              </c:pt>
              <c:pt idx="66">
                <c:v>401</c:v>
              </c:pt>
              <c:pt idx="67">
                <c:v>428</c:v>
              </c:pt>
              <c:pt idx="68">
                <c:v>457</c:v>
              </c:pt>
              <c:pt idx="69">
                <c:v>488</c:v>
              </c:pt>
              <c:pt idx="70">
                <c:v>521</c:v>
              </c:pt>
              <c:pt idx="71">
                <c:v>556</c:v>
              </c:pt>
              <c:pt idx="72">
                <c:v>593</c:v>
              </c:pt>
              <c:pt idx="73">
                <c:v>633</c:v>
              </c:pt>
              <c:pt idx="74">
                <c:v>675</c:v>
              </c:pt>
              <c:pt idx="75">
                <c:v>720</c:v>
              </c:pt>
              <c:pt idx="76">
                <c:v>768</c:v>
              </c:pt>
              <c:pt idx="77">
                <c:v>819</c:v>
              </c:pt>
              <c:pt idx="78">
                <c:v>874</c:v>
              </c:pt>
              <c:pt idx="79">
                <c:v>932</c:v>
              </c:pt>
              <c:pt idx="80">
                <c:v>994</c:v>
              </c:pt>
              <c:pt idx="81">
                <c:v>1060</c:v>
              </c:pt>
              <c:pt idx="82">
                <c:v>1131</c:v>
              </c:pt>
              <c:pt idx="83">
                <c:v>1207</c:v>
              </c:pt>
              <c:pt idx="84">
                <c:v>1288</c:v>
              </c:pt>
              <c:pt idx="85">
                <c:v>1374</c:v>
              </c:pt>
              <c:pt idx="86">
                <c:v>1466</c:v>
              </c:pt>
              <c:pt idx="87">
                <c:v>1564</c:v>
              </c:pt>
              <c:pt idx="88">
                <c:v>1669</c:v>
              </c:pt>
              <c:pt idx="89">
                <c:v>1781</c:v>
              </c:pt>
              <c:pt idx="90">
                <c:v>1900</c:v>
              </c:pt>
              <c:pt idx="91">
                <c:v>2027</c:v>
              </c:pt>
              <c:pt idx="92">
                <c:v>2162</c:v>
              </c:pt>
              <c:pt idx="93">
                <c:v>2306</c:v>
              </c:pt>
              <c:pt idx="94">
                <c:v>2460</c:v>
              </c:pt>
              <c:pt idx="95">
                <c:v>2624</c:v>
              </c:pt>
              <c:pt idx="96">
                <c:v>2800</c:v>
              </c:pt>
              <c:pt idx="97">
                <c:v>2987</c:v>
              </c:pt>
              <c:pt idx="98">
                <c:v>3187</c:v>
              </c:pt>
              <c:pt idx="99">
                <c:v>3400</c:v>
              </c:pt>
            </c:numLit>
          </c:xVal>
          <c:yVal>
            <c:numLit>
              <c:formatCode>??0</c:formatCode>
              <c:ptCount val="100"/>
              <c:pt idx="0">
                <c:v>93.358761565588509</c:v>
              </c:pt>
              <c:pt idx="1">
                <c:v>87.836173044275881</c:v>
              </c:pt>
              <c:pt idx="2">
                <c:v>83.167022502929584</c:v>
              </c:pt>
              <c:pt idx="3">
                <c:v>79.164145296841284</c:v>
              </c:pt>
              <c:pt idx="4">
                <c:v>75.691639837887152</c:v>
              </c:pt>
              <c:pt idx="5">
                <c:v>72.648411599746225</c:v>
              </c:pt>
              <c:pt idx="6">
                <c:v>69.957678268608404</c:v>
              </c:pt>
              <c:pt idx="7">
                <c:v>67.560059340932042</c:v>
              </c:pt>
              <c:pt idx="8">
                <c:v>65.408898244075743</c:v>
              </c:pt>
              <c:pt idx="9">
                <c:v>63.46701811863317</c:v>
              </c:pt>
              <c:pt idx="10">
                <c:v>61.704423283773735</c:v>
              </c:pt>
              <c:pt idx="11">
                <c:v>60.096639480395083</c:v>
              </c:pt>
              <c:pt idx="12">
                <c:v>58.623494809861718</c:v>
              </c:pt>
              <c:pt idx="13">
                <c:v>57.268210533609491</c:v>
              </c:pt>
              <c:pt idx="14">
                <c:v>56.016713502774742</c:v>
              </c:pt>
              <c:pt idx="15">
                <c:v>54.857109590285525</c:v>
              </c:pt>
              <c:pt idx="16">
                <c:v>53.77927574890672</c:v>
              </c:pt>
              <c:pt idx="17">
                <c:v>52.774540611083374</c:v>
              </c:pt>
              <c:pt idx="18">
                <c:v>51.835431966389933</c:v>
              </c:pt>
              <c:pt idx="19">
                <c:v>50.955475309845433</c:v>
              </c:pt>
              <c:pt idx="20">
                <c:v>50.12903178766949</c:v>
              </c:pt>
              <c:pt idx="21">
                <c:v>49.351166822398874</c:v>
              </c:pt>
              <c:pt idx="22">
                <c:v>48.617542838330515</c:v>
              </c:pt>
              <c:pt idx="23">
                <c:v>47.268138627995228</c:v>
              </c:pt>
              <c:pt idx="24">
                <c:v>46.055065018485536</c:v>
              </c:pt>
              <c:pt idx="25">
                <c:v>44.957822290585078</c:v>
              </c:pt>
              <c:pt idx="26">
                <c:v>43.959882153345667</c:v>
              </c:pt>
              <c:pt idx="27">
                <c:v>43.047764338499988</c:v>
              </c:pt>
              <c:pt idx="28">
                <c:v>42.210360242639808</c:v>
              </c:pt>
              <c:pt idx="29">
                <c:v>41.438429651712731</c:v>
              </c:pt>
              <c:pt idx="30">
                <c:v>40.724220882245113</c:v>
              </c:pt>
              <c:pt idx="31">
                <c:v>39.747071396596326</c:v>
              </c:pt>
              <c:pt idx="32">
                <c:v>38.867080712656275</c:v>
              </c:pt>
              <c:pt idx="33">
                <c:v>38.069751946781565</c:v>
              </c:pt>
              <c:pt idx="34">
                <c:v>37.34338604963267</c:v>
              </c:pt>
              <c:pt idx="35">
                <c:v>36.67843231079209</c:v>
              </c:pt>
              <c:pt idx="36">
                <c:v>35.873936217634942</c:v>
              </c:pt>
              <c:pt idx="37">
                <c:v>35.149610135814832</c:v>
              </c:pt>
              <c:pt idx="38">
                <c:v>34.493411984037969</c:v>
              </c:pt>
              <c:pt idx="39">
                <c:v>33.895643810750379</c:v>
              </c:pt>
              <c:pt idx="40">
                <c:v>33.2186980351023</c:v>
              </c:pt>
              <c:pt idx="41">
                <c:v>32.608345066061283</c:v>
              </c:pt>
              <c:pt idx="42">
                <c:v>32.05466885245044</c:v>
              </c:pt>
              <c:pt idx="43">
                <c:v>31.453916718869873</c:v>
              </c:pt>
              <c:pt idx="44">
                <c:v>30.912249415762759</c:v>
              </c:pt>
              <c:pt idx="45">
                <c:v>30.420848373221865</c:v>
              </c:pt>
              <c:pt idx="46">
                <c:v>29.901672385168876</c:v>
              </c:pt>
              <c:pt idx="47">
                <c:v>29.432220261848652</c:v>
              </c:pt>
              <c:pt idx="48">
                <c:v>28.947349415887796</c:v>
              </c:pt>
              <c:pt idx="49">
                <c:v>28.509333881995559</c:v>
              </c:pt>
              <c:pt idx="50">
                <c:v>28.06402978826479</c:v>
              </c:pt>
              <c:pt idx="51">
                <c:v>27.619095271142193</c:v>
              </c:pt>
              <c:pt idx="52">
                <c:v>27.218459874820283</c:v>
              </c:pt>
              <c:pt idx="53">
                <c:v>26.820936421967073</c:v>
              </c:pt>
              <c:pt idx="54">
                <c:v>26.430828850297821</c:v>
              </c:pt>
              <c:pt idx="55">
                <c:v>26.079114350377875</c:v>
              </c:pt>
              <c:pt idx="56">
                <c:v>25.734739723489476</c:v>
              </c:pt>
              <c:pt idx="57">
                <c:v>25.400004192883884</c:v>
              </c:pt>
              <c:pt idx="58">
                <c:v>25.076534925577949</c:v>
              </c:pt>
              <c:pt idx="59">
                <c:v>24.765404046765571</c:v>
              </c:pt>
              <c:pt idx="60">
                <c:v>24.467237454880859</c:v>
              </c:pt>
              <c:pt idx="61">
                <c:v>24.182311144633882</c:v>
              </c:pt>
              <c:pt idx="62">
                <c:v>23.910633429947666</c:v>
              </c:pt>
              <c:pt idx="63">
                <c:v>23.639740753550079</c:v>
              </c:pt>
              <c:pt idx="64">
                <c:v>23.383920661638363</c:v>
              </c:pt>
              <c:pt idx="65">
                <c:v>23.132379295729827</c:v>
              </c:pt>
              <c:pt idx="66">
                <c:v>22.896159298924971</c:v>
              </c:pt>
              <c:pt idx="67">
                <c:v>22.666003019979861</c:v>
              </c:pt>
              <c:pt idx="68">
                <c:v>22.443177522082916</c:v>
              </c:pt>
              <c:pt idx="69">
                <c:v>22.228536931792988</c:v>
              </c:pt>
              <c:pt idx="70">
                <c:v>22.022602060054801</c:v>
              </c:pt>
              <c:pt idx="71">
                <c:v>21.825631444720369</c:v>
              </c:pt>
              <c:pt idx="72">
                <c:v>21.637682277218527</c:v>
              </c:pt>
              <c:pt idx="73">
                <c:v>21.454301111286306</c:v>
              </c:pt>
              <c:pt idx="74">
                <c:v>21.280477672048111</c:v>
              </c:pt>
              <c:pt idx="75">
                <c:v>21.112237596056683</c:v>
              </c:pt>
              <c:pt idx="76">
                <c:v>20.950146921383666</c:v>
              </c:pt>
              <c:pt idx="77">
                <c:v>20.794545291168905</c:v>
              </c:pt>
              <c:pt idx="78">
                <c:v>20.642973085206144</c:v>
              </c:pt>
              <c:pt idx="79">
                <c:v>20.498576055798903</c:v>
              </c:pt>
              <c:pt idx="80">
                <c:v>20.359055004983784</c:v>
              </c:pt>
              <c:pt idx="81">
                <c:v>20.224796465566143</c:v>
              </c:pt>
              <c:pt idx="82">
                <c:v>20.094268759165281</c:v>
              </c:pt>
              <c:pt idx="83">
                <c:v>19.968058752790551</c:v>
              </c:pt>
              <c:pt idx="84">
                <c:v>19.846550828171804</c:v>
              </c:pt>
              <c:pt idx="85">
                <c:v>19.729967376659605</c:v>
              </c:pt>
              <c:pt idx="86">
                <c:v>19.61723855594532</c:v>
              </c:pt>
              <c:pt idx="87">
                <c:v>19.508696115736708</c:v>
              </c:pt>
              <c:pt idx="88">
                <c:v>19.403578883170066</c:v>
              </c:pt>
              <c:pt idx="89">
                <c:v>19.302240515727632</c:v>
              </c:pt>
              <c:pt idx="90">
                <c:v>19.204894924773814</c:v>
              </c:pt>
              <c:pt idx="91">
                <c:v>19.110942177862121</c:v>
              </c:pt>
              <c:pt idx="92">
                <c:v>19.020601431227355</c:v>
              </c:pt>
              <c:pt idx="93">
                <c:v>18.933410867491808</c:v>
              </c:pt>
              <c:pt idx="94">
                <c:v>18.849045348832185</c:v>
              </c:pt>
              <c:pt idx="95">
                <c:v>18.767754164897262</c:v>
              </c:pt>
              <c:pt idx="96">
                <c:v>18.688829694268733</c:v>
              </c:pt>
              <c:pt idx="97">
                <c:v>18.612965042320457</c:v>
              </c:pt>
              <c:pt idx="98">
                <c:v>18.539547845798438</c:v>
              </c:pt>
              <c:pt idx="99">
                <c:v>18.468796119919251</c:v>
              </c:pt>
            </c:numLit>
          </c:yVal>
          <c:smooth val="0"/>
          <c:extLst>
            <c:ext xmlns:c16="http://schemas.microsoft.com/office/drawing/2014/chart" uri="{C3380CC4-5D6E-409C-BE32-E72D297353CC}">
              <c16:uniqueId val="{00000001-0285-46C2-B8CD-FFF467B245B2}"/>
            </c:ext>
          </c:extLst>
        </c:ser>
        <c:ser>
          <c:idx val="3"/>
          <c:order val="2"/>
          <c:tx>
            <c:v>Upper 2SD limit</c:v>
          </c:tx>
          <c:spPr>
            <a:ln w="12700">
              <a:solidFill>
                <a:srgbClr val="505050"/>
              </a:solidFill>
              <a:prstDash val="sysDash"/>
            </a:ln>
          </c:spPr>
          <c:marker>
            <c:symbol val="none"/>
          </c:marker>
          <c:xVal>
            <c:numLit>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25</c:v>
              </c:pt>
              <c:pt idx="24">
                <c:v>27</c:v>
              </c:pt>
              <c:pt idx="25">
                <c:v>29</c:v>
              </c:pt>
              <c:pt idx="26">
                <c:v>31</c:v>
              </c:pt>
              <c:pt idx="27">
                <c:v>33</c:v>
              </c:pt>
              <c:pt idx="28">
                <c:v>35</c:v>
              </c:pt>
              <c:pt idx="29">
                <c:v>37</c:v>
              </c:pt>
              <c:pt idx="30">
                <c:v>39</c:v>
              </c:pt>
              <c:pt idx="31">
                <c:v>42</c:v>
              </c:pt>
              <c:pt idx="32">
                <c:v>45</c:v>
              </c:pt>
              <c:pt idx="33">
                <c:v>48</c:v>
              </c:pt>
              <c:pt idx="34">
                <c:v>51</c:v>
              </c:pt>
              <c:pt idx="35">
                <c:v>54</c:v>
              </c:pt>
              <c:pt idx="36">
                <c:v>58</c:v>
              </c:pt>
              <c:pt idx="37">
                <c:v>62</c:v>
              </c:pt>
              <c:pt idx="38">
                <c:v>66</c:v>
              </c:pt>
              <c:pt idx="39">
                <c:v>70</c:v>
              </c:pt>
              <c:pt idx="40">
                <c:v>75</c:v>
              </c:pt>
              <c:pt idx="41">
                <c:v>80</c:v>
              </c:pt>
              <c:pt idx="42">
                <c:v>85</c:v>
              </c:pt>
              <c:pt idx="43">
                <c:v>91</c:v>
              </c:pt>
              <c:pt idx="44">
                <c:v>97</c:v>
              </c:pt>
              <c:pt idx="45">
                <c:v>103</c:v>
              </c:pt>
              <c:pt idx="46">
                <c:v>110</c:v>
              </c:pt>
              <c:pt idx="47">
                <c:v>117</c:v>
              </c:pt>
              <c:pt idx="48">
                <c:v>125</c:v>
              </c:pt>
              <c:pt idx="49">
                <c:v>133</c:v>
              </c:pt>
              <c:pt idx="50">
                <c:v>142</c:v>
              </c:pt>
              <c:pt idx="51">
                <c:v>152</c:v>
              </c:pt>
              <c:pt idx="52">
                <c:v>162</c:v>
              </c:pt>
              <c:pt idx="53">
                <c:v>173</c:v>
              </c:pt>
              <c:pt idx="54">
                <c:v>185</c:v>
              </c:pt>
              <c:pt idx="55">
                <c:v>197</c:v>
              </c:pt>
              <c:pt idx="56">
                <c:v>210</c:v>
              </c:pt>
              <c:pt idx="57">
                <c:v>224</c:v>
              </c:pt>
              <c:pt idx="58">
                <c:v>239</c:v>
              </c:pt>
              <c:pt idx="59">
                <c:v>255</c:v>
              </c:pt>
              <c:pt idx="60">
                <c:v>272</c:v>
              </c:pt>
              <c:pt idx="61">
                <c:v>290</c:v>
              </c:pt>
              <c:pt idx="62">
                <c:v>309</c:v>
              </c:pt>
              <c:pt idx="63">
                <c:v>330</c:v>
              </c:pt>
              <c:pt idx="64">
                <c:v>352</c:v>
              </c:pt>
              <c:pt idx="65">
                <c:v>376</c:v>
              </c:pt>
              <c:pt idx="66">
                <c:v>401</c:v>
              </c:pt>
              <c:pt idx="67">
                <c:v>428</c:v>
              </c:pt>
              <c:pt idx="68">
                <c:v>457</c:v>
              </c:pt>
              <c:pt idx="69">
                <c:v>488</c:v>
              </c:pt>
              <c:pt idx="70">
                <c:v>521</c:v>
              </c:pt>
              <c:pt idx="71">
                <c:v>556</c:v>
              </c:pt>
              <c:pt idx="72">
                <c:v>593</c:v>
              </c:pt>
              <c:pt idx="73">
                <c:v>633</c:v>
              </c:pt>
              <c:pt idx="74">
                <c:v>675</c:v>
              </c:pt>
              <c:pt idx="75">
                <c:v>720</c:v>
              </c:pt>
              <c:pt idx="76">
                <c:v>768</c:v>
              </c:pt>
              <c:pt idx="77">
                <c:v>819</c:v>
              </c:pt>
              <c:pt idx="78">
                <c:v>874</c:v>
              </c:pt>
              <c:pt idx="79">
                <c:v>932</c:v>
              </c:pt>
              <c:pt idx="80">
                <c:v>994</c:v>
              </c:pt>
              <c:pt idx="81">
                <c:v>1060</c:v>
              </c:pt>
              <c:pt idx="82">
                <c:v>1131</c:v>
              </c:pt>
              <c:pt idx="83">
                <c:v>1207</c:v>
              </c:pt>
              <c:pt idx="84">
                <c:v>1288</c:v>
              </c:pt>
              <c:pt idx="85">
                <c:v>1374</c:v>
              </c:pt>
              <c:pt idx="86">
                <c:v>1466</c:v>
              </c:pt>
              <c:pt idx="87">
                <c:v>1564</c:v>
              </c:pt>
              <c:pt idx="88">
                <c:v>1669</c:v>
              </c:pt>
              <c:pt idx="89">
                <c:v>1781</c:v>
              </c:pt>
              <c:pt idx="90">
                <c:v>1900</c:v>
              </c:pt>
              <c:pt idx="91">
                <c:v>2027</c:v>
              </c:pt>
              <c:pt idx="92">
                <c:v>2162</c:v>
              </c:pt>
              <c:pt idx="93">
                <c:v>2306</c:v>
              </c:pt>
              <c:pt idx="94">
                <c:v>2460</c:v>
              </c:pt>
              <c:pt idx="95">
                <c:v>2624</c:v>
              </c:pt>
              <c:pt idx="96">
                <c:v>2800</c:v>
              </c:pt>
              <c:pt idx="97">
                <c:v>2987</c:v>
              </c:pt>
              <c:pt idx="98">
                <c:v>3187</c:v>
              </c:pt>
              <c:pt idx="99">
                <c:v>3400</c:v>
              </c:pt>
            </c:numLit>
          </c:xVal>
          <c:yVal>
            <c:numLit>
              <c:formatCode>??0</c:formatCode>
              <c:ptCount val="100"/>
              <c:pt idx="0">
                <c:v>85.47447212320121</c:v>
              </c:pt>
              <c:pt idx="1">
                <c:v>75.784114746538094</c:v>
              </c:pt>
              <c:pt idx="2">
                <c:v>68.827912771280836</c:v>
              </c:pt>
              <c:pt idx="3">
                <c:v>63.572478412327648</c:v>
              </c:pt>
              <c:pt idx="4">
                <c:v>59.449436316802839</c:v>
              </c:pt>
              <c:pt idx="5">
                <c:v>56.119819510518653</c:v>
              </c:pt>
              <c:pt idx="6">
                <c:v>53.36865464860373</c:v>
              </c:pt>
              <c:pt idx="7">
                <c:v>51.052847831884506</c:v>
              </c:pt>
              <c:pt idx="8">
                <c:v>49.073354028740859</c:v>
              </c:pt>
              <c:pt idx="9">
                <c:v>47.359370085469408</c:v>
              </c:pt>
              <c:pt idx="10">
                <c:v>45.85889245420082</c:v>
              </c:pt>
              <c:pt idx="11">
                <c:v>44.532834469081969</c:v>
              </c:pt>
              <c:pt idx="12">
                <c:v>43.35122819104793</c:v>
              </c:pt>
              <c:pt idx="13">
                <c:v>42.29069584024262</c:v>
              </c:pt>
              <c:pt idx="14">
                <c:v>41.332721033090003</c:v>
              </c:pt>
              <c:pt idx="15">
                <c:v>40.462438928315599</c:v>
              </c:pt>
              <c:pt idx="16">
                <c:v>39.667771868502541</c:v>
              </c:pt>
              <c:pt idx="17">
                <c:v>38.938800397369107</c:v>
              </c:pt>
              <c:pt idx="18">
                <c:v>38.267297951245602</c:v>
              </c:pt>
              <c:pt idx="19">
                <c:v>37.646381480040255</c:v>
              </c:pt>
              <c:pt idx="20">
                <c:v>37.070245557467793</c:v>
              </c:pt>
              <c:pt idx="21">
                <c:v>36.533957532828623</c:v>
              </c:pt>
              <c:pt idx="22">
                <c:v>36.033297931076383</c:v>
              </c:pt>
              <c:pt idx="23">
                <c:v>35.124823972372546</c:v>
              </c:pt>
              <c:pt idx="24">
                <c:v>34.321155821048052</c:v>
              </c:pt>
              <c:pt idx="25">
                <c:v>33.604210236682597</c:v>
              </c:pt>
              <c:pt idx="26">
                <c:v>32.959918468447597</c:v>
              </c:pt>
              <c:pt idx="27">
                <c:v>32.37716029475984</c:v>
              </c:pt>
              <c:pt idx="28">
                <c:v>31.847022383019947</c:v>
              </c:pt>
              <c:pt idx="29">
                <c:v>31.362271031087086</c:v>
              </c:pt>
              <c:pt idx="30">
                <c:v>30.916970066080808</c:v>
              </c:pt>
              <c:pt idx="31">
                <c:v>30.312449622847517</c:v>
              </c:pt>
              <c:pt idx="32">
                <c:v>29.772430786455139</c:v>
              </c:pt>
              <c:pt idx="33">
                <c:v>29.286501062744641</c:v>
              </c:pt>
              <c:pt idx="34">
                <c:v>28.846426327386105</c:v>
              </c:pt>
              <c:pt idx="35">
                <c:v>28.445602885730292</c:v>
              </c:pt>
              <c:pt idx="36">
                <c:v>27.963102883302071</c:v>
              </c:pt>
              <c:pt idx="37">
                <c:v>27.530802665489745</c:v>
              </c:pt>
              <c:pt idx="38">
                <c:v>27.140758604722386</c:v>
              </c:pt>
              <c:pt idx="39">
                <c:v>26.786661065210595</c:v>
              </c:pt>
              <c:pt idx="40">
                <c:v>26.386941715816253</c:v>
              </c:pt>
              <c:pt idx="41">
                <c:v>26.027601457501664</c:v>
              </c:pt>
              <c:pt idx="42">
                <c:v>25.702408498046964</c:v>
              </c:pt>
              <c:pt idx="43">
                <c:v>25.350311759262745</c:v>
              </c:pt>
              <c:pt idx="44">
                <c:v>25.033427789513986</c:v>
              </c:pt>
              <c:pt idx="45">
                <c:v>24.746363086377645</c:v>
              </c:pt>
              <c:pt idx="46">
                <c:v>24.443433059605024</c:v>
              </c:pt>
              <c:pt idx="47">
                <c:v>24.169777224412073</c:v>
              </c:pt>
              <c:pt idx="48">
                <c:v>23.887335447627951</c:v>
              </c:pt>
              <c:pt idx="49">
                <c:v>23.632314392031134</c:v>
              </c:pt>
              <c:pt idx="50">
                <c:v>23.373124946672359</c:v>
              </c:pt>
              <c:pt idx="51">
                <c:v>23.114177609341581</c:v>
              </c:pt>
              <c:pt idx="52">
                <c:v>22.88099345112532</c:v>
              </c:pt>
              <c:pt idx="53">
                <c:v>22.649564780004258</c:v>
              </c:pt>
              <c:pt idx="54">
                <c:v>22.422362840670498</c:v>
              </c:pt>
              <c:pt idx="55">
                <c:v>22.217413803121243</c:v>
              </c:pt>
              <c:pt idx="56">
                <c:v>22.016615487032151</c:v>
              </c:pt>
              <c:pt idx="57">
                <c:v>21.821292334319605</c:v>
              </c:pt>
              <c:pt idx="58">
                <c:v>21.632383460121165</c:v>
              </c:pt>
              <c:pt idx="59">
                <c:v>21.450510320436443</c:v>
              </c:pt>
              <c:pt idx="60">
                <c:v>21.276039274016984</c:v>
              </c:pt>
              <c:pt idx="61">
                <c:v>21.109136725851162</c:v>
              </c:pt>
              <c:pt idx="62">
                <c:v>20.949816050464491</c:v>
              </c:pt>
              <c:pt idx="63">
                <c:v>20.79076662736064</c:v>
              </c:pt>
              <c:pt idx="64">
                <c:v>20.640379533645611</c:v>
              </c:pt>
              <c:pt idx="65">
                <c:v>20.492317281185628</c:v>
              </c:pt>
              <c:pt idx="66">
                <c:v>20.353089967917899</c:v>
              </c:pt>
              <c:pt idx="67">
                <c:v>20.217254972238248</c:v>
              </c:pt>
              <c:pt idx="68">
                <c:v>20.085565891275468</c:v>
              </c:pt>
              <c:pt idx="69">
                <c:v>19.958536997962984</c:v>
              </c:pt>
              <c:pt idx="70">
                <c:v>19.836488796203973</c:v>
              </c:pt>
              <c:pt idx="71">
                <c:v>19.719588744187881</c:v>
              </c:pt>
              <c:pt idx="72">
                <c:v>19.607886253698243</c:v>
              </c:pt>
              <c:pt idx="73">
                <c:v>19.498745191647235</c:v>
              </c:pt>
              <c:pt idx="74">
                <c:v>19.395147187562955</c:v>
              </c:pt>
              <c:pt idx="75">
                <c:v>19.294737238122067</c:v>
              </c:pt>
              <c:pt idx="76">
                <c:v>19.197863045964365</c:v>
              </c:pt>
              <c:pt idx="77">
                <c:v>19.104738960639985</c:v>
              </c:pt>
              <c:pt idx="78">
                <c:v>19.013901996692351</c:v>
              </c:pt>
              <c:pt idx="79">
                <c:v>18.927247549514121</c:v>
              </c:pt>
              <c:pt idx="80">
                <c:v>18.843407218145877</c:v>
              </c:pt>
              <c:pt idx="81">
                <c:v>18.762622495445655</c:v>
              </c:pt>
              <c:pt idx="82">
                <c:v>18.683979754020708</c:v>
              </c:pt>
              <c:pt idx="83">
                <c:v>18.607839595539868</c:v>
              </c:pt>
              <c:pt idx="84">
                <c:v>18.534442168891861</c:v>
              </c:pt>
              <c:pt idx="85">
                <c:v>18.463930822301084</c:v>
              </c:pt>
              <c:pt idx="86">
                <c:v>18.395666568305309</c:v>
              </c:pt>
              <c:pt idx="87">
                <c:v>18.329857559983971</c:v>
              </c:pt>
              <c:pt idx="88">
                <c:v>18.266049101142894</c:v>
              </c:pt>
              <c:pt idx="89">
                <c:v>18.204462233520534</c:v>
              </c:pt>
              <c:pt idx="90">
                <c:v>18.145233912980434</c:v>
              </c:pt>
              <c:pt idx="91">
                <c:v>18.088005632111535</c:v>
              </c:pt>
              <c:pt idx="92">
                <c:v>18.032916957747002</c:v>
              </c:pt>
              <c:pt idx="93">
                <c:v>17.97969206418427</c:v>
              </c:pt>
              <c:pt idx="94">
                <c:v>17.928137441268497</c:v>
              </c:pt>
              <c:pt idx="95">
                <c:v>17.878410282303236</c:v>
              </c:pt>
              <c:pt idx="96">
                <c:v>17.830082109604326</c:v>
              </c:pt>
              <c:pt idx="97">
                <c:v>17.783581664852477</c:v>
              </c:pt>
              <c:pt idx="98">
                <c:v>17.738537961942061</c:v>
              </c:pt>
              <c:pt idx="99">
                <c:v>17.695088709959609</c:v>
              </c:pt>
            </c:numLit>
          </c:yVal>
          <c:smooth val="0"/>
          <c:extLst>
            <c:ext xmlns:c16="http://schemas.microsoft.com/office/drawing/2014/chart" uri="{C3380CC4-5D6E-409C-BE32-E72D297353CC}">
              <c16:uniqueId val="{00000002-0285-46C2-B8CD-FFF467B245B2}"/>
            </c:ext>
          </c:extLst>
        </c:ser>
        <c:ser>
          <c:idx val="1"/>
          <c:order val="3"/>
          <c:tx>
            <c:v>Average</c:v>
          </c:tx>
          <c:spPr>
            <a:ln w="12700">
              <a:solidFill>
                <a:schemeClr val="tx1"/>
              </a:solidFill>
              <a:prstDash val="solid"/>
            </a:ln>
          </c:spPr>
          <c:marker>
            <c:symbol val="none"/>
          </c:marker>
          <c:xVal>
            <c:numLit>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25</c:v>
              </c:pt>
              <c:pt idx="24">
                <c:v>27</c:v>
              </c:pt>
              <c:pt idx="25">
                <c:v>29</c:v>
              </c:pt>
              <c:pt idx="26">
                <c:v>31</c:v>
              </c:pt>
              <c:pt idx="27">
                <c:v>33</c:v>
              </c:pt>
              <c:pt idx="28">
                <c:v>35</c:v>
              </c:pt>
              <c:pt idx="29">
                <c:v>37</c:v>
              </c:pt>
              <c:pt idx="30">
                <c:v>39</c:v>
              </c:pt>
              <c:pt idx="31">
                <c:v>42</c:v>
              </c:pt>
              <c:pt idx="32">
                <c:v>45</c:v>
              </c:pt>
              <c:pt idx="33">
                <c:v>48</c:v>
              </c:pt>
              <c:pt idx="34">
                <c:v>51</c:v>
              </c:pt>
              <c:pt idx="35">
                <c:v>54</c:v>
              </c:pt>
              <c:pt idx="36">
                <c:v>58</c:v>
              </c:pt>
              <c:pt idx="37">
                <c:v>62</c:v>
              </c:pt>
              <c:pt idx="38">
                <c:v>66</c:v>
              </c:pt>
              <c:pt idx="39">
                <c:v>70</c:v>
              </c:pt>
              <c:pt idx="40">
                <c:v>75</c:v>
              </c:pt>
              <c:pt idx="41">
                <c:v>80</c:v>
              </c:pt>
              <c:pt idx="42">
                <c:v>85</c:v>
              </c:pt>
              <c:pt idx="43">
                <c:v>91</c:v>
              </c:pt>
              <c:pt idx="44">
                <c:v>97</c:v>
              </c:pt>
              <c:pt idx="45">
                <c:v>103</c:v>
              </c:pt>
              <c:pt idx="46">
                <c:v>110</c:v>
              </c:pt>
              <c:pt idx="47">
                <c:v>117</c:v>
              </c:pt>
              <c:pt idx="48">
                <c:v>125</c:v>
              </c:pt>
              <c:pt idx="49">
                <c:v>133</c:v>
              </c:pt>
              <c:pt idx="50">
                <c:v>142</c:v>
              </c:pt>
              <c:pt idx="51">
                <c:v>152</c:v>
              </c:pt>
              <c:pt idx="52">
                <c:v>162</c:v>
              </c:pt>
              <c:pt idx="53">
                <c:v>173</c:v>
              </c:pt>
              <c:pt idx="54">
                <c:v>185</c:v>
              </c:pt>
              <c:pt idx="55">
                <c:v>197</c:v>
              </c:pt>
              <c:pt idx="56">
                <c:v>210</c:v>
              </c:pt>
              <c:pt idx="57">
                <c:v>224</c:v>
              </c:pt>
              <c:pt idx="58">
                <c:v>239</c:v>
              </c:pt>
              <c:pt idx="59">
                <c:v>255</c:v>
              </c:pt>
              <c:pt idx="60">
                <c:v>272</c:v>
              </c:pt>
              <c:pt idx="61">
                <c:v>290</c:v>
              </c:pt>
              <c:pt idx="62">
                <c:v>309</c:v>
              </c:pt>
              <c:pt idx="63">
                <c:v>330</c:v>
              </c:pt>
              <c:pt idx="64">
                <c:v>352</c:v>
              </c:pt>
              <c:pt idx="65">
                <c:v>376</c:v>
              </c:pt>
              <c:pt idx="66">
                <c:v>401</c:v>
              </c:pt>
              <c:pt idx="67">
                <c:v>428</c:v>
              </c:pt>
              <c:pt idx="68">
                <c:v>457</c:v>
              </c:pt>
              <c:pt idx="69">
                <c:v>488</c:v>
              </c:pt>
              <c:pt idx="70">
                <c:v>521</c:v>
              </c:pt>
              <c:pt idx="71">
                <c:v>556</c:v>
              </c:pt>
              <c:pt idx="72">
                <c:v>593</c:v>
              </c:pt>
              <c:pt idx="73">
                <c:v>633</c:v>
              </c:pt>
              <c:pt idx="74">
                <c:v>675</c:v>
              </c:pt>
              <c:pt idx="75">
                <c:v>720</c:v>
              </c:pt>
              <c:pt idx="76">
                <c:v>768</c:v>
              </c:pt>
              <c:pt idx="77">
                <c:v>819</c:v>
              </c:pt>
              <c:pt idx="78">
                <c:v>874</c:v>
              </c:pt>
              <c:pt idx="79">
                <c:v>932</c:v>
              </c:pt>
              <c:pt idx="80">
                <c:v>994</c:v>
              </c:pt>
              <c:pt idx="81">
                <c:v>1060</c:v>
              </c:pt>
              <c:pt idx="82">
                <c:v>1131</c:v>
              </c:pt>
              <c:pt idx="83">
                <c:v>1207</c:v>
              </c:pt>
              <c:pt idx="84">
                <c:v>1288</c:v>
              </c:pt>
              <c:pt idx="85">
                <c:v>1374</c:v>
              </c:pt>
              <c:pt idx="86">
                <c:v>1466</c:v>
              </c:pt>
              <c:pt idx="87">
                <c:v>1564</c:v>
              </c:pt>
              <c:pt idx="88">
                <c:v>1669</c:v>
              </c:pt>
              <c:pt idx="89">
                <c:v>1781</c:v>
              </c:pt>
              <c:pt idx="90">
                <c:v>1900</c:v>
              </c:pt>
              <c:pt idx="91">
                <c:v>2027</c:v>
              </c:pt>
              <c:pt idx="92">
                <c:v>2162</c:v>
              </c:pt>
              <c:pt idx="93">
                <c:v>2306</c:v>
              </c:pt>
              <c:pt idx="94">
                <c:v>2460</c:v>
              </c:pt>
              <c:pt idx="95">
                <c:v>2624</c:v>
              </c:pt>
              <c:pt idx="96">
                <c:v>2800</c:v>
              </c:pt>
              <c:pt idx="97">
                <c:v>2987</c:v>
              </c:pt>
              <c:pt idx="98">
                <c:v>3187</c:v>
              </c:pt>
              <c:pt idx="99">
                <c:v>3400</c:v>
              </c:pt>
            </c:numLit>
          </c:xVal>
          <c:yVal>
            <c:numLit>
              <c:formatCode>??0</c:formatCode>
              <c:ptCount val="100"/>
              <c:pt idx="0">
                <c:v>16.412297839211483</c:v>
              </c:pt>
              <c:pt idx="1">
                <c:v>16.412297839211483</c:v>
              </c:pt>
              <c:pt idx="2">
                <c:v>16.412297839211483</c:v>
              </c:pt>
              <c:pt idx="3">
                <c:v>16.412297839211483</c:v>
              </c:pt>
              <c:pt idx="4">
                <c:v>16.412297839211483</c:v>
              </c:pt>
              <c:pt idx="5">
                <c:v>16.412297839211483</c:v>
              </c:pt>
              <c:pt idx="6">
                <c:v>16.412297839211483</c:v>
              </c:pt>
              <c:pt idx="7">
                <c:v>16.412297839211483</c:v>
              </c:pt>
              <c:pt idx="8">
                <c:v>16.412297839211483</c:v>
              </c:pt>
              <c:pt idx="9">
                <c:v>16.412297839211483</c:v>
              </c:pt>
              <c:pt idx="10">
                <c:v>16.412297839211483</c:v>
              </c:pt>
              <c:pt idx="11">
                <c:v>16.412297839211483</c:v>
              </c:pt>
              <c:pt idx="12">
                <c:v>16.412297839211483</c:v>
              </c:pt>
              <c:pt idx="13">
                <c:v>16.412297839211483</c:v>
              </c:pt>
              <c:pt idx="14">
                <c:v>16.412297839211483</c:v>
              </c:pt>
              <c:pt idx="15">
                <c:v>16.412297839211483</c:v>
              </c:pt>
              <c:pt idx="16">
                <c:v>16.412297839211483</c:v>
              </c:pt>
              <c:pt idx="17">
                <c:v>16.412297839211483</c:v>
              </c:pt>
              <c:pt idx="18">
                <c:v>16.412297839211483</c:v>
              </c:pt>
              <c:pt idx="19">
                <c:v>16.412297839211483</c:v>
              </c:pt>
              <c:pt idx="20">
                <c:v>16.412297839211483</c:v>
              </c:pt>
              <c:pt idx="21">
                <c:v>16.412297839211483</c:v>
              </c:pt>
              <c:pt idx="22">
                <c:v>16.412297839211483</c:v>
              </c:pt>
              <c:pt idx="23">
                <c:v>16.412297839211483</c:v>
              </c:pt>
              <c:pt idx="24">
                <c:v>16.412297839211483</c:v>
              </c:pt>
              <c:pt idx="25">
                <c:v>16.412297839211483</c:v>
              </c:pt>
              <c:pt idx="26">
                <c:v>16.412297839211483</c:v>
              </c:pt>
              <c:pt idx="27">
                <c:v>16.412297839211483</c:v>
              </c:pt>
              <c:pt idx="28">
                <c:v>16.412297839211483</c:v>
              </c:pt>
              <c:pt idx="29">
                <c:v>16.412297839211483</c:v>
              </c:pt>
              <c:pt idx="30">
                <c:v>16.412297839211483</c:v>
              </c:pt>
              <c:pt idx="31">
                <c:v>16.412297839211483</c:v>
              </c:pt>
              <c:pt idx="32">
                <c:v>16.412297839211483</c:v>
              </c:pt>
              <c:pt idx="33">
                <c:v>16.412297839211483</c:v>
              </c:pt>
              <c:pt idx="34">
                <c:v>16.412297839211483</c:v>
              </c:pt>
              <c:pt idx="35">
                <c:v>16.412297839211483</c:v>
              </c:pt>
              <c:pt idx="36">
                <c:v>16.412297839211483</c:v>
              </c:pt>
              <c:pt idx="37">
                <c:v>16.412297839211483</c:v>
              </c:pt>
              <c:pt idx="38">
                <c:v>16.412297839211483</c:v>
              </c:pt>
              <c:pt idx="39">
                <c:v>16.412297839211483</c:v>
              </c:pt>
              <c:pt idx="40">
                <c:v>16.412297839211483</c:v>
              </c:pt>
              <c:pt idx="41">
                <c:v>16.412297839211483</c:v>
              </c:pt>
              <c:pt idx="42">
                <c:v>16.412297839211483</c:v>
              </c:pt>
              <c:pt idx="43">
                <c:v>16.412297839211483</c:v>
              </c:pt>
              <c:pt idx="44">
                <c:v>16.412297839211483</c:v>
              </c:pt>
              <c:pt idx="45">
                <c:v>16.412297839211483</c:v>
              </c:pt>
              <c:pt idx="46">
                <c:v>16.412297839211483</c:v>
              </c:pt>
              <c:pt idx="47">
                <c:v>16.412297839211483</c:v>
              </c:pt>
              <c:pt idx="48">
                <c:v>16.412297839211483</c:v>
              </c:pt>
              <c:pt idx="49">
                <c:v>16.412297839211483</c:v>
              </c:pt>
              <c:pt idx="50">
                <c:v>16.412297839211483</c:v>
              </c:pt>
              <c:pt idx="51">
                <c:v>16.412297839211483</c:v>
              </c:pt>
              <c:pt idx="52">
                <c:v>16.412297839211483</c:v>
              </c:pt>
              <c:pt idx="53">
                <c:v>16.412297839211483</c:v>
              </c:pt>
              <c:pt idx="54">
                <c:v>16.412297839211483</c:v>
              </c:pt>
              <c:pt idx="55">
                <c:v>16.412297839211483</c:v>
              </c:pt>
              <c:pt idx="56">
                <c:v>16.412297839211483</c:v>
              </c:pt>
              <c:pt idx="57">
                <c:v>16.412297839211483</c:v>
              </c:pt>
              <c:pt idx="58">
                <c:v>16.412297839211483</c:v>
              </c:pt>
              <c:pt idx="59">
                <c:v>16.412297839211483</c:v>
              </c:pt>
              <c:pt idx="60">
                <c:v>16.412297839211483</c:v>
              </c:pt>
              <c:pt idx="61">
                <c:v>16.412297839211483</c:v>
              </c:pt>
              <c:pt idx="62">
                <c:v>16.412297839211483</c:v>
              </c:pt>
              <c:pt idx="63">
                <c:v>16.412297839211483</c:v>
              </c:pt>
              <c:pt idx="64">
                <c:v>16.412297839211483</c:v>
              </c:pt>
              <c:pt idx="65">
                <c:v>16.412297839211483</c:v>
              </c:pt>
              <c:pt idx="66">
                <c:v>16.412297839211483</c:v>
              </c:pt>
              <c:pt idx="67">
                <c:v>16.412297839211483</c:v>
              </c:pt>
              <c:pt idx="68">
                <c:v>16.412297839211483</c:v>
              </c:pt>
              <c:pt idx="69">
                <c:v>16.412297839211483</c:v>
              </c:pt>
              <c:pt idx="70">
                <c:v>16.412297839211483</c:v>
              </c:pt>
              <c:pt idx="71">
                <c:v>16.412297839211483</c:v>
              </c:pt>
              <c:pt idx="72">
                <c:v>16.412297839211483</c:v>
              </c:pt>
              <c:pt idx="73">
                <c:v>16.412297839211483</c:v>
              </c:pt>
              <c:pt idx="74">
                <c:v>16.412297839211483</c:v>
              </c:pt>
              <c:pt idx="75">
                <c:v>16.412297839211483</c:v>
              </c:pt>
              <c:pt idx="76">
                <c:v>16.412297839211483</c:v>
              </c:pt>
              <c:pt idx="77">
                <c:v>16.412297839211483</c:v>
              </c:pt>
              <c:pt idx="78">
                <c:v>16.412297839211483</c:v>
              </c:pt>
              <c:pt idx="79">
                <c:v>16.412297839211483</c:v>
              </c:pt>
              <c:pt idx="80">
                <c:v>16.412297839211483</c:v>
              </c:pt>
              <c:pt idx="81">
                <c:v>16.412297839211483</c:v>
              </c:pt>
              <c:pt idx="82">
                <c:v>16.412297839211483</c:v>
              </c:pt>
              <c:pt idx="83">
                <c:v>16.412297839211483</c:v>
              </c:pt>
              <c:pt idx="84">
                <c:v>16.412297839211483</c:v>
              </c:pt>
              <c:pt idx="85">
                <c:v>16.412297839211483</c:v>
              </c:pt>
              <c:pt idx="86">
                <c:v>16.412297839211483</c:v>
              </c:pt>
              <c:pt idx="87">
                <c:v>16.412297839211483</c:v>
              </c:pt>
              <c:pt idx="88">
                <c:v>16.412297839211483</c:v>
              </c:pt>
              <c:pt idx="89">
                <c:v>16.412297839211483</c:v>
              </c:pt>
              <c:pt idx="90">
                <c:v>16.412297839211483</c:v>
              </c:pt>
              <c:pt idx="91">
                <c:v>16.412297839211483</c:v>
              </c:pt>
              <c:pt idx="92">
                <c:v>16.412297839211483</c:v>
              </c:pt>
              <c:pt idx="93">
                <c:v>16.412297839211483</c:v>
              </c:pt>
              <c:pt idx="94">
                <c:v>16.412297839211483</c:v>
              </c:pt>
              <c:pt idx="95">
                <c:v>16.412297839211483</c:v>
              </c:pt>
              <c:pt idx="96">
                <c:v>16.412297839211483</c:v>
              </c:pt>
              <c:pt idx="97">
                <c:v>16.412297839211483</c:v>
              </c:pt>
              <c:pt idx="98">
                <c:v>16.412297839211483</c:v>
              </c:pt>
              <c:pt idx="99">
                <c:v>16.412297839211483</c:v>
              </c:pt>
            </c:numLit>
          </c:yVal>
          <c:smooth val="0"/>
          <c:extLst>
            <c:ext xmlns:c16="http://schemas.microsoft.com/office/drawing/2014/chart" uri="{C3380CC4-5D6E-409C-BE32-E72D297353CC}">
              <c16:uniqueId val="{00000003-0285-46C2-B8CD-FFF467B245B2}"/>
            </c:ext>
          </c:extLst>
        </c:ser>
        <c:ser>
          <c:idx val="2"/>
          <c:order val="4"/>
          <c:tx>
            <c:v>2SD limits</c:v>
          </c:tx>
          <c:spPr>
            <a:ln w="12700">
              <a:solidFill>
                <a:srgbClr val="505050"/>
              </a:solidFill>
              <a:prstDash val="sysDash"/>
            </a:ln>
          </c:spPr>
          <c:marker>
            <c:symbol val="none"/>
          </c:marker>
          <c:xVal>
            <c:numLit>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25</c:v>
              </c:pt>
              <c:pt idx="24">
                <c:v>27</c:v>
              </c:pt>
              <c:pt idx="25">
                <c:v>29</c:v>
              </c:pt>
              <c:pt idx="26">
                <c:v>31</c:v>
              </c:pt>
              <c:pt idx="27">
                <c:v>33</c:v>
              </c:pt>
              <c:pt idx="28">
                <c:v>35</c:v>
              </c:pt>
              <c:pt idx="29">
                <c:v>37</c:v>
              </c:pt>
              <c:pt idx="30">
                <c:v>39</c:v>
              </c:pt>
              <c:pt idx="31">
                <c:v>42</c:v>
              </c:pt>
              <c:pt idx="32">
                <c:v>45</c:v>
              </c:pt>
              <c:pt idx="33">
                <c:v>48</c:v>
              </c:pt>
              <c:pt idx="34">
                <c:v>51</c:v>
              </c:pt>
              <c:pt idx="35">
                <c:v>54</c:v>
              </c:pt>
              <c:pt idx="36">
                <c:v>58</c:v>
              </c:pt>
              <c:pt idx="37">
                <c:v>62</c:v>
              </c:pt>
              <c:pt idx="38">
                <c:v>66</c:v>
              </c:pt>
              <c:pt idx="39">
                <c:v>70</c:v>
              </c:pt>
              <c:pt idx="40">
                <c:v>75</c:v>
              </c:pt>
              <c:pt idx="41">
                <c:v>80</c:v>
              </c:pt>
              <c:pt idx="42">
                <c:v>85</c:v>
              </c:pt>
              <c:pt idx="43">
                <c:v>91</c:v>
              </c:pt>
              <c:pt idx="44">
                <c:v>97</c:v>
              </c:pt>
              <c:pt idx="45">
                <c:v>103</c:v>
              </c:pt>
              <c:pt idx="46">
                <c:v>110</c:v>
              </c:pt>
              <c:pt idx="47">
                <c:v>117</c:v>
              </c:pt>
              <c:pt idx="48">
                <c:v>125</c:v>
              </c:pt>
              <c:pt idx="49">
                <c:v>133</c:v>
              </c:pt>
              <c:pt idx="50">
                <c:v>142</c:v>
              </c:pt>
              <c:pt idx="51">
                <c:v>152</c:v>
              </c:pt>
              <c:pt idx="52">
                <c:v>162</c:v>
              </c:pt>
              <c:pt idx="53">
                <c:v>173</c:v>
              </c:pt>
              <c:pt idx="54">
                <c:v>185</c:v>
              </c:pt>
              <c:pt idx="55">
                <c:v>197</c:v>
              </c:pt>
              <c:pt idx="56">
                <c:v>210</c:v>
              </c:pt>
              <c:pt idx="57">
                <c:v>224</c:v>
              </c:pt>
              <c:pt idx="58">
                <c:v>239</c:v>
              </c:pt>
              <c:pt idx="59">
                <c:v>255</c:v>
              </c:pt>
              <c:pt idx="60">
                <c:v>272</c:v>
              </c:pt>
              <c:pt idx="61">
                <c:v>290</c:v>
              </c:pt>
              <c:pt idx="62">
                <c:v>309</c:v>
              </c:pt>
              <c:pt idx="63">
                <c:v>330</c:v>
              </c:pt>
              <c:pt idx="64">
                <c:v>352</c:v>
              </c:pt>
              <c:pt idx="65">
                <c:v>376</c:v>
              </c:pt>
              <c:pt idx="66">
                <c:v>401</c:v>
              </c:pt>
              <c:pt idx="67">
                <c:v>428</c:v>
              </c:pt>
              <c:pt idx="68">
                <c:v>457</c:v>
              </c:pt>
              <c:pt idx="69">
                <c:v>488</c:v>
              </c:pt>
              <c:pt idx="70">
                <c:v>521</c:v>
              </c:pt>
              <c:pt idx="71">
                <c:v>556</c:v>
              </c:pt>
              <c:pt idx="72">
                <c:v>593</c:v>
              </c:pt>
              <c:pt idx="73">
                <c:v>633</c:v>
              </c:pt>
              <c:pt idx="74">
                <c:v>675</c:v>
              </c:pt>
              <c:pt idx="75">
                <c:v>720</c:v>
              </c:pt>
              <c:pt idx="76">
                <c:v>768</c:v>
              </c:pt>
              <c:pt idx="77">
                <c:v>819</c:v>
              </c:pt>
              <c:pt idx="78">
                <c:v>874</c:v>
              </c:pt>
              <c:pt idx="79">
                <c:v>932</c:v>
              </c:pt>
              <c:pt idx="80">
                <c:v>994</c:v>
              </c:pt>
              <c:pt idx="81">
                <c:v>1060</c:v>
              </c:pt>
              <c:pt idx="82">
                <c:v>1131</c:v>
              </c:pt>
              <c:pt idx="83">
                <c:v>1207</c:v>
              </c:pt>
              <c:pt idx="84">
                <c:v>1288</c:v>
              </c:pt>
              <c:pt idx="85">
                <c:v>1374</c:v>
              </c:pt>
              <c:pt idx="86">
                <c:v>1466</c:v>
              </c:pt>
              <c:pt idx="87">
                <c:v>1564</c:v>
              </c:pt>
              <c:pt idx="88">
                <c:v>1669</c:v>
              </c:pt>
              <c:pt idx="89">
                <c:v>1781</c:v>
              </c:pt>
              <c:pt idx="90">
                <c:v>1900</c:v>
              </c:pt>
              <c:pt idx="91">
                <c:v>2027</c:v>
              </c:pt>
              <c:pt idx="92">
                <c:v>2162</c:v>
              </c:pt>
              <c:pt idx="93">
                <c:v>2306</c:v>
              </c:pt>
              <c:pt idx="94">
                <c:v>2460</c:v>
              </c:pt>
              <c:pt idx="95">
                <c:v>2624</c:v>
              </c:pt>
              <c:pt idx="96">
                <c:v>2800</c:v>
              </c:pt>
              <c:pt idx="97">
                <c:v>2987</c:v>
              </c:pt>
              <c:pt idx="98">
                <c:v>3187</c:v>
              </c:pt>
              <c:pt idx="99">
                <c:v>3400</c:v>
              </c:pt>
            </c:numLit>
          </c:xVal>
          <c:yVal>
            <c:numLit>
              <c:formatCode>??0</c:formatCode>
              <c:ptCount val="100"/>
              <c:pt idx="0">
                <c:v>0.65089876213069131</c:v>
              </c:pt>
              <c:pt idx="1">
                <c:v>1.2169108897337924</c:v>
              </c:pt>
              <c:pt idx="2">
                <c:v>1.7160808903288565</c:v>
              </c:pt>
              <c:pt idx="3">
                <c:v>2.1613492138828074</c:v>
              </c:pt>
              <c:pt idx="4">
                <c:v>2.5623011958775423</c:v>
              </c:pt>
              <c:pt idx="5">
                <c:v>2.9262272776598817</c:v>
              </c:pt>
              <c:pt idx="6">
                <c:v>3.2587960735185453</c:v>
              </c:pt>
              <c:pt idx="7">
                <c:v>3.5644982554165163</c:v>
              </c:pt>
              <c:pt idx="8">
                <c:v>3.8469488233808971</c:v>
              </c:pt>
              <c:pt idx="9">
                <c:v>4.1090986453297562</c:v>
              </c:pt>
              <c:pt idx="10">
                <c:v>4.3533860375152083</c:v>
              </c:pt>
              <c:pt idx="11">
                <c:v>4.5818476426413168</c:v>
              </c:pt>
              <c:pt idx="12">
                <c:v>4.7962010211111634</c:v>
              </c:pt>
              <c:pt idx="13">
                <c:v>4.9979071717025914</c:v>
              </c:pt>
              <c:pt idx="14">
                <c:v>5.1882185461572297</c:v>
              </c:pt>
              <c:pt idx="15">
                <c:v>5.3682164046599432</c:v>
              </c:pt>
              <c:pt idx="16">
                <c:v>5.5388402214133281</c:v>
              </c:pt>
              <c:pt idx="17">
                <c:v>5.7009110803437686</c:v>
              </c:pt>
              <c:pt idx="18">
                <c:v>5.8551504713708775</c:v>
              </c:pt>
              <c:pt idx="19">
                <c:v>6.002195526891299</c:v>
              </c:pt>
              <c:pt idx="20">
                <c:v>6.1426114745624432</c:v>
              </c:pt>
              <c:pt idx="21">
                <c:v>6.2769018924896685</c:v>
              </c:pt>
              <c:pt idx="22">
                <c:v>6.4055172142103407</c:v>
              </c:pt>
              <c:pt idx="23">
                <c:v>6.6473000415716976</c:v>
              </c:pt>
              <c:pt idx="24">
                <c:v>6.8707435394721488</c:v>
              </c:pt>
              <c:pt idx="25">
                <c:v>7.0781339449122722</c:v>
              </c:pt>
              <c:pt idx="26">
                <c:v>7.2713701644255222</c:v>
              </c:pt>
              <c:pt idx="27">
                <c:v>7.452045206303036</c:v>
              </c:pt>
              <c:pt idx="28">
                <c:v>7.6215074598496537</c:v>
              </c:pt>
              <c:pt idx="29">
                <c:v>7.7809074952598172</c:v>
              </c:pt>
              <c:pt idx="30">
                <c:v>7.9312342833948364</c:v>
              </c:pt>
              <c:pt idx="31">
                <c:v>8.14155325867854</c:v>
              </c:pt>
              <c:pt idx="32">
                <c:v>8.3357967394456018</c:v>
              </c:pt>
              <c:pt idx="33">
                <c:v>8.5159701681645572</c:v>
              </c:pt>
              <c:pt idx="34">
                <c:v>8.6837401812418591</c:v>
              </c:pt>
              <c:pt idx="35">
                <c:v>8.8405054970744725</c:v>
              </c:pt>
              <c:pt idx="36">
                <c:v>9.0344287030173653</c:v>
              </c:pt>
              <c:pt idx="37">
                <c:v>9.2132152815562591</c:v>
              </c:pt>
              <c:pt idx="38">
                <c:v>9.3787844008203827</c:v>
              </c:pt>
              <c:pt idx="39">
                <c:v>9.532726617201595</c:v>
              </c:pt>
              <c:pt idx="40">
                <c:v>9.7108122095445051</c:v>
              </c:pt>
              <c:pt idx="41">
                <c:v>9.8749535304021574</c:v>
              </c:pt>
              <c:pt idx="42">
                <c:v>10.026919121738723</c:v>
              </c:pt>
              <c:pt idx="43">
                <c:v>10.195252705449892</c:v>
              </c:pt>
              <c:pt idx="44">
                <c:v>10.350241061506109</c:v>
              </c:pt>
              <c:pt idx="45">
                <c:v>10.493593586655756</c:v>
              </c:pt>
              <c:pt idx="46">
                <c:v>10.6480056115532</c:v>
              </c:pt>
              <c:pt idx="47">
                <c:v>10.790349870690005</c:v>
              </c:pt>
              <c:pt idx="48">
                <c:v>10.940192771540936</c:v>
              </c:pt>
              <c:pt idx="49">
                <c:v>11.078118877020485</c:v>
              </c:pt>
              <c:pt idx="50">
                <c:v>11.220931799386797</c:v>
              </c:pt>
              <c:pt idx="51">
                <c:v>11.36633685611752</c:v>
              </c:pt>
              <c:pt idx="52">
                <c:v>11.499671592533932</c:v>
              </c:pt>
              <c:pt idx="53">
                <c:v>11.634308767663104</c:v>
              </c:pt>
              <c:pt idx="54">
                <c:v>11.768780427064202</c:v>
              </c:pt>
              <c:pt idx="55">
                <c:v>11.89208018940483</c:v>
              </c:pt>
              <c:pt idx="56">
                <c:v>12.014766117243267</c:v>
              </c:pt>
              <c:pt idx="57">
                <c:v>12.135936863363108</c:v>
              </c:pt>
              <c:pt idx="58">
                <c:v>12.254884483851731</c:v>
              </c:pt>
              <c:pt idx="59">
                <c:v>12.37106974241998</c:v>
              </c:pt>
              <c:pt idx="60">
                <c:v>12.484097067024571</c:v>
              </c:pt>
              <c:pt idx="61">
                <c:v>12.593690738819131</c:v>
              </c:pt>
              <c:pt idx="62">
                <c:v>12.699673226641545</c:v>
              </c:pt>
              <c:pt idx="63">
                <c:v>12.806833473644089</c:v>
              </c:pt>
              <c:pt idx="64">
                <c:v>12.909429366732775</c:v>
              </c:pt>
              <c:pt idx="65">
                <c:v>13.011669578302737</c:v>
              </c:pt>
              <c:pt idx="66">
                <c:v>13.108942755615477</c:v>
              </c:pt>
              <c:pt idx="67">
                <c:v>13.204923322685239</c:v>
              </c:pt>
              <c:pt idx="68">
                <c:v>13.299007517547206</c:v>
              </c:pt>
              <c:pt idx="69">
                <c:v>13.390741898068601</c:v>
              </c:pt>
              <c:pt idx="70">
                <c:v>13.479800058296826</c:v>
              </c:pt>
              <c:pt idx="71">
                <c:v>13.565960591915708</c:v>
              </c:pt>
              <c:pt idx="72">
                <c:v>13.649087183315567</c:v>
              </c:pt>
              <c:pt idx="73">
                <c:v>13.731070612536634</c:v>
              </c:pt>
              <c:pt idx="74">
                <c:v>13.809597605530904</c:v>
              </c:pt>
              <c:pt idx="75">
                <c:v>13.886374331680685</c:v>
              </c:pt>
              <c:pt idx="76">
                <c:v>13.961077183519045</c:v>
              </c:pt>
              <c:pt idx="77">
                <c:v>14.033478480758721</c:v>
              </c:pt>
              <c:pt idx="78">
                <c:v>14.104665889520462</c:v>
              </c:pt>
              <c:pt idx="79">
                <c:v>14.173101026879802</c:v>
              </c:pt>
              <c:pt idx="80">
                <c:v>14.239807697280007</c:v>
              </c:pt>
              <c:pt idx="81">
                <c:v>14.30454786067536</c:v>
              </c:pt>
              <c:pt idx="82">
                <c:v>14.368014209098353</c:v>
              </c:pt>
              <c:pt idx="83">
                <c:v>14.429881427471333</c:v>
              </c:pt>
              <c:pt idx="84">
                <c:v>14.489915642320275</c:v>
              </c:pt>
              <c:pt idx="85">
                <c:v>14.547958543031733</c:v>
              </c:pt>
              <c:pt idx="86">
                <c:v>14.604499752043818</c:v>
              </c:pt>
              <c:pt idx="87">
                <c:v>14.659334486619155</c:v>
              </c:pt>
              <c:pt idx="88">
                <c:v>14.712811651296503</c:v>
              </c:pt>
              <c:pt idx="89">
                <c:v>14.764718282706399</c:v>
              </c:pt>
              <c:pt idx="90">
                <c:v>14.81490929904079</c:v>
              </c:pt>
              <c:pt idx="91">
                <c:v>14.863661026757061</c:v>
              </c:pt>
              <c:pt idx="92">
                <c:v>14.910829185438374</c:v>
              </c:pt>
              <c:pt idx="93">
                <c:v>14.956626008207946</c:v>
              </c:pt>
              <c:pt idx="94">
                <c:v>15.001197532587163</c:v>
              </c:pt>
              <c:pt idx="95">
                <c:v>15.04438805538266</c:v>
              </c:pt>
              <c:pt idx="96">
                <c:v>15.08655194689312</c:v>
              </c:pt>
              <c:pt idx="97">
                <c:v>15.127297765020838</c:v>
              </c:pt>
              <c:pt idx="98">
                <c:v>15.166933255160654</c:v>
              </c:pt>
              <c:pt idx="99">
                <c:v>15.205321610731598</c:v>
              </c:pt>
            </c:numLit>
          </c:yVal>
          <c:smooth val="0"/>
          <c:extLst>
            <c:ext xmlns:c16="http://schemas.microsoft.com/office/drawing/2014/chart" uri="{C3380CC4-5D6E-409C-BE32-E72D297353CC}">
              <c16:uniqueId val="{00000004-0285-46C2-B8CD-FFF467B245B2}"/>
            </c:ext>
          </c:extLst>
        </c:ser>
        <c:ser>
          <c:idx val="4"/>
          <c:order val="5"/>
          <c:tx>
            <c:v>3SD limits</c:v>
          </c:tx>
          <c:spPr>
            <a:ln w="12700">
              <a:solidFill>
                <a:srgbClr val="505050"/>
              </a:solidFill>
              <a:prstDash val="lgDash"/>
            </a:ln>
          </c:spPr>
          <c:marker>
            <c:symbol val="none"/>
          </c:marker>
          <c:xVal>
            <c:numLit>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25</c:v>
              </c:pt>
              <c:pt idx="24">
                <c:v>27</c:v>
              </c:pt>
              <c:pt idx="25">
                <c:v>29</c:v>
              </c:pt>
              <c:pt idx="26">
                <c:v>31</c:v>
              </c:pt>
              <c:pt idx="27">
                <c:v>33</c:v>
              </c:pt>
              <c:pt idx="28">
                <c:v>35</c:v>
              </c:pt>
              <c:pt idx="29">
                <c:v>37</c:v>
              </c:pt>
              <c:pt idx="30">
                <c:v>39</c:v>
              </c:pt>
              <c:pt idx="31">
                <c:v>42</c:v>
              </c:pt>
              <c:pt idx="32">
                <c:v>45</c:v>
              </c:pt>
              <c:pt idx="33">
                <c:v>48</c:v>
              </c:pt>
              <c:pt idx="34">
                <c:v>51</c:v>
              </c:pt>
              <c:pt idx="35">
                <c:v>54</c:v>
              </c:pt>
              <c:pt idx="36">
                <c:v>58</c:v>
              </c:pt>
              <c:pt idx="37">
                <c:v>62</c:v>
              </c:pt>
              <c:pt idx="38">
                <c:v>66</c:v>
              </c:pt>
              <c:pt idx="39">
                <c:v>70</c:v>
              </c:pt>
              <c:pt idx="40">
                <c:v>75</c:v>
              </c:pt>
              <c:pt idx="41">
                <c:v>80</c:v>
              </c:pt>
              <c:pt idx="42">
                <c:v>85</c:v>
              </c:pt>
              <c:pt idx="43">
                <c:v>91</c:v>
              </c:pt>
              <c:pt idx="44">
                <c:v>97</c:v>
              </c:pt>
              <c:pt idx="45">
                <c:v>103</c:v>
              </c:pt>
              <c:pt idx="46">
                <c:v>110</c:v>
              </c:pt>
              <c:pt idx="47">
                <c:v>117</c:v>
              </c:pt>
              <c:pt idx="48">
                <c:v>125</c:v>
              </c:pt>
              <c:pt idx="49">
                <c:v>133</c:v>
              </c:pt>
              <c:pt idx="50">
                <c:v>142</c:v>
              </c:pt>
              <c:pt idx="51">
                <c:v>152</c:v>
              </c:pt>
              <c:pt idx="52">
                <c:v>162</c:v>
              </c:pt>
              <c:pt idx="53">
                <c:v>173</c:v>
              </c:pt>
              <c:pt idx="54">
                <c:v>185</c:v>
              </c:pt>
              <c:pt idx="55">
                <c:v>197</c:v>
              </c:pt>
              <c:pt idx="56">
                <c:v>210</c:v>
              </c:pt>
              <c:pt idx="57">
                <c:v>224</c:v>
              </c:pt>
              <c:pt idx="58">
                <c:v>239</c:v>
              </c:pt>
              <c:pt idx="59">
                <c:v>255</c:v>
              </c:pt>
              <c:pt idx="60">
                <c:v>272</c:v>
              </c:pt>
              <c:pt idx="61">
                <c:v>290</c:v>
              </c:pt>
              <c:pt idx="62">
                <c:v>309</c:v>
              </c:pt>
              <c:pt idx="63">
                <c:v>330</c:v>
              </c:pt>
              <c:pt idx="64">
                <c:v>352</c:v>
              </c:pt>
              <c:pt idx="65">
                <c:v>376</c:v>
              </c:pt>
              <c:pt idx="66">
                <c:v>401</c:v>
              </c:pt>
              <c:pt idx="67">
                <c:v>428</c:v>
              </c:pt>
              <c:pt idx="68">
                <c:v>457</c:v>
              </c:pt>
              <c:pt idx="69">
                <c:v>488</c:v>
              </c:pt>
              <c:pt idx="70">
                <c:v>521</c:v>
              </c:pt>
              <c:pt idx="71">
                <c:v>556</c:v>
              </c:pt>
              <c:pt idx="72">
                <c:v>593</c:v>
              </c:pt>
              <c:pt idx="73">
                <c:v>633</c:v>
              </c:pt>
              <c:pt idx="74">
                <c:v>675</c:v>
              </c:pt>
              <c:pt idx="75">
                <c:v>720</c:v>
              </c:pt>
              <c:pt idx="76">
                <c:v>768</c:v>
              </c:pt>
              <c:pt idx="77">
                <c:v>819</c:v>
              </c:pt>
              <c:pt idx="78">
                <c:v>874</c:v>
              </c:pt>
              <c:pt idx="79">
                <c:v>932</c:v>
              </c:pt>
              <c:pt idx="80">
                <c:v>994</c:v>
              </c:pt>
              <c:pt idx="81">
                <c:v>1060</c:v>
              </c:pt>
              <c:pt idx="82">
                <c:v>1131</c:v>
              </c:pt>
              <c:pt idx="83">
                <c:v>1207</c:v>
              </c:pt>
              <c:pt idx="84">
                <c:v>1288</c:v>
              </c:pt>
              <c:pt idx="85">
                <c:v>1374</c:v>
              </c:pt>
              <c:pt idx="86">
                <c:v>1466</c:v>
              </c:pt>
              <c:pt idx="87">
                <c:v>1564</c:v>
              </c:pt>
              <c:pt idx="88">
                <c:v>1669</c:v>
              </c:pt>
              <c:pt idx="89">
                <c:v>1781</c:v>
              </c:pt>
              <c:pt idx="90">
                <c:v>1900</c:v>
              </c:pt>
              <c:pt idx="91">
                <c:v>2027</c:v>
              </c:pt>
              <c:pt idx="92">
                <c:v>2162</c:v>
              </c:pt>
              <c:pt idx="93">
                <c:v>2306</c:v>
              </c:pt>
              <c:pt idx="94">
                <c:v>2460</c:v>
              </c:pt>
              <c:pt idx="95">
                <c:v>2624</c:v>
              </c:pt>
              <c:pt idx="96">
                <c:v>2800</c:v>
              </c:pt>
              <c:pt idx="97">
                <c:v>2987</c:v>
              </c:pt>
              <c:pt idx="98">
                <c:v>3187</c:v>
              </c:pt>
              <c:pt idx="99">
                <c:v>3400</c:v>
              </c:pt>
            </c:numLit>
          </c:xVal>
          <c:yVal>
            <c:numLit>
              <c:formatCode>??0</c:formatCode>
              <c:ptCount val="100"/>
              <c:pt idx="0">
                <c:v>0.27350078088831992</c:v>
              </c:pt>
              <c:pt idx="1">
                <c:v>0.53105359300930888</c:v>
              </c:pt>
              <c:pt idx="2">
                <c:v>0.77426233298662162</c:v>
              </c:pt>
              <c:pt idx="3">
                <c:v>1.0045052928957938</c:v>
              </c:pt>
              <c:pt idx="4">
                <c:v>1.2229753249993287</c:v>
              </c:pt>
              <c:pt idx="5">
                <c:v>1.4307114642465302</c:v>
              </c:pt>
              <c:pt idx="6">
                <c:v>1.6286240993844041</c:v>
              </c:pt>
              <c:pt idx="7">
                <c:v>1.8175152095968534</c:v>
              </c:pt>
              <c:pt idx="8">
                <c:v>1.9980947830346054</c:v>
              </c:pt>
              <c:pt idx="9">
                <c:v>2.1709942495981154</c:v>
              </c:pt>
              <c:pt idx="10">
                <c:v>2.3367775560492414</c:v>
              </c:pt>
              <c:pt idx="11">
                <c:v>2.4959503626224273</c:v>
              </c:pt>
              <c:pt idx="12">
                <c:v>2.6489677304365804</c:v>
              </c:pt>
              <c:pt idx="13">
                <c:v>2.7962405870226772</c:v>
              </c:pt>
              <c:pt idx="14">
                <c:v>2.9381411954602745</c:v>
              </c:pt>
              <c:pt idx="15">
                <c:v>3.0750078055435721</c:v>
              </c:pt>
              <c:pt idx="16">
                <c:v>3.2071486292296418</c:v>
              </c:pt>
              <c:pt idx="17">
                <c:v>3.3348452545954728</c:v>
              </c:pt>
              <c:pt idx="18">
                <c:v>3.4583555906406263</c:v>
              </c:pt>
              <c:pt idx="19">
                <c:v>3.5779164180473138</c:v>
              </c:pt>
              <c:pt idx="20">
                <c:v>3.6937456073603423</c:v>
              </c:pt>
              <c:pt idx="21">
                <c:v>3.8060440551617982</c:v>
              </c:pt>
              <c:pt idx="22">
                <c:v>3.9149973800759823</c:v>
              </c:pt>
              <c:pt idx="23">
                <c:v>4.1235435133028382</c:v>
              </c:pt>
              <c:pt idx="24">
                <c:v>4.3206158229500646</c:v>
              </c:pt>
              <c:pt idx="25">
                <c:v>4.5072807320885664</c:v>
              </c:pt>
              <c:pt idx="26">
                <c:v>4.6844672408179724</c:v>
              </c:pt>
              <c:pt idx="27">
                <c:v>4.8529892589692558</c:v>
              </c:pt>
              <c:pt idx="28">
                <c:v>5.0135636078940493</c:v>
              </c:pt>
              <c:pt idx="29">
                <c:v>5.1668246581970738</c:v>
              </c:pt>
              <c:pt idx="30">
                <c:v>5.3133363279501706</c:v>
              </c:pt>
              <c:pt idx="31">
                <c:v>5.5215353742652864</c:v>
              </c:pt>
              <c:pt idx="32">
                <c:v>5.7171541485281656</c:v>
              </c:pt>
              <c:pt idx="33">
                <c:v>5.9014625048578768</c:v>
              </c:pt>
              <c:pt idx="34">
                <c:v>6.0755538684337074</c:v>
              </c:pt>
              <c:pt idx="35">
                <c:v>6.2403759819977518</c:v>
              </c:pt>
              <c:pt idx="36">
                <c:v>6.4471334025858846</c:v>
              </c:pt>
              <c:pt idx="37">
                <c:v>6.6405545470638092</c:v>
              </c:pt>
              <c:pt idx="38">
                <c:v>6.82206585316362</c:v>
              </c:pt>
              <c:pt idx="39">
                <c:v>6.9928847855670853</c:v>
              </c:pt>
              <c:pt idx="40">
                <c:v>7.1929531961416311</c:v>
              </c:pt>
              <c:pt idx="41">
                <c:v>7.379681832031137</c:v>
              </c:pt>
              <c:pt idx="42">
                <c:v>7.5545382929237324</c:v>
              </c:pt>
              <c:pt idx="43">
                <c:v>7.750437740201999</c:v>
              </c:pt>
              <c:pt idx="44">
                <c:v>7.9328484387487297</c:v>
              </c:pt>
              <c:pt idx="45">
                <c:v>8.1032967833217491</c:v>
              </c:pt>
              <c:pt idx="46">
                <c:v>8.2887457288966804</c:v>
              </c:pt>
              <c:pt idx="47">
                <c:v>8.4613906288457343</c:v>
              </c:pt>
              <c:pt idx="48">
                <c:v>8.6448692651407164</c:v>
              </c:pt>
              <c:pt idx="49">
                <c:v>8.8153214060323606</c:v>
              </c:pt>
              <c:pt idx="50">
                <c:v>8.9933822538029133</c:v>
              </c:pt>
              <c:pt idx="51">
                <c:v>9.1763029200857513</c:v>
              </c:pt>
              <c:pt idx="52">
                <c:v>9.3454712291856374</c:v>
              </c:pt>
              <c:pt idx="53">
                <c:v>9.517670993803689</c:v>
              </c:pt>
              <c:pt idx="54">
                <c:v>9.6910307640848981</c:v>
              </c:pt>
              <c:pt idx="55">
                <c:v>9.8511824732929227</c:v>
              </c:pt>
              <c:pt idx="56">
                <c:v>10.011661691447928</c:v>
              </c:pt>
              <c:pt idx="57">
                <c:v>10.171251015240086</c:v>
              </c:pt>
              <c:pt idx="58">
                <c:v>10.328958854243977</c:v>
              </c:pt>
              <c:pt idx="59">
                <c:v>10.483996468032467</c:v>
              </c:pt>
              <c:pt idx="60">
                <c:v>10.635752903892097</c:v>
              </c:pt>
              <c:pt idx="61">
                <c:v>10.783769866288527</c:v>
              </c:pt>
              <c:pt idx="62">
                <c:v>10.927717848986289</c:v>
              </c:pt>
              <c:pt idx="63">
                <c:v>11.074066422002831</c:v>
              </c:pt>
              <c:pt idx="64">
                <c:v>11.214929442240491</c:v>
              </c:pt>
              <c:pt idx="65">
                <c:v>11.356025523381305</c:v>
              </c:pt>
              <c:pt idx="66">
                <c:v>11.490929490988757</c:v>
              </c:pt>
              <c:pt idx="67">
                <c:v>11.624668496416636</c:v>
              </c:pt>
              <c:pt idx="68">
                <c:v>11.756364941034663</c:v>
              </c:pt>
              <c:pt idx="69">
                <c:v>11.885338950669952</c:v>
              </c:pt>
              <c:pt idx="70">
                <c:v>12.011081003676368</c:v>
              </c:pt>
              <c:pt idx="71">
                <c:v>12.133225152442739</c:v>
              </c:pt>
              <c:pt idx="72">
                <c:v>12.251524166034862</c:v>
              </c:pt>
              <c:pt idx="73">
                <c:v>12.368631151597278</c:v>
              </c:pt>
              <c:pt idx="74">
                <c:v>12.481202414637472</c:v>
              </c:pt>
              <c:pt idx="75">
                <c:v>12.591641329982636</c:v>
              </c:pt>
              <c:pt idx="76">
                <c:v>12.699451724383625</c:v>
              </c:pt>
              <c:pt idx="77">
                <c:v>12.804271645526416</c:v>
              </c:pt>
              <c:pt idx="78">
                <c:v>12.907649407253801</c:v>
              </c:pt>
              <c:pt idx="79">
                <c:v>13.007322752407546</c:v>
              </c:pt>
              <c:pt idx="80">
                <c:v>13.104752405690325</c:v>
              </c:pt>
              <c:pt idx="81">
                <c:v>13.19956631837875</c:v>
              </c:pt>
              <c:pt idx="82">
                <c:v>13.29275809975956</c:v>
              </c:pt>
              <c:pt idx="83">
                <c:v>13.383832030307488</c:v>
              </c:pt>
              <c:pt idx="84">
                <c:v>13.472423361859315</c:v>
              </c:pt>
              <c:pt idx="85">
                <c:v>13.558276754897424</c:v>
              </c:pt>
              <c:pt idx="86">
                <c:v>13.642097252015557</c:v>
              </c:pt>
              <c:pt idx="87">
                <c:v>13.723564257270256</c:v>
              </c:pt>
              <c:pt idx="88">
                <c:v>13.803180426500683</c:v>
              </c:pt>
              <c:pt idx="89">
                <c:v>13.880614215700993</c:v>
              </c:pt>
              <c:pt idx="90">
                <c:v>13.955633686819596</c:v>
              </c:pt>
              <c:pt idx="91">
                <c:v>14.028637526794622</c:v>
              </c:pt>
              <c:pt idx="92">
                <c:v>14.099396474003587</c:v>
              </c:pt>
              <c:pt idx="93">
                <c:v>14.168216485232103</c:v>
              </c:pt>
              <c:pt idx="94">
                <c:v>14.235306431697344</c:v>
              </c:pt>
              <c:pt idx="95">
                <c:v>14.300421727008311</c:v>
              </c:pt>
              <c:pt idx="96">
                <c:v>14.364087480865789</c:v>
              </c:pt>
              <c:pt idx="97">
                <c:v>14.425703704005787</c:v>
              </c:pt>
              <c:pt idx="98">
                <c:v>14.485726890587792</c:v>
              </c:pt>
              <c:pt idx="99">
                <c:v>14.543941874764975</c:v>
              </c:pt>
            </c:numLit>
          </c:yVal>
          <c:smooth val="0"/>
          <c:extLst>
            <c:ext xmlns:c16="http://schemas.microsoft.com/office/drawing/2014/chart" uri="{C3380CC4-5D6E-409C-BE32-E72D297353CC}">
              <c16:uniqueId val="{00000005-0285-46C2-B8CD-FFF467B245B2}"/>
            </c:ext>
          </c:extLst>
        </c:ser>
        <c:dLbls>
          <c:showLegendKey val="0"/>
          <c:showVal val="0"/>
          <c:showCatName val="0"/>
          <c:showSerName val="0"/>
          <c:showPercent val="0"/>
          <c:showBubbleSize val="0"/>
        </c:dLbls>
        <c:axId val="157010944"/>
        <c:axId val="157013120"/>
      </c:scatterChart>
      <c:valAx>
        <c:axId val="157010944"/>
        <c:scaling>
          <c:orientation val="minMax"/>
          <c:max val="3400"/>
          <c:min val="0"/>
        </c:scaling>
        <c:delete val="0"/>
        <c:axPos val="b"/>
        <c:title>
          <c:tx>
            <c:strRef>
              <c:f/>
            </c:strRef>
          </c:tx>
          <c:layout>
            <c:manualLayout>
              <c:xMode val="edge"/>
              <c:yMode val="edge"/>
              <c:x val="0.28751199739085864"/>
              <c:y val="0.8897857929049191"/>
            </c:manualLayout>
          </c:layout>
          <c:overlay val="0"/>
          <c:spPr>
            <a:noFill/>
            <a:ln w="25400">
              <a:noFill/>
            </a:ln>
          </c:spPr>
          <c:txPr>
            <a:bodyPr/>
            <a:lstStyle/>
            <a:p>
              <a:pPr>
                <a:defRPr b="1"/>
              </a:pPr>
              <a:endParaRPr lang="en-US"/>
            </a:p>
          </c:txPr>
        </c:title>
        <c:numFmt formatCode="0" sourceLinked="0"/>
        <c:majorTickMark val="out"/>
        <c:minorTickMark val="none"/>
        <c:tickLblPos val="nextTo"/>
        <c:spPr>
          <a:noFill/>
          <a:ln w="12700">
            <a:solidFill>
              <a:schemeClr val="tx1"/>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57013120"/>
        <c:crosses val="autoZero"/>
        <c:crossBetween val="midCat"/>
      </c:valAx>
      <c:valAx>
        <c:axId val="157013120"/>
        <c:scaling>
          <c:orientation val="minMax"/>
          <c:max val="45"/>
        </c:scaling>
        <c:delete val="0"/>
        <c:axPos val="l"/>
        <c:title>
          <c:tx>
            <c:strRef>
              <c:f/>
            </c:strRef>
          </c:tx>
          <c:layout>
            <c:manualLayout>
              <c:xMode val="edge"/>
              <c:yMode val="edge"/>
              <c:x val="8.8816412741306739E-3"/>
              <c:y val="0.19499809499618997"/>
            </c:manualLayout>
          </c:layout>
          <c:overlay val="0"/>
          <c:spPr>
            <a:noFill/>
            <a:ln w="25400">
              <a:noFill/>
            </a:ln>
          </c:spPr>
          <c:txPr>
            <a:bodyPr/>
            <a:lstStyle/>
            <a:p>
              <a:pPr>
                <a:defRPr b="1"/>
              </a:pPr>
              <a:endParaRPr lang="en-US"/>
            </a:p>
          </c:txPr>
        </c:title>
        <c:numFmt formatCode="??0" sourceLinked="1"/>
        <c:majorTickMark val="out"/>
        <c:minorTickMark val="none"/>
        <c:tickLblPos val="nextTo"/>
        <c:spPr>
          <a:ln w="12700">
            <a:solidFill>
              <a:schemeClr val="tx1"/>
            </a:solidFill>
            <a:prstDash val="solid"/>
          </a:ln>
        </c:spPr>
        <c:txPr>
          <a:bodyPr rot="0" vert="horz"/>
          <a:lstStyle/>
          <a:p>
            <a:pPr>
              <a:defRPr/>
            </a:pPr>
            <a:endParaRPr lang="en-US"/>
          </a:p>
        </c:txPr>
        <c:crossAx val="157010944"/>
        <c:crosses val="autoZero"/>
        <c:crossBetween val="midCat"/>
      </c:valAx>
      <c:spPr>
        <a:noFill/>
        <a:ln w="25400">
          <a:noFill/>
        </a:ln>
      </c:spPr>
    </c:plotArea>
    <c:legend>
      <c:legendPos val="r"/>
      <c:legendEntry>
        <c:idx val="1"/>
        <c:delete val="1"/>
      </c:legendEntry>
      <c:legendEntry>
        <c:idx val="2"/>
        <c:delete val="1"/>
      </c:legendEntry>
      <c:layout>
        <c:manualLayout>
          <c:xMode val="edge"/>
          <c:yMode val="edge"/>
          <c:x val="2.9580518411529921E-2"/>
          <c:y val="0.94403860807721618"/>
          <c:w val="0.96055242355060644"/>
          <c:h val="3.9650749301498589E-2"/>
        </c:manualLayout>
      </c:layout>
      <c:overlay val="0"/>
      <c:spPr>
        <a:noFill/>
        <a:ln w="25400">
          <a:noFill/>
        </a:ln>
      </c:spPr>
    </c:legend>
    <c:plotVisOnly val="1"/>
    <c:dispBlanksAs val="gap"/>
    <c:showDLblsOverMax val="0"/>
  </c:chart>
  <c:spPr>
    <a:noFill/>
    <a:ln w="9525">
      <a:noFill/>
    </a:ln>
  </c:spPr>
  <c:txPr>
    <a:bodyPr/>
    <a:lstStyle/>
    <a:p>
      <a:pPr>
        <a:defRPr sz="800" b="0" i="0" u="none" strike="noStrike" baseline="0">
          <a:solidFill>
            <a:sysClr val="windowText" lastClr="000000"/>
          </a:solidFill>
          <a:latin typeface="Arial"/>
          <a:ea typeface="Arial"/>
          <a:cs typeface="Arial"/>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5BE5968F9243DC94B93C75B183026A"/>
        <w:category>
          <w:name w:val="General"/>
          <w:gallery w:val="placeholder"/>
        </w:category>
        <w:types>
          <w:type w:val="bbPlcHdr"/>
        </w:types>
        <w:behaviors>
          <w:behavior w:val="content"/>
        </w:behaviors>
        <w:guid w:val="{09695787-8F45-4093-88C0-EF983A14FCC3}"/>
      </w:docPartPr>
      <w:docPartBody>
        <w:p w:rsidR="007D576C" w:rsidRDefault="007D576C" w:rsidP="007D576C">
          <w:pPr>
            <w:pStyle w:val="F25BE5968F9243DC94B93C75B183026A"/>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0F4269"/>
    <w:rsid w:val="001B72D9"/>
    <w:rsid w:val="002B3BE6"/>
    <w:rsid w:val="007D576C"/>
    <w:rsid w:val="0098601C"/>
    <w:rsid w:val="00AE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76C"/>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F25BE5968F9243DC94B93C75B183026A">
    <w:name w:val="F25BE5968F9243DC94B93C75B183026A"/>
    <w:rsid w:val="007D57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4CB67390</Template>
  <TotalTime>0</TotalTime>
  <Pages>31</Pages>
  <Words>7868</Words>
  <Characters>44848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2020-03-13T10:53:00Z</dcterms:created>
  <dcterms:modified xsi:type="dcterms:W3CDTF">2020-03-13T17:19:00Z</dcterms:modified>
</cp:coreProperties>
</file>