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6C6B43FC" w14:textId="2F3EF7E2" w:rsidR="00482C01" w:rsidRDefault="009B0E59" w:rsidP="00482C01">
      <w:pPr>
        <w:jc w:val="center"/>
        <w:rPr>
          <w:rFonts w:ascii="Arial" w:hAnsi="Arial" w:cs="Arial"/>
          <w:b/>
          <w:sz w:val="32"/>
          <w:szCs w:val="32"/>
        </w:rPr>
      </w:pPr>
      <w:r>
        <w:rPr>
          <w:rFonts w:ascii="Arial" w:hAnsi="Arial" w:cs="Arial"/>
          <w:b/>
          <w:sz w:val="32"/>
          <w:szCs w:val="32"/>
        </w:rPr>
        <w:t>NICE indicator v</w:t>
      </w:r>
      <w:r w:rsidR="00192B09">
        <w:rPr>
          <w:rFonts w:ascii="Arial" w:hAnsi="Arial" w:cs="Arial"/>
          <w:b/>
          <w:sz w:val="32"/>
          <w:szCs w:val="32"/>
        </w:rPr>
        <w:t>alidity assessment</w:t>
      </w:r>
    </w:p>
    <w:p w14:paraId="6A1C1341" w14:textId="77777777" w:rsidR="00482C01" w:rsidRDefault="00482C01" w:rsidP="00482C01">
      <w:pPr>
        <w:jc w:val="center"/>
        <w:rPr>
          <w:rFonts w:ascii="Arial" w:hAnsi="Arial" w:cs="Arial"/>
          <w:b/>
          <w:sz w:val="32"/>
          <w:szCs w:val="32"/>
        </w:rPr>
      </w:pPr>
    </w:p>
    <w:p w14:paraId="688C4186" w14:textId="77777777" w:rsidR="00641868" w:rsidRPr="000A4D29" w:rsidRDefault="00641868" w:rsidP="00641868">
      <w:pPr>
        <w:pStyle w:val="Heading1"/>
        <w:rPr>
          <w:b w:val="0"/>
          <w:bCs w:val="0"/>
          <w:sz w:val="24"/>
          <w:szCs w:val="24"/>
          <w:lang w:eastAsia="en-GB"/>
        </w:rPr>
      </w:pPr>
      <w:r w:rsidRPr="000A4D29">
        <w:rPr>
          <w:b w:val="0"/>
          <w:bCs w:val="0"/>
          <w:sz w:val="24"/>
          <w:szCs w:val="24"/>
          <w:lang w:eastAsia="en-GB"/>
        </w:rPr>
        <w:t xml:space="preserve">Assurance date: </w:t>
      </w:r>
      <w:r>
        <w:rPr>
          <w:b w:val="0"/>
          <w:bCs w:val="0"/>
          <w:sz w:val="24"/>
          <w:szCs w:val="24"/>
          <w:lang w:eastAsia="en-GB"/>
        </w:rPr>
        <w:t>March 2022</w:t>
      </w:r>
    </w:p>
    <w:p w14:paraId="67BA91F6" w14:textId="77777777" w:rsidR="00641868" w:rsidRPr="000A4D29" w:rsidRDefault="00641868" w:rsidP="00641868">
      <w:pPr>
        <w:pStyle w:val="Heading1"/>
        <w:rPr>
          <w:b w:val="0"/>
          <w:bCs w:val="0"/>
          <w:sz w:val="24"/>
          <w:szCs w:val="24"/>
          <w:lang w:eastAsia="en-GB"/>
        </w:rPr>
      </w:pPr>
      <w:r w:rsidRPr="000A4D29">
        <w:rPr>
          <w:b w:val="0"/>
          <w:bCs w:val="0"/>
          <w:sz w:val="24"/>
          <w:szCs w:val="24"/>
          <w:lang w:eastAsia="en-GB"/>
        </w:rPr>
        <w:t xml:space="preserve">Review date: </w:t>
      </w:r>
      <w:r>
        <w:rPr>
          <w:b w:val="0"/>
          <w:bCs w:val="0"/>
          <w:sz w:val="24"/>
          <w:szCs w:val="24"/>
          <w:lang w:eastAsia="en-GB"/>
        </w:rPr>
        <w:t>March 2023</w:t>
      </w:r>
    </w:p>
    <w:p w14:paraId="047E7BC9" w14:textId="02782E1A" w:rsidR="009B0E59" w:rsidRPr="009B0E59" w:rsidRDefault="009B0E59" w:rsidP="009B0E59">
      <w:pPr>
        <w:pStyle w:val="Heading1"/>
        <w:rPr>
          <w:lang w:eastAsia="en-GB"/>
        </w:rPr>
      </w:pPr>
      <w:r w:rsidRPr="009B0E59">
        <w:rPr>
          <w:lang w:eastAsia="en-GB"/>
        </w:rPr>
        <w:t xml:space="preserve">Indicator </w:t>
      </w:r>
      <w:r w:rsidR="00FF79D5">
        <w:rPr>
          <w:lang w:eastAsia="en-GB"/>
        </w:rPr>
        <w:t>IAP00</w:t>
      </w:r>
      <w:r w:rsidR="003F385F">
        <w:rPr>
          <w:lang w:eastAsia="en-GB"/>
        </w:rPr>
        <w:t>4</w:t>
      </w:r>
      <w:r w:rsidR="003121FE">
        <w:rPr>
          <w:lang w:eastAsia="en-GB"/>
        </w:rPr>
        <w:t>30</w:t>
      </w:r>
    </w:p>
    <w:p w14:paraId="0500D40F" w14:textId="48AB05AB" w:rsidR="003F385F" w:rsidRDefault="003121FE" w:rsidP="009B0E59">
      <w:pPr>
        <w:pStyle w:val="Heading1"/>
        <w:rPr>
          <w:b w:val="0"/>
          <w:bCs w:val="0"/>
          <w:kern w:val="0"/>
          <w:sz w:val="24"/>
          <w:szCs w:val="24"/>
          <w:lang w:eastAsia="en-GB"/>
        </w:rPr>
      </w:pPr>
      <w:r>
        <w:rPr>
          <w:b w:val="0"/>
          <w:bCs w:val="0"/>
          <w:kern w:val="0"/>
          <w:sz w:val="24"/>
          <w:szCs w:val="24"/>
          <w:lang w:eastAsia="en-GB"/>
        </w:rPr>
        <w:t>Completion</w:t>
      </w:r>
      <w:r w:rsidR="003F385F" w:rsidRPr="003F385F">
        <w:rPr>
          <w:b w:val="0"/>
          <w:bCs w:val="0"/>
          <w:kern w:val="0"/>
          <w:sz w:val="24"/>
          <w:szCs w:val="24"/>
          <w:lang w:eastAsia="en-GB"/>
        </w:rPr>
        <w:t xml:space="preserve"> </w:t>
      </w:r>
      <w:r>
        <w:rPr>
          <w:b w:val="0"/>
          <w:bCs w:val="0"/>
          <w:kern w:val="0"/>
          <w:sz w:val="24"/>
          <w:szCs w:val="24"/>
          <w:lang w:eastAsia="en-GB"/>
        </w:rPr>
        <w:t>of</w:t>
      </w:r>
      <w:r w:rsidR="003F385F" w:rsidRPr="003F385F">
        <w:rPr>
          <w:b w:val="0"/>
          <w:bCs w:val="0"/>
          <w:kern w:val="0"/>
          <w:sz w:val="24"/>
          <w:szCs w:val="24"/>
          <w:lang w:eastAsia="en-GB"/>
        </w:rPr>
        <w:t xml:space="preserve"> cardiac rehabilitation following an admission for coronary heart disease</w:t>
      </w:r>
    </w:p>
    <w:p w14:paraId="7C25BFBC" w14:textId="2B58B412" w:rsidR="007136A7" w:rsidRDefault="00192B09" w:rsidP="009B0E59">
      <w:pPr>
        <w:pStyle w:val="Heading1"/>
      </w:pPr>
      <w:r>
        <w:t xml:space="preserve">Validity assessment </w:t>
      </w:r>
    </w:p>
    <w:tbl>
      <w:tblPr>
        <w:tblStyle w:val="TableGrid1"/>
        <w:tblW w:w="0" w:type="auto"/>
        <w:tblLook w:val="04A0" w:firstRow="1" w:lastRow="0" w:firstColumn="1" w:lastColumn="0" w:noHBand="0" w:noVBand="1"/>
      </w:tblPr>
      <w:tblGrid>
        <w:gridCol w:w="1878"/>
        <w:gridCol w:w="4092"/>
        <w:gridCol w:w="3047"/>
      </w:tblGrid>
      <w:tr w:rsidR="00455B14" w:rsidRPr="006E1387" w14:paraId="0815D160" w14:textId="1327D684" w:rsidTr="00455B14">
        <w:tc>
          <w:tcPr>
            <w:tcW w:w="1878" w:type="dxa"/>
          </w:tcPr>
          <w:p w14:paraId="04AA61DA" w14:textId="77777777"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Domain</w:t>
            </w:r>
          </w:p>
        </w:tc>
        <w:tc>
          <w:tcPr>
            <w:tcW w:w="4092" w:type="dxa"/>
          </w:tcPr>
          <w:p w14:paraId="177895C1" w14:textId="194D65D4" w:rsidR="00455B14" w:rsidRPr="006E1387" w:rsidRDefault="009B5C5F" w:rsidP="00F100EB">
            <w:pPr>
              <w:spacing w:before="120" w:after="120"/>
              <w:rPr>
                <w:rFonts w:ascii="Arial" w:hAnsi="Arial" w:cs="Arial"/>
                <w:b/>
                <w:sz w:val="22"/>
                <w:szCs w:val="22"/>
              </w:rPr>
            </w:pPr>
            <w:r w:rsidRPr="006E1387">
              <w:rPr>
                <w:rFonts w:ascii="Arial" w:hAnsi="Arial" w:cs="Arial"/>
                <w:b/>
                <w:sz w:val="22"/>
                <w:szCs w:val="22"/>
              </w:rPr>
              <w:t>Notes</w:t>
            </w:r>
            <w:r w:rsidR="00455B14" w:rsidRPr="006E1387">
              <w:rPr>
                <w:rFonts w:ascii="Arial" w:hAnsi="Arial" w:cs="Arial"/>
                <w:b/>
                <w:sz w:val="22"/>
                <w:szCs w:val="22"/>
              </w:rPr>
              <w:t xml:space="preserve"> </w:t>
            </w:r>
          </w:p>
        </w:tc>
        <w:tc>
          <w:tcPr>
            <w:tcW w:w="3047" w:type="dxa"/>
          </w:tcPr>
          <w:p w14:paraId="7A5D48DC" w14:textId="7C82261F"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Assessment</w:t>
            </w:r>
          </w:p>
        </w:tc>
      </w:tr>
      <w:tr w:rsidR="00455B14" w:rsidRPr="006E1387" w14:paraId="3708A997" w14:textId="67C127FD" w:rsidTr="00455B14">
        <w:tc>
          <w:tcPr>
            <w:tcW w:w="1878" w:type="dxa"/>
          </w:tcPr>
          <w:p w14:paraId="480E158F"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Importance</w:t>
            </w:r>
          </w:p>
        </w:tc>
        <w:tc>
          <w:tcPr>
            <w:tcW w:w="4092" w:type="dxa"/>
          </w:tcPr>
          <w:p w14:paraId="00803C67" w14:textId="01B103AE" w:rsidR="00333A96" w:rsidRDefault="00333A96" w:rsidP="00333A96">
            <w:pPr>
              <w:spacing w:before="120" w:after="120"/>
              <w:rPr>
                <w:rFonts w:ascii="Arial" w:hAnsi="Arial" w:cs="Arial"/>
                <w:sz w:val="22"/>
                <w:szCs w:val="22"/>
              </w:rPr>
            </w:pPr>
            <w:r>
              <w:rPr>
                <w:rFonts w:ascii="Arial" w:hAnsi="Arial" w:cs="Arial"/>
                <w:sz w:val="22"/>
                <w:szCs w:val="22"/>
              </w:rPr>
              <w:t xml:space="preserve">Indicator is part of the </w:t>
            </w:r>
            <w:r w:rsidR="00F20712">
              <w:rPr>
                <w:rFonts w:ascii="Arial" w:hAnsi="Arial" w:cs="Arial"/>
                <w:sz w:val="22"/>
                <w:szCs w:val="22"/>
              </w:rPr>
              <w:t>CCG</w:t>
            </w:r>
            <w:r w:rsidR="006A6B79">
              <w:rPr>
                <w:rFonts w:ascii="Arial" w:hAnsi="Arial" w:cs="Arial"/>
                <w:sz w:val="22"/>
                <w:szCs w:val="22"/>
              </w:rPr>
              <w:t xml:space="preserve"> outcomes </w:t>
            </w:r>
            <w:r w:rsidR="00F20712">
              <w:rPr>
                <w:rFonts w:ascii="Arial" w:hAnsi="Arial" w:cs="Arial"/>
                <w:sz w:val="22"/>
                <w:szCs w:val="22"/>
              </w:rPr>
              <w:t>indicator set</w:t>
            </w:r>
            <w:r w:rsidR="00402BFB">
              <w:rPr>
                <w:rFonts w:ascii="Arial" w:hAnsi="Arial" w:cs="Arial"/>
                <w:sz w:val="22"/>
                <w:szCs w:val="22"/>
              </w:rPr>
              <w:t xml:space="preserve"> </w:t>
            </w:r>
            <w:r w:rsidR="00F75B77">
              <w:rPr>
                <w:rFonts w:ascii="Arial" w:hAnsi="Arial" w:cs="Arial"/>
                <w:sz w:val="22"/>
                <w:szCs w:val="22"/>
              </w:rPr>
              <w:t xml:space="preserve">domain </w:t>
            </w:r>
            <w:r w:rsidR="00F20712">
              <w:rPr>
                <w:rFonts w:ascii="Arial" w:hAnsi="Arial" w:cs="Arial"/>
                <w:sz w:val="22"/>
                <w:szCs w:val="22"/>
              </w:rPr>
              <w:t>1</w:t>
            </w:r>
            <w:r w:rsidR="00F75B77">
              <w:rPr>
                <w:rFonts w:ascii="Arial" w:hAnsi="Arial" w:cs="Arial"/>
                <w:sz w:val="22"/>
                <w:szCs w:val="22"/>
              </w:rPr>
              <w:t xml:space="preserve"> – </w:t>
            </w:r>
            <w:r w:rsidR="00F20712" w:rsidRPr="00F20712">
              <w:rPr>
                <w:rFonts w:ascii="Arial" w:hAnsi="Arial" w:cs="Arial"/>
                <w:sz w:val="22"/>
                <w:szCs w:val="22"/>
              </w:rPr>
              <w:t>Preventing people from dying prematurely</w:t>
            </w:r>
            <w:r w:rsidR="00402BFB">
              <w:rPr>
                <w:rFonts w:ascii="Arial" w:hAnsi="Arial" w:cs="Arial"/>
                <w:sz w:val="22"/>
                <w:szCs w:val="22"/>
              </w:rPr>
              <w:t>.</w:t>
            </w:r>
          </w:p>
          <w:p w14:paraId="6A0AAFD7" w14:textId="1DC7AA6E" w:rsidR="00645411" w:rsidRPr="006E1387" w:rsidRDefault="00011892" w:rsidP="00284539">
            <w:pPr>
              <w:spacing w:before="120" w:after="120"/>
              <w:rPr>
                <w:rFonts w:ascii="Arial" w:hAnsi="Arial" w:cs="Arial"/>
                <w:sz w:val="22"/>
                <w:szCs w:val="22"/>
              </w:rPr>
            </w:pPr>
            <w:r>
              <w:rPr>
                <w:rFonts w:ascii="Arial" w:hAnsi="Arial" w:cs="Arial"/>
                <w:sz w:val="22"/>
                <w:szCs w:val="22"/>
              </w:rPr>
              <w:t xml:space="preserve">This indicator </w:t>
            </w:r>
            <w:r w:rsidR="00F8003F">
              <w:rPr>
                <w:rFonts w:ascii="Arial" w:hAnsi="Arial" w:cs="Arial"/>
                <w:sz w:val="22"/>
                <w:szCs w:val="22"/>
              </w:rPr>
              <w:t xml:space="preserve">had data published </w:t>
            </w:r>
            <w:r w:rsidR="00D729D1">
              <w:rPr>
                <w:rFonts w:ascii="Arial" w:hAnsi="Arial" w:cs="Arial"/>
                <w:sz w:val="22"/>
                <w:szCs w:val="22"/>
              </w:rPr>
              <w:t>from 2011/12 to 201</w:t>
            </w:r>
            <w:r w:rsidR="003121FE">
              <w:rPr>
                <w:rFonts w:ascii="Arial" w:hAnsi="Arial" w:cs="Arial"/>
                <w:sz w:val="22"/>
                <w:szCs w:val="22"/>
              </w:rPr>
              <w:t>3</w:t>
            </w:r>
            <w:r w:rsidR="00D729D1">
              <w:rPr>
                <w:rFonts w:ascii="Arial" w:hAnsi="Arial" w:cs="Arial"/>
                <w:sz w:val="22"/>
                <w:szCs w:val="22"/>
              </w:rPr>
              <w:t>/1</w:t>
            </w:r>
            <w:r w:rsidR="003121FE">
              <w:rPr>
                <w:rFonts w:ascii="Arial" w:hAnsi="Arial" w:cs="Arial"/>
                <w:sz w:val="22"/>
                <w:szCs w:val="22"/>
              </w:rPr>
              <w:t>4</w:t>
            </w:r>
            <w:r w:rsidR="00D729D1">
              <w:rPr>
                <w:rFonts w:ascii="Arial" w:hAnsi="Arial" w:cs="Arial"/>
                <w:sz w:val="22"/>
                <w:szCs w:val="22"/>
              </w:rPr>
              <w:t xml:space="preserve">, with the national percentage </w:t>
            </w:r>
            <w:r w:rsidR="003121FE">
              <w:rPr>
                <w:rFonts w:ascii="Arial" w:hAnsi="Arial" w:cs="Arial"/>
                <w:sz w:val="22"/>
                <w:szCs w:val="22"/>
              </w:rPr>
              <w:t>increasing</w:t>
            </w:r>
            <w:r w:rsidR="00D729D1">
              <w:rPr>
                <w:rFonts w:ascii="Arial" w:hAnsi="Arial" w:cs="Arial"/>
                <w:sz w:val="22"/>
                <w:szCs w:val="22"/>
              </w:rPr>
              <w:t xml:space="preserve"> from </w:t>
            </w:r>
            <w:r w:rsidR="003121FE">
              <w:rPr>
                <w:rFonts w:ascii="Arial" w:hAnsi="Arial" w:cs="Arial"/>
                <w:sz w:val="22"/>
                <w:szCs w:val="22"/>
              </w:rPr>
              <w:t>32</w:t>
            </w:r>
            <w:r w:rsidR="00D729D1">
              <w:rPr>
                <w:rFonts w:ascii="Arial" w:hAnsi="Arial" w:cs="Arial"/>
                <w:sz w:val="22"/>
                <w:szCs w:val="22"/>
              </w:rPr>
              <w:t>.</w:t>
            </w:r>
            <w:r w:rsidR="003121FE">
              <w:rPr>
                <w:rFonts w:ascii="Arial" w:hAnsi="Arial" w:cs="Arial"/>
                <w:sz w:val="22"/>
                <w:szCs w:val="22"/>
              </w:rPr>
              <w:t>3</w:t>
            </w:r>
            <w:r w:rsidR="00D729D1">
              <w:rPr>
                <w:rFonts w:ascii="Arial" w:hAnsi="Arial" w:cs="Arial"/>
                <w:sz w:val="22"/>
                <w:szCs w:val="22"/>
              </w:rPr>
              <w:t xml:space="preserve">% to </w:t>
            </w:r>
            <w:r w:rsidR="003121FE">
              <w:rPr>
                <w:rFonts w:ascii="Arial" w:hAnsi="Arial" w:cs="Arial"/>
                <w:sz w:val="22"/>
                <w:szCs w:val="22"/>
              </w:rPr>
              <w:t>38.0</w:t>
            </w:r>
            <w:r w:rsidR="00D729D1">
              <w:rPr>
                <w:rFonts w:ascii="Arial" w:hAnsi="Arial" w:cs="Arial"/>
                <w:sz w:val="22"/>
                <w:szCs w:val="22"/>
              </w:rPr>
              <w:t>%</w:t>
            </w:r>
            <w:r w:rsidR="00F8003F">
              <w:rPr>
                <w:rFonts w:ascii="Arial" w:hAnsi="Arial" w:cs="Arial"/>
                <w:sz w:val="22"/>
                <w:szCs w:val="22"/>
              </w:rPr>
              <w:t xml:space="preserve">. In the latest year this varied from </w:t>
            </w:r>
            <w:r w:rsidR="00D729D1">
              <w:rPr>
                <w:rFonts w:ascii="Arial" w:hAnsi="Arial" w:cs="Arial"/>
                <w:sz w:val="22"/>
                <w:szCs w:val="22"/>
              </w:rPr>
              <w:t>0</w:t>
            </w:r>
            <w:r w:rsidR="00F8003F">
              <w:rPr>
                <w:rFonts w:ascii="Arial" w:hAnsi="Arial" w:cs="Arial"/>
                <w:sz w:val="22"/>
                <w:szCs w:val="22"/>
              </w:rPr>
              <w:t xml:space="preserve">% to </w:t>
            </w:r>
            <w:r w:rsidR="003121FE">
              <w:rPr>
                <w:rFonts w:ascii="Arial" w:hAnsi="Arial" w:cs="Arial"/>
                <w:sz w:val="22"/>
                <w:szCs w:val="22"/>
              </w:rPr>
              <w:t>75</w:t>
            </w:r>
            <w:r w:rsidR="00D729D1">
              <w:rPr>
                <w:rFonts w:ascii="Arial" w:hAnsi="Arial" w:cs="Arial"/>
                <w:sz w:val="22"/>
                <w:szCs w:val="22"/>
              </w:rPr>
              <w:t>.</w:t>
            </w:r>
            <w:r w:rsidR="003121FE">
              <w:rPr>
                <w:rFonts w:ascii="Arial" w:hAnsi="Arial" w:cs="Arial"/>
                <w:sz w:val="22"/>
                <w:szCs w:val="22"/>
              </w:rPr>
              <w:t>4</w:t>
            </w:r>
            <w:r w:rsidR="00F8003F">
              <w:rPr>
                <w:rFonts w:ascii="Arial" w:hAnsi="Arial" w:cs="Arial"/>
                <w:sz w:val="22"/>
                <w:szCs w:val="22"/>
              </w:rPr>
              <w:t>% across CCGs in England.</w:t>
            </w:r>
          </w:p>
        </w:tc>
        <w:tc>
          <w:tcPr>
            <w:tcW w:w="3047" w:type="dxa"/>
          </w:tcPr>
          <w:p w14:paraId="34B49690" w14:textId="1389F426" w:rsidR="00E05AB5" w:rsidRDefault="00E05AB5" w:rsidP="00C41156">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Indicator is based </w:t>
            </w:r>
            <w:r w:rsidR="005B620E">
              <w:rPr>
                <w:rFonts w:eastAsiaTheme="minorEastAsia" w:cs="Arial"/>
                <w:color w:val="000000" w:themeColor="dark1"/>
                <w:kern w:val="24"/>
                <w:sz w:val="22"/>
                <w:szCs w:val="22"/>
              </w:rPr>
              <w:t>on</w:t>
            </w:r>
            <w:r w:rsidR="00220702">
              <w:rPr>
                <w:rFonts w:eastAsiaTheme="minorEastAsia" w:cs="Arial"/>
                <w:color w:val="000000" w:themeColor="dark1"/>
                <w:kern w:val="24"/>
                <w:sz w:val="22"/>
                <w:szCs w:val="22"/>
              </w:rPr>
              <w:t xml:space="preserve"> a recogni</w:t>
            </w:r>
            <w:r w:rsidR="00A27390">
              <w:rPr>
                <w:rFonts w:eastAsiaTheme="minorEastAsia" w:cs="Arial"/>
                <w:color w:val="000000" w:themeColor="dark1"/>
                <w:kern w:val="24"/>
                <w:sz w:val="22"/>
                <w:szCs w:val="22"/>
              </w:rPr>
              <w:t>s</w:t>
            </w:r>
            <w:r w:rsidR="00220702">
              <w:rPr>
                <w:rFonts w:eastAsiaTheme="minorEastAsia" w:cs="Arial"/>
                <w:color w:val="000000" w:themeColor="dark1"/>
                <w:kern w:val="24"/>
                <w:sz w:val="22"/>
                <w:szCs w:val="22"/>
              </w:rPr>
              <w:t>ed dataset</w:t>
            </w:r>
            <w:r w:rsidR="006A6B79">
              <w:rPr>
                <w:rFonts w:eastAsiaTheme="minorEastAsia" w:cs="Arial"/>
                <w:color w:val="000000" w:themeColor="dark1"/>
                <w:kern w:val="24"/>
                <w:sz w:val="22"/>
                <w:szCs w:val="22"/>
              </w:rPr>
              <w:t>.</w:t>
            </w:r>
          </w:p>
          <w:p w14:paraId="78280FB7" w14:textId="47BED096" w:rsidR="00E05AB5" w:rsidRPr="006E1387" w:rsidRDefault="00F8003F" w:rsidP="00EC7278">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In the period published </w:t>
            </w:r>
            <w:r w:rsidR="00D729D1">
              <w:rPr>
                <w:rFonts w:eastAsiaTheme="minorEastAsia" w:cs="Arial"/>
                <w:color w:val="000000" w:themeColor="dark1"/>
                <w:kern w:val="24"/>
                <w:sz w:val="22"/>
                <w:szCs w:val="22"/>
              </w:rPr>
              <w:t xml:space="preserve">the national indicator value had </w:t>
            </w:r>
            <w:r w:rsidR="003121FE">
              <w:rPr>
                <w:rFonts w:eastAsiaTheme="minorEastAsia" w:cs="Arial"/>
                <w:color w:val="000000" w:themeColor="dark1"/>
                <w:kern w:val="24"/>
                <w:sz w:val="22"/>
                <w:szCs w:val="22"/>
              </w:rPr>
              <w:t>increased</w:t>
            </w:r>
            <w:r w:rsidR="00D729D1">
              <w:rPr>
                <w:rFonts w:eastAsiaTheme="minorEastAsia" w:cs="Arial"/>
                <w:color w:val="000000" w:themeColor="dark1"/>
                <w:kern w:val="24"/>
                <w:sz w:val="22"/>
                <w:szCs w:val="22"/>
              </w:rPr>
              <w:t xml:space="preserve"> </w:t>
            </w:r>
            <w:r w:rsidR="003121FE">
              <w:rPr>
                <w:rFonts w:eastAsiaTheme="minorEastAsia" w:cs="Arial"/>
                <w:color w:val="000000" w:themeColor="dark1"/>
                <w:kern w:val="24"/>
                <w:sz w:val="22"/>
                <w:szCs w:val="22"/>
              </w:rPr>
              <w:t>over time</w:t>
            </w:r>
            <w:r>
              <w:rPr>
                <w:rFonts w:eastAsiaTheme="minorEastAsia" w:cs="Arial"/>
                <w:color w:val="000000" w:themeColor="dark1"/>
                <w:kern w:val="24"/>
                <w:sz w:val="22"/>
                <w:szCs w:val="22"/>
              </w:rPr>
              <w:t>.</w:t>
            </w:r>
          </w:p>
        </w:tc>
      </w:tr>
      <w:tr w:rsidR="00455B14" w:rsidRPr="006E1387" w14:paraId="77F6A4A2" w14:textId="33EFD485" w:rsidTr="00455B14">
        <w:tc>
          <w:tcPr>
            <w:tcW w:w="1878" w:type="dxa"/>
          </w:tcPr>
          <w:p w14:paraId="6AF47F4B"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Evidence base</w:t>
            </w:r>
          </w:p>
        </w:tc>
        <w:tc>
          <w:tcPr>
            <w:tcW w:w="4092" w:type="dxa"/>
          </w:tcPr>
          <w:p w14:paraId="67D19D99" w14:textId="1EAEC52D" w:rsidR="0019550C" w:rsidRDefault="0019550C" w:rsidP="005F3926">
            <w:pPr>
              <w:spacing w:before="120" w:after="120"/>
              <w:rPr>
                <w:rFonts w:ascii="Arial" w:hAnsi="Arial" w:cs="Arial"/>
                <w:sz w:val="22"/>
                <w:szCs w:val="22"/>
              </w:rPr>
            </w:pPr>
            <w:r>
              <w:rPr>
                <w:rFonts w:ascii="Arial" w:hAnsi="Arial" w:cs="Arial"/>
                <w:sz w:val="22"/>
                <w:szCs w:val="22"/>
              </w:rPr>
              <w:t xml:space="preserve">From indicator </w:t>
            </w:r>
            <w:r w:rsidR="00521D6D">
              <w:rPr>
                <w:rFonts w:ascii="Arial" w:hAnsi="Arial" w:cs="Arial"/>
                <w:sz w:val="22"/>
                <w:szCs w:val="22"/>
              </w:rPr>
              <w:t>quality statement</w:t>
            </w:r>
            <w:r w:rsidR="00521D6D">
              <w:rPr>
                <w:rStyle w:val="FootnoteReference"/>
                <w:rFonts w:ascii="Arial" w:hAnsi="Arial" w:cs="Arial"/>
                <w:sz w:val="22"/>
                <w:szCs w:val="22"/>
              </w:rPr>
              <w:footnoteReference w:id="1"/>
            </w:r>
            <w:r w:rsidR="00521D6D">
              <w:rPr>
                <w:rFonts w:ascii="Arial" w:hAnsi="Arial" w:cs="Arial"/>
                <w:sz w:val="22"/>
                <w:szCs w:val="22"/>
              </w:rPr>
              <w:t>:</w:t>
            </w:r>
          </w:p>
          <w:p w14:paraId="3A17F9E5" w14:textId="3D09F6D6" w:rsidR="003121FE" w:rsidRPr="003121FE" w:rsidRDefault="0019550C" w:rsidP="003121FE">
            <w:pPr>
              <w:spacing w:before="120" w:after="120"/>
              <w:rPr>
                <w:rFonts w:ascii="Arial" w:hAnsi="Arial" w:cs="Arial"/>
                <w:sz w:val="22"/>
                <w:szCs w:val="22"/>
              </w:rPr>
            </w:pPr>
            <w:r>
              <w:rPr>
                <w:rFonts w:ascii="Arial" w:hAnsi="Arial" w:cs="Arial"/>
                <w:sz w:val="22"/>
                <w:szCs w:val="22"/>
              </w:rPr>
              <w:t>“</w:t>
            </w:r>
            <w:r w:rsidR="003121FE" w:rsidRPr="003121FE">
              <w:rPr>
                <w:rFonts w:ascii="Arial" w:hAnsi="Arial" w:cs="Arial"/>
                <w:sz w:val="22"/>
                <w:szCs w:val="22"/>
              </w:rPr>
              <w:t>This indicator forms part of Domain 1 - Preventing people from dying prematurely and is intended to act as a proxy for the overall management of people with coronary heart disease. Cardiac rehabilitation supports long-term quality of life and survival for people with coronary heart disease, mortality, readmissions, and the cost of care hav</w:t>
            </w:r>
            <w:r w:rsidR="003121FE">
              <w:rPr>
                <w:rFonts w:ascii="Arial" w:hAnsi="Arial" w:cs="Arial"/>
                <w:sz w:val="22"/>
                <w:szCs w:val="22"/>
              </w:rPr>
              <w:t>e</w:t>
            </w:r>
            <w:r w:rsidR="003121FE" w:rsidRPr="003121FE">
              <w:rPr>
                <w:rFonts w:ascii="Arial" w:hAnsi="Arial" w:cs="Arial"/>
                <w:sz w:val="22"/>
                <w:szCs w:val="22"/>
              </w:rPr>
              <w:t xml:space="preserve"> been shown to be reduced as a result of people attending cardiac rehabilitation sessions.</w:t>
            </w:r>
          </w:p>
          <w:p w14:paraId="44DA8D13" w14:textId="77777777" w:rsidR="003121FE" w:rsidRPr="003121FE" w:rsidRDefault="003121FE" w:rsidP="003121FE">
            <w:pPr>
              <w:spacing w:before="120" w:after="120"/>
              <w:rPr>
                <w:rFonts w:ascii="Arial" w:hAnsi="Arial" w:cs="Arial"/>
                <w:sz w:val="22"/>
                <w:szCs w:val="22"/>
              </w:rPr>
            </w:pPr>
            <w:r w:rsidRPr="003121FE">
              <w:rPr>
                <w:rFonts w:ascii="Arial" w:hAnsi="Arial" w:cs="Arial"/>
                <w:sz w:val="22"/>
                <w:szCs w:val="22"/>
              </w:rPr>
              <w:lastRenderedPageBreak/>
              <w:t>How actionable is the indicator?</w:t>
            </w:r>
          </w:p>
          <w:p w14:paraId="27B4EF8C" w14:textId="77777777" w:rsidR="003121FE" w:rsidRPr="003121FE" w:rsidRDefault="003121FE" w:rsidP="003121FE">
            <w:pPr>
              <w:spacing w:before="120" w:after="120"/>
              <w:rPr>
                <w:rFonts w:ascii="Arial" w:hAnsi="Arial" w:cs="Arial"/>
                <w:sz w:val="22"/>
                <w:szCs w:val="22"/>
              </w:rPr>
            </w:pPr>
            <w:r w:rsidRPr="003121FE">
              <w:rPr>
                <w:rFonts w:ascii="Arial" w:hAnsi="Arial" w:cs="Arial"/>
                <w:sz w:val="22"/>
                <w:szCs w:val="22"/>
              </w:rPr>
              <w:t>CCGs can use this indicator to assess the provision of cardiac rehabilitation services. Outcomes can be influenced by ensuring that cardiac rehabilitation services are available locally to an appropriate capacity and by setting out and advertising the role</w:t>
            </w:r>
            <w:r>
              <w:rPr>
                <w:rFonts w:ascii="Arial" w:hAnsi="Arial" w:cs="Arial"/>
                <w:sz w:val="22"/>
                <w:szCs w:val="22"/>
              </w:rPr>
              <w:t xml:space="preserve"> </w:t>
            </w:r>
            <w:r w:rsidRPr="003121FE">
              <w:rPr>
                <w:rFonts w:ascii="Arial" w:hAnsi="Arial" w:cs="Arial"/>
                <w:sz w:val="22"/>
                <w:szCs w:val="22"/>
              </w:rPr>
              <w:t>of such services within the overall cardiac pathway which has been commissioned.</w:t>
            </w:r>
          </w:p>
          <w:p w14:paraId="46FD2163" w14:textId="0961D689" w:rsidR="005F3926" w:rsidRPr="006E1387" w:rsidRDefault="003121FE" w:rsidP="003121FE">
            <w:pPr>
              <w:spacing w:before="120" w:after="120"/>
              <w:rPr>
                <w:rFonts w:ascii="Arial" w:hAnsi="Arial" w:cs="Arial"/>
                <w:sz w:val="22"/>
                <w:szCs w:val="22"/>
              </w:rPr>
            </w:pPr>
            <w:r w:rsidRPr="003121FE">
              <w:rPr>
                <w:rFonts w:ascii="Arial" w:hAnsi="Arial" w:cs="Arial"/>
                <w:sz w:val="22"/>
                <w:szCs w:val="22"/>
              </w:rPr>
              <w:t>Where the proportion of completion of core delivery of cardiac rehabilitation is low compared to the number of referrals, CCGs could take action to identify and address the causes of this.</w:t>
            </w:r>
            <w:r w:rsidR="0019550C" w:rsidRPr="0019550C">
              <w:rPr>
                <w:rFonts w:ascii="Arial" w:hAnsi="Arial" w:cs="Arial"/>
                <w:sz w:val="22"/>
                <w:szCs w:val="22"/>
              </w:rPr>
              <w:t>”</w:t>
            </w:r>
          </w:p>
        </w:tc>
        <w:tc>
          <w:tcPr>
            <w:tcW w:w="3047" w:type="dxa"/>
          </w:tcPr>
          <w:p w14:paraId="12B8C1AB" w14:textId="4D66E045" w:rsidR="00E05AB5" w:rsidRPr="006E1387" w:rsidRDefault="00187006" w:rsidP="00AE6604">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lastRenderedPageBreak/>
              <w:t xml:space="preserve">Evidence base exists. </w:t>
            </w:r>
            <w:r w:rsidR="00843532" w:rsidRPr="00843532">
              <w:rPr>
                <w:rFonts w:eastAsiaTheme="minorEastAsia" w:cs="Arial"/>
                <w:color w:val="000000" w:themeColor="dark1"/>
                <w:kern w:val="24"/>
                <w:sz w:val="22"/>
                <w:szCs w:val="22"/>
              </w:rPr>
              <w:t xml:space="preserve">This indicator aligns with NICE guidance on </w:t>
            </w:r>
            <w:r w:rsidR="00CE51D9">
              <w:rPr>
                <w:rFonts w:eastAsiaTheme="minorEastAsia" w:cs="Arial"/>
                <w:color w:val="000000" w:themeColor="dark1"/>
                <w:kern w:val="24"/>
                <w:sz w:val="22"/>
                <w:szCs w:val="22"/>
              </w:rPr>
              <w:t>cardiac conditions</w:t>
            </w:r>
            <w:r w:rsidR="00843532" w:rsidRPr="00843532">
              <w:rPr>
                <w:rFonts w:eastAsiaTheme="minorEastAsia" w:cs="Arial"/>
                <w:color w:val="000000" w:themeColor="dark1"/>
                <w:kern w:val="24"/>
                <w:sz w:val="22"/>
                <w:szCs w:val="22"/>
              </w:rPr>
              <w:t xml:space="preserve"> (CG</w:t>
            </w:r>
            <w:r w:rsidR="00D729D1">
              <w:rPr>
                <w:rFonts w:eastAsiaTheme="minorEastAsia" w:cs="Arial"/>
                <w:color w:val="000000" w:themeColor="dark1"/>
                <w:kern w:val="24"/>
                <w:sz w:val="22"/>
                <w:szCs w:val="22"/>
              </w:rPr>
              <w:t>185</w:t>
            </w:r>
            <w:r w:rsidR="00843532">
              <w:rPr>
                <w:rStyle w:val="FootnoteReference"/>
                <w:rFonts w:eastAsiaTheme="minorEastAsia" w:cs="Arial"/>
                <w:color w:val="000000" w:themeColor="dark1"/>
                <w:kern w:val="24"/>
                <w:sz w:val="22"/>
                <w:szCs w:val="22"/>
              </w:rPr>
              <w:footnoteReference w:id="2"/>
            </w:r>
            <w:r w:rsidR="00CE51D9">
              <w:rPr>
                <w:rFonts w:eastAsiaTheme="minorEastAsia" w:cs="Arial"/>
                <w:color w:val="000000" w:themeColor="dark1"/>
                <w:kern w:val="24"/>
                <w:sz w:val="22"/>
                <w:szCs w:val="22"/>
              </w:rPr>
              <w:t>, QS99</w:t>
            </w:r>
            <w:r w:rsidR="00CE51D9">
              <w:rPr>
                <w:rStyle w:val="FootnoteReference"/>
                <w:rFonts w:eastAsiaTheme="minorEastAsia" w:cs="Arial"/>
                <w:color w:val="000000" w:themeColor="dark1"/>
                <w:kern w:val="24"/>
                <w:sz w:val="22"/>
                <w:szCs w:val="22"/>
              </w:rPr>
              <w:footnoteReference w:id="3"/>
            </w:r>
            <w:r w:rsidR="00CE51D9">
              <w:rPr>
                <w:rFonts w:eastAsiaTheme="minorEastAsia" w:cs="Arial"/>
                <w:color w:val="000000" w:themeColor="dark1"/>
                <w:kern w:val="24"/>
                <w:sz w:val="22"/>
                <w:szCs w:val="22"/>
              </w:rPr>
              <w:t>, QS9</w:t>
            </w:r>
            <w:r w:rsidR="00CE51D9">
              <w:rPr>
                <w:rStyle w:val="FootnoteReference"/>
                <w:rFonts w:eastAsiaTheme="minorEastAsia" w:cs="Arial"/>
                <w:color w:val="000000" w:themeColor="dark1"/>
                <w:kern w:val="24"/>
                <w:sz w:val="22"/>
                <w:szCs w:val="22"/>
              </w:rPr>
              <w:footnoteReference w:id="4"/>
            </w:r>
            <w:r w:rsidR="00CE51D9">
              <w:rPr>
                <w:rFonts w:eastAsiaTheme="minorEastAsia" w:cs="Arial"/>
                <w:color w:val="000000" w:themeColor="dark1"/>
                <w:kern w:val="24"/>
                <w:sz w:val="22"/>
                <w:szCs w:val="22"/>
              </w:rPr>
              <w:t>, NG106</w:t>
            </w:r>
            <w:r w:rsidR="00CE51D9">
              <w:rPr>
                <w:rStyle w:val="FootnoteReference"/>
                <w:rFonts w:eastAsiaTheme="minorEastAsia" w:cs="Arial"/>
                <w:color w:val="000000" w:themeColor="dark1"/>
                <w:kern w:val="24"/>
                <w:sz w:val="22"/>
                <w:szCs w:val="22"/>
              </w:rPr>
              <w:footnoteReference w:id="5"/>
            </w:r>
            <w:r w:rsidR="00843532" w:rsidRPr="00843532">
              <w:rPr>
                <w:rFonts w:eastAsiaTheme="minorEastAsia" w:cs="Arial"/>
                <w:color w:val="000000" w:themeColor="dark1"/>
                <w:kern w:val="24"/>
                <w:sz w:val="22"/>
                <w:szCs w:val="22"/>
              </w:rPr>
              <w:t>).</w:t>
            </w:r>
          </w:p>
        </w:tc>
      </w:tr>
      <w:tr w:rsidR="00455B14" w:rsidRPr="006E1387" w14:paraId="3CC8FB8C" w14:textId="54EA7E4F" w:rsidTr="00455B14">
        <w:tc>
          <w:tcPr>
            <w:tcW w:w="1878" w:type="dxa"/>
          </w:tcPr>
          <w:p w14:paraId="4C16DA9B" w14:textId="563A5247"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Specification </w:t>
            </w:r>
          </w:p>
        </w:tc>
        <w:tc>
          <w:tcPr>
            <w:tcW w:w="4092" w:type="dxa"/>
          </w:tcPr>
          <w:p w14:paraId="6A03C085" w14:textId="33FE82A1" w:rsidR="00351A64" w:rsidRDefault="00F2277C" w:rsidP="00D729D1">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Numerator: </w:t>
            </w:r>
            <w:r w:rsidR="003121FE" w:rsidRPr="003121FE">
              <w:rPr>
                <w:rFonts w:ascii="Arial" w:hAnsi="Arial" w:cs="Arial"/>
                <w:color w:val="000000"/>
                <w:kern w:val="24"/>
                <w:sz w:val="22"/>
                <w:szCs w:val="22"/>
                <w:lang w:eastAsia="en-GB"/>
              </w:rPr>
              <w:t>Of the denominator, the number that complete core delivery of cardiac rehabilitation within 365 days of the start of the hospital admission</w:t>
            </w:r>
          </w:p>
          <w:p w14:paraId="20AC1F2F" w14:textId="06FB6AF2" w:rsidR="00CE51D9"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Denominator:</w:t>
            </w:r>
            <w:r w:rsidR="00402BFB">
              <w:rPr>
                <w:rFonts w:ascii="Arial" w:hAnsi="Arial" w:cs="Arial"/>
                <w:color w:val="000000"/>
                <w:kern w:val="24"/>
                <w:sz w:val="22"/>
                <w:szCs w:val="22"/>
                <w:lang w:eastAsia="en-GB"/>
              </w:rPr>
              <w:t xml:space="preserve"> </w:t>
            </w:r>
            <w:r w:rsidR="003121FE" w:rsidRPr="003121FE">
              <w:rPr>
                <w:rFonts w:ascii="Arial" w:hAnsi="Arial" w:cs="Arial"/>
                <w:color w:val="000000"/>
                <w:kern w:val="24"/>
                <w:sz w:val="22"/>
                <w:szCs w:val="22"/>
                <w:lang w:eastAsia="en-GB"/>
              </w:rPr>
              <w:t>The number of referrals to cardiac rehabilitation within 365 days of the start of a hospital admission with a primary diagnosis of acute myocardial infarction (MI)</w:t>
            </w:r>
            <w:r w:rsidR="003121FE">
              <w:rPr>
                <w:rFonts w:ascii="Arial" w:hAnsi="Arial" w:cs="Arial"/>
                <w:color w:val="000000"/>
                <w:kern w:val="24"/>
                <w:sz w:val="22"/>
                <w:szCs w:val="22"/>
                <w:lang w:eastAsia="en-GB"/>
              </w:rPr>
              <w:t xml:space="preserve"> </w:t>
            </w:r>
            <w:r w:rsidR="003121FE" w:rsidRPr="003121FE">
              <w:rPr>
                <w:rFonts w:ascii="Arial" w:hAnsi="Arial" w:cs="Arial"/>
                <w:color w:val="000000"/>
                <w:kern w:val="24"/>
                <w:sz w:val="22"/>
                <w:szCs w:val="22"/>
                <w:lang w:eastAsia="en-GB"/>
              </w:rPr>
              <w:t>or heart failure, or a main operative procedure of percutaneous coronary intervention (PCI) or coronary artery bypass graft (CABG).</w:t>
            </w:r>
          </w:p>
          <w:p w14:paraId="158FFEDA" w14:textId="71C1A0BA" w:rsidR="00F77F03" w:rsidRPr="006E1387" w:rsidRDefault="00F77F03"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Exclusions: </w:t>
            </w:r>
            <w:r w:rsidR="00CE51D9">
              <w:rPr>
                <w:rFonts w:ascii="Arial" w:hAnsi="Arial" w:cs="Arial"/>
                <w:color w:val="000000"/>
                <w:kern w:val="24"/>
                <w:sz w:val="22"/>
                <w:szCs w:val="22"/>
                <w:lang w:eastAsia="en-GB"/>
              </w:rPr>
              <w:t>None</w:t>
            </w:r>
          </w:p>
          <w:p w14:paraId="46400236" w14:textId="3CD84B87" w:rsidR="00402BFB" w:rsidRDefault="00F656C3"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Methodology: </w:t>
            </w:r>
            <w:r w:rsidR="00011892">
              <w:rPr>
                <w:rFonts w:ascii="Arial" w:hAnsi="Arial" w:cs="Arial"/>
                <w:color w:val="000000"/>
                <w:kern w:val="24"/>
                <w:sz w:val="22"/>
                <w:szCs w:val="22"/>
                <w:lang w:eastAsia="en-GB"/>
              </w:rPr>
              <w:t>Percentage</w:t>
            </w:r>
          </w:p>
          <w:p w14:paraId="241B73C2" w14:textId="4A0BAC28"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Geography:</w:t>
            </w:r>
            <w:r w:rsidR="00873503">
              <w:rPr>
                <w:rFonts w:ascii="Arial" w:hAnsi="Arial" w:cs="Arial"/>
                <w:color w:val="000000"/>
                <w:kern w:val="24"/>
                <w:sz w:val="22"/>
                <w:szCs w:val="22"/>
                <w:lang w:eastAsia="en-GB"/>
              </w:rPr>
              <w:t xml:space="preserve"> </w:t>
            </w:r>
            <w:r w:rsidR="000438E0">
              <w:rPr>
                <w:rFonts w:ascii="Arial" w:hAnsi="Arial" w:cs="Arial"/>
                <w:color w:val="000000"/>
                <w:kern w:val="24"/>
                <w:sz w:val="22"/>
                <w:szCs w:val="22"/>
                <w:lang w:eastAsia="en-GB"/>
              </w:rPr>
              <w:t>England,</w:t>
            </w:r>
            <w:r w:rsidR="00BA478F">
              <w:rPr>
                <w:rFonts w:ascii="Arial" w:hAnsi="Arial" w:cs="Arial"/>
                <w:color w:val="000000"/>
                <w:kern w:val="24"/>
                <w:sz w:val="22"/>
                <w:szCs w:val="22"/>
                <w:lang w:eastAsia="en-GB"/>
              </w:rPr>
              <w:t xml:space="preserve"> </w:t>
            </w:r>
            <w:r w:rsidR="00351A64">
              <w:rPr>
                <w:rFonts w:ascii="Arial" w:hAnsi="Arial" w:cs="Arial"/>
                <w:color w:val="000000"/>
                <w:kern w:val="24"/>
                <w:sz w:val="22"/>
                <w:szCs w:val="22"/>
                <w:lang w:eastAsia="en-GB"/>
              </w:rPr>
              <w:t>CCG</w:t>
            </w:r>
          </w:p>
          <w:p w14:paraId="5B155699" w14:textId="37C09A7F" w:rsidR="009F31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Data Source:</w:t>
            </w:r>
            <w:r w:rsidR="00873503">
              <w:rPr>
                <w:rFonts w:ascii="Arial" w:hAnsi="Arial" w:cs="Arial"/>
                <w:color w:val="000000"/>
                <w:kern w:val="24"/>
                <w:sz w:val="22"/>
                <w:szCs w:val="22"/>
                <w:lang w:eastAsia="en-GB"/>
              </w:rPr>
              <w:t xml:space="preserve"> </w:t>
            </w:r>
          </w:p>
          <w:p w14:paraId="72F3DD1D" w14:textId="6E5C869B" w:rsidR="0048105F" w:rsidRPr="0048105F" w:rsidRDefault="0048105F" w:rsidP="0048105F">
            <w:pPr>
              <w:pStyle w:val="ListParagraph"/>
              <w:numPr>
                <w:ilvl w:val="0"/>
                <w:numId w:val="41"/>
              </w:numPr>
              <w:spacing w:before="120" w:after="120"/>
              <w:rPr>
                <w:rFonts w:ascii="Arial" w:hAnsi="Arial" w:cs="Arial"/>
                <w:color w:val="000000"/>
                <w:kern w:val="24"/>
                <w:sz w:val="22"/>
                <w:szCs w:val="22"/>
                <w:lang w:eastAsia="en-GB"/>
              </w:rPr>
            </w:pPr>
            <w:r w:rsidRPr="0048105F">
              <w:rPr>
                <w:rFonts w:ascii="Arial" w:hAnsi="Arial" w:cs="Arial"/>
                <w:color w:val="000000"/>
                <w:kern w:val="24"/>
                <w:sz w:val="22"/>
                <w:szCs w:val="22"/>
                <w:lang w:eastAsia="en-GB"/>
              </w:rPr>
              <w:t>National Audit of Cardiac Rehabilitation (NACR)</w:t>
            </w:r>
          </w:p>
          <w:p w14:paraId="2D07BBAB" w14:textId="66688D7B" w:rsidR="0048105F" w:rsidRPr="0048105F" w:rsidRDefault="0048105F" w:rsidP="0048105F">
            <w:pPr>
              <w:pStyle w:val="ListParagraph"/>
              <w:numPr>
                <w:ilvl w:val="0"/>
                <w:numId w:val="41"/>
              </w:numPr>
              <w:spacing w:before="120" w:after="120"/>
              <w:rPr>
                <w:rFonts w:ascii="Arial" w:hAnsi="Arial" w:cs="Arial"/>
                <w:color w:val="000000"/>
                <w:kern w:val="24"/>
                <w:sz w:val="22"/>
                <w:szCs w:val="22"/>
                <w:lang w:eastAsia="en-GB"/>
              </w:rPr>
            </w:pPr>
            <w:r w:rsidRPr="0048105F">
              <w:rPr>
                <w:rFonts w:ascii="Arial" w:hAnsi="Arial" w:cs="Arial"/>
                <w:color w:val="000000"/>
                <w:kern w:val="24"/>
                <w:sz w:val="22"/>
                <w:szCs w:val="22"/>
                <w:lang w:eastAsia="en-GB"/>
              </w:rPr>
              <w:t>Hospital Episode Statistics (HES)</w:t>
            </w:r>
          </w:p>
          <w:p w14:paraId="134E4565" w14:textId="4D70CAA6" w:rsidR="00A54F81" w:rsidRPr="006E1387" w:rsidRDefault="00873503" w:rsidP="00EB5258">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Disclosure control:</w:t>
            </w:r>
            <w:r w:rsidR="00EB5258">
              <w:t xml:space="preserve"> </w:t>
            </w:r>
            <w:r w:rsidR="00CE51D9" w:rsidRPr="00CE51D9">
              <w:rPr>
                <w:rFonts w:ascii="Arial" w:hAnsi="Arial" w:cs="Arial"/>
                <w:color w:val="000000"/>
                <w:kern w:val="24"/>
                <w:sz w:val="22"/>
                <w:szCs w:val="22"/>
                <w:lang w:eastAsia="en-GB"/>
              </w:rPr>
              <w:t>When publishing the data, if the indicator is calculated from a numerator of 1 to 5, the value is suppressed to ensure an individual’s identity is not at risk of being disclosed. If there is only one value suppressed in this way, the rate based upon the next lowest numerator is also suppressed; this reduces the risk of the first suppressed number being identifiable in isolation.</w:t>
            </w:r>
          </w:p>
        </w:tc>
        <w:tc>
          <w:tcPr>
            <w:tcW w:w="3047" w:type="dxa"/>
          </w:tcPr>
          <w:p w14:paraId="3C3529D2" w14:textId="0B8323A7"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has defined components necessary to construct the indicator</w:t>
            </w:r>
            <w:r w:rsidR="00217BF3">
              <w:rPr>
                <w:rFonts w:ascii="Arial" w:eastAsiaTheme="minorEastAsia" w:hAnsi="Arial" w:cs="Arial"/>
                <w:color w:val="000000" w:themeColor="dark1"/>
                <w:kern w:val="24"/>
                <w:sz w:val="22"/>
                <w:szCs w:val="22"/>
              </w:rPr>
              <w:t>.</w:t>
            </w:r>
          </w:p>
          <w:p w14:paraId="42FC7796" w14:textId="5A354569" w:rsidR="00455B14" w:rsidRPr="006E1387" w:rsidRDefault="00455B14" w:rsidP="00455B14">
            <w:pPr>
              <w:spacing w:before="120" w:after="120"/>
              <w:rPr>
                <w:rFonts w:ascii="Arial" w:hAnsi="Arial" w:cs="Arial"/>
                <w:color w:val="000000"/>
                <w:kern w:val="24"/>
                <w:sz w:val="22"/>
                <w:szCs w:val="22"/>
                <w:lang w:eastAsia="en-GB"/>
              </w:rPr>
            </w:pPr>
          </w:p>
        </w:tc>
      </w:tr>
      <w:tr w:rsidR="00455B14" w:rsidRPr="006E1387" w14:paraId="23FEA25E" w14:textId="6A849BFE" w:rsidTr="00455B14">
        <w:tc>
          <w:tcPr>
            <w:tcW w:w="1878" w:type="dxa"/>
          </w:tcPr>
          <w:p w14:paraId="05670B1F" w14:textId="657854F2"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lastRenderedPageBreak/>
              <w:t xml:space="preserve">Feasibility  </w:t>
            </w:r>
          </w:p>
        </w:tc>
        <w:tc>
          <w:tcPr>
            <w:tcW w:w="4092" w:type="dxa"/>
          </w:tcPr>
          <w:p w14:paraId="6164A0BB" w14:textId="181CDF3F" w:rsidR="00F656C3" w:rsidRDefault="00F52CF4" w:rsidP="00AF27B4">
            <w:pPr>
              <w:spacing w:before="120" w:after="120"/>
              <w:rPr>
                <w:rFonts w:ascii="Arial" w:hAnsi="Arial" w:cs="Arial"/>
                <w:sz w:val="22"/>
                <w:szCs w:val="22"/>
              </w:rPr>
            </w:pPr>
            <w:r>
              <w:rPr>
                <w:rFonts w:ascii="Arial" w:hAnsi="Arial" w:cs="Arial"/>
                <w:sz w:val="22"/>
                <w:szCs w:val="22"/>
              </w:rPr>
              <w:t>All data from long running data sources</w:t>
            </w:r>
            <w:r w:rsidR="0086695C">
              <w:rPr>
                <w:rFonts w:ascii="Arial" w:hAnsi="Arial" w:cs="Arial"/>
                <w:sz w:val="22"/>
                <w:szCs w:val="22"/>
              </w:rPr>
              <w:t>.</w:t>
            </w:r>
          </w:p>
          <w:p w14:paraId="23202A2C" w14:textId="3BA5E0AD" w:rsidR="002B4762" w:rsidRPr="006E1387" w:rsidRDefault="0086695C" w:rsidP="0086695C">
            <w:pPr>
              <w:spacing w:before="120" w:after="120"/>
              <w:rPr>
                <w:rFonts w:ascii="Arial" w:hAnsi="Arial" w:cs="Arial"/>
                <w:sz w:val="22"/>
                <w:szCs w:val="22"/>
              </w:rPr>
            </w:pPr>
            <w:r w:rsidRPr="00761AB6">
              <w:rPr>
                <w:rFonts w:ascii="Arial" w:hAnsi="Arial" w:cs="Arial"/>
                <w:sz w:val="22"/>
                <w:szCs w:val="22"/>
              </w:rPr>
              <w:t xml:space="preserve">Indicator methodology is well established </w:t>
            </w:r>
            <w:r>
              <w:rPr>
                <w:rFonts w:ascii="Arial" w:hAnsi="Arial" w:cs="Arial"/>
                <w:sz w:val="22"/>
                <w:szCs w:val="22"/>
              </w:rPr>
              <w:t xml:space="preserve">and </w:t>
            </w:r>
            <w:r w:rsidRPr="001E346A">
              <w:rPr>
                <w:rFonts w:ascii="Arial" w:hAnsi="Arial" w:cs="Arial"/>
                <w:sz w:val="22"/>
                <w:szCs w:val="22"/>
              </w:rPr>
              <w:t>data is available,</w:t>
            </w:r>
            <w:r>
              <w:rPr>
                <w:rFonts w:ascii="Arial" w:hAnsi="Arial" w:cs="Arial"/>
                <w:sz w:val="22"/>
                <w:szCs w:val="22"/>
              </w:rPr>
              <w:t xml:space="preserve"> however no published data in the CCGOIS since 201</w:t>
            </w:r>
            <w:r w:rsidR="003121FE">
              <w:rPr>
                <w:rFonts w:ascii="Arial" w:hAnsi="Arial" w:cs="Arial"/>
                <w:sz w:val="22"/>
                <w:szCs w:val="22"/>
              </w:rPr>
              <w:t>3</w:t>
            </w:r>
            <w:r>
              <w:rPr>
                <w:rFonts w:ascii="Arial" w:hAnsi="Arial" w:cs="Arial"/>
                <w:sz w:val="22"/>
                <w:szCs w:val="22"/>
              </w:rPr>
              <w:t>/1</w:t>
            </w:r>
            <w:r w:rsidR="003121FE">
              <w:rPr>
                <w:rFonts w:ascii="Arial" w:hAnsi="Arial" w:cs="Arial"/>
                <w:sz w:val="22"/>
                <w:szCs w:val="22"/>
              </w:rPr>
              <w:t>4</w:t>
            </w:r>
            <w:r>
              <w:rPr>
                <w:rFonts w:ascii="Arial" w:hAnsi="Arial" w:cs="Arial"/>
                <w:sz w:val="22"/>
                <w:szCs w:val="22"/>
              </w:rPr>
              <w:t xml:space="preserve">. NHS Digital have </w:t>
            </w:r>
            <w:r w:rsidR="002C1668">
              <w:rPr>
                <w:rFonts w:ascii="Arial" w:hAnsi="Arial" w:cs="Arial"/>
                <w:sz w:val="22"/>
                <w:szCs w:val="22"/>
              </w:rPr>
              <w:t xml:space="preserve">advised </w:t>
            </w:r>
            <w:r>
              <w:rPr>
                <w:rFonts w:ascii="Arial" w:hAnsi="Arial" w:cs="Arial"/>
                <w:sz w:val="22"/>
                <w:szCs w:val="22"/>
              </w:rPr>
              <w:t>that no active development is taking place for this indicator.</w:t>
            </w:r>
          </w:p>
        </w:tc>
        <w:tc>
          <w:tcPr>
            <w:tcW w:w="3047" w:type="dxa"/>
          </w:tcPr>
          <w:p w14:paraId="47E22865" w14:textId="77777777" w:rsidR="00455B14" w:rsidRDefault="00262A3E" w:rsidP="00EC7278">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t>Data has been flowing for some time and data sources will continue</w:t>
            </w:r>
            <w:r w:rsidR="002B77DF">
              <w:rPr>
                <w:rFonts w:ascii="Arial" w:eastAsiaTheme="minorEastAsia" w:hAnsi="Arial" w:cs="Arial"/>
                <w:color w:val="000000" w:themeColor="dark1"/>
                <w:kern w:val="24"/>
                <w:sz w:val="22"/>
                <w:szCs w:val="22"/>
                <w:lang w:eastAsia="en-GB"/>
              </w:rPr>
              <w:t>.</w:t>
            </w:r>
          </w:p>
          <w:p w14:paraId="7C614BB1" w14:textId="08EA4CD0" w:rsidR="00D46556" w:rsidRPr="006E1387" w:rsidRDefault="00B211E9" w:rsidP="00EC7278">
            <w:pPr>
              <w:spacing w:before="120" w:after="120"/>
              <w:rPr>
                <w:rFonts w:ascii="Arial" w:eastAsiaTheme="minorEastAsia" w:hAnsi="Arial" w:cs="Arial"/>
                <w:color w:val="000000" w:themeColor="dark1"/>
                <w:kern w:val="24"/>
                <w:sz w:val="22"/>
                <w:szCs w:val="22"/>
                <w:lang w:eastAsia="en-GB"/>
              </w:rPr>
            </w:pPr>
            <w:r w:rsidRPr="00B211E9">
              <w:rPr>
                <w:rFonts w:ascii="Arial" w:eastAsiaTheme="minorEastAsia" w:hAnsi="Arial" w:cs="Arial"/>
                <w:color w:val="000000" w:themeColor="dark1"/>
                <w:kern w:val="24"/>
                <w:sz w:val="22"/>
                <w:szCs w:val="22"/>
                <w:lang w:eastAsia="en-GB"/>
              </w:rPr>
              <w:t xml:space="preserve">We have been advised by NHS Digital that no active development is taking place on this indicator. </w:t>
            </w:r>
          </w:p>
        </w:tc>
      </w:tr>
      <w:tr w:rsidR="00455B14" w:rsidRPr="006E1387" w14:paraId="211AFDFC" w14:textId="3BA1BF23" w:rsidTr="00455B14">
        <w:tc>
          <w:tcPr>
            <w:tcW w:w="1878" w:type="dxa"/>
          </w:tcPr>
          <w:p w14:paraId="7AA7B574"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Acceptability</w:t>
            </w:r>
          </w:p>
        </w:tc>
        <w:tc>
          <w:tcPr>
            <w:tcW w:w="4092" w:type="dxa"/>
          </w:tcPr>
          <w:p w14:paraId="2117977B" w14:textId="231E72F1" w:rsidR="009F3187" w:rsidRPr="00761AB6" w:rsidRDefault="002718DD" w:rsidP="00632253">
            <w:pPr>
              <w:spacing w:before="120" w:after="120"/>
              <w:rPr>
                <w:rFonts w:ascii="Arial" w:hAnsi="Arial" w:cs="Arial"/>
                <w:sz w:val="22"/>
                <w:szCs w:val="22"/>
              </w:rPr>
            </w:pPr>
            <w:r>
              <w:rPr>
                <w:rFonts w:ascii="Arial" w:hAnsi="Arial" w:cs="Arial"/>
                <w:color w:val="000000"/>
                <w:kern w:val="24"/>
                <w:sz w:val="22"/>
                <w:szCs w:val="22"/>
                <w:lang w:eastAsia="en-GB"/>
              </w:rPr>
              <w:t>P</w:t>
            </w:r>
            <w:r w:rsidR="00632253">
              <w:rPr>
                <w:rFonts w:ascii="Arial" w:hAnsi="Arial" w:cs="Arial"/>
                <w:color w:val="000000"/>
                <w:kern w:val="24"/>
                <w:sz w:val="22"/>
                <w:szCs w:val="22"/>
                <w:lang w:eastAsia="en-GB"/>
              </w:rPr>
              <w:t>revious assessments have noted issues with data coverage in NACR, though state that it has been improving. It has not been possible to reassess this at this time.</w:t>
            </w:r>
          </w:p>
        </w:tc>
        <w:tc>
          <w:tcPr>
            <w:tcW w:w="3047" w:type="dxa"/>
          </w:tcPr>
          <w:p w14:paraId="29506238" w14:textId="2D49B6DF"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assesses performance that is attributable to or within the control of the audience</w:t>
            </w:r>
            <w:r w:rsidR="00AB6032" w:rsidRPr="006E1387">
              <w:rPr>
                <w:rFonts w:ascii="Arial" w:eastAsiaTheme="minorEastAsia" w:hAnsi="Arial" w:cs="Arial"/>
                <w:color w:val="000000" w:themeColor="dark1"/>
                <w:kern w:val="24"/>
                <w:sz w:val="22"/>
                <w:szCs w:val="22"/>
              </w:rPr>
              <w:t>.</w:t>
            </w:r>
          </w:p>
          <w:p w14:paraId="472E62AD" w14:textId="1A0ECD0F" w:rsidR="00217BF3" w:rsidRPr="006E1387" w:rsidRDefault="00455B14" w:rsidP="00455B14">
            <w:pPr>
              <w:spacing w:before="120" w:after="120"/>
              <w:rPr>
                <w:rFonts w:ascii="Arial" w:eastAsiaTheme="minorEastAsia" w:hAnsi="Arial" w:cs="Arial"/>
                <w:color w:val="000000" w:themeColor="dark1"/>
                <w:kern w:val="24"/>
                <w:sz w:val="22"/>
                <w:szCs w:val="22"/>
                <w:lang w:eastAsia="en-GB"/>
              </w:rPr>
            </w:pPr>
            <w:r w:rsidRPr="006E1387">
              <w:rPr>
                <w:rFonts w:ascii="Arial" w:eastAsiaTheme="minorEastAsia" w:hAnsi="Arial" w:cs="Arial"/>
                <w:color w:val="000000" w:themeColor="dark1"/>
                <w:kern w:val="24"/>
                <w:sz w:val="22"/>
                <w:szCs w:val="22"/>
                <w:lang w:eastAsia="en-GB"/>
              </w:rPr>
              <w:t>The results of the indicator can be used to improve practice</w:t>
            </w:r>
            <w:r w:rsidR="009B0E59" w:rsidRPr="006E1387">
              <w:rPr>
                <w:rFonts w:ascii="Arial" w:eastAsiaTheme="minorEastAsia" w:hAnsi="Arial" w:cs="Arial"/>
                <w:color w:val="000000" w:themeColor="dark1"/>
                <w:kern w:val="24"/>
                <w:sz w:val="22"/>
                <w:szCs w:val="22"/>
                <w:lang w:eastAsia="en-GB"/>
              </w:rPr>
              <w:t>.</w:t>
            </w:r>
          </w:p>
        </w:tc>
      </w:tr>
      <w:tr w:rsidR="00363BAB" w:rsidRPr="006E1387" w14:paraId="515852F3" w14:textId="598C7331" w:rsidTr="00641868">
        <w:trPr>
          <w:trHeight w:val="1291"/>
        </w:trPr>
        <w:tc>
          <w:tcPr>
            <w:tcW w:w="1878" w:type="dxa"/>
          </w:tcPr>
          <w:p w14:paraId="5DC1BD3A" w14:textId="17F33E7B" w:rsidR="00363BAB" w:rsidRPr="006E1387" w:rsidRDefault="00363BAB" w:rsidP="00363BAB">
            <w:pPr>
              <w:spacing w:before="120" w:after="120"/>
              <w:rPr>
                <w:rFonts w:ascii="Arial" w:hAnsi="Arial" w:cs="Arial"/>
                <w:color w:val="000000"/>
                <w:kern w:val="24"/>
                <w:sz w:val="22"/>
                <w:szCs w:val="22"/>
              </w:rPr>
            </w:pPr>
            <w:r w:rsidRPr="006E1387">
              <w:rPr>
                <w:rFonts w:ascii="Arial" w:hAnsi="Arial" w:cs="Arial"/>
                <w:color w:val="000000"/>
                <w:kern w:val="24"/>
                <w:sz w:val="22"/>
                <w:szCs w:val="22"/>
              </w:rPr>
              <w:t>Risk</w:t>
            </w:r>
          </w:p>
        </w:tc>
        <w:tc>
          <w:tcPr>
            <w:tcW w:w="4092" w:type="dxa"/>
          </w:tcPr>
          <w:p w14:paraId="6C854FEE" w14:textId="05B49813" w:rsidR="00363BAB" w:rsidRPr="006E1387" w:rsidRDefault="00363BAB" w:rsidP="00363BAB">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NACR data to allow construction of this indicator is not accessible to the public, therefore a practical test of feasibility has not taken place.</w:t>
            </w:r>
          </w:p>
        </w:tc>
        <w:tc>
          <w:tcPr>
            <w:tcW w:w="3047" w:type="dxa"/>
          </w:tcPr>
          <w:p w14:paraId="7C2C11AA" w14:textId="7E80D7D0" w:rsidR="00363BAB" w:rsidRPr="006E1387" w:rsidRDefault="00363BAB" w:rsidP="00363BAB">
            <w:pPr>
              <w:pStyle w:val="NICEnormal"/>
              <w:spacing w:before="120" w:after="120" w:line="240" w:lineRule="auto"/>
              <w:rPr>
                <w:rFonts w:cs="Arial"/>
                <w:color w:val="000000"/>
                <w:kern w:val="24"/>
                <w:sz w:val="22"/>
                <w:szCs w:val="22"/>
                <w:lang w:eastAsia="en-GB"/>
              </w:rPr>
            </w:pPr>
            <w:r>
              <w:rPr>
                <w:rFonts w:cs="Arial"/>
                <w:color w:val="000000"/>
                <w:kern w:val="24"/>
                <w:sz w:val="22"/>
                <w:szCs w:val="22"/>
                <w:lang w:eastAsia="en-GB"/>
              </w:rPr>
              <w:t>Practical feasibility test has not taken place as part of this assessment due to lack of publicly available data.</w:t>
            </w:r>
          </w:p>
        </w:tc>
      </w:tr>
    </w:tbl>
    <w:p w14:paraId="37D9A2F5" w14:textId="084C27AB" w:rsidR="004A517E" w:rsidRDefault="004A517E">
      <w:pPr>
        <w:rPr>
          <w:rFonts w:ascii="Arial" w:hAnsi="Arial"/>
          <w:lang w:val="en-US"/>
        </w:rPr>
      </w:pPr>
    </w:p>
    <w:p w14:paraId="55E62290" w14:textId="09CFF80A" w:rsidR="00937DDA" w:rsidRPr="000D34B8" w:rsidRDefault="00641868" w:rsidP="00937DDA">
      <w:pPr>
        <w:pStyle w:val="Paragraphnonumbers"/>
        <w:rPr>
          <w:bCs/>
        </w:rPr>
      </w:pPr>
      <w:r>
        <w:rPr>
          <w:b/>
        </w:rPr>
        <w:t>S</w:t>
      </w:r>
      <w:r w:rsidR="00937DDA" w:rsidRPr="00B12039">
        <w:rPr>
          <w:b/>
        </w:rPr>
        <w:t>ummary:</w:t>
      </w:r>
      <w:r w:rsidR="000D34B8">
        <w:rPr>
          <w:b/>
        </w:rPr>
        <w:t xml:space="preserve"> </w:t>
      </w:r>
      <w:bookmarkStart w:id="1" w:name="_Hlk96692161"/>
      <w:r>
        <w:rPr>
          <w:bCs/>
        </w:rPr>
        <w:t xml:space="preserve">Indicator to be provisionally renewed. </w:t>
      </w:r>
      <w:bookmarkEnd w:id="1"/>
    </w:p>
    <w:p w14:paraId="2037447A" w14:textId="77777777" w:rsidR="00011892" w:rsidRPr="00217BF3" w:rsidRDefault="00011892" w:rsidP="00011892">
      <w:pPr>
        <w:pStyle w:val="Paragraphnonumbers"/>
      </w:pPr>
      <w:r>
        <w:t>Potential impact of COVID-19 on this indicator, though difficult to predict.</w:t>
      </w:r>
    </w:p>
    <w:p w14:paraId="5F721E59" w14:textId="77777777" w:rsidR="00265374" w:rsidRDefault="00265374" w:rsidP="00265374">
      <w:pPr>
        <w:pStyle w:val="Paragraphnonumbers"/>
        <w:rPr>
          <w:b/>
        </w:rPr>
      </w:pPr>
      <w:r>
        <w:rPr>
          <w:b/>
        </w:rPr>
        <w:t xml:space="preserve">NHS Digital Indicator reference: </w:t>
      </w:r>
    </w:p>
    <w:p w14:paraId="123085F8" w14:textId="48886E5D" w:rsidR="00D73835" w:rsidRDefault="00265374" w:rsidP="00265374">
      <w:pPr>
        <w:pStyle w:val="Paragraphnonumbers"/>
      </w:pPr>
      <w:r>
        <w:t>CCG Outcomes Indicator Set – 1.3</w:t>
      </w:r>
      <w:r w:rsidRPr="00FC18B4">
        <w:t xml:space="preserve"> </w:t>
      </w:r>
      <w:r w:rsidRPr="00265374">
        <w:t>Completion of cardiac rehabilitation following an admission for coronary heart disease</w:t>
      </w:r>
    </w:p>
    <w:sectPr w:rsidR="00D73835" w:rsidSect="00192B09">
      <w:headerReference w:type="default" r:id="rId8"/>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AE2E" w14:textId="77777777" w:rsidR="00ED6F53" w:rsidRDefault="00ED6F53" w:rsidP="00446BEE">
      <w:r>
        <w:separator/>
      </w:r>
    </w:p>
  </w:endnote>
  <w:endnote w:type="continuationSeparator" w:id="0">
    <w:p w14:paraId="1EE071A7" w14:textId="77777777" w:rsidR="00ED6F53" w:rsidRDefault="00ED6F5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CB7EA" w14:textId="77777777" w:rsidR="00265374" w:rsidRDefault="00265374" w:rsidP="00265374">
    <w:pPr>
      <w:pStyle w:val="Footer"/>
    </w:pPr>
    <w:r>
      <w:t xml:space="preserve">IAP00430 </w:t>
    </w:r>
    <w:r w:rsidRPr="00265374">
      <w:t>Completion of cardiac rehabilitation following an admission for coronary heart disease</w:t>
    </w:r>
    <w:r w:rsidR="009B0E59">
      <w:t xml:space="preserve">: Validity assessment </w:t>
    </w:r>
    <w:r>
      <w:t>March 2022</w:t>
    </w:r>
  </w:p>
  <w:p w14:paraId="0042B07A" w14:textId="29967D17" w:rsidR="00BB14CA" w:rsidRPr="008C1C95" w:rsidRDefault="009B0E59" w:rsidP="00265374">
    <w:pPr>
      <w:pStyle w:val="Footer"/>
    </w:pPr>
    <w:r>
      <w:tab/>
    </w:r>
    <w:r>
      <w:tab/>
    </w:r>
    <w:r w:rsidR="00BB14CA">
      <w:fldChar w:fldCharType="begin"/>
    </w:r>
    <w:r w:rsidR="00BB14CA">
      <w:instrText xml:space="preserve"> PAGE </w:instrText>
    </w:r>
    <w:r w:rsidR="00BB14CA">
      <w:fldChar w:fldCharType="separate"/>
    </w:r>
    <w:r w:rsidR="004826C9">
      <w:rPr>
        <w:noProof/>
      </w:rPr>
      <w:t>3</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4826C9">
      <w:rPr>
        <w:noProof/>
      </w:rPr>
      <w:t>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BEBC" w14:textId="77777777" w:rsidR="00ED6F53" w:rsidRDefault="00ED6F53" w:rsidP="00446BEE">
      <w:r>
        <w:separator/>
      </w:r>
    </w:p>
  </w:footnote>
  <w:footnote w:type="continuationSeparator" w:id="0">
    <w:p w14:paraId="28DE568C" w14:textId="77777777" w:rsidR="00ED6F53" w:rsidRDefault="00ED6F53" w:rsidP="00446BEE">
      <w:r>
        <w:continuationSeparator/>
      </w:r>
    </w:p>
  </w:footnote>
  <w:footnote w:id="1">
    <w:p w14:paraId="31CF1D59" w14:textId="4B9C0F76" w:rsidR="00521D6D" w:rsidRDefault="00521D6D">
      <w:pPr>
        <w:pStyle w:val="FootnoteText"/>
      </w:pPr>
      <w:r>
        <w:rPr>
          <w:rStyle w:val="FootnoteReference"/>
        </w:rPr>
        <w:footnoteRef/>
      </w:r>
      <w:r>
        <w:t xml:space="preserve"> NHS Digital. </w:t>
      </w:r>
      <w:r w:rsidR="00843532">
        <w:t>CCG outcomes indicator set</w:t>
      </w:r>
      <w:r w:rsidR="00EB5258">
        <w:t>,</w:t>
      </w:r>
      <w:r>
        <w:t xml:space="preserve"> Indicator Quality Statement, Domain </w:t>
      </w:r>
      <w:r w:rsidR="00843532">
        <w:t>1</w:t>
      </w:r>
      <w:r w:rsidR="003121FE">
        <w:t xml:space="preserve">, </w:t>
      </w:r>
      <w:r w:rsidR="003121FE" w:rsidRPr="003121FE">
        <w:t>Completion of cardiac rehabilitation following an admission for coronary heart disease</w:t>
      </w:r>
      <w:r>
        <w:t xml:space="preserve">. Version </w:t>
      </w:r>
      <w:r w:rsidR="00843532">
        <w:t>1.0</w:t>
      </w:r>
      <w:r>
        <w:t xml:space="preserve">, </w:t>
      </w:r>
      <w:r w:rsidR="00D729D1">
        <w:t>December</w:t>
      </w:r>
      <w:r w:rsidR="00843532">
        <w:t xml:space="preserve"> 2016</w:t>
      </w:r>
    </w:p>
  </w:footnote>
  <w:footnote w:id="2">
    <w:p w14:paraId="6070C23A" w14:textId="4619798A" w:rsidR="00843532" w:rsidRDefault="00843532">
      <w:pPr>
        <w:pStyle w:val="FootnoteText"/>
      </w:pPr>
      <w:r>
        <w:rPr>
          <w:rStyle w:val="FootnoteReference"/>
        </w:rPr>
        <w:footnoteRef/>
      </w:r>
      <w:r>
        <w:t xml:space="preserve"> </w:t>
      </w:r>
      <w:r w:rsidR="00D729D1" w:rsidRPr="00D729D1">
        <w:t>Acute coronary syndromes</w:t>
      </w:r>
      <w:r>
        <w:t>, Last updated 1</w:t>
      </w:r>
      <w:r w:rsidR="00D729D1">
        <w:t>8</w:t>
      </w:r>
      <w:r>
        <w:t xml:space="preserve"> </w:t>
      </w:r>
      <w:r w:rsidR="00D729D1">
        <w:t>November</w:t>
      </w:r>
      <w:r>
        <w:t xml:space="preserve"> 20</w:t>
      </w:r>
      <w:r w:rsidR="00D729D1">
        <w:t>20</w:t>
      </w:r>
      <w:r>
        <w:t xml:space="preserve">. </w:t>
      </w:r>
      <w:hyperlink r:id="rId1" w:history="1">
        <w:r w:rsidR="00D729D1" w:rsidRPr="008560C5">
          <w:rPr>
            <w:rStyle w:val="Hyperlink"/>
          </w:rPr>
          <w:t>https://www.nice.org.uk/Guidance/NG185</w:t>
        </w:r>
      </w:hyperlink>
      <w:r w:rsidR="00D729D1">
        <w:t xml:space="preserve"> </w:t>
      </w:r>
    </w:p>
  </w:footnote>
  <w:footnote w:id="3">
    <w:p w14:paraId="7EB6927A" w14:textId="40CEB95D" w:rsidR="00CE51D9" w:rsidRDefault="00CE51D9">
      <w:pPr>
        <w:pStyle w:val="FootnoteText"/>
      </w:pPr>
      <w:r>
        <w:rPr>
          <w:rStyle w:val="FootnoteReference"/>
        </w:rPr>
        <w:footnoteRef/>
      </w:r>
      <w:r>
        <w:t xml:space="preserve"> </w:t>
      </w:r>
      <w:r w:rsidRPr="00CE51D9">
        <w:t>Secondary prevention after a myocardial infarction</w:t>
      </w:r>
      <w:r>
        <w:t>, Published 4 Septem</w:t>
      </w:r>
      <w:r w:rsidR="001E346A">
        <w:t xml:space="preserve">ber 2015. </w:t>
      </w:r>
      <w:hyperlink r:id="rId2" w:history="1">
        <w:r w:rsidR="001E346A" w:rsidRPr="008560C5">
          <w:rPr>
            <w:rStyle w:val="Hyperlink"/>
          </w:rPr>
          <w:t>https://www.nice.org.uk/guidance/qs99</w:t>
        </w:r>
      </w:hyperlink>
      <w:r w:rsidR="001E346A">
        <w:t xml:space="preserve"> </w:t>
      </w:r>
    </w:p>
  </w:footnote>
  <w:footnote w:id="4">
    <w:p w14:paraId="51483544" w14:textId="0DBF6F7A" w:rsidR="00CE51D9" w:rsidRDefault="00CE51D9">
      <w:pPr>
        <w:pStyle w:val="FootnoteText"/>
      </w:pPr>
      <w:r>
        <w:rPr>
          <w:rStyle w:val="FootnoteReference"/>
        </w:rPr>
        <w:footnoteRef/>
      </w:r>
      <w:r>
        <w:t xml:space="preserve"> </w:t>
      </w:r>
      <w:r w:rsidRPr="00CE51D9">
        <w:t>Chronic heart failure in adults</w:t>
      </w:r>
      <w:r>
        <w:t xml:space="preserve">, Last updated 12 September 2018. </w:t>
      </w:r>
      <w:hyperlink r:id="rId3" w:history="1">
        <w:r w:rsidRPr="008560C5">
          <w:rPr>
            <w:rStyle w:val="Hyperlink"/>
          </w:rPr>
          <w:t>https://www.nice.org.uk/guidance/qs9</w:t>
        </w:r>
      </w:hyperlink>
      <w:r>
        <w:t xml:space="preserve"> </w:t>
      </w:r>
    </w:p>
  </w:footnote>
  <w:footnote w:id="5">
    <w:p w14:paraId="79347E9F" w14:textId="252D067E" w:rsidR="00CE51D9" w:rsidRDefault="00CE51D9">
      <w:pPr>
        <w:pStyle w:val="FootnoteText"/>
      </w:pPr>
      <w:r>
        <w:rPr>
          <w:rStyle w:val="FootnoteReference"/>
        </w:rPr>
        <w:footnoteRef/>
      </w:r>
      <w:r>
        <w:t xml:space="preserve"> </w:t>
      </w:r>
      <w:r w:rsidRPr="00CE51D9">
        <w:t>Chronic heart failure in adults: diagnosis and management</w:t>
      </w:r>
      <w:r>
        <w:t xml:space="preserve">, Published 12 September 2018. </w:t>
      </w:r>
      <w:hyperlink r:id="rId4" w:history="1">
        <w:r w:rsidRPr="008560C5">
          <w:rPr>
            <w:rStyle w:val="Hyperlink"/>
          </w:rPr>
          <w:t>https://www.nice.org.uk/guidance/ng106</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A576E9A"/>
    <w:multiLevelType w:val="hybridMultilevel"/>
    <w:tmpl w:val="CF58F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22E5488"/>
    <w:multiLevelType w:val="hybridMultilevel"/>
    <w:tmpl w:val="C22E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2"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28"/>
  </w:num>
  <w:num w:numId="4">
    <w:abstractNumId w:val="12"/>
  </w:num>
  <w:num w:numId="5">
    <w:abstractNumId w:val="25"/>
  </w:num>
  <w:num w:numId="6">
    <w:abstractNumId w:val="1"/>
  </w:num>
  <w:num w:numId="7">
    <w:abstractNumId w:val="10"/>
  </w:num>
  <w:num w:numId="8">
    <w:abstractNumId w:val="23"/>
  </w:num>
  <w:num w:numId="9">
    <w:abstractNumId w:val="24"/>
  </w:num>
  <w:num w:numId="10">
    <w:abstractNumId w:val="5"/>
  </w:num>
  <w:num w:numId="11">
    <w:abstractNumId w:val="7"/>
  </w:num>
  <w:num w:numId="12">
    <w:abstractNumId w:val="3"/>
  </w:num>
  <w:num w:numId="13">
    <w:abstractNumId w:val="31"/>
  </w:num>
  <w:num w:numId="14">
    <w:abstractNumId w:val="14"/>
  </w:num>
  <w:num w:numId="15">
    <w:abstractNumId w:val="9"/>
  </w:num>
  <w:num w:numId="16">
    <w:abstractNumId w:val="20"/>
  </w:num>
  <w:num w:numId="17">
    <w:abstractNumId w:val="16"/>
  </w:num>
  <w:num w:numId="18">
    <w:abstractNumId w:val="22"/>
  </w:num>
  <w:num w:numId="19">
    <w:abstractNumId w:val="26"/>
  </w:num>
  <w:num w:numId="20">
    <w:abstractNumId w:val="6"/>
  </w:num>
  <w:num w:numId="21">
    <w:abstractNumId w:val="29"/>
  </w:num>
  <w:num w:numId="22">
    <w:abstractNumId w:val="0"/>
  </w:num>
  <w:num w:numId="23">
    <w:abstractNumId w:val="4"/>
  </w:num>
  <w:num w:numId="24">
    <w:abstractNumId w:val="27"/>
  </w:num>
  <w:num w:numId="25">
    <w:abstractNumId w:val="19"/>
  </w:num>
  <w:num w:numId="26">
    <w:abstractNumId w:val="18"/>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13"/>
  </w:num>
  <w:num w:numId="31">
    <w:abstractNumId w:val="5"/>
  </w:num>
  <w:num w:numId="32">
    <w:abstractNumId w:val="5"/>
  </w:num>
  <w:num w:numId="33">
    <w:abstractNumId w:val="5"/>
  </w:num>
  <w:num w:numId="3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30"/>
  </w:num>
  <w:num w:numId="39">
    <w:abstractNumId w:val="21"/>
  </w:num>
  <w:num w:numId="40">
    <w:abstractNumId w:val="2"/>
  </w:num>
  <w:num w:numId="41">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892"/>
    <w:rsid w:val="00011FC6"/>
    <w:rsid w:val="0001222B"/>
    <w:rsid w:val="00015441"/>
    <w:rsid w:val="00016234"/>
    <w:rsid w:val="00017F45"/>
    <w:rsid w:val="000200AB"/>
    <w:rsid w:val="00020637"/>
    <w:rsid w:val="0002076F"/>
    <w:rsid w:val="0002231A"/>
    <w:rsid w:val="00023CA5"/>
    <w:rsid w:val="00024773"/>
    <w:rsid w:val="00024D0A"/>
    <w:rsid w:val="00025A5C"/>
    <w:rsid w:val="0002655B"/>
    <w:rsid w:val="00027B76"/>
    <w:rsid w:val="000300AE"/>
    <w:rsid w:val="00030385"/>
    <w:rsid w:val="0003213D"/>
    <w:rsid w:val="00034649"/>
    <w:rsid w:val="00035D96"/>
    <w:rsid w:val="00036EE4"/>
    <w:rsid w:val="00037552"/>
    <w:rsid w:val="00041011"/>
    <w:rsid w:val="000414CD"/>
    <w:rsid w:val="0004386A"/>
    <w:rsid w:val="000438E0"/>
    <w:rsid w:val="000453F8"/>
    <w:rsid w:val="00050710"/>
    <w:rsid w:val="000523A6"/>
    <w:rsid w:val="000524FA"/>
    <w:rsid w:val="00052A67"/>
    <w:rsid w:val="00052B85"/>
    <w:rsid w:val="00053145"/>
    <w:rsid w:val="00056013"/>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4B8"/>
    <w:rsid w:val="000D3776"/>
    <w:rsid w:val="000E0E0D"/>
    <w:rsid w:val="000E24A0"/>
    <w:rsid w:val="000E4899"/>
    <w:rsid w:val="000E7E3C"/>
    <w:rsid w:val="000F3B49"/>
    <w:rsid w:val="000F590B"/>
    <w:rsid w:val="000F6502"/>
    <w:rsid w:val="001043B0"/>
    <w:rsid w:val="001066B8"/>
    <w:rsid w:val="00110A94"/>
    <w:rsid w:val="00110AD8"/>
    <w:rsid w:val="00112FAE"/>
    <w:rsid w:val="0011312D"/>
    <w:rsid w:val="001131E2"/>
    <w:rsid w:val="001134E7"/>
    <w:rsid w:val="00121C0F"/>
    <w:rsid w:val="00124CBD"/>
    <w:rsid w:val="001252AE"/>
    <w:rsid w:val="00125557"/>
    <w:rsid w:val="001306F4"/>
    <w:rsid w:val="00130EC7"/>
    <w:rsid w:val="00134FDA"/>
    <w:rsid w:val="00135081"/>
    <w:rsid w:val="001352C4"/>
    <w:rsid w:val="00136466"/>
    <w:rsid w:val="001368F7"/>
    <w:rsid w:val="001377B8"/>
    <w:rsid w:val="00140B46"/>
    <w:rsid w:val="00140D83"/>
    <w:rsid w:val="001413FC"/>
    <w:rsid w:val="001427F7"/>
    <w:rsid w:val="00145D3C"/>
    <w:rsid w:val="001503E8"/>
    <w:rsid w:val="00154516"/>
    <w:rsid w:val="00155A83"/>
    <w:rsid w:val="00156264"/>
    <w:rsid w:val="00156529"/>
    <w:rsid w:val="001579DA"/>
    <w:rsid w:val="00161404"/>
    <w:rsid w:val="00161EBC"/>
    <w:rsid w:val="00165770"/>
    <w:rsid w:val="00165B01"/>
    <w:rsid w:val="00166C1A"/>
    <w:rsid w:val="00167E64"/>
    <w:rsid w:val="0017169E"/>
    <w:rsid w:val="0017396B"/>
    <w:rsid w:val="00175BE8"/>
    <w:rsid w:val="00175F5D"/>
    <w:rsid w:val="00177200"/>
    <w:rsid w:val="001773DC"/>
    <w:rsid w:val="001779E5"/>
    <w:rsid w:val="00182263"/>
    <w:rsid w:val="0018281C"/>
    <w:rsid w:val="00185F6B"/>
    <w:rsid w:val="00187006"/>
    <w:rsid w:val="00187570"/>
    <w:rsid w:val="00192188"/>
    <w:rsid w:val="00192B09"/>
    <w:rsid w:val="001936A7"/>
    <w:rsid w:val="00193D4B"/>
    <w:rsid w:val="00194E6C"/>
    <w:rsid w:val="0019550C"/>
    <w:rsid w:val="00196653"/>
    <w:rsid w:val="00196E29"/>
    <w:rsid w:val="001976DA"/>
    <w:rsid w:val="001A056C"/>
    <w:rsid w:val="001A23E4"/>
    <w:rsid w:val="001A281B"/>
    <w:rsid w:val="001A3011"/>
    <w:rsid w:val="001A48E7"/>
    <w:rsid w:val="001A73CD"/>
    <w:rsid w:val="001A7C9F"/>
    <w:rsid w:val="001B06E1"/>
    <w:rsid w:val="001B1619"/>
    <w:rsid w:val="001B187B"/>
    <w:rsid w:val="001B376D"/>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346A"/>
    <w:rsid w:val="001E586B"/>
    <w:rsid w:val="001E6F20"/>
    <w:rsid w:val="001F1315"/>
    <w:rsid w:val="001F1D2D"/>
    <w:rsid w:val="001F3305"/>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17BF3"/>
    <w:rsid w:val="00220661"/>
    <w:rsid w:val="00220702"/>
    <w:rsid w:val="002213B0"/>
    <w:rsid w:val="0022189B"/>
    <w:rsid w:val="002223A6"/>
    <w:rsid w:val="002229AD"/>
    <w:rsid w:val="00224AEE"/>
    <w:rsid w:val="00225FF4"/>
    <w:rsid w:val="00230A13"/>
    <w:rsid w:val="00230C67"/>
    <w:rsid w:val="002331C6"/>
    <w:rsid w:val="002363B6"/>
    <w:rsid w:val="00236B76"/>
    <w:rsid w:val="002408EA"/>
    <w:rsid w:val="00241410"/>
    <w:rsid w:val="002549B2"/>
    <w:rsid w:val="002563DF"/>
    <w:rsid w:val="0026014A"/>
    <w:rsid w:val="0026108E"/>
    <w:rsid w:val="002614ED"/>
    <w:rsid w:val="00262A3E"/>
    <w:rsid w:val="00265142"/>
    <w:rsid w:val="00265374"/>
    <w:rsid w:val="00266AA6"/>
    <w:rsid w:val="00266B50"/>
    <w:rsid w:val="00267D80"/>
    <w:rsid w:val="00270605"/>
    <w:rsid w:val="00271804"/>
    <w:rsid w:val="00271857"/>
    <w:rsid w:val="002718DD"/>
    <w:rsid w:val="00276AC9"/>
    <w:rsid w:val="00277ED2"/>
    <w:rsid w:val="00280F8A"/>
    <w:rsid w:val="00284539"/>
    <w:rsid w:val="00284F52"/>
    <w:rsid w:val="00286537"/>
    <w:rsid w:val="00286C3A"/>
    <w:rsid w:val="00287467"/>
    <w:rsid w:val="002901B9"/>
    <w:rsid w:val="00291A5B"/>
    <w:rsid w:val="00292B2C"/>
    <w:rsid w:val="0029330E"/>
    <w:rsid w:val="00296E2E"/>
    <w:rsid w:val="002A23A7"/>
    <w:rsid w:val="002A5503"/>
    <w:rsid w:val="002A6812"/>
    <w:rsid w:val="002A7339"/>
    <w:rsid w:val="002A7A24"/>
    <w:rsid w:val="002B2381"/>
    <w:rsid w:val="002B4762"/>
    <w:rsid w:val="002B565A"/>
    <w:rsid w:val="002B71D2"/>
    <w:rsid w:val="002B77DF"/>
    <w:rsid w:val="002C0DA9"/>
    <w:rsid w:val="002C1668"/>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21FE"/>
    <w:rsid w:val="003132FA"/>
    <w:rsid w:val="00314933"/>
    <w:rsid w:val="0031497D"/>
    <w:rsid w:val="00316D48"/>
    <w:rsid w:val="00320EE5"/>
    <w:rsid w:val="003236DA"/>
    <w:rsid w:val="003244E5"/>
    <w:rsid w:val="00324C60"/>
    <w:rsid w:val="00326131"/>
    <w:rsid w:val="00326482"/>
    <w:rsid w:val="00330EED"/>
    <w:rsid w:val="00331B26"/>
    <w:rsid w:val="00333A96"/>
    <w:rsid w:val="003351B7"/>
    <w:rsid w:val="0033631A"/>
    <w:rsid w:val="00336946"/>
    <w:rsid w:val="00340D15"/>
    <w:rsid w:val="00341BA8"/>
    <w:rsid w:val="00343A77"/>
    <w:rsid w:val="00344166"/>
    <w:rsid w:val="00346B57"/>
    <w:rsid w:val="00347EDE"/>
    <w:rsid w:val="00351A64"/>
    <w:rsid w:val="00351FA4"/>
    <w:rsid w:val="00351FDE"/>
    <w:rsid w:val="003524BA"/>
    <w:rsid w:val="00352FD0"/>
    <w:rsid w:val="00354D09"/>
    <w:rsid w:val="00355BED"/>
    <w:rsid w:val="0035645A"/>
    <w:rsid w:val="00357C1E"/>
    <w:rsid w:val="003604C3"/>
    <w:rsid w:val="003605D5"/>
    <w:rsid w:val="00361432"/>
    <w:rsid w:val="00362EE3"/>
    <w:rsid w:val="00363BAB"/>
    <w:rsid w:val="00365698"/>
    <w:rsid w:val="00367685"/>
    <w:rsid w:val="00367A82"/>
    <w:rsid w:val="00370ACD"/>
    <w:rsid w:val="00371E29"/>
    <w:rsid w:val="003722FA"/>
    <w:rsid w:val="003731E6"/>
    <w:rsid w:val="00373EA4"/>
    <w:rsid w:val="00374EA0"/>
    <w:rsid w:val="00374EB6"/>
    <w:rsid w:val="00375AE7"/>
    <w:rsid w:val="00375E5F"/>
    <w:rsid w:val="00376C2A"/>
    <w:rsid w:val="00377277"/>
    <w:rsid w:val="00377304"/>
    <w:rsid w:val="00381BEA"/>
    <w:rsid w:val="00381FB7"/>
    <w:rsid w:val="00382495"/>
    <w:rsid w:val="00384090"/>
    <w:rsid w:val="00384141"/>
    <w:rsid w:val="003856AA"/>
    <w:rsid w:val="00386007"/>
    <w:rsid w:val="003861AC"/>
    <w:rsid w:val="003862A5"/>
    <w:rsid w:val="00390249"/>
    <w:rsid w:val="00391F56"/>
    <w:rsid w:val="003953C7"/>
    <w:rsid w:val="003A03DC"/>
    <w:rsid w:val="003A1975"/>
    <w:rsid w:val="003A1DE1"/>
    <w:rsid w:val="003A39A0"/>
    <w:rsid w:val="003A3E2A"/>
    <w:rsid w:val="003A4CBB"/>
    <w:rsid w:val="003B0286"/>
    <w:rsid w:val="003B091A"/>
    <w:rsid w:val="003B1C33"/>
    <w:rsid w:val="003B254D"/>
    <w:rsid w:val="003B298F"/>
    <w:rsid w:val="003B69AA"/>
    <w:rsid w:val="003C3023"/>
    <w:rsid w:val="003C39D1"/>
    <w:rsid w:val="003C4DB4"/>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385F"/>
    <w:rsid w:val="003F40D1"/>
    <w:rsid w:val="003F42F7"/>
    <w:rsid w:val="003F4970"/>
    <w:rsid w:val="003F540E"/>
    <w:rsid w:val="003F694A"/>
    <w:rsid w:val="003F7CE6"/>
    <w:rsid w:val="003F7D78"/>
    <w:rsid w:val="00402BFB"/>
    <w:rsid w:val="00405B03"/>
    <w:rsid w:val="00405FDF"/>
    <w:rsid w:val="004068EA"/>
    <w:rsid w:val="004075B6"/>
    <w:rsid w:val="00407F14"/>
    <w:rsid w:val="00410E4D"/>
    <w:rsid w:val="00411C38"/>
    <w:rsid w:val="0041238E"/>
    <w:rsid w:val="004150FB"/>
    <w:rsid w:val="00416EA1"/>
    <w:rsid w:val="00420952"/>
    <w:rsid w:val="00422E2D"/>
    <w:rsid w:val="00423C0E"/>
    <w:rsid w:val="00423DB4"/>
    <w:rsid w:val="0042425C"/>
    <w:rsid w:val="004247FB"/>
    <w:rsid w:val="004271A0"/>
    <w:rsid w:val="0042742A"/>
    <w:rsid w:val="004306C0"/>
    <w:rsid w:val="00431F8B"/>
    <w:rsid w:val="00433F81"/>
    <w:rsid w:val="00440CCA"/>
    <w:rsid w:val="00442D76"/>
    <w:rsid w:val="004440AF"/>
    <w:rsid w:val="00446A7D"/>
    <w:rsid w:val="00446BEE"/>
    <w:rsid w:val="00450E6D"/>
    <w:rsid w:val="004518F7"/>
    <w:rsid w:val="0045334C"/>
    <w:rsid w:val="004539A8"/>
    <w:rsid w:val="004539D9"/>
    <w:rsid w:val="00455B14"/>
    <w:rsid w:val="00456B1D"/>
    <w:rsid w:val="004615CD"/>
    <w:rsid w:val="00461C01"/>
    <w:rsid w:val="00462AFA"/>
    <w:rsid w:val="0046325E"/>
    <w:rsid w:val="00463F62"/>
    <w:rsid w:val="0046445C"/>
    <w:rsid w:val="0046709A"/>
    <w:rsid w:val="00472CEC"/>
    <w:rsid w:val="00474FE4"/>
    <w:rsid w:val="00475C7C"/>
    <w:rsid w:val="00475D8E"/>
    <w:rsid w:val="00476940"/>
    <w:rsid w:val="0047731B"/>
    <w:rsid w:val="0048105F"/>
    <w:rsid w:val="004824B6"/>
    <w:rsid w:val="004826C9"/>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0607"/>
    <w:rsid w:val="004C101D"/>
    <w:rsid w:val="004C3670"/>
    <w:rsid w:val="004C3BFD"/>
    <w:rsid w:val="004C5C89"/>
    <w:rsid w:val="004D1267"/>
    <w:rsid w:val="004D26AD"/>
    <w:rsid w:val="004D2897"/>
    <w:rsid w:val="004D39E2"/>
    <w:rsid w:val="004D6448"/>
    <w:rsid w:val="004D756F"/>
    <w:rsid w:val="004E0E78"/>
    <w:rsid w:val="004E39D5"/>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1D6D"/>
    <w:rsid w:val="00523BB4"/>
    <w:rsid w:val="005243EC"/>
    <w:rsid w:val="005245EF"/>
    <w:rsid w:val="005249CF"/>
    <w:rsid w:val="00525DD1"/>
    <w:rsid w:val="00527A29"/>
    <w:rsid w:val="005343E1"/>
    <w:rsid w:val="005353CB"/>
    <w:rsid w:val="00535CCD"/>
    <w:rsid w:val="00545970"/>
    <w:rsid w:val="00546504"/>
    <w:rsid w:val="00550783"/>
    <w:rsid w:val="005508EE"/>
    <w:rsid w:val="005533F8"/>
    <w:rsid w:val="005536FB"/>
    <w:rsid w:val="00555CC8"/>
    <w:rsid w:val="00556B58"/>
    <w:rsid w:val="005577FA"/>
    <w:rsid w:val="00561A27"/>
    <w:rsid w:val="0056425E"/>
    <w:rsid w:val="00565745"/>
    <w:rsid w:val="00566CCC"/>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20E"/>
    <w:rsid w:val="005B6D38"/>
    <w:rsid w:val="005B73E7"/>
    <w:rsid w:val="005B795C"/>
    <w:rsid w:val="005C05E1"/>
    <w:rsid w:val="005C116B"/>
    <w:rsid w:val="005C3893"/>
    <w:rsid w:val="005C5E41"/>
    <w:rsid w:val="005C7DB5"/>
    <w:rsid w:val="005D15B9"/>
    <w:rsid w:val="005D1E0A"/>
    <w:rsid w:val="005D352A"/>
    <w:rsid w:val="005D4C95"/>
    <w:rsid w:val="005E0AC1"/>
    <w:rsid w:val="005E2508"/>
    <w:rsid w:val="005E437F"/>
    <w:rsid w:val="005E58ED"/>
    <w:rsid w:val="005E62A7"/>
    <w:rsid w:val="005E6B30"/>
    <w:rsid w:val="005F25FD"/>
    <w:rsid w:val="005F2905"/>
    <w:rsid w:val="005F3926"/>
    <w:rsid w:val="005F3989"/>
    <w:rsid w:val="005F3C5C"/>
    <w:rsid w:val="005F5AFD"/>
    <w:rsid w:val="005F6BB8"/>
    <w:rsid w:val="005F6F0A"/>
    <w:rsid w:val="005F7681"/>
    <w:rsid w:val="00601291"/>
    <w:rsid w:val="00601414"/>
    <w:rsid w:val="0060351B"/>
    <w:rsid w:val="00607959"/>
    <w:rsid w:val="0061221F"/>
    <w:rsid w:val="00614078"/>
    <w:rsid w:val="006150A0"/>
    <w:rsid w:val="0061798B"/>
    <w:rsid w:val="006179BD"/>
    <w:rsid w:val="0062228B"/>
    <w:rsid w:val="00624430"/>
    <w:rsid w:val="00625AEE"/>
    <w:rsid w:val="00627687"/>
    <w:rsid w:val="006276D1"/>
    <w:rsid w:val="006279C2"/>
    <w:rsid w:val="00630A5B"/>
    <w:rsid w:val="00632253"/>
    <w:rsid w:val="00636E88"/>
    <w:rsid w:val="00637F2A"/>
    <w:rsid w:val="00641868"/>
    <w:rsid w:val="00642C45"/>
    <w:rsid w:val="0064313B"/>
    <w:rsid w:val="006434DF"/>
    <w:rsid w:val="00645411"/>
    <w:rsid w:val="0064604F"/>
    <w:rsid w:val="00651D20"/>
    <w:rsid w:val="006523CB"/>
    <w:rsid w:val="0065348A"/>
    <w:rsid w:val="006557A6"/>
    <w:rsid w:val="00657C65"/>
    <w:rsid w:val="006635D1"/>
    <w:rsid w:val="006639FD"/>
    <w:rsid w:val="00664F8F"/>
    <w:rsid w:val="00666A4E"/>
    <w:rsid w:val="00666F1A"/>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A6B79"/>
    <w:rsid w:val="006B0C90"/>
    <w:rsid w:val="006B17FD"/>
    <w:rsid w:val="006B44E2"/>
    <w:rsid w:val="006C0C61"/>
    <w:rsid w:val="006C3D61"/>
    <w:rsid w:val="006D0590"/>
    <w:rsid w:val="006D4325"/>
    <w:rsid w:val="006D55A6"/>
    <w:rsid w:val="006D6BD0"/>
    <w:rsid w:val="006E09CB"/>
    <w:rsid w:val="006E1387"/>
    <w:rsid w:val="006E2124"/>
    <w:rsid w:val="006E23A2"/>
    <w:rsid w:val="006E299B"/>
    <w:rsid w:val="006E303F"/>
    <w:rsid w:val="006E46C1"/>
    <w:rsid w:val="006E4E37"/>
    <w:rsid w:val="006E5D76"/>
    <w:rsid w:val="006F17D4"/>
    <w:rsid w:val="006F255A"/>
    <w:rsid w:val="006F2843"/>
    <w:rsid w:val="006F6463"/>
    <w:rsid w:val="007038F5"/>
    <w:rsid w:val="0070542C"/>
    <w:rsid w:val="007067D1"/>
    <w:rsid w:val="00713287"/>
    <w:rsid w:val="007136A7"/>
    <w:rsid w:val="007139DD"/>
    <w:rsid w:val="007143AC"/>
    <w:rsid w:val="00715962"/>
    <w:rsid w:val="00716007"/>
    <w:rsid w:val="00716835"/>
    <w:rsid w:val="00716ACF"/>
    <w:rsid w:val="007210C5"/>
    <w:rsid w:val="007250F1"/>
    <w:rsid w:val="00726FF0"/>
    <w:rsid w:val="00727230"/>
    <w:rsid w:val="00730AA4"/>
    <w:rsid w:val="0073113B"/>
    <w:rsid w:val="00732C44"/>
    <w:rsid w:val="00734CC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1AB6"/>
    <w:rsid w:val="00762D25"/>
    <w:rsid w:val="00762FFF"/>
    <w:rsid w:val="00763FE4"/>
    <w:rsid w:val="007646C3"/>
    <w:rsid w:val="007647C1"/>
    <w:rsid w:val="0076595B"/>
    <w:rsid w:val="007662E4"/>
    <w:rsid w:val="0076743A"/>
    <w:rsid w:val="00770B9A"/>
    <w:rsid w:val="007718E7"/>
    <w:rsid w:val="00773A28"/>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A19BF"/>
    <w:rsid w:val="007B1A6C"/>
    <w:rsid w:val="007B5378"/>
    <w:rsid w:val="007C1642"/>
    <w:rsid w:val="007C33F3"/>
    <w:rsid w:val="007C40AD"/>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E7E62"/>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36D1E"/>
    <w:rsid w:val="00840FF7"/>
    <w:rsid w:val="00841169"/>
    <w:rsid w:val="00843532"/>
    <w:rsid w:val="00843F79"/>
    <w:rsid w:val="00844032"/>
    <w:rsid w:val="008443D8"/>
    <w:rsid w:val="008445E7"/>
    <w:rsid w:val="00844854"/>
    <w:rsid w:val="00847D3A"/>
    <w:rsid w:val="00855549"/>
    <w:rsid w:val="0086032D"/>
    <w:rsid w:val="00861B3D"/>
    <w:rsid w:val="00862879"/>
    <w:rsid w:val="00865CE7"/>
    <w:rsid w:val="00865EDC"/>
    <w:rsid w:val="0086695C"/>
    <w:rsid w:val="0086701C"/>
    <w:rsid w:val="00867262"/>
    <w:rsid w:val="00870BDD"/>
    <w:rsid w:val="008717F1"/>
    <w:rsid w:val="00873503"/>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B5F3E"/>
    <w:rsid w:val="008C183F"/>
    <w:rsid w:val="008C1C95"/>
    <w:rsid w:val="008C3D9F"/>
    <w:rsid w:val="008C4122"/>
    <w:rsid w:val="008C4BD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4262"/>
    <w:rsid w:val="00916CED"/>
    <w:rsid w:val="00917909"/>
    <w:rsid w:val="00917D07"/>
    <w:rsid w:val="0092122F"/>
    <w:rsid w:val="009225D9"/>
    <w:rsid w:val="0092393F"/>
    <w:rsid w:val="0092431B"/>
    <w:rsid w:val="00925F15"/>
    <w:rsid w:val="0092757A"/>
    <w:rsid w:val="00930715"/>
    <w:rsid w:val="0093101C"/>
    <w:rsid w:val="0093543E"/>
    <w:rsid w:val="009375F3"/>
    <w:rsid w:val="00937DDA"/>
    <w:rsid w:val="00937E8B"/>
    <w:rsid w:val="009460E7"/>
    <w:rsid w:val="00947483"/>
    <w:rsid w:val="00947FDB"/>
    <w:rsid w:val="00952219"/>
    <w:rsid w:val="009535CF"/>
    <w:rsid w:val="009539B0"/>
    <w:rsid w:val="00953F4A"/>
    <w:rsid w:val="009543A4"/>
    <w:rsid w:val="00955F17"/>
    <w:rsid w:val="009562D0"/>
    <w:rsid w:val="00957124"/>
    <w:rsid w:val="00960B9B"/>
    <w:rsid w:val="00960CC3"/>
    <w:rsid w:val="0096180D"/>
    <w:rsid w:val="00961E3B"/>
    <w:rsid w:val="00962360"/>
    <w:rsid w:val="009669AD"/>
    <w:rsid w:val="00966EB0"/>
    <w:rsid w:val="0096715D"/>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376"/>
    <w:rsid w:val="009A4775"/>
    <w:rsid w:val="009A75C4"/>
    <w:rsid w:val="009B0897"/>
    <w:rsid w:val="009B0E59"/>
    <w:rsid w:val="009B276A"/>
    <w:rsid w:val="009B3223"/>
    <w:rsid w:val="009B4063"/>
    <w:rsid w:val="009B52E5"/>
    <w:rsid w:val="009B5C5F"/>
    <w:rsid w:val="009C0968"/>
    <w:rsid w:val="009C0A1E"/>
    <w:rsid w:val="009C1354"/>
    <w:rsid w:val="009C3C0C"/>
    <w:rsid w:val="009C3CDC"/>
    <w:rsid w:val="009C5ADA"/>
    <w:rsid w:val="009C6214"/>
    <w:rsid w:val="009C77BF"/>
    <w:rsid w:val="009D02ED"/>
    <w:rsid w:val="009D1D56"/>
    <w:rsid w:val="009D1EB8"/>
    <w:rsid w:val="009D2922"/>
    <w:rsid w:val="009D49AA"/>
    <w:rsid w:val="009D4FBB"/>
    <w:rsid w:val="009D7602"/>
    <w:rsid w:val="009E3151"/>
    <w:rsid w:val="009E680B"/>
    <w:rsid w:val="009F1902"/>
    <w:rsid w:val="009F3187"/>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27390"/>
    <w:rsid w:val="00A3050E"/>
    <w:rsid w:val="00A305B3"/>
    <w:rsid w:val="00A32C40"/>
    <w:rsid w:val="00A3325A"/>
    <w:rsid w:val="00A40427"/>
    <w:rsid w:val="00A4094A"/>
    <w:rsid w:val="00A426B6"/>
    <w:rsid w:val="00A426BE"/>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560"/>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6604"/>
    <w:rsid w:val="00AE76CB"/>
    <w:rsid w:val="00AF108A"/>
    <w:rsid w:val="00AF10F5"/>
    <w:rsid w:val="00AF1393"/>
    <w:rsid w:val="00AF27B4"/>
    <w:rsid w:val="00AF5D31"/>
    <w:rsid w:val="00AF6DD8"/>
    <w:rsid w:val="00B01831"/>
    <w:rsid w:val="00B0269C"/>
    <w:rsid w:val="00B02E55"/>
    <w:rsid w:val="00B03527"/>
    <w:rsid w:val="00B0389A"/>
    <w:rsid w:val="00B0538C"/>
    <w:rsid w:val="00B05610"/>
    <w:rsid w:val="00B06D4E"/>
    <w:rsid w:val="00B119ED"/>
    <w:rsid w:val="00B11A62"/>
    <w:rsid w:val="00B14C5C"/>
    <w:rsid w:val="00B14C68"/>
    <w:rsid w:val="00B14DDE"/>
    <w:rsid w:val="00B157D0"/>
    <w:rsid w:val="00B15EF3"/>
    <w:rsid w:val="00B17751"/>
    <w:rsid w:val="00B17DE0"/>
    <w:rsid w:val="00B211E9"/>
    <w:rsid w:val="00B22A36"/>
    <w:rsid w:val="00B265EB"/>
    <w:rsid w:val="00B27031"/>
    <w:rsid w:val="00B307EC"/>
    <w:rsid w:val="00B31F24"/>
    <w:rsid w:val="00B32429"/>
    <w:rsid w:val="00B341DA"/>
    <w:rsid w:val="00B44CE2"/>
    <w:rsid w:val="00B453BB"/>
    <w:rsid w:val="00B50B39"/>
    <w:rsid w:val="00B53A23"/>
    <w:rsid w:val="00B54BE5"/>
    <w:rsid w:val="00B5565A"/>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38C1"/>
    <w:rsid w:val="00B847E6"/>
    <w:rsid w:val="00B854AD"/>
    <w:rsid w:val="00B86D83"/>
    <w:rsid w:val="00B87486"/>
    <w:rsid w:val="00B909E1"/>
    <w:rsid w:val="00B91264"/>
    <w:rsid w:val="00B94316"/>
    <w:rsid w:val="00B956ED"/>
    <w:rsid w:val="00B95E5A"/>
    <w:rsid w:val="00B96E71"/>
    <w:rsid w:val="00B97C95"/>
    <w:rsid w:val="00BA02F9"/>
    <w:rsid w:val="00BA164A"/>
    <w:rsid w:val="00BA30D0"/>
    <w:rsid w:val="00BA31F9"/>
    <w:rsid w:val="00BA3317"/>
    <w:rsid w:val="00BA3FDA"/>
    <w:rsid w:val="00BA4313"/>
    <w:rsid w:val="00BA4784"/>
    <w:rsid w:val="00BA478F"/>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066A3"/>
    <w:rsid w:val="00C130C8"/>
    <w:rsid w:val="00C13168"/>
    <w:rsid w:val="00C13F60"/>
    <w:rsid w:val="00C14404"/>
    <w:rsid w:val="00C1480F"/>
    <w:rsid w:val="00C17D6A"/>
    <w:rsid w:val="00C203C9"/>
    <w:rsid w:val="00C21776"/>
    <w:rsid w:val="00C22E43"/>
    <w:rsid w:val="00C23238"/>
    <w:rsid w:val="00C235DF"/>
    <w:rsid w:val="00C2539E"/>
    <w:rsid w:val="00C278DE"/>
    <w:rsid w:val="00C2796B"/>
    <w:rsid w:val="00C3004B"/>
    <w:rsid w:val="00C31F4C"/>
    <w:rsid w:val="00C3209A"/>
    <w:rsid w:val="00C32ADC"/>
    <w:rsid w:val="00C35755"/>
    <w:rsid w:val="00C41156"/>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0F44"/>
    <w:rsid w:val="00CB2154"/>
    <w:rsid w:val="00CB35D9"/>
    <w:rsid w:val="00CB469C"/>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E51D9"/>
    <w:rsid w:val="00CF0BB4"/>
    <w:rsid w:val="00CF1333"/>
    <w:rsid w:val="00CF1BB4"/>
    <w:rsid w:val="00CF2FF8"/>
    <w:rsid w:val="00CF3F6B"/>
    <w:rsid w:val="00CF4851"/>
    <w:rsid w:val="00CF58B7"/>
    <w:rsid w:val="00CF58D0"/>
    <w:rsid w:val="00CF5DD6"/>
    <w:rsid w:val="00D0069F"/>
    <w:rsid w:val="00D007C0"/>
    <w:rsid w:val="00D05493"/>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556"/>
    <w:rsid w:val="00D46BC7"/>
    <w:rsid w:val="00D47082"/>
    <w:rsid w:val="00D51245"/>
    <w:rsid w:val="00D532B8"/>
    <w:rsid w:val="00D54B6F"/>
    <w:rsid w:val="00D54E73"/>
    <w:rsid w:val="00D575A3"/>
    <w:rsid w:val="00D613A6"/>
    <w:rsid w:val="00D617A6"/>
    <w:rsid w:val="00D650EA"/>
    <w:rsid w:val="00D729D1"/>
    <w:rsid w:val="00D72C40"/>
    <w:rsid w:val="00D737C5"/>
    <w:rsid w:val="00D73835"/>
    <w:rsid w:val="00D76F5A"/>
    <w:rsid w:val="00D7722A"/>
    <w:rsid w:val="00D80B1B"/>
    <w:rsid w:val="00D82293"/>
    <w:rsid w:val="00D8405B"/>
    <w:rsid w:val="00D84E7D"/>
    <w:rsid w:val="00D858C4"/>
    <w:rsid w:val="00D85C3A"/>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488C"/>
    <w:rsid w:val="00DE5EE7"/>
    <w:rsid w:val="00DF1EC1"/>
    <w:rsid w:val="00DF343E"/>
    <w:rsid w:val="00DF420B"/>
    <w:rsid w:val="00DF67C3"/>
    <w:rsid w:val="00DF6CEB"/>
    <w:rsid w:val="00E0098A"/>
    <w:rsid w:val="00E009D9"/>
    <w:rsid w:val="00E027D1"/>
    <w:rsid w:val="00E03F71"/>
    <w:rsid w:val="00E045EE"/>
    <w:rsid w:val="00E05AB5"/>
    <w:rsid w:val="00E06ED0"/>
    <w:rsid w:val="00E1082D"/>
    <w:rsid w:val="00E130CB"/>
    <w:rsid w:val="00E14934"/>
    <w:rsid w:val="00E172BE"/>
    <w:rsid w:val="00E2160E"/>
    <w:rsid w:val="00E24E02"/>
    <w:rsid w:val="00E25210"/>
    <w:rsid w:val="00E255EC"/>
    <w:rsid w:val="00E25895"/>
    <w:rsid w:val="00E30CA9"/>
    <w:rsid w:val="00E34A54"/>
    <w:rsid w:val="00E405E1"/>
    <w:rsid w:val="00E408AB"/>
    <w:rsid w:val="00E41E68"/>
    <w:rsid w:val="00E43B2D"/>
    <w:rsid w:val="00E460A6"/>
    <w:rsid w:val="00E50CB6"/>
    <w:rsid w:val="00E51920"/>
    <w:rsid w:val="00E53A58"/>
    <w:rsid w:val="00E542FA"/>
    <w:rsid w:val="00E54D26"/>
    <w:rsid w:val="00E56490"/>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A5807"/>
    <w:rsid w:val="00EB2FE6"/>
    <w:rsid w:val="00EB3CD8"/>
    <w:rsid w:val="00EB5258"/>
    <w:rsid w:val="00EB6F5F"/>
    <w:rsid w:val="00EC7278"/>
    <w:rsid w:val="00ED07B2"/>
    <w:rsid w:val="00ED246E"/>
    <w:rsid w:val="00ED379C"/>
    <w:rsid w:val="00ED4D08"/>
    <w:rsid w:val="00ED5834"/>
    <w:rsid w:val="00ED6AAF"/>
    <w:rsid w:val="00ED6F53"/>
    <w:rsid w:val="00EE065C"/>
    <w:rsid w:val="00EE093B"/>
    <w:rsid w:val="00EE34DF"/>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0712"/>
    <w:rsid w:val="00F22278"/>
    <w:rsid w:val="00F2277C"/>
    <w:rsid w:val="00F24175"/>
    <w:rsid w:val="00F25246"/>
    <w:rsid w:val="00F307D6"/>
    <w:rsid w:val="00F31A8E"/>
    <w:rsid w:val="00F32C2D"/>
    <w:rsid w:val="00F33108"/>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2CF4"/>
    <w:rsid w:val="00F53495"/>
    <w:rsid w:val="00F559F9"/>
    <w:rsid w:val="00F56168"/>
    <w:rsid w:val="00F561EE"/>
    <w:rsid w:val="00F63D66"/>
    <w:rsid w:val="00F64504"/>
    <w:rsid w:val="00F6458C"/>
    <w:rsid w:val="00F6478A"/>
    <w:rsid w:val="00F656C3"/>
    <w:rsid w:val="00F6661C"/>
    <w:rsid w:val="00F6682D"/>
    <w:rsid w:val="00F701C7"/>
    <w:rsid w:val="00F7531F"/>
    <w:rsid w:val="00F75B77"/>
    <w:rsid w:val="00F762D8"/>
    <w:rsid w:val="00F7721E"/>
    <w:rsid w:val="00F77823"/>
    <w:rsid w:val="00F77F03"/>
    <w:rsid w:val="00F77FD4"/>
    <w:rsid w:val="00F8003F"/>
    <w:rsid w:val="00F80084"/>
    <w:rsid w:val="00F81C15"/>
    <w:rsid w:val="00F82391"/>
    <w:rsid w:val="00F8333E"/>
    <w:rsid w:val="00F858CA"/>
    <w:rsid w:val="00F87E9D"/>
    <w:rsid w:val="00F9034E"/>
    <w:rsid w:val="00F916DC"/>
    <w:rsid w:val="00F94BD6"/>
    <w:rsid w:val="00F95434"/>
    <w:rsid w:val="00F958CC"/>
    <w:rsid w:val="00F97183"/>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2CE"/>
    <w:rsid w:val="00FD05BA"/>
    <w:rsid w:val="00FD0638"/>
    <w:rsid w:val="00FD0AFD"/>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 w:val="00FF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customStyle="1" w:styleId="UnresolvedMention1">
    <w:name w:val="Unresolved Mention1"/>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AE6604"/>
    <w:rPr>
      <w:sz w:val="20"/>
      <w:szCs w:val="20"/>
    </w:rPr>
  </w:style>
  <w:style w:type="character" w:customStyle="1" w:styleId="EndnoteTextChar">
    <w:name w:val="Endnote Text Char"/>
    <w:basedOn w:val="DefaultParagraphFont"/>
    <w:link w:val="EndnoteText"/>
    <w:semiHidden/>
    <w:rsid w:val="00AE6604"/>
    <w:rPr>
      <w:lang w:eastAsia="en-US"/>
    </w:rPr>
  </w:style>
  <w:style w:type="character" w:customStyle="1" w:styleId="UnresolvedMention2">
    <w:name w:val="Unresolved Mention2"/>
    <w:basedOn w:val="DefaultParagraphFont"/>
    <w:uiPriority w:val="99"/>
    <w:semiHidden/>
    <w:unhideWhenUsed/>
    <w:rsid w:val="00843532"/>
    <w:rPr>
      <w:color w:val="605E5C"/>
      <w:shd w:val="clear" w:color="auto" w:fill="E1DFDD"/>
    </w:rPr>
  </w:style>
  <w:style w:type="character" w:customStyle="1" w:styleId="UnresolvedMention3">
    <w:name w:val="Unresolved Mention3"/>
    <w:basedOn w:val="DefaultParagraphFont"/>
    <w:uiPriority w:val="99"/>
    <w:semiHidden/>
    <w:unhideWhenUsed/>
    <w:rsid w:val="00D72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36470023">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531190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2397861">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nice.org.uk/guidance/qs9" TargetMode="External"/><Relationship Id="rId2" Type="http://schemas.openxmlformats.org/officeDocument/2006/relationships/hyperlink" Target="https://www.nice.org.uk/guidance/qs99" TargetMode="External"/><Relationship Id="rId1" Type="http://schemas.openxmlformats.org/officeDocument/2006/relationships/hyperlink" Target="https://www.nice.org.uk/Guidance/NG185" TargetMode="External"/><Relationship Id="rId4" Type="http://schemas.openxmlformats.org/officeDocument/2006/relationships/hyperlink" Target="https://www.nice.org.uk/guidance/ng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8499C-7B0E-4EF0-8568-18156E90B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2022-02-28T14:07:00Z</dcterms:created>
  <dcterms:modified xsi:type="dcterms:W3CDTF">2022-03-16T21:10:00Z</dcterms:modified>
</cp:coreProperties>
</file>