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B3888" w14:textId="77777777" w:rsidR="00C75B05" w:rsidRPr="00C75B05" w:rsidRDefault="00C75B05" w:rsidP="00C75B05">
      <w:pPr>
        <w:jc w:val="center"/>
        <w:rPr>
          <w:b/>
          <w:bCs/>
          <w:sz w:val="28"/>
          <w:szCs w:val="28"/>
        </w:rPr>
      </w:pPr>
      <w:r w:rsidRPr="00C75B05">
        <w:rPr>
          <w:b/>
          <w:bCs/>
          <w:sz w:val="28"/>
          <w:szCs w:val="28"/>
        </w:rPr>
        <w:t>NHS Digital</w:t>
      </w:r>
    </w:p>
    <w:p w14:paraId="2DE02DB9" w14:textId="3FFE8A44" w:rsidR="00C75B05" w:rsidRPr="00C75B05" w:rsidRDefault="00C75B05" w:rsidP="00C75B05">
      <w:pPr>
        <w:jc w:val="center"/>
        <w:rPr>
          <w:b/>
          <w:bCs/>
          <w:sz w:val="28"/>
          <w:szCs w:val="28"/>
        </w:rPr>
      </w:pPr>
      <w:r w:rsidRPr="00C75B05">
        <w:rPr>
          <w:b/>
          <w:bCs/>
          <w:sz w:val="28"/>
          <w:szCs w:val="28"/>
        </w:rPr>
        <w:t>Indicator Supporting Documentation</w:t>
      </w:r>
    </w:p>
    <w:p w14:paraId="0C46E0F6" w14:textId="74E65A24" w:rsidR="00C75B05" w:rsidRPr="00CE7846" w:rsidRDefault="00C75B05" w:rsidP="00C75B05">
      <w:pPr>
        <w:jc w:val="center"/>
        <w:rPr>
          <w:b/>
          <w:bCs/>
          <w:sz w:val="28"/>
          <w:szCs w:val="28"/>
        </w:rPr>
      </w:pPr>
      <w:r w:rsidRPr="00C75B05">
        <w:rPr>
          <w:b/>
          <w:bCs/>
          <w:sz w:val="28"/>
          <w:szCs w:val="28"/>
        </w:rPr>
        <w:t>IAP00</w:t>
      </w:r>
      <w:r w:rsidR="00CE7846">
        <w:rPr>
          <w:b/>
          <w:bCs/>
          <w:sz w:val="28"/>
          <w:szCs w:val="28"/>
        </w:rPr>
        <w:t>440</w:t>
      </w:r>
      <w:r w:rsidRPr="00C75B05">
        <w:rPr>
          <w:b/>
          <w:bCs/>
          <w:sz w:val="28"/>
          <w:szCs w:val="28"/>
        </w:rPr>
        <w:t xml:space="preserve"> </w:t>
      </w:r>
      <w:r w:rsidR="00CE7846" w:rsidRPr="00CE7846">
        <w:rPr>
          <w:b/>
          <w:bCs/>
          <w:sz w:val="28"/>
          <w:szCs w:val="28"/>
        </w:rPr>
        <w:t>People with urgent GP referral having first definitive treatment for cancer within 62 days</w:t>
      </w:r>
    </w:p>
    <w:p w14:paraId="08C28F2C" w14:textId="1630ED2D" w:rsidR="00C75B05" w:rsidRPr="00C75B05" w:rsidRDefault="00C75B05"/>
    <w:tbl>
      <w:tblPr>
        <w:tblStyle w:val="TableGrid"/>
        <w:tblW w:w="0" w:type="auto"/>
        <w:tblLook w:val="04A0" w:firstRow="1" w:lastRow="0" w:firstColumn="1" w:lastColumn="0" w:noHBand="0" w:noVBand="1"/>
      </w:tblPr>
      <w:tblGrid>
        <w:gridCol w:w="2689"/>
        <w:gridCol w:w="6327"/>
      </w:tblGrid>
      <w:tr w:rsidR="00C75B05" w:rsidRPr="00C75B05" w14:paraId="3DC34054" w14:textId="77777777" w:rsidTr="00C75B05">
        <w:tc>
          <w:tcPr>
            <w:tcW w:w="2689" w:type="dxa"/>
          </w:tcPr>
          <w:p w14:paraId="3C98652B" w14:textId="09291977" w:rsidR="00C75B05" w:rsidRPr="00C75B05" w:rsidRDefault="00C75B05" w:rsidP="00C75B05">
            <w:pPr>
              <w:rPr>
                <w:b/>
                <w:bCs/>
              </w:rPr>
            </w:pPr>
            <w:r w:rsidRPr="00C75B05">
              <w:t>IAP Code</w:t>
            </w:r>
          </w:p>
        </w:tc>
        <w:tc>
          <w:tcPr>
            <w:tcW w:w="6327" w:type="dxa"/>
          </w:tcPr>
          <w:p w14:paraId="3D6DF0FF" w14:textId="3D9CA3A3" w:rsidR="00C75B05" w:rsidRPr="00C75B05" w:rsidRDefault="00C75B05" w:rsidP="00C75B05">
            <w:pPr>
              <w:rPr>
                <w:b/>
                <w:bCs/>
              </w:rPr>
            </w:pPr>
            <w:r w:rsidRPr="00C75B05">
              <w:t>IAP00440</w:t>
            </w:r>
          </w:p>
        </w:tc>
      </w:tr>
      <w:tr w:rsidR="00C75B05" w:rsidRPr="00C75B05" w14:paraId="6B522D93" w14:textId="77777777" w:rsidTr="00C75B05">
        <w:tc>
          <w:tcPr>
            <w:tcW w:w="2689" w:type="dxa"/>
          </w:tcPr>
          <w:p w14:paraId="06879A41" w14:textId="3D3E7FED" w:rsidR="00C75B05" w:rsidRPr="00C75B05" w:rsidRDefault="00C75B05" w:rsidP="00C75B05">
            <w:pPr>
              <w:rPr>
                <w:b/>
                <w:bCs/>
              </w:rPr>
            </w:pPr>
            <w:r w:rsidRPr="00C75B05">
              <w:t>Title</w:t>
            </w:r>
          </w:p>
        </w:tc>
        <w:tc>
          <w:tcPr>
            <w:tcW w:w="6327" w:type="dxa"/>
          </w:tcPr>
          <w:p w14:paraId="1B356AE2" w14:textId="21BE8D87" w:rsidR="00C75B05" w:rsidRPr="00C75B05" w:rsidRDefault="00C75B05" w:rsidP="00C75B05">
            <w:pPr>
              <w:rPr>
                <w:b/>
                <w:bCs/>
              </w:rPr>
            </w:pPr>
            <w:r w:rsidRPr="00C75B05">
              <w:t>People with urgent GP referral having first definitive treatment for cancer within 62 days of referral</w:t>
            </w:r>
          </w:p>
        </w:tc>
      </w:tr>
      <w:tr w:rsidR="00C75B05" w:rsidRPr="00C75B05" w14:paraId="1982D3B9" w14:textId="77777777" w:rsidTr="00C75B05">
        <w:tc>
          <w:tcPr>
            <w:tcW w:w="2689" w:type="dxa"/>
          </w:tcPr>
          <w:p w14:paraId="4AAB5990" w14:textId="26483322" w:rsidR="00C75B05" w:rsidRPr="00C75B05" w:rsidRDefault="00C75B05" w:rsidP="00C75B05">
            <w:pPr>
              <w:rPr>
                <w:b/>
                <w:bCs/>
              </w:rPr>
            </w:pPr>
            <w:r w:rsidRPr="00C75B05">
              <w:t>Published by</w:t>
            </w:r>
          </w:p>
        </w:tc>
        <w:tc>
          <w:tcPr>
            <w:tcW w:w="6327" w:type="dxa"/>
          </w:tcPr>
          <w:p w14:paraId="2A97B837" w14:textId="3ADE76F2" w:rsidR="00C75B05" w:rsidRPr="00C75B05" w:rsidRDefault="00C75B05" w:rsidP="00C75B05">
            <w:pPr>
              <w:rPr>
                <w:b/>
                <w:bCs/>
              </w:rPr>
            </w:pPr>
            <w:r w:rsidRPr="00C75B05">
              <w:t>NHS England</w:t>
            </w:r>
          </w:p>
        </w:tc>
      </w:tr>
      <w:tr w:rsidR="00C75B05" w:rsidRPr="00C75B05" w14:paraId="4E647EAA" w14:textId="77777777" w:rsidTr="00C75B05">
        <w:tc>
          <w:tcPr>
            <w:tcW w:w="2689" w:type="dxa"/>
          </w:tcPr>
          <w:p w14:paraId="4B012D75" w14:textId="0385E25B" w:rsidR="00C75B05" w:rsidRPr="00C75B05" w:rsidRDefault="00C75B05" w:rsidP="00C75B05">
            <w:pPr>
              <w:rPr>
                <w:b/>
                <w:bCs/>
              </w:rPr>
            </w:pPr>
            <w:r w:rsidRPr="00C75B05">
              <w:t>Reporting period</w:t>
            </w:r>
          </w:p>
        </w:tc>
        <w:tc>
          <w:tcPr>
            <w:tcW w:w="6327" w:type="dxa"/>
          </w:tcPr>
          <w:p w14:paraId="0739C5C3" w14:textId="424978A0" w:rsidR="00C75B05" w:rsidRPr="00C75B05" w:rsidRDefault="00C75B05" w:rsidP="00C75B05">
            <w:pPr>
              <w:rPr>
                <w:b/>
                <w:bCs/>
              </w:rPr>
            </w:pPr>
            <w:r w:rsidRPr="00C75B05">
              <w:t>Quarterly</w:t>
            </w:r>
          </w:p>
        </w:tc>
      </w:tr>
      <w:tr w:rsidR="00C75B05" w:rsidRPr="00C75B05" w14:paraId="312B99D6" w14:textId="77777777" w:rsidTr="00C75B05">
        <w:tc>
          <w:tcPr>
            <w:tcW w:w="2689" w:type="dxa"/>
          </w:tcPr>
          <w:p w14:paraId="005C1BC6" w14:textId="17A57B7A" w:rsidR="00C75B05" w:rsidRPr="00C75B05" w:rsidRDefault="00C75B05" w:rsidP="00C75B05">
            <w:pPr>
              <w:rPr>
                <w:b/>
                <w:bCs/>
              </w:rPr>
            </w:pPr>
            <w:r w:rsidRPr="00C75B05">
              <w:t>Geographical Coverage</w:t>
            </w:r>
          </w:p>
        </w:tc>
        <w:tc>
          <w:tcPr>
            <w:tcW w:w="6327" w:type="dxa"/>
          </w:tcPr>
          <w:p w14:paraId="68A23080" w14:textId="427EB9A2" w:rsidR="00C75B05" w:rsidRPr="00C75B05" w:rsidRDefault="00C75B05" w:rsidP="00C75B05">
            <w:pPr>
              <w:rPr>
                <w:b/>
                <w:bCs/>
              </w:rPr>
            </w:pPr>
            <w:r w:rsidRPr="00C75B05">
              <w:t>England</w:t>
            </w:r>
            <w:bookmarkStart w:id="0" w:name="_GoBack"/>
            <w:bookmarkEnd w:id="0"/>
          </w:p>
        </w:tc>
      </w:tr>
      <w:tr w:rsidR="00C75B05" w:rsidRPr="00C75B05" w14:paraId="7CCF02F1" w14:textId="77777777" w:rsidTr="00C75B05">
        <w:tc>
          <w:tcPr>
            <w:tcW w:w="2689" w:type="dxa"/>
          </w:tcPr>
          <w:p w14:paraId="70B967DA" w14:textId="12A44C2E" w:rsidR="00C75B05" w:rsidRPr="00C75B05" w:rsidRDefault="00C75B05" w:rsidP="00C75B05">
            <w:pPr>
              <w:rPr>
                <w:b/>
                <w:bCs/>
              </w:rPr>
            </w:pPr>
            <w:r w:rsidRPr="00C75B05">
              <w:t>Reporting level(s)</w:t>
            </w:r>
          </w:p>
        </w:tc>
        <w:tc>
          <w:tcPr>
            <w:tcW w:w="6327" w:type="dxa"/>
          </w:tcPr>
          <w:p w14:paraId="13D2107B" w14:textId="440B2966" w:rsidR="00C75B05" w:rsidRPr="00C75B05" w:rsidRDefault="00C75B05" w:rsidP="00C75B05">
            <w:pPr>
              <w:rPr>
                <w:b/>
                <w:bCs/>
              </w:rPr>
            </w:pPr>
            <w:r w:rsidRPr="00C75B05">
              <w:t>England, CCG</w:t>
            </w:r>
          </w:p>
        </w:tc>
      </w:tr>
      <w:tr w:rsidR="00C75B05" w:rsidRPr="00C75B05" w14:paraId="59FEEB90" w14:textId="77777777" w:rsidTr="00C75B05">
        <w:tc>
          <w:tcPr>
            <w:tcW w:w="2689" w:type="dxa"/>
          </w:tcPr>
          <w:p w14:paraId="2CB0C399" w14:textId="7B3FF9BB" w:rsidR="00C75B05" w:rsidRPr="00C75B05" w:rsidRDefault="00C75B05" w:rsidP="00C75B05">
            <w:pPr>
              <w:rPr>
                <w:b/>
                <w:bCs/>
              </w:rPr>
            </w:pPr>
            <w:r w:rsidRPr="00C75B05">
              <w:t>Based on data from</w:t>
            </w:r>
          </w:p>
        </w:tc>
        <w:tc>
          <w:tcPr>
            <w:tcW w:w="6327" w:type="dxa"/>
          </w:tcPr>
          <w:p w14:paraId="144C9BBA" w14:textId="605C664E" w:rsidR="00C75B05" w:rsidRPr="00C75B05" w:rsidRDefault="00C75B05" w:rsidP="00C75B05">
            <w:pPr>
              <w:rPr>
                <w:b/>
                <w:bCs/>
              </w:rPr>
            </w:pPr>
            <w:r w:rsidRPr="00C75B05">
              <w:t>Cancer Waiting Times Database (CWT-Db)</w:t>
            </w:r>
          </w:p>
        </w:tc>
      </w:tr>
      <w:tr w:rsidR="00C75B05" w:rsidRPr="00C75B05" w14:paraId="3B80CF96" w14:textId="77777777" w:rsidTr="00C75B05">
        <w:tc>
          <w:tcPr>
            <w:tcW w:w="2689" w:type="dxa"/>
          </w:tcPr>
          <w:p w14:paraId="239FC79C" w14:textId="53CDA36A" w:rsidR="00C75B05" w:rsidRPr="00C75B05" w:rsidRDefault="00C75B05" w:rsidP="00C75B05">
            <w:pPr>
              <w:rPr>
                <w:b/>
                <w:bCs/>
              </w:rPr>
            </w:pPr>
            <w:r w:rsidRPr="00C75B05">
              <w:t>Contact Author Name</w:t>
            </w:r>
          </w:p>
        </w:tc>
        <w:tc>
          <w:tcPr>
            <w:tcW w:w="6327" w:type="dxa"/>
          </w:tcPr>
          <w:p w14:paraId="43B96C69" w14:textId="1302F4A0" w:rsidR="00C75B05" w:rsidRPr="00C75B05" w:rsidRDefault="00C75B05" w:rsidP="00C75B05">
            <w:pPr>
              <w:rPr>
                <w:b/>
                <w:bCs/>
              </w:rPr>
            </w:pPr>
            <w:r w:rsidRPr="00C75B05">
              <w:t xml:space="preserve">Rafael </w:t>
            </w:r>
            <w:proofErr w:type="spellStart"/>
            <w:r w:rsidRPr="00C75B05">
              <w:t>Goriwoda</w:t>
            </w:r>
            <w:proofErr w:type="spellEnd"/>
            <w:r w:rsidRPr="00C75B05">
              <w:t xml:space="preserve"> (Senior Analytical Manager, Medical and Nursing Analytical Unit, NHS England)</w:t>
            </w:r>
          </w:p>
        </w:tc>
      </w:tr>
      <w:tr w:rsidR="00C75B05" w:rsidRPr="00C75B05" w14:paraId="36530E4C" w14:textId="77777777" w:rsidTr="00C75B05">
        <w:tc>
          <w:tcPr>
            <w:tcW w:w="2689" w:type="dxa"/>
          </w:tcPr>
          <w:p w14:paraId="1CE82F09" w14:textId="736F4CCD" w:rsidR="00C75B05" w:rsidRPr="00C75B05" w:rsidRDefault="00C75B05" w:rsidP="00C75B05">
            <w:pPr>
              <w:rPr>
                <w:b/>
                <w:bCs/>
              </w:rPr>
            </w:pPr>
            <w:r w:rsidRPr="00C75B05">
              <w:t>Contact Author Email</w:t>
            </w:r>
          </w:p>
        </w:tc>
        <w:tc>
          <w:tcPr>
            <w:tcW w:w="6327" w:type="dxa"/>
          </w:tcPr>
          <w:p w14:paraId="126135A1" w14:textId="0FE25AE6" w:rsidR="00C75B05" w:rsidRPr="00C75B05" w:rsidRDefault="00C75B05" w:rsidP="00C75B05">
            <w:pPr>
              <w:rPr>
                <w:b/>
                <w:bCs/>
              </w:rPr>
            </w:pPr>
            <w:r w:rsidRPr="00C75B05">
              <w:t>Rafael.Goriwoda@nhs.net</w:t>
            </w:r>
          </w:p>
        </w:tc>
      </w:tr>
      <w:tr w:rsidR="00C75B05" w:rsidRPr="00C75B05" w14:paraId="77035EDE" w14:textId="77777777" w:rsidTr="00C75B05">
        <w:tc>
          <w:tcPr>
            <w:tcW w:w="2689" w:type="dxa"/>
          </w:tcPr>
          <w:p w14:paraId="043ABA62" w14:textId="79C5D7EF" w:rsidR="00C75B05" w:rsidRPr="00C75B05" w:rsidRDefault="00C75B05" w:rsidP="00C75B05">
            <w:pPr>
              <w:rPr>
                <w:b/>
                <w:bCs/>
              </w:rPr>
            </w:pPr>
            <w:r w:rsidRPr="00C75B05">
              <w:t>Rating</w:t>
            </w:r>
          </w:p>
        </w:tc>
        <w:tc>
          <w:tcPr>
            <w:tcW w:w="6327" w:type="dxa"/>
          </w:tcPr>
          <w:p w14:paraId="5C0CED95" w14:textId="35F9D660" w:rsidR="00C75B05" w:rsidRPr="00C75B05" w:rsidRDefault="00C75B05" w:rsidP="00C75B05">
            <w:pPr>
              <w:rPr>
                <w:b/>
                <w:bCs/>
              </w:rPr>
            </w:pPr>
            <w:r w:rsidRPr="00C75B05">
              <w:t>Fit for Use with Caveats</w:t>
            </w:r>
          </w:p>
        </w:tc>
      </w:tr>
      <w:tr w:rsidR="00C75B05" w:rsidRPr="00C75B05" w14:paraId="62CC7807" w14:textId="77777777" w:rsidTr="00C75B05">
        <w:tc>
          <w:tcPr>
            <w:tcW w:w="2689" w:type="dxa"/>
          </w:tcPr>
          <w:p w14:paraId="73322EFF" w14:textId="4CA1DFBD" w:rsidR="00C75B05" w:rsidRPr="00C75B05" w:rsidRDefault="00C75B05" w:rsidP="00C75B05">
            <w:pPr>
              <w:rPr>
                <w:b/>
                <w:bCs/>
              </w:rPr>
            </w:pPr>
            <w:r w:rsidRPr="00C75B05">
              <w:t>Assurance date</w:t>
            </w:r>
          </w:p>
        </w:tc>
        <w:tc>
          <w:tcPr>
            <w:tcW w:w="6327" w:type="dxa"/>
          </w:tcPr>
          <w:p w14:paraId="6741CFC4" w14:textId="79113EB5" w:rsidR="00C75B05" w:rsidRPr="00C75B05" w:rsidRDefault="00C75B05" w:rsidP="00C75B05">
            <w:pPr>
              <w:rPr>
                <w:b/>
                <w:bCs/>
              </w:rPr>
            </w:pPr>
            <w:r w:rsidRPr="00C75B05">
              <w:t>04/10/2017</w:t>
            </w:r>
          </w:p>
        </w:tc>
      </w:tr>
      <w:tr w:rsidR="00C75B05" w:rsidRPr="00C75B05" w14:paraId="6E57E037" w14:textId="77777777" w:rsidTr="00C75B05">
        <w:tc>
          <w:tcPr>
            <w:tcW w:w="2689" w:type="dxa"/>
          </w:tcPr>
          <w:p w14:paraId="19571043" w14:textId="259F98EC" w:rsidR="00C75B05" w:rsidRPr="00C75B05" w:rsidRDefault="00C75B05" w:rsidP="00C75B05">
            <w:pPr>
              <w:rPr>
                <w:b/>
                <w:bCs/>
              </w:rPr>
            </w:pPr>
            <w:r w:rsidRPr="00C75B05">
              <w:t>Review date</w:t>
            </w:r>
          </w:p>
        </w:tc>
        <w:tc>
          <w:tcPr>
            <w:tcW w:w="6327" w:type="dxa"/>
          </w:tcPr>
          <w:p w14:paraId="3C178BB8" w14:textId="76BA5040" w:rsidR="00C75B05" w:rsidRPr="00C75B05" w:rsidRDefault="00C75B05" w:rsidP="00C75B05">
            <w:pPr>
              <w:rPr>
                <w:b/>
                <w:bCs/>
              </w:rPr>
            </w:pPr>
            <w:r w:rsidRPr="00C75B05">
              <w:t>05/04/2018</w:t>
            </w:r>
          </w:p>
        </w:tc>
      </w:tr>
      <w:tr w:rsidR="00C75B05" w:rsidRPr="00C75B05" w14:paraId="73F5FD88" w14:textId="77777777" w:rsidTr="00C75B05">
        <w:tc>
          <w:tcPr>
            <w:tcW w:w="2689" w:type="dxa"/>
          </w:tcPr>
          <w:p w14:paraId="2AA97EDE" w14:textId="64A5A221" w:rsidR="00C75B05" w:rsidRPr="00C75B05" w:rsidRDefault="00C75B05" w:rsidP="00C75B05">
            <w:pPr>
              <w:rPr>
                <w:b/>
                <w:bCs/>
              </w:rPr>
            </w:pPr>
            <w:r w:rsidRPr="00C75B05">
              <w:t>Indicator set</w:t>
            </w:r>
          </w:p>
        </w:tc>
        <w:tc>
          <w:tcPr>
            <w:tcW w:w="6327" w:type="dxa"/>
          </w:tcPr>
          <w:p w14:paraId="4374D401" w14:textId="4149C7FF" w:rsidR="00C75B05" w:rsidRPr="00C75B05" w:rsidRDefault="00C75B05" w:rsidP="00C75B05">
            <w:pPr>
              <w:rPr>
                <w:b/>
                <w:bCs/>
              </w:rPr>
            </w:pPr>
            <w:r w:rsidRPr="00C75B05">
              <w:t>CCGIAF</w:t>
            </w:r>
          </w:p>
        </w:tc>
      </w:tr>
      <w:tr w:rsidR="00C75B05" w:rsidRPr="00C75B05" w14:paraId="4A4B16AD" w14:textId="77777777" w:rsidTr="00C75B05">
        <w:tc>
          <w:tcPr>
            <w:tcW w:w="2689" w:type="dxa"/>
          </w:tcPr>
          <w:p w14:paraId="468A4CB7" w14:textId="77777777" w:rsidR="00C75B05" w:rsidRPr="00C75B05" w:rsidRDefault="00C75B05" w:rsidP="00C75B05">
            <w:pPr>
              <w:rPr>
                <w:b/>
              </w:rPr>
            </w:pPr>
            <w:r w:rsidRPr="00C75B05">
              <w:t xml:space="preserve">Brief Description </w:t>
            </w:r>
          </w:p>
          <w:p w14:paraId="0E9AEE72" w14:textId="77777777" w:rsidR="00C75B05" w:rsidRPr="00C75B05" w:rsidRDefault="00C75B05" w:rsidP="00C75B05">
            <w:pPr>
              <w:rPr>
                <w:b/>
                <w:bCs/>
              </w:rPr>
            </w:pPr>
          </w:p>
        </w:tc>
        <w:tc>
          <w:tcPr>
            <w:tcW w:w="6327" w:type="dxa"/>
          </w:tcPr>
          <w:p w14:paraId="68BA3333" w14:textId="42ADE278" w:rsidR="00C75B05" w:rsidRPr="00C75B05" w:rsidRDefault="00C75B05" w:rsidP="00C75B05">
            <w:pPr>
              <w:rPr>
                <w:b/>
                <w:bCs/>
              </w:rPr>
            </w:pPr>
            <w:r w:rsidRPr="00C75B05">
              <w:t>Measures the proportion of people who were treated following an urgent GP referral for suspected cancer, i.e. those referred with the expectation to be seen by a specialist within two weeks, who began their first definitive treatment within 62 days of referral.</w:t>
            </w:r>
          </w:p>
        </w:tc>
      </w:tr>
      <w:tr w:rsidR="00C75B05" w:rsidRPr="00C75B05" w14:paraId="71AF0E47" w14:textId="77777777" w:rsidTr="00C75B05">
        <w:tc>
          <w:tcPr>
            <w:tcW w:w="2689" w:type="dxa"/>
          </w:tcPr>
          <w:p w14:paraId="57403576" w14:textId="0963450A" w:rsidR="00C75B05" w:rsidRPr="00C75B05" w:rsidRDefault="00C75B05" w:rsidP="00C75B05">
            <w:r w:rsidRPr="00C75B05">
              <w:t>Purpose</w:t>
            </w:r>
          </w:p>
        </w:tc>
        <w:tc>
          <w:tcPr>
            <w:tcW w:w="6327" w:type="dxa"/>
          </w:tcPr>
          <w:p w14:paraId="405C398B" w14:textId="77777777" w:rsidR="00C75B05" w:rsidRPr="00C75B05" w:rsidRDefault="00C75B05" w:rsidP="00C75B05">
            <w:r w:rsidRPr="00C75B05">
              <w:t>To ensure CCGs achieve and maintain the constitutional standard for waiting times from urgent GP referral for suspected cancer to first definitive treatment, all patients should receive high-quality care without any unnecessary delay. Shorter waiting times can lead to earlier diagnosis, quicker treatment, a lower risk of complications, enhanced patient experience and improved cancer outcomes. Shorter waiting times can also help to ease patient anxiety and improve experience.</w:t>
            </w:r>
          </w:p>
          <w:p w14:paraId="2D186A15" w14:textId="77777777" w:rsidR="00C75B05" w:rsidRPr="00C75B05" w:rsidRDefault="00C75B05" w:rsidP="00C75B05"/>
          <w:p w14:paraId="554FCE6D" w14:textId="1CAA6047" w:rsidR="00C75B05" w:rsidRPr="00C75B05" w:rsidRDefault="00C75B05" w:rsidP="00C75B05">
            <w:r w:rsidRPr="00C75B05">
              <w:t>The indicator is a core delivery indicator that spans the whole pathway from referral to first treatment covering the length of time from urgent GP referral, first outpatient appointment, decision to treat and finally first definitive treatment. It will be used as part of a set of indicators to assess CCG performance on cancer (one of 6 clinical priority areas).</w:t>
            </w:r>
          </w:p>
        </w:tc>
      </w:tr>
      <w:tr w:rsidR="00C75B05" w:rsidRPr="00C75B05" w14:paraId="25A514A7" w14:textId="77777777" w:rsidTr="00C75B05">
        <w:tc>
          <w:tcPr>
            <w:tcW w:w="2689" w:type="dxa"/>
          </w:tcPr>
          <w:p w14:paraId="0B54CEB8" w14:textId="4F3C438E" w:rsidR="00C75B05" w:rsidRPr="00C75B05" w:rsidRDefault="00C75B05" w:rsidP="00C75B05">
            <w:r w:rsidRPr="00C75B05">
              <w:t>Definition</w:t>
            </w:r>
          </w:p>
        </w:tc>
        <w:tc>
          <w:tcPr>
            <w:tcW w:w="6327" w:type="dxa"/>
          </w:tcPr>
          <w:p w14:paraId="55F88E87" w14:textId="77777777" w:rsidR="00C75B05" w:rsidRPr="00C75B05" w:rsidRDefault="00C75B05" w:rsidP="00C75B05">
            <w:r w:rsidRPr="00C75B05">
              <w:t>Overall: Measures the proportion of people who were treated following an urgent GP referral, for suspected cancer, i.e. those referred with the expectation to be seen by a specialist within two weeks, who began their first definitive treatment within 62 days of referral.</w:t>
            </w:r>
          </w:p>
          <w:p w14:paraId="3B80B91E" w14:textId="77777777" w:rsidR="00C75B05" w:rsidRPr="00C75B05" w:rsidRDefault="00C75B05" w:rsidP="00C75B05"/>
          <w:p w14:paraId="544A9933" w14:textId="77777777" w:rsidR="00C75B05" w:rsidRPr="00C75B05" w:rsidRDefault="00C75B05" w:rsidP="00C75B05">
            <w:r w:rsidRPr="00C75B05">
              <w:t>Exclusions: Note that this means patients not recorded as beginning treatment will not be included in the indicator. This would be the case for patients who are found not to have cancer in the diagnostic test that follows the urgent referral.</w:t>
            </w:r>
          </w:p>
          <w:p w14:paraId="4CE4298B" w14:textId="77777777" w:rsidR="00C75B05" w:rsidRPr="00C75B05" w:rsidRDefault="00C75B05" w:rsidP="00C75B05"/>
          <w:p w14:paraId="681AA88A" w14:textId="77777777" w:rsidR="00C75B05" w:rsidRPr="00C75B05" w:rsidRDefault="00C75B05" w:rsidP="00C75B05">
            <w:proofErr w:type="gramStart"/>
            <w:r w:rsidRPr="00C75B05">
              <w:lastRenderedPageBreak/>
              <w:t>In particular, it</w:t>
            </w:r>
            <w:proofErr w:type="gramEnd"/>
            <w:r w:rsidRPr="00C75B05">
              <w:t xml:space="preserve"> is worth noting that patients who go directly onto a palliative pathway and receive either a palliative intervention (such as stenting) or palliative care (e.g. pain relief) will not be included in the denominator. </w:t>
            </w:r>
          </w:p>
          <w:p w14:paraId="4F8B14AD" w14:textId="61C09750" w:rsidR="00C75B05" w:rsidRPr="00C75B05" w:rsidRDefault="00C75B05" w:rsidP="00C75B05">
            <w:r w:rsidRPr="00C75B05">
              <w:t xml:space="preserve">Furthermore, patients with non-invasive cancers are excluded. </w:t>
            </w:r>
          </w:p>
        </w:tc>
      </w:tr>
      <w:tr w:rsidR="00C75B05" w:rsidRPr="00C75B05" w14:paraId="7BC3BC5E" w14:textId="77777777" w:rsidTr="00C75B05">
        <w:tc>
          <w:tcPr>
            <w:tcW w:w="2689" w:type="dxa"/>
          </w:tcPr>
          <w:p w14:paraId="48759C01" w14:textId="3479C875" w:rsidR="00C75B05" w:rsidRPr="00C75B05" w:rsidRDefault="00C75B05" w:rsidP="00C75B05">
            <w:r w:rsidRPr="00C75B05">
              <w:lastRenderedPageBreak/>
              <w:t>Data Source</w:t>
            </w:r>
          </w:p>
        </w:tc>
        <w:tc>
          <w:tcPr>
            <w:tcW w:w="6327" w:type="dxa"/>
          </w:tcPr>
          <w:p w14:paraId="62EEBC89" w14:textId="3F0BF5AA" w:rsidR="00C75B05" w:rsidRPr="00C75B05" w:rsidRDefault="00C75B05" w:rsidP="00C75B05">
            <w:r w:rsidRPr="00C75B05">
              <w:t>NHS England Statistics (</w:t>
            </w:r>
            <w:hyperlink r:id="rId8" w:history="1">
              <w:r w:rsidRPr="00C75B05">
                <w:rPr>
                  <w:rStyle w:val="Hyperlink"/>
                  <w:color w:val="auto"/>
                </w:rPr>
                <w:t>https://www.england.nhs.uk/statistics/statistical-work-areas/cancer-waiting-times/</w:t>
              </w:r>
            </w:hyperlink>
            <w:r w:rsidRPr="00C75B05">
              <w:t>), derived from Cancer Waiting Times Database (CWT-Db)</w:t>
            </w:r>
          </w:p>
        </w:tc>
      </w:tr>
      <w:tr w:rsidR="00C75B05" w:rsidRPr="00C75B05" w14:paraId="5688C2CD" w14:textId="77777777" w:rsidTr="00C75B05">
        <w:tc>
          <w:tcPr>
            <w:tcW w:w="2689" w:type="dxa"/>
          </w:tcPr>
          <w:p w14:paraId="0A74D2C3" w14:textId="5D8FCB3A" w:rsidR="00C75B05" w:rsidRPr="00C75B05" w:rsidRDefault="00C75B05" w:rsidP="00C75B05">
            <w:r w:rsidRPr="00C75B05">
              <w:t>Numerator</w:t>
            </w:r>
          </w:p>
        </w:tc>
        <w:tc>
          <w:tcPr>
            <w:tcW w:w="6327" w:type="dxa"/>
          </w:tcPr>
          <w:p w14:paraId="3EC63FC2" w14:textId="70745BF7" w:rsidR="00C75B05" w:rsidRPr="00C75B05" w:rsidRDefault="00C75B05" w:rsidP="00C75B05">
            <w:r w:rsidRPr="00C75B05">
              <w:t>The number of people with an urgent GP referral for suspected cancer who received first treatment in the quarter and where the referral to first treatment is within 62 days, by CCG.</w:t>
            </w:r>
          </w:p>
        </w:tc>
      </w:tr>
      <w:tr w:rsidR="00C75B05" w:rsidRPr="00C75B05" w14:paraId="319BB99E" w14:textId="77777777" w:rsidTr="00C75B05">
        <w:tc>
          <w:tcPr>
            <w:tcW w:w="2689" w:type="dxa"/>
          </w:tcPr>
          <w:p w14:paraId="6DCB3E51" w14:textId="3AF90226" w:rsidR="00C75B05" w:rsidRPr="00C75B05" w:rsidRDefault="00C75B05" w:rsidP="00C75B05">
            <w:r w:rsidRPr="00C75B05">
              <w:t>Denominator</w:t>
            </w:r>
          </w:p>
        </w:tc>
        <w:tc>
          <w:tcPr>
            <w:tcW w:w="6327" w:type="dxa"/>
          </w:tcPr>
          <w:p w14:paraId="2922A835" w14:textId="7DD44989" w:rsidR="00C75B05" w:rsidRPr="00C75B05" w:rsidRDefault="00C75B05" w:rsidP="00C75B05">
            <w:r w:rsidRPr="00C75B05">
              <w:t>The total number of people receiving first treatment for cancer within the quarter, who have had an urgent GP referral for suspected cancer, by CCG</w:t>
            </w:r>
          </w:p>
        </w:tc>
      </w:tr>
      <w:tr w:rsidR="00C75B05" w:rsidRPr="00C75B05" w14:paraId="24232609" w14:textId="77777777" w:rsidTr="00C75B05">
        <w:tc>
          <w:tcPr>
            <w:tcW w:w="2689" w:type="dxa"/>
          </w:tcPr>
          <w:p w14:paraId="46909621" w14:textId="541615E3" w:rsidR="00C75B05" w:rsidRPr="00C75B05" w:rsidRDefault="00C75B05" w:rsidP="00C75B05">
            <w:r w:rsidRPr="00C75B05">
              <w:t>Calculation</w:t>
            </w:r>
          </w:p>
        </w:tc>
        <w:tc>
          <w:tcPr>
            <w:tcW w:w="6327" w:type="dxa"/>
          </w:tcPr>
          <w:p w14:paraId="33DC43D6" w14:textId="6E528EE3" w:rsidR="00C75B05" w:rsidRPr="00C75B05" w:rsidRDefault="00C75B05" w:rsidP="00C75B05">
            <w:r w:rsidRPr="00C75B05">
              <w:t>100% * (Numerator/Denominator); the proportion (as a percentage) of people with an urgent GP referral for suspected cancer that began their first definitive treatment within 62 days</w:t>
            </w:r>
          </w:p>
        </w:tc>
      </w:tr>
      <w:tr w:rsidR="00C75B05" w:rsidRPr="00C75B05" w14:paraId="0CFA7198" w14:textId="77777777" w:rsidTr="00C75B05">
        <w:tc>
          <w:tcPr>
            <w:tcW w:w="2689" w:type="dxa"/>
          </w:tcPr>
          <w:p w14:paraId="0B1D9343" w14:textId="70408A1B" w:rsidR="00C75B05" w:rsidRPr="00C75B05" w:rsidRDefault="00C75B05" w:rsidP="00C75B05">
            <w:r w:rsidRPr="00C75B05">
              <w:t>Interpretation Guidelines</w:t>
            </w:r>
          </w:p>
        </w:tc>
        <w:tc>
          <w:tcPr>
            <w:tcW w:w="6327" w:type="dxa"/>
          </w:tcPr>
          <w:p w14:paraId="76FF2085" w14:textId="77777777" w:rsidR="00C75B05" w:rsidRPr="00C75B05" w:rsidRDefault="00C75B05" w:rsidP="00C75B05">
            <w:r w:rsidRPr="00C75B05">
              <w:t xml:space="preserve">A given CCG’s value indicates what percentage of patients receiving their first definitive treatment for suspected cancer following an urgent GP referral for suspected cancer did so within 62 days of that referral. CCGs are assessed against an operational standard of 85%; this makes allowance for cases where the </w:t>
            </w:r>
            <w:proofErr w:type="gramStart"/>
            <w:r w:rsidRPr="00C75B05">
              <w:t>62 day</w:t>
            </w:r>
            <w:proofErr w:type="gramEnd"/>
            <w:r w:rsidRPr="00C75B05">
              <w:t xml:space="preserve"> limit is exceeded for allowable reasons (e.g. patient chooses to delay treatment, patient is unfit for treatment or treatment within 62 days of referral is clinically inappropriate).</w:t>
            </w:r>
          </w:p>
          <w:p w14:paraId="348F921E" w14:textId="77777777" w:rsidR="00C75B05" w:rsidRPr="00C75B05" w:rsidRDefault="00C75B05" w:rsidP="00C75B05"/>
          <w:p w14:paraId="02E54FDC" w14:textId="77777777" w:rsidR="00C75B05" w:rsidRPr="00C75B05" w:rsidRDefault="00C75B05" w:rsidP="00C75B05">
            <w:r w:rsidRPr="00C75B05">
              <w:t>The measure covers only urgent GP referrals and therefore is not a comprehensive measure of all referral routes which are ultimately treated for cancer. It covers completed pathways, therefore does not measure those on the waiting list.</w:t>
            </w:r>
          </w:p>
          <w:p w14:paraId="32355EEC" w14:textId="77777777" w:rsidR="00C75B05" w:rsidRPr="00C75B05" w:rsidRDefault="00C75B05" w:rsidP="00C75B05"/>
          <w:p w14:paraId="44875FD3" w14:textId="77777777" w:rsidR="00C75B05" w:rsidRPr="00C75B05" w:rsidRDefault="00C75B05" w:rsidP="00C75B05">
            <w:r w:rsidRPr="00C75B05">
              <w:t>Beginning with 2017/18, the indicator will be covering the last four quarters of data in both numerator and denominator).</w:t>
            </w:r>
          </w:p>
          <w:p w14:paraId="1873F533" w14:textId="77777777" w:rsidR="00C75B05" w:rsidRPr="00C75B05" w:rsidRDefault="00C75B05" w:rsidP="00C75B05"/>
          <w:p w14:paraId="08A715C2" w14:textId="33926D4F" w:rsidR="00C75B05" w:rsidRPr="00C75B05" w:rsidRDefault="00C75B05" w:rsidP="00C75B05">
            <w:r w:rsidRPr="00C75B05">
              <w:t>Past data for Primary Care Trusts (PCTs) (April 2011 to March 2013) is presented.</w:t>
            </w:r>
          </w:p>
        </w:tc>
      </w:tr>
      <w:tr w:rsidR="00C75B05" w:rsidRPr="00C75B05" w14:paraId="499FFB80" w14:textId="77777777" w:rsidTr="00C75B05">
        <w:tc>
          <w:tcPr>
            <w:tcW w:w="2689" w:type="dxa"/>
          </w:tcPr>
          <w:p w14:paraId="56F05B3C" w14:textId="34DD02D2" w:rsidR="00C75B05" w:rsidRPr="00C75B05" w:rsidRDefault="00C75B05" w:rsidP="00C75B05">
            <w:r w:rsidRPr="00C75B05">
              <w:t>Caveats</w:t>
            </w:r>
          </w:p>
        </w:tc>
        <w:tc>
          <w:tcPr>
            <w:tcW w:w="6327" w:type="dxa"/>
          </w:tcPr>
          <w:p w14:paraId="1DC21439" w14:textId="77777777" w:rsidR="00C75B05" w:rsidRPr="00C75B05" w:rsidRDefault="00C75B05" w:rsidP="00C75B05">
            <w:pPr>
              <w:pStyle w:val="ListParagraph"/>
              <w:tabs>
                <w:tab w:val="left" w:pos="39"/>
              </w:tabs>
              <w:ind w:left="39"/>
            </w:pPr>
            <w:r w:rsidRPr="00C75B05">
              <w:t>These indicators should not be used for comparisons until confidence intervals are added.</w:t>
            </w:r>
          </w:p>
          <w:p w14:paraId="398E91B2" w14:textId="77777777" w:rsidR="00C75B05" w:rsidRPr="00C75B05" w:rsidRDefault="00C75B05" w:rsidP="00C75B05">
            <w:pPr>
              <w:tabs>
                <w:tab w:val="left" w:pos="39"/>
              </w:tabs>
              <w:ind w:left="39"/>
            </w:pPr>
            <w:r w:rsidRPr="00C75B05">
              <w:t xml:space="preserve">Does not include patients not traced to a CCG. No mechanism to revise monthly or quarterly data once published. </w:t>
            </w:r>
          </w:p>
          <w:p w14:paraId="2D781BFA" w14:textId="77777777" w:rsidR="00C75B05" w:rsidRPr="00C75B05" w:rsidRDefault="00C75B05" w:rsidP="00C75B05">
            <w:pPr>
              <w:tabs>
                <w:tab w:val="left" w:pos="39"/>
              </w:tabs>
              <w:ind w:left="39"/>
            </w:pPr>
          </w:p>
          <w:p w14:paraId="5DE8DE2B" w14:textId="73D61624" w:rsidR="00C75B05" w:rsidRPr="00C75B05" w:rsidRDefault="00C75B05" w:rsidP="00C75B05">
            <w:r w:rsidRPr="00C75B05">
              <w:t>The indicator is not sensitive to clinical priority, patients with other conditions and other case mix issues; some cancers will require more and varied diagnostic tests before treatment.</w:t>
            </w:r>
          </w:p>
        </w:tc>
      </w:tr>
    </w:tbl>
    <w:p w14:paraId="10EDB3D4" w14:textId="77777777" w:rsidR="00C75B05" w:rsidRPr="00C75B05" w:rsidRDefault="00C75B05">
      <w:r w:rsidRPr="00C75B05">
        <w:rPr>
          <w:b/>
          <w:bCs/>
        </w:rPr>
        <w:br w:type="page"/>
      </w:r>
    </w:p>
    <w:p w14:paraId="634D6B5F" w14:textId="343426BA" w:rsidR="00211DD9" w:rsidRPr="00C75B05" w:rsidRDefault="00211DD9">
      <w:pPr>
        <w:rPr>
          <w:b/>
        </w:rPr>
      </w:pPr>
    </w:p>
    <w:p w14:paraId="47C79EFE" w14:textId="74C57CBC" w:rsidR="00211DD9" w:rsidRPr="00C75B05" w:rsidRDefault="00211DD9" w:rsidP="00C75B05">
      <w:pPr>
        <w:pStyle w:val="Frontpagesubhead"/>
      </w:pPr>
      <w:r w:rsidRPr="00C75B05">
        <w:t xml:space="preserve">  </w:t>
      </w:r>
      <w:r w:rsidR="00C75B05" w:rsidRPr="00C75B05">
        <w:t>Application form</w:t>
      </w:r>
    </w:p>
    <w:tbl>
      <w:tblPr>
        <w:tblStyle w:val="TableGrid"/>
        <w:tblW w:w="0" w:type="auto"/>
        <w:tblInd w:w="-289" w:type="dxa"/>
        <w:tblLayout w:type="fixed"/>
        <w:tblLook w:val="04A0" w:firstRow="1" w:lastRow="0" w:firstColumn="1" w:lastColumn="0" w:noHBand="0" w:noVBand="1"/>
      </w:tblPr>
      <w:tblGrid>
        <w:gridCol w:w="2836"/>
        <w:gridCol w:w="6469"/>
      </w:tblGrid>
      <w:tr w:rsidR="00C75B05" w:rsidRPr="00C75B05" w14:paraId="7F938EB5" w14:textId="77777777" w:rsidTr="00B00DC7">
        <w:tc>
          <w:tcPr>
            <w:tcW w:w="2836" w:type="dxa"/>
          </w:tcPr>
          <w:p w14:paraId="49DF45AB" w14:textId="214A5315" w:rsidR="00C75B05" w:rsidRPr="00C75B05" w:rsidRDefault="00C75B05" w:rsidP="00C75B05">
            <w:pPr>
              <w:pStyle w:val="Frontpagesubhead"/>
              <w:rPr>
                <w:i w:val="0"/>
                <w:iCs w:val="0"/>
                <w:sz w:val="24"/>
                <w:szCs w:val="24"/>
              </w:rPr>
            </w:pPr>
            <w:r w:rsidRPr="00C75B05">
              <w:rPr>
                <w:i w:val="0"/>
                <w:iCs w:val="0"/>
                <w:sz w:val="24"/>
                <w:szCs w:val="24"/>
              </w:rPr>
              <w:t>Section</w:t>
            </w:r>
          </w:p>
        </w:tc>
        <w:tc>
          <w:tcPr>
            <w:tcW w:w="6469" w:type="dxa"/>
          </w:tcPr>
          <w:p w14:paraId="15808C50" w14:textId="4ADB6101" w:rsidR="00C75B05" w:rsidRPr="00C75B05" w:rsidRDefault="00C75B05" w:rsidP="00C75B05">
            <w:pPr>
              <w:pStyle w:val="Frontpagesubhead"/>
              <w:rPr>
                <w:i w:val="0"/>
                <w:iCs w:val="0"/>
                <w:sz w:val="24"/>
                <w:szCs w:val="24"/>
              </w:rPr>
            </w:pPr>
            <w:r w:rsidRPr="00C75B05">
              <w:rPr>
                <w:i w:val="0"/>
                <w:iCs w:val="0"/>
                <w:sz w:val="24"/>
                <w:szCs w:val="24"/>
              </w:rPr>
              <w:t>Overview</w:t>
            </w:r>
          </w:p>
        </w:tc>
      </w:tr>
      <w:tr w:rsidR="00C75B05" w:rsidRPr="00C75B05" w14:paraId="4740C00C" w14:textId="77777777" w:rsidTr="00B00DC7">
        <w:tc>
          <w:tcPr>
            <w:tcW w:w="2836" w:type="dxa"/>
          </w:tcPr>
          <w:p w14:paraId="5AD6B80E" w14:textId="4C55F035" w:rsidR="00C75B05" w:rsidRPr="00C75B05" w:rsidRDefault="00C75B05" w:rsidP="00C75B05">
            <w:pPr>
              <w:spacing w:before="240"/>
              <w:rPr>
                <w:bCs/>
              </w:rPr>
            </w:pPr>
            <w:r w:rsidRPr="00C75B05">
              <w:rPr>
                <w:bCs/>
              </w:rPr>
              <w:t>Title</w:t>
            </w:r>
          </w:p>
        </w:tc>
        <w:tc>
          <w:tcPr>
            <w:tcW w:w="6469" w:type="dxa"/>
          </w:tcPr>
          <w:p w14:paraId="7A5FC620" w14:textId="17ECF3D4" w:rsidR="00C75B05" w:rsidRPr="00C75B05" w:rsidRDefault="00C75B05" w:rsidP="00C75B05">
            <w:pPr>
              <w:spacing w:before="240"/>
              <w:rPr>
                <w:bCs/>
              </w:rPr>
            </w:pPr>
            <w:r w:rsidRPr="00C75B05">
              <w:rPr>
                <w:bCs/>
              </w:rPr>
              <w:t>Application Form People with urgent GP referral having first definitive treatment for cancer within 62 days of referral</w:t>
            </w:r>
          </w:p>
        </w:tc>
      </w:tr>
      <w:tr w:rsidR="00C75B05" w:rsidRPr="00C75B05" w14:paraId="53A5515A" w14:textId="77777777" w:rsidTr="00B00DC7">
        <w:tc>
          <w:tcPr>
            <w:tcW w:w="2836" w:type="dxa"/>
          </w:tcPr>
          <w:p w14:paraId="1A14611B" w14:textId="7852C5EF" w:rsidR="00C75B05" w:rsidRPr="00C75B05" w:rsidRDefault="00C75B05" w:rsidP="00C75B05">
            <w:pPr>
              <w:spacing w:before="240"/>
              <w:rPr>
                <w:bCs/>
              </w:rPr>
            </w:pPr>
            <w:r w:rsidRPr="00C75B05">
              <w:rPr>
                <w:bCs/>
              </w:rPr>
              <w:t>Set or domain</w:t>
            </w:r>
          </w:p>
        </w:tc>
        <w:tc>
          <w:tcPr>
            <w:tcW w:w="6469" w:type="dxa"/>
          </w:tcPr>
          <w:p w14:paraId="1A804B53" w14:textId="77777777" w:rsidR="00C75B05" w:rsidRPr="00C75B05" w:rsidRDefault="00C75B05" w:rsidP="00C75B05">
            <w:pPr>
              <w:spacing w:before="240"/>
              <w:rPr>
                <w:bCs/>
              </w:rPr>
            </w:pPr>
            <w:r w:rsidRPr="00C75B05">
              <w:rPr>
                <w:bCs/>
              </w:rPr>
              <w:t>CCG Improvement and Assessment Framework (CCG IAF)</w:t>
            </w:r>
          </w:p>
          <w:p w14:paraId="1ADE0CFF" w14:textId="46D67F67" w:rsidR="00C75B05" w:rsidRPr="00C75B05" w:rsidRDefault="00C75B05" w:rsidP="00C75B05">
            <w:pPr>
              <w:spacing w:before="240"/>
              <w:rPr>
                <w:bCs/>
              </w:rPr>
            </w:pPr>
            <w:r w:rsidRPr="00C75B05">
              <w:rPr>
                <w:bCs/>
              </w:rPr>
              <w:t>Note that this is an existing data publication which appears on NHS England’s cancer waiting times web page, but is being re-packaged for use in the CCG IAF.</w:t>
            </w:r>
          </w:p>
        </w:tc>
      </w:tr>
      <w:tr w:rsidR="00C75B05" w:rsidRPr="00C75B05" w14:paraId="2BCC4095" w14:textId="77777777" w:rsidTr="00B00DC7">
        <w:tc>
          <w:tcPr>
            <w:tcW w:w="2836" w:type="dxa"/>
          </w:tcPr>
          <w:p w14:paraId="082EC4D0" w14:textId="2DE25A80" w:rsidR="00C75B05" w:rsidRPr="00C75B05" w:rsidRDefault="00C75B05" w:rsidP="00C75B05">
            <w:pPr>
              <w:spacing w:before="240"/>
              <w:rPr>
                <w:bCs/>
              </w:rPr>
            </w:pPr>
            <w:r w:rsidRPr="00C75B05">
              <w:rPr>
                <w:bCs/>
              </w:rPr>
              <w:t>Topic area</w:t>
            </w:r>
          </w:p>
        </w:tc>
        <w:tc>
          <w:tcPr>
            <w:tcW w:w="6469" w:type="dxa"/>
          </w:tcPr>
          <w:p w14:paraId="05410E3F" w14:textId="5FB6B04C" w:rsidR="00C75B05" w:rsidRPr="00C75B05" w:rsidRDefault="00C75B05" w:rsidP="00C75B05">
            <w:pPr>
              <w:spacing w:before="240"/>
              <w:rPr>
                <w:bCs/>
              </w:rPr>
            </w:pPr>
            <w:r w:rsidRPr="00C75B05">
              <w:rPr>
                <w:bCs/>
              </w:rPr>
              <w:t>Better Care - Cancer</w:t>
            </w:r>
          </w:p>
        </w:tc>
      </w:tr>
      <w:tr w:rsidR="00C75B05" w:rsidRPr="00C75B05" w14:paraId="4728083F" w14:textId="77777777" w:rsidTr="00B00DC7">
        <w:tc>
          <w:tcPr>
            <w:tcW w:w="2836" w:type="dxa"/>
          </w:tcPr>
          <w:p w14:paraId="55D668B9" w14:textId="7E963E9A" w:rsidR="00C75B05" w:rsidRPr="00C75B05" w:rsidRDefault="00C75B05" w:rsidP="00C75B05">
            <w:pPr>
              <w:spacing w:before="240"/>
              <w:rPr>
                <w:bCs/>
              </w:rPr>
            </w:pPr>
            <w:r w:rsidRPr="00C75B05">
              <w:rPr>
                <w:bCs/>
              </w:rPr>
              <w:t>Definition</w:t>
            </w:r>
          </w:p>
        </w:tc>
        <w:tc>
          <w:tcPr>
            <w:tcW w:w="6469" w:type="dxa"/>
          </w:tcPr>
          <w:p w14:paraId="64ECA8D5" w14:textId="77777777" w:rsidR="00C75B05" w:rsidRPr="00C75B05" w:rsidRDefault="00C75B05" w:rsidP="00C75B05">
            <w:pPr>
              <w:spacing w:before="240"/>
              <w:rPr>
                <w:bCs/>
              </w:rPr>
            </w:pPr>
            <w:r w:rsidRPr="00C75B05">
              <w:rPr>
                <w:bCs/>
              </w:rPr>
              <w:t xml:space="preserve">Measures the proportion of people who were treated following an urgent GP referral, for suspected cancer, i.e. those referred with the expectation to be seen by a specialist within two weeks, who began their first definitive treatment within 62 days of referral. </w:t>
            </w:r>
          </w:p>
          <w:p w14:paraId="6615DC34" w14:textId="77777777" w:rsidR="00C75B05" w:rsidRPr="00C75B05" w:rsidRDefault="00C75B05" w:rsidP="00C75B05">
            <w:pPr>
              <w:spacing w:before="240"/>
              <w:rPr>
                <w:bCs/>
              </w:rPr>
            </w:pPr>
            <w:r w:rsidRPr="00C75B05">
              <w:rPr>
                <w:bCs/>
              </w:rPr>
              <w:t>Note that this means patients not recorded as beginning treatment will not be included in the indicator.</w:t>
            </w:r>
          </w:p>
          <w:p w14:paraId="6FAD9526" w14:textId="77777777" w:rsidR="00C75B05" w:rsidRPr="00C75B05" w:rsidRDefault="00C75B05" w:rsidP="00C75B05">
            <w:pPr>
              <w:spacing w:before="240"/>
              <w:rPr>
                <w:bCs/>
              </w:rPr>
            </w:pPr>
            <w:r w:rsidRPr="00C75B05">
              <w:rPr>
                <w:bCs/>
              </w:rPr>
              <w:t>Inclusions/exclusions are detailed in section 3.11</w:t>
            </w:r>
          </w:p>
          <w:p w14:paraId="713FBFF9" w14:textId="77777777" w:rsidR="00C75B05" w:rsidRPr="00C75B05" w:rsidRDefault="00C75B05" w:rsidP="00C75B05">
            <w:pPr>
              <w:spacing w:before="240"/>
              <w:rPr>
                <w:bCs/>
              </w:rPr>
            </w:pPr>
            <w:r w:rsidRPr="00C75B05">
              <w:rPr>
                <w:bCs/>
              </w:rPr>
              <w:t xml:space="preserve">The indicator is a quarterly total (and is updated quarterly). </w:t>
            </w:r>
          </w:p>
          <w:p w14:paraId="35B4A653" w14:textId="77777777" w:rsidR="00C75B05" w:rsidRPr="00C75B05" w:rsidRDefault="00C75B05" w:rsidP="00C75B05">
            <w:pPr>
              <w:spacing w:before="240"/>
              <w:rPr>
                <w:bCs/>
              </w:rPr>
            </w:pPr>
            <w:r w:rsidRPr="00C75B05">
              <w:rPr>
                <w:bCs/>
              </w:rPr>
              <w:t>For cancer waiting times a first definitive treatment (FDT) is defined as the start of the treatment aimed at removing or eradicating the cancer completely or at reducing tumour bulk.</w:t>
            </w:r>
          </w:p>
          <w:p w14:paraId="6E5D8329" w14:textId="77777777" w:rsidR="00C75B05" w:rsidRPr="00C75B05" w:rsidRDefault="00C75B05" w:rsidP="00C75B05">
            <w:pPr>
              <w:spacing w:before="240"/>
              <w:rPr>
                <w:bCs/>
              </w:rPr>
            </w:pPr>
            <w:r w:rsidRPr="00C75B05">
              <w:rPr>
                <w:bCs/>
              </w:rPr>
              <w:t xml:space="preserve">This covers all cancers as defined by ICD-10 codes C00 to C97 and D05. </w:t>
            </w:r>
          </w:p>
          <w:p w14:paraId="1D7C5DD2" w14:textId="147DA0E7" w:rsidR="00C75B05" w:rsidRPr="00C75B05" w:rsidRDefault="00C75B05" w:rsidP="00C75B05">
            <w:pPr>
              <w:spacing w:before="240"/>
              <w:rPr>
                <w:bCs/>
              </w:rPr>
            </w:pPr>
            <w:r w:rsidRPr="00C75B05">
              <w:rPr>
                <w:bCs/>
              </w:rPr>
              <w:t xml:space="preserve">Cancer Waiting Times statistics has been assessed by the UK Statistics Authority, and the quarterly provider data which is used to determine the finalised position of national performance is designated as a National Statistic.  </w:t>
            </w:r>
          </w:p>
        </w:tc>
      </w:tr>
      <w:tr w:rsidR="00B00DC7" w:rsidRPr="00C75B05" w14:paraId="383B9826" w14:textId="77777777" w:rsidTr="00B00DC7">
        <w:tc>
          <w:tcPr>
            <w:tcW w:w="2836" w:type="dxa"/>
          </w:tcPr>
          <w:p w14:paraId="65D13340" w14:textId="06AE6A6B" w:rsidR="00B00DC7" w:rsidRPr="00C75B05" w:rsidRDefault="00B00DC7" w:rsidP="00B00DC7">
            <w:pPr>
              <w:spacing w:before="240"/>
              <w:rPr>
                <w:bCs/>
              </w:rPr>
            </w:pPr>
            <w:r w:rsidRPr="00C75B05">
              <w:rPr>
                <w:b/>
              </w:rPr>
              <w:t>Indicator owner &amp; contact details</w:t>
            </w:r>
          </w:p>
        </w:tc>
        <w:tc>
          <w:tcPr>
            <w:tcW w:w="6469" w:type="dxa"/>
          </w:tcPr>
          <w:p w14:paraId="25A7FA57" w14:textId="6C354B62" w:rsidR="00B00DC7" w:rsidRPr="00C75B05" w:rsidRDefault="00B00DC7" w:rsidP="00B00DC7">
            <w:pPr>
              <w:spacing w:before="240"/>
              <w:rPr>
                <w:bCs/>
              </w:rPr>
            </w:pPr>
            <w:r w:rsidRPr="00C75B05">
              <w:t xml:space="preserve">Rafael </w:t>
            </w:r>
            <w:proofErr w:type="spellStart"/>
            <w:r w:rsidRPr="00C75B05">
              <w:t>Goriwoda</w:t>
            </w:r>
            <w:proofErr w:type="spellEnd"/>
            <w:r w:rsidRPr="00C75B05">
              <w:t xml:space="preserve"> (Senior Analytical Manager, Medical &amp; Nursing Analytical Unit, NHS England; Rafael.Goriwoda@nhs.net)</w:t>
            </w:r>
          </w:p>
        </w:tc>
      </w:tr>
      <w:tr w:rsidR="00B00DC7" w:rsidRPr="00C75B05" w14:paraId="7080578B" w14:textId="77777777" w:rsidTr="00B00DC7">
        <w:tc>
          <w:tcPr>
            <w:tcW w:w="2836" w:type="dxa"/>
          </w:tcPr>
          <w:p w14:paraId="6148BAA7" w14:textId="5399D780" w:rsidR="00B00DC7" w:rsidRPr="00C75B05" w:rsidRDefault="00B00DC7" w:rsidP="00B00DC7">
            <w:pPr>
              <w:spacing w:before="240"/>
              <w:rPr>
                <w:bCs/>
              </w:rPr>
            </w:pPr>
            <w:r w:rsidRPr="00C75B05">
              <w:rPr>
                <w:b/>
              </w:rPr>
              <w:t>Publication status</w:t>
            </w:r>
          </w:p>
        </w:tc>
        <w:tc>
          <w:tcPr>
            <w:tcW w:w="6469" w:type="dxa"/>
          </w:tcPr>
          <w:p w14:paraId="3E2D7222" w14:textId="4FED2EBA" w:rsidR="00B00DC7" w:rsidRPr="00C75B05" w:rsidRDefault="00B00DC7" w:rsidP="00B00DC7">
            <w:pPr>
              <w:spacing w:before="240"/>
              <w:rPr>
                <w:bCs/>
              </w:rPr>
            </w:pPr>
            <w:r w:rsidRPr="00C75B05">
              <w:t>Currently in publication</w:t>
            </w:r>
          </w:p>
        </w:tc>
      </w:tr>
      <w:tr w:rsidR="00B00DC7" w:rsidRPr="00C75B05" w14:paraId="4C9CE3FC" w14:textId="77777777" w:rsidTr="00B00DC7">
        <w:tc>
          <w:tcPr>
            <w:tcW w:w="2836" w:type="dxa"/>
          </w:tcPr>
          <w:p w14:paraId="06AB5D7F" w14:textId="4BA2221C" w:rsidR="00B00DC7" w:rsidRPr="00C75B05" w:rsidRDefault="00B00DC7" w:rsidP="00B00DC7">
            <w:pPr>
              <w:spacing w:before="240"/>
              <w:rPr>
                <w:bCs/>
              </w:rPr>
            </w:pPr>
            <w:r>
              <w:rPr>
                <w:bCs/>
              </w:rPr>
              <w:t>RATIONALE</w:t>
            </w:r>
          </w:p>
        </w:tc>
        <w:tc>
          <w:tcPr>
            <w:tcW w:w="6469" w:type="dxa"/>
          </w:tcPr>
          <w:p w14:paraId="772E771F" w14:textId="77777777" w:rsidR="00B00DC7" w:rsidRPr="00C75B05" w:rsidRDefault="00B00DC7" w:rsidP="00B00DC7">
            <w:pPr>
              <w:spacing w:before="240"/>
              <w:rPr>
                <w:bCs/>
              </w:rPr>
            </w:pPr>
          </w:p>
        </w:tc>
      </w:tr>
      <w:tr w:rsidR="00B00DC7" w:rsidRPr="00C75B05" w14:paraId="1F591E84" w14:textId="77777777" w:rsidTr="00B00DC7">
        <w:tc>
          <w:tcPr>
            <w:tcW w:w="2836" w:type="dxa"/>
          </w:tcPr>
          <w:p w14:paraId="723F233C" w14:textId="3B340B43" w:rsidR="00B00DC7" w:rsidRPr="00C75B05" w:rsidRDefault="00B00DC7" w:rsidP="00B00DC7">
            <w:pPr>
              <w:spacing w:before="240"/>
              <w:rPr>
                <w:bCs/>
              </w:rPr>
            </w:pPr>
            <w:r w:rsidRPr="00C75B05">
              <w:rPr>
                <w:b/>
              </w:rPr>
              <w:t>Purpose</w:t>
            </w:r>
          </w:p>
        </w:tc>
        <w:tc>
          <w:tcPr>
            <w:tcW w:w="6469" w:type="dxa"/>
          </w:tcPr>
          <w:p w14:paraId="56A0EDF8" w14:textId="77777777" w:rsidR="00B00DC7" w:rsidRPr="00C75B05" w:rsidRDefault="00B00DC7" w:rsidP="00B00DC7">
            <w:pPr>
              <w:spacing w:before="240"/>
            </w:pPr>
            <w:r w:rsidRPr="00C75B05">
              <w:t xml:space="preserve">To ensure CCGs achieve and maintain the constitutional standard (see page 33 of the Handbook to the NHS Constitution: https://www.gov.uk/government/uploads/system/uploads/attachment_data/file/474450/NHS_Constitution_Handbook_v2.pdf) for waiting times from urgent GP referral for suspected cancer to </w:t>
            </w:r>
            <w:r w:rsidRPr="00C75B05">
              <w:lastRenderedPageBreak/>
              <w:t>first definitive treatment - all patients should receive high-quality care without any unnecessary delay.  Shorter waiting times can lead to earlier diagnosis, quicker treatment, a lower risk of complications, an enhanced patient experience and improved cancer outcomes. Shorter waiting times can also help to ease patient anxiety and improve experience.</w:t>
            </w:r>
          </w:p>
          <w:p w14:paraId="7B379B98" w14:textId="76D61AC2" w:rsidR="00B00DC7" w:rsidRPr="00C75B05" w:rsidRDefault="00B00DC7" w:rsidP="00B00DC7">
            <w:pPr>
              <w:spacing w:before="240"/>
              <w:rPr>
                <w:bCs/>
              </w:rPr>
            </w:pPr>
            <w:r w:rsidRPr="00C75B05">
              <w:t>The indicator is a core delivery indicator that spans the whole pathway from referral to first treatment covering the length of time from urgent GP referral, first outpatient appointment, decision to treat and finally first definitive treatment. It will be used as part of a set of indicators to assess CCG performance on cancer (one of 6 clinical priority areas).</w:t>
            </w:r>
          </w:p>
        </w:tc>
      </w:tr>
      <w:tr w:rsidR="00B00DC7" w:rsidRPr="00C75B05" w14:paraId="0A7A1842" w14:textId="77777777" w:rsidTr="00B00DC7">
        <w:tc>
          <w:tcPr>
            <w:tcW w:w="2836" w:type="dxa"/>
          </w:tcPr>
          <w:p w14:paraId="69EB4B7F" w14:textId="0ECD7240" w:rsidR="00B00DC7" w:rsidRPr="00C75B05" w:rsidRDefault="00B00DC7" w:rsidP="00B00DC7">
            <w:pPr>
              <w:spacing w:before="240"/>
              <w:rPr>
                <w:bCs/>
              </w:rPr>
            </w:pPr>
            <w:r w:rsidRPr="00C75B05">
              <w:rPr>
                <w:b/>
              </w:rPr>
              <w:lastRenderedPageBreak/>
              <w:t>Sponsor</w:t>
            </w:r>
          </w:p>
        </w:tc>
        <w:tc>
          <w:tcPr>
            <w:tcW w:w="6469" w:type="dxa"/>
          </w:tcPr>
          <w:p w14:paraId="02BC3CEE" w14:textId="7AA4B8C5" w:rsidR="00B00DC7" w:rsidRPr="00C75B05" w:rsidRDefault="00B00DC7" w:rsidP="00B00DC7">
            <w:pPr>
              <w:spacing w:before="240"/>
              <w:rPr>
                <w:bCs/>
              </w:rPr>
            </w:pPr>
            <w:r w:rsidRPr="00C75B05">
              <w:t>Joanna Cottam (Cancer Programme Lead, Medical Directorate, NHS England; Joanna.cottam@nhs.net)</w:t>
            </w:r>
          </w:p>
        </w:tc>
      </w:tr>
      <w:tr w:rsidR="00B00DC7" w:rsidRPr="00C75B05" w14:paraId="26B6FD62" w14:textId="77777777" w:rsidTr="00B00DC7">
        <w:tc>
          <w:tcPr>
            <w:tcW w:w="2836" w:type="dxa"/>
          </w:tcPr>
          <w:p w14:paraId="7CACED3F" w14:textId="1C514E43" w:rsidR="00B00DC7" w:rsidRPr="00C75B05" w:rsidRDefault="00B00DC7" w:rsidP="00B00DC7">
            <w:pPr>
              <w:spacing w:before="240"/>
              <w:rPr>
                <w:bCs/>
              </w:rPr>
            </w:pPr>
            <w:r w:rsidRPr="00C75B05">
              <w:rPr>
                <w:b/>
              </w:rPr>
              <w:t>Endorsement</w:t>
            </w:r>
          </w:p>
        </w:tc>
        <w:tc>
          <w:tcPr>
            <w:tcW w:w="6469" w:type="dxa"/>
          </w:tcPr>
          <w:p w14:paraId="11167C9B" w14:textId="76341B01" w:rsidR="00B00DC7" w:rsidRPr="00C75B05" w:rsidRDefault="00B00DC7" w:rsidP="00B00DC7">
            <w:pPr>
              <w:spacing w:before="240"/>
              <w:rPr>
                <w:bCs/>
              </w:rPr>
            </w:pPr>
            <w:r w:rsidRPr="00C75B05">
              <w:t>The CEO and Commissioning Committee of NHS England have endorsed the inclusion of this indicator in the CCG IAF. The indicator is a National Statistic by the UK Statistics Authority in 2010.</w:t>
            </w:r>
          </w:p>
        </w:tc>
      </w:tr>
      <w:tr w:rsidR="00B00DC7" w:rsidRPr="00C75B05" w14:paraId="76FB5BAB" w14:textId="77777777" w:rsidTr="00B00DC7">
        <w:tc>
          <w:tcPr>
            <w:tcW w:w="2836" w:type="dxa"/>
          </w:tcPr>
          <w:p w14:paraId="47FCFE2F" w14:textId="77777777" w:rsidR="00B00DC7" w:rsidRPr="00C75B05" w:rsidRDefault="00B00DC7" w:rsidP="00B00DC7">
            <w:pPr>
              <w:spacing w:before="240"/>
              <w:rPr>
                <w:b/>
              </w:rPr>
            </w:pPr>
            <w:r w:rsidRPr="00C75B05">
              <w:rPr>
                <w:b/>
              </w:rPr>
              <w:t>Evidence and Policy base</w:t>
            </w:r>
          </w:p>
          <w:p w14:paraId="75DF2E41" w14:textId="4FB01EA0" w:rsidR="00B00DC7" w:rsidRPr="00C75B05" w:rsidRDefault="00B00DC7" w:rsidP="00B00DC7">
            <w:pPr>
              <w:spacing w:before="240"/>
              <w:rPr>
                <w:bCs/>
              </w:rPr>
            </w:pPr>
            <w:r w:rsidRPr="00C75B05">
              <w:t>Including related national incentives, critical business question, NICE quality standard and set or domain rationale, if appropriate</w:t>
            </w:r>
          </w:p>
        </w:tc>
        <w:tc>
          <w:tcPr>
            <w:tcW w:w="6469" w:type="dxa"/>
          </w:tcPr>
          <w:p w14:paraId="3293B9E4" w14:textId="77777777" w:rsidR="00B00DC7" w:rsidRPr="00C75B05" w:rsidRDefault="00B00DC7" w:rsidP="00B00DC7">
            <w:pPr>
              <w:spacing w:before="240"/>
            </w:pPr>
            <w:r w:rsidRPr="00C75B05">
              <w:t>The NHS Cancer Plan, published in the year 2000 (</w:t>
            </w:r>
            <w:hyperlink r:id="rId9" w:history="1">
              <w:r w:rsidRPr="00C75B05">
                <w:rPr>
                  <w:rStyle w:val="Hyperlink"/>
                  <w:color w:val="auto"/>
                </w:rPr>
                <w:t>https://www.thh.nhs.uk/documents/_departments/cancer/nhscancerplan.pdf</w:t>
              </w:r>
            </w:hyperlink>
            <w:r w:rsidRPr="00C75B05">
              <w:t xml:space="preserve">) set the objective of a maximum wait of two months (62 days) from urgent GP referral to treatment by 2005. </w:t>
            </w:r>
          </w:p>
          <w:p w14:paraId="684F2A88" w14:textId="77777777" w:rsidR="00B00DC7" w:rsidRPr="00C75B05" w:rsidRDefault="00B00DC7" w:rsidP="00B00DC7">
            <w:pPr>
              <w:spacing w:before="240"/>
            </w:pPr>
            <w:r w:rsidRPr="00C75B05">
              <w:t xml:space="preserve">Shorter waiting times can help to ease patient anxiety and, at best, can lead to earlier diagnosis, quicker treatment, a lower risk of complications, an enhanced patient experience and improved cancer outcomes. Improving cancer survival and patient experience are two of the three key ambitions in the report, achieving world-class cancer outcomes: a strategy for England 2015-2020, published by the Independent Cancer Taskforce in July 2015.  The report also recommended a new </w:t>
            </w:r>
            <w:proofErr w:type="gramStart"/>
            <w:r w:rsidRPr="00C75B05">
              <w:t>4 week</w:t>
            </w:r>
            <w:proofErr w:type="gramEnd"/>
            <w:r w:rsidRPr="00C75B05">
              <w:t xml:space="preserve"> standard from GP referral to definitive diagnosis by 2020.  The 62-day pathway indicator will be reviewed once data are available for the new standard.</w:t>
            </w:r>
          </w:p>
          <w:p w14:paraId="401F80EB" w14:textId="77777777" w:rsidR="00B00DC7" w:rsidRPr="00C75B05" w:rsidRDefault="00B00DC7" w:rsidP="00B00DC7">
            <w:pPr>
              <w:spacing w:before="240"/>
            </w:pPr>
            <w:r w:rsidRPr="00C75B05">
              <w:t>Observational studies have found an association between time to diagnosis and mortality (</w:t>
            </w:r>
            <w:hyperlink r:id="rId10" w:history="1">
              <w:r w:rsidRPr="00C75B05">
                <w:rPr>
                  <w:rStyle w:val="Hyperlink"/>
                  <w:color w:val="auto"/>
                </w:rPr>
                <w:t>https://www.ncbi.nlm.nih.gov/pubmed/23453935</w:t>
              </w:r>
            </w:hyperlink>
            <w:r w:rsidRPr="00C75B05">
              <w:t>); the logic being that tumours can progress during the time taken to reach diagnosis and start treatment. Evidence suggests that the increased use of urgent referrals by GPs could improve survival of their cancer patients (</w:t>
            </w:r>
            <w:hyperlink r:id="rId11" w:history="1">
              <w:r w:rsidRPr="00C75B05">
                <w:rPr>
                  <w:rStyle w:val="Hyperlink"/>
                  <w:color w:val="auto"/>
                </w:rPr>
                <w:t>https://www.ncbi.nlm.nih.gov/pmc/articles/PMC4604216/</w:t>
              </w:r>
            </w:hyperlink>
            <w:r w:rsidRPr="00C75B05">
              <w:t xml:space="preserve">). </w:t>
            </w:r>
          </w:p>
          <w:p w14:paraId="0DFE7C83" w14:textId="77777777" w:rsidR="00B00DC7" w:rsidRPr="00C75B05" w:rsidRDefault="00B00DC7" w:rsidP="00B00DC7">
            <w:pPr>
              <w:spacing w:before="240"/>
              <w:rPr>
                <w:bCs/>
              </w:rPr>
            </w:pPr>
          </w:p>
        </w:tc>
      </w:tr>
      <w:tr w:rsidR="00B00DC7" w:rsidRPr="00C75B05" w14:paraId="13C11CF6" w14:textId="77777777" w:rsidTr="00B00DC7">
        <w:tc>
          <w:tcPr>
            <w:tcW w:w="2836" w:type="dxa"/>
          </w:tcPr>
          <w:p w14:paraId="6C7D9A12" w14:textId="2E2C3E27" w:rsidR="00B00DC7" w:rsidRPr="00B00DC7" w:rsidRDefault="00B00DC7" w:rsidP="00B00DC7">
            <w:pPr>
              <w:spacing w:before="240"/>
              <w:rPr>
                <w:b/>
              </w:rPr>
            </w:pPr>
            <w:r w:rsidRPr="00B00DC7">
              <w:rPr>
                <w:b/>
              </w:rPr>
              <w:t>DATA</w:t>
            </w:r>
          </w:p>
        </w:tc>
        <w:tc>
          <w:tcPr>
            <w:tcW w:w="6469" w:type="dxa"/>
          </w:tcPr>
          <w:p w14:paraId="298CA5CB" w14:textId="77777777" w:rsidR="00B00DC7" w:rsidRPr="00C75B05" w:rsidRDefault="00B00DC7" w:rsidP="00B00DC7">
            <w:pPr>
              <w:spacing w:before="240"/>
              <w:rPr>
                <w:bCs/>
              </w:rPr>
            </w:pPr>
          </w:p>
        </w:tc>
      </w:tr>
      <w:tr w:rsidR="00B00DC7" w:rsidRPr="00C75B05" w14:paraId="70EEADC2" w14:textId="77777777" w:rsidTr="00B00DC7">
        <w:tc>
          <w:tcPr>
            <w:tcW w:w="2836" w:type="dxa"/>
          </w:tcPr>
          <w:p w14:paraId="49475742" w14:textId="2CEEF54C" w:rsidR="00B00DC7" w:rsidRPr="00B00DC7" w:rsidRDefault="00B00DC7" w:rsidP="00B00DC7">
            <w:pPr>
              <w:spacing w:before="240"/>
            </w:pPr>
            <w:r w:rsidRPr="00B00DC7">
              <w:t>Data source</w:t>
            </w:r>
          </w:p>
        </w:tc>
        <w:tc>
          <w:tcPr>
            <w:tcW w:w="6469" w:type="dxa"/>
          </w:tcPr>
          <w:p w14:paraId="50EB60D5" w14:textId="66452EB7" w:rsidR="00B00DC7" w:rsidRPr="00B00DC7" w:rsidRDefault="00B00DC7" w:rsidP="00B00DC7">
            <w:pPr>
              <w:spacing w:before="240"/>
            </w:pPr>
            <w:r w:rsidRPr="00C75B05">
              <w:t>NHS England Statistics (</w:t>
            </w:r>
            <w:hyperlink r:id="rId12" w:history="1">
              <w:r w:rsidRPr="00B00DC7">
                <w:t>https://www.england.nhs.uk/statistics/statistical-work-</w:t>
              </w:r>
              <w:r w:rsidRPr="00B00DC7">
                <w:lastRenderedPageBreak/>
                <w:t>areas/cancer-waiting-times/</w:t>
              </w:r>
            </w:hyperlink>
            <w:r w:rsidRPr="00C75B05">
              <w:t>), derived from Cancer Waiting Times Database (CWT-Db)</w:t>
            </w:r>
          </w:p>
        </w:tc>
      </w:tr>
      <w:tr w:rsidR="00B00DC7" w:rsidRPr="00C75B05" w14:paraId="469E3077" w14:textId="77777777" w:rsidTr="00B00DC7">
        <w:tc>
          <w:tcPr>
            <w:tcW w:w="2836" w:type="dxa"/>
          </w:tcPr>
          <w:p w14:paraId="5E55DFE2" w14:textId="071DFCFF" w:rsidR="00B00DC7" w:rsidRPr="00B00DC7" w:rsidRDefault="00B00DC7" w:rsidP="00B00DC7">
            <w:pPr>
              <w:spacing w:before="240"/>
            </w:pPr>
            <w:r w:rsidRPr="00B00DC7">
              <w:lastRenderedPageBreak/>
              <w:t>Justification of source and others considered</w:t>
            </w:r>
          </w:p>
        </w:tc>
        <w:tc>
          <w:tcPr>
            <w:tcW w:w="6469" w:type="dxa"/>
          </w:tcPr>
          <w:p w14:paraId="1F7AD731" w14:textId="247F864D" w:rsidR="00B00DC7" w:rsidRPr="00B00DC7" w:rsidRDefault="00B00DC7" w:rsidP="00B00DC7">
            <w:pPr>
              <w:spacing w:before="240"/>
            </w:pPr>
            <w:r w:rsidRPr="00C75B05">
              <w:t>The CWT-Db is an established data set covering cancer waiting times.</w:t>
            </w:r>
          </w:p>
        </w:tc>
      </w:tr>
      <w:tr w:rsidR="00B00DC7" w:rsidRPr="00C75B05" w14:paraId="4492ADE6" w14:textId="77777777" w:rsidTr="00B00DC7">
        <w:tc>
          <w:tcPr>
            <w:tcW w:w="2836" w:type="dxa"/>
          </w:tcPr>
          <w:p w14:paraId="6F3F4780" w14:textId="4B4FEC46" w:rsidR="00B00DC7" w:rsidRPr="00B00DC7" w:rsidRDefault="00B00DC7" w:rsidP="00B00DC7">
            <w:pPr>
              <w:spacing w:before="240"/>
            </w:pPr>
            <w:r w:rsidRPr="00B00DC7">
              <w:t>Data availability</w:t>
            </w:r>
          </w:p>
        </w:tc>
        <w:tc>
          <w:tcPr>
            <w:tcW w:w="6469" w:type="dxa"/>
          </w:tcPr>
          <w:p w14:paraId="69A6F1AF" w14:textId="54280B07" w:rsidR="00B00DC7" w:rsidRPr="00B00DC7" w:rsidRDefault="00B00DC7" w:rsidP="00B00DC7">
            <w:pPr>
              <w:spacing w:before="240"/>
            </w:pPr>
            <w:r w:rsidRPr="00C75B05">
              <w:t>Published monthly with a 6 week lag.</w:t>
            </w:r>
          </w:p>
        </w:tc>
      </w:tr>
      <w:tr w:rsidR="00B00DC7" w:rsidRPr="00C75B05" w14:paraId="60DB5A4C" w14:textId="77777777" w:rsidTr="00B00DC7">
        <w:tc>
          <w:tcPr>
            <w:tcW w:w="2836" w:type="dxa"/>
          </w:tcPr>
          <w:p w14:paraId="3B63922B" w14:textId="1F3BDDF7" w:rsidR="00B00DC7" w:rsidRPr="00B00DC7" w:rsidRDefault="00B00DC7" w:rsidP="00B00DC7">
            <w:pPr>
              <w:spacing w:before="240"/>
            </w:pPr>
            <w:r w:rsidRPr="00B00DC7">
              <w:t>Data quality</w:t>
            </w:r>
          </w:p>
        </w:tc>
        <w:tc>
          <w:tcPr>
            <w:tcW w:w="6469" w:type="dxa"/>
          </w:tcPr>
          <w:p w14:paraId="56BF1F13" w14:textId="0578C7CB" w:rsidR="00B00DC7" w:rsidRPr="00C75B05" w:rsidRDefault="00B00DC7" w:rsidP="00B00DC7">
            <w:pPr>
              <w:spacing w:before="240"/>
            </w:pPr>
            <w:r w:rsidRPr="00C75B05">
              <w:t xml:space="preserve">Cancer Waiting Times statistics has been assessed by the UK Statistics Authority, and the quarterly provider data which is used to determine the finalised position of national performance is designated as a National Statistic. As a national statistic it complies with National Statistician’s Guidance on </w:t>
            </w:r>
            <w:hyperlink r:id="rId13" w:history="1">
              <w:r w:rsidRPr="00B00DC7">
                <w:t>Quality, Methods and Harmonisation</w:t>
              </w:r>
            </w:hyperlink>
            <w:r w:rsidRPr="00C75B05">
              <w:t xml:space="preserve">. </w:t>
            </w:r>
          </w:p>
          <w:p w14:paraId="7D180DA4" w14:textId="77777777" w:rsidR="00B00DC7" w:rsidRPr="00C75B05" w:rsidRDefault="00B00DC7" w:rsidP="00B00DC7">
            <w:pPr>
              <w:spacing w:before="240"/>
            </w:pPr>
            <w:r w:rsidRPr="00C75B05">
              <w:t>The quarterly commissioner statistics are designated as official statistics.  This is due to commissioner data excluding patients which are unable to be traced to a commissioner in the records uploaded by providers of cancer services.</w:t>
            </w:r>
          </w:p>
          <w:p w14:paraId="1ED04271" w14:textId="77777777" w:rsidR="00B00DC7" w:rsidRPr="00C75B05" w:rsidRDefault="00B00DC7" w:rsidP="00B00DC7">
            <w:pPr>
              <w:spacing w:before="240"/>
            </w:pPr>
            <w:r w:rsidRPr="00C75B05">
              <w:t xml:space="preserve">In addition to the quarterly published data, NHS England has from August 2015 published monthly data for both providers and commissioners, badged as official statistics.  The monthly data are provisional and are subject to change as records are validated within the quarter.  </w:t>
            </w:r>
            <w:proofErr w:type="gramStart"/>
            <w:r w:rsidRPr="00C75B05">
              <w:t>As a consequence</w:t>
            </w:r>
            <w:proofErr w:type="gramEnd"/>
            <w:r w:rsidRPr="00C75B05">
              <w:t>, the sum of the standalone published monthly data for a given quarter does not equal the equivalent standalone quarterly published data.</w:t>
            </w:r>
          </w:p>
          <w:p w14:paraId="3691B840" w14:textId="77777777" w:rsidR="00B00DC7" w:rsidRPr="00C75B05" w:rsidRDefault="00B00DC7" w:rsidP="00B00DC7">
            <w:pPr>
              <w:spacing w:before="240"/>
            </w:pPr>
            <w:r w:rsidRPr="00C75B05">
              <w:t>Both monthly and quarterly statistics are published with a lag of 6 weeks after the period.</w:t>
            </w:r>
          </w:p>
          <w:p w14:paraId="0F5648DE" w14:textId="77777777" w:rsidR="00B00DC7" w:rsidRPr="00C75B05" w:rsidRDefault="00B00DC7" w:rsidP="00B00DC7">
            <w:pPr>
              <w:spacing w:before="240"/>
            </w:pPr>
            <w:r w:rsidRPr="00C75B05">
              <w:t>The development of this series of statistics has been subject to a process aimed at ensuring that the published data provide as accurate as possible a picture of the delivery of cancer services within the English NHS. This development process has also included amendments to the collection system and definitions, which more accurately and transparently reflect the user experience and waiting times of patients referred to or treated in NHS cancer services in England. These changes resulting from this development process were introduced from 01 January 2009 ensure that data on cancer services more consistent and interoperable with those data collected to monitor the timeliness of other services within the English NHS.</w:t>
            </w:r>
          </w:p>
          <w:p w14:paraId="7C362969" w14:textId="77777777" w:rsidR="00B00DC7" w:rsidRPr="00C75B05" w:rsidRDefault="00B00DC7" w:rsidP="00B00DC7">
            <w:pPr>
              <w:spacing w:before="240"/>
            </w:pPr>
            <w:r w:rsidRPr="00C75B05">
              <w:t>These statistics are shared as rapidly as possible, subject to the necessary validation checks and assurance that nationally reported performance figures for the various waiting times standards have been correctly calculated.</w:t>
            </w:r>
          </w:p>
          <w:p w14:paraId="75EB59A7" w14:textId="77777777" w:rsidR="00B00DC7" w:rsidRPr="00B00DC7" w:rsidRDefault="00B00DC7" w:rsidP="00B00DC7">
            <w:pPr>
              <w:spacing w:before="240"/>
            </w:pPr>
          </w:p>
        </w:tc>
      </w:tr>
      <w:tr w:rsidR="00B00DC7" w:rsidRPr="00C75B05" w14:paraId="4D57F828" w14:textId="77777777" w:rsidTr="00B00DC7">
        <w:tc>
          <w:tcPr>
            <w:tcW w:w="2836" w:type="dxa"/>
          </w:tcPr>
          <w:p w14:paraId="5E537E7A" w14:textId="4343EADE" w:rsidR="00B00DC7" w:rsidRPr="00B00DC7" w:rsidRDefault="00B00DC7" w:rsidP="00B00DC7">
            <w:pPr>
              <w:spacing w:before="240"/>
            </w:pPr>
            <w:r w:rsidRPr="00B00DC7">
              <w:t>Quality assurance</w:t>
            </w:r>
          </w:p>
        </w:tc>
        <w:tc>
          <w:tcPr>
            <w:tcW w:w="6469" w:type="dxa"/>
          </w:tcPr>
          <w:p w14:paraId="4427FE6A" w14:textId="1F961DB8" w:rsidR="00B00DC7" w:rsidRPr="00B00DC7" w:rsidRDefault="00B00DC7" w:rsidP="00B00DC7">
            <w:pPr>
              <w:spacing w:before="240"/>
            </w:pPr>
            <w:r w:rsidRPr="00C75B05">
              <w:t xml:space="preserve">Each extract is checked to ensure that the correct number of columns and fields are present and that the totals on each row are correct. For example - the automatically generated “total </w:t>
            </w:r>
            <w:r w:rsidRPr="00C75B05">
              <w:lastRenderedPageBreak/>
              <w:t>treated” figure should match the number of patients reported in the columns detailing how long patients waited. This checks that the extract completed writing with no errors. The extract queries have all been rigorously tested, this additional process is to mitigate against the (small) risk of an error being created by an interruption to the extract process caused by faults within the wider computer environment.</w:t>
            </w:r>
          </w:p>
        </w:tc>
      </w:tr>
      <w:tr w:rsidR="00B00DC7" w:rsidRPr="00C75B05" w14:paraId="54B9F232" w14:textId="77777777" w:rsidTr="00B00DC7">
        <w:tc>
          <w:tcPr>
            <w:tcW w:w="2836" w:type="dxa"/>
          </w:tcPr>
          <w:p w14:paraId="5CFED1DE" w14:textId="77777777" w:rsidR="00B00DC7" w:rsidRPr="00B00DC7" w:rsidRDefault="00B00DC7" w:rsidP="00B00DC7">
            <w:pPr>
              <w:spacing w:before="240"/>
            </w:pPr>
            <w:r w:rsidRPr="00B00DC7">
              <w:lastRenderedPageBreak/>
              <w:t xml:space="preserve">Quality improvement plan </w:t>
            </w:r>
          </w:p>
          <w:p w14:paraId="758B33C2" w14:textId="36C60A11" w:rsidR="00B00DC7" w:rsidRPr="00B00DC7" w:rsidRDefault="00B00DC7" w:rsidP="00B00DC7">
            <w:pPr>
              <w:pStyle w:val="Frontpagesubhead"/>
              <w:rPr>
                <w:rFonts w:eastAsiaTheme="minorHAnsi"/>
                <w:b w:val="0"/>
                <w:i w:val="0"/>
                <w:iCs w:val="0"/>
                <w:noProof w:val="0"/>
                <w:sz w:val="22"/>
                <w:szCs w:val="22"/>
                <w:lang w:eastAsia="en-US"/>
              </w:rPr>
            </w:pPr>
            <w:r w:rsidRPr="00B00DC7">
              <w:rPr>
                <w:rFonts w:eastAsiaTheme="minorHAnsi"/>
                <w:b w:val="0"/>
                <w:i w:val="0"/>
                <w:iCs w:val="0"/>
                <w:noProof w:val="0"/>
                <w:sz w:val="22"/>
                <w:szCs w:val="22"/>
                <w:lang w:eastAsia="en-US"/>
              </w:rPr>
              <w:t>If appropriate</w:t>
            </w:r>
          </w:p>
        </w:tc>
        <w:tc>
          <w:tcPr>
            <w:tcW w:w="6469" w:type="dxa"/>
          </w:tcPr>
          <w:p w14:paraId="784D9E2C" w14:textId="667CEE8A" w:rsidR="00B00DC7" w:rsidRPr="00B00DC7" w:rsidRDefault="00B00DC7" w:rsidP="00B00DC7">
            <w:pPr>
              <w:pStyle w:val="Frontpagesubhead"/>
              <w:rPr>
                <w:rFonts w:eastAsiaTheme="minorHAnsi"/>
                <w:b w:val="0"/>
                <w:i w:val="0"/>
                <w:iCs w:val="0"/>
                <w:noProof w:val="0"/>
                <w:sz w:val="22"/>
                <w:szCs w:val="22"/>
                <w:lang w:eastAsia="en-US"/>
              </w:rPr>
            </w:pPr>
            <w:r w:rsidRPr="00B00DC7">
              <w:rPr>
                <w:rFonts w:eastAsiaTheme="minorHAnsi"/>
                <w:b w:val="0"/>
                <w:i w:val="0"/>
                <w:iCs w:val="0"/>
                <w:noProof w:val="0"/>
                <w:sz w:val="22"/>
                <w:szCs w:val="22"/>
                <w:lang w:eastAsia="en-US"/>
              </w:rPr>
              <w:t>N/A</w:t>
            </w:r>
          </w:p>
        </w:tc>
      </w:tr>
      <w:tr w:rsidR="00B00DC7" w:rsidRPr="00C75B05" w14:paraId="7C1B61B5" w14:textId="77777777" w:rsidTr="00B00DC7">
        <w:tc>
          <w:tcPr>
            <w:tcW w:w="2836" w:type="dxa"/>
          </w:tcPr>
          <w:p w14:paraId="6C88FC22" w14:textId="61D7FF18" w:rsidR="00B00DC7" w:rsidRPr="00B00DC7" w:rsidRDefault="00B00DC7" w:rsidP="00B00DC7">
            <w:pPr>
              <w:spacing w:before="240"/>
            </w:pPr>
            <w:r w:rsidRPr="00B00DC7">
              <w:t>Data linkage</w:t>
            </w:r>
          </w:p>
        </w:tc>
        <w:tc>
          <w:tcPr>
            <w:tcW w:w="6469" w:type="dxa"/>
          </w:tcPr>
          <w:p w14:paraId="5E3D98CA" w14:textId="36622931" w:rsidR="00B00DC7" w:rsidRPr="00B00DC7" w:rsidRDefault="00B00DC7" w:rsidP="00B00DC7">
            <w:pPr>
              <w:spacing w:before="240"/>
            </w:pPr>
            <w:r w:rsidRPr="00C75B05">
              <w:t>No linkage outside of Cancer Waiting Times Database</w:t>
            </w:r>
          </w:p>
        </w:tc>
      </w:tr>
      <w:tr w:rsidR="00B00DC7" w:rsidRPr="00C75B05" w14:paraId="254057C6" w14:textId="77777777" w:rsidTr="00B00DC7">
        <w:tc>
          <w:tcPr>
            <w:tcW w:w="2836" w:type="dxa"/>
          </w:tcPr>
          <w:p w14:paraId="6EF7D444" w14:textId="6ED2FEBC" w:rsidR="00B00DC7" w:rsidRPr="00B00DC7" w:rsidRDefault="00B00DC7" w:rsidP="00B00DC7">
            <w:pPr>
              <w:spacing w:before="240"/>
            </w:pPr>
            <w:r w:rsidRPr="00B00DC7">
              <w:t>Quality of data linkage</w:t>
            </w:r>
          </w:p>
        </w:tc>
        <w:tc>
          <w:tcPr>
            <w:tcW w:w="6469" w:type="dxa"/>
          </w:tcPr>
          <w:p w14:paraId="349723AC" w14:textId="2F836C82" w:rsidR="00B00DC7" w:rsidRPr="00B00DC7" w:rsidRDefault="00B00DC7" w:rsidP="00B00DC7">
            <w:pPr>
              <w:spacing w:before="240"/>
            </w:pPr>
            <w:r w:rsidRPr="00C75B05">
              <w:t>N/A</w:t>
            </w:r>
          </w:p>
        </w:tc>
      </w:tr>
      <w:tr w:rsidR="00B00DC7" w:rsidRPr="00C75B05" w14:paraId="39E31206" w14:textId="77777777" w:rsidTr="00B00DC7">
        <w:tc>
          <w:tcPr>
            <w:tcW w:w="2836" w:type="dxa"/>
          </w:tcPr>
          <w:p w14:paraId="45DAA970" w14:textId="5FE67497" w:rsidR="00B00DC7" w:rsidRPr="00B00DC7" w:rsidRDefault="00B00DC7" w:rsidP="00B00DC7">
            <w:pPr>
              <w:spacing w:before="240"/>
            </w:pPr>
            <w:r w:rsidRPr="00B00DC7">
              <w:t>Data fields</w:t>
            </w:r>
          </w:p>
        </w:tc>
        <w:tc>
          <w:tcPr>
            <w:tcW w:w="6469" w:type="dxa"/>
          </w:tcPr>
          <w:p w14:paraId="2713BBFE" w14:textId="77777777" w:rsidR="00B00DC7" w:rsidRPr="00C75B05" w:rsidRDefault="00B00DC7" w:rsidP="00B00DC7">
            <w:pPr>
              <w:spacing w:before="240"/>
            </w:pPr>
            <w:r w:rsidRPr="00C75B05">
              <w:t>PERIOD</w:t>
            </w:r>
          </w:p>
          <w:p w14:paraId="3B1FD1C5" w14:textId="77777777" w:rsidR="00B00DC7" w:rsidRPr="00C75B05" w:rsidRDefault="00B00DC7" w:rsidP="00B00DC7">
            <w:pPr>
              <w:spacing w:before="240"/>
            </w:pPr>
            <w:r w:rsidRPr="00C75B05">
              <w:t>YEAR</w:t>
            </w:r>
          </w:p>
          <w:p w14:paraId="4EBF4BE1" w14:textId="77777777" w:rsidR="00B00DC7" w:rsidRPr="00C75B05" w:rsidRDefault="00B00DC7" w:rsidP="00B00DC7">
            <w:pPr>
              <w:spacing w:before="240"/>
            </w:pPr>
            <w:r w:rsidRPr="00C75B05">
              <w:t>MONTH</w:t>
            </w:r>
          </w:p>
          <w:p w14:paraId="1BCEE45C" w14:textId="77777777" w:rsidR="00B00DC7" w:rsidRPr="00C75B05" w:rsidRDefault="00B00DC7" w:rsidP="00B00DC7">
            <w:pPr>
              <w:spacing w:before="240"/>
            </w:pPr>
            <w:r w:rsidRPr="00C75B05">
              <w:t>STANDARD</w:t>
            </w:r>
          </w:p>
          <w:p w14:paraId="6B1B6D4B" w14:textId="77777777" w:rsidR="00B00DC7" w:rsidRPr="00C75B05" w:rsidRDefault="00B00DC7" w:rsidP="00B00DC7">
            <w:pPr>
              <w:spacing w:before="240"/>
            </w:pPr>
            <w:r w:rsidRPr="00C75B05">
              <w:t>AREA TEAM</w:t>
            </w:r>
          </w:p>
          <w:p w14:paraId="163CC837" w14:textId="77777777" w:rsidR="00B00DC7" w:rsidRPr="00C75B05" w:rsidRDefault="00B00DC7" w:rsidP="00B00DC7">
            <w:pPr>
              <w:spacing w:before="240"/>
            </w:pPr>
            <w:r w:rsidRPr="00C75B05">
              <w:t>ORG CODE</w:t>
            </w:r>
          </w:p>
          <w:p w14:paraId="34D9A419" w14:textId="77777777" w:rsidR="00B00DC7" w:rsidRPr="00C75B05" w:rsidRDefault="00B00DC7" w:rsidP="00B00DC7">
            <w:pPr>
              <w:spacing w:before="240"/>
            </w:pPr>
            <w:r w:rsidRPr="00C75B05">
              <w:t>CARE SETTING</w:t>
            </w:r>
          </w:p>
          <w:p w14:paraId="1C791CD0" w14:textId="77777777" w:rsidR="00B00DC7" w:rsidRPr="00C75B05" w:rsidRDefault="00B00DC7" w:rsidP="00B00DC7">
            <w:pPr>
              <w:spacing w:before="240"/>
            </w:pPr>
            <w:r w:rsidRPr="00C75B05">
              <w:t>CANCER TYPE</w:t>
            </w:r>
          </w:p>
          <w:p w14:paraId="6D532735" w14:textId="77777777" w:rsidR="00B00DC7" w:rsidRPr="00C75B05" w:rsidRDefault="00B00DC7" w:rsidP="00B00DC7">
            <w:pPr>
              <w:spacing w:before="240"/>
            </w:pPr>
            <w:r w:rsidRPr="00C75B05">
              <w:t>TOTAL TREATED</w:t>
            </w:r>
          </w:p>
          <w:p w14:paraId="2A141FAE" w14:textId="77777777" w:rsidR="00B00DC7" w:rsidRPr="00C75B05" w:rsidRDefault="00B00DC7" w:rsidP="00B00DC7">
            <w:pPr>
              <w:spacing w:before="240"/>
            </w:pPr>
            <w:r w:rsidRPr="00C75B05">
              <w:t>WITHIN STANDARD</w:t>
            </w:r>
          </w:p>
          <w:p w14:paraId="70A30AD2" w14:textId="611020C3" w:rsidR="00B00DC7" w:rsidRPr="00B00DC7" w:rsidRDefault="00B00DC7" w:rsidP="00B00DC7">
            <w:pPr>
              <w:spacing w:before="240"/>
            </w:pPr>
            <w:r w:rsidRPr="00C75B05">
              <w:t>BREACHES</w:t>
            </w:r>
          </w:p>
        </w:tc>
      </w:tr>
      <w:tr w:rsidR="00B00DC7" w:rsidRPr="00C75B05" w14:paraId="53D23577" w14:textId="77777777" w:rsidTr="00B00DC7">
        <w:tc>
          <w:tcPr>
            <w:tcW w:w="2836" w:type="dxa"/>
          </w:tcPr>
          <w:p w14:paraId="0A069CEF" w14:textId="6CEEF984" w:rsidR="00B00DC7" w:rsidRPr="00B00DC7" w:rsidRDefault="00B00DC7" w:rsidP="00B00DC7">
            <w:pPr>
              <w:spacing w:before="240"/>
            </w:pPr>
            <w:r w:rsidRPr="00B00DC7">
              <w:t>Data filters</w:t>
            </w:r>
          </w:p>
        </w:tc>
        <w:tc>
          <w:tcPr>
            <w:tcW w:w="6469" w:type="dxa"/>
          </w:tcPr>
          <w:p w14:paraId="3ABF3147" w14:textId="26E7410E" w:rsidR="00B00DC7" w:rsidRPr="00B00DC7" w:rsidRDefault="00B00DC7" w:rsidP="00B00DC7">
            <w:pPr>
              <w:spacing w:before="240"/>
            </w:pPr>
            <w:r w:rsidRPr="00C75B05">
              <w:t>N/A</w:t>
            </w:r>
          </w:p>
        </w:tc>
      </w:tr>
      <w:tr w:rsidR="00B00DC7" w:rsidRPr="00C75B05" w14:paraId="606D9B98" w14:textId="77777777" w:rsidTr="00B00DC7">
        <w:tc>
          <w:tcPr>
            <w:tcW w:w="2836" w:type="dxa"/>
          </w:tcPr>
          <w:p w14:paraId="10B7728E" w14:textId="77777777" w:rsidR="00B00DC7" w:rsidRPr="00B00DC7" w:rsidRDefault="00B00DC7" w:rsidP="00B00DC7">
            <w:pPr>
              <w:spacing w:before="240"/>
            </w:pPr>
            <w:r w:rsidRPr="00B00DC7">
              <w:t xml:space="preserve">Justifications of inclusions and exclusions </w:t>
            </w:r>
          </w:p>
          <w:p w14:paraId="3289F46E" w14:textId="68B27B77" w:rsidR="00B00DC7" w:rsidRPr="00B00DC7" w:rsidRDefault="00B00DC7" w:rsidP="00B00DC7">
            <w:pPr>
              <w:pStyle w:val="Frontpagesubhead"/>
              <w:rPr>
                <w:rFonts w:eastAsiaTheme="minorHAnsi"/>
                <w:b w:val="0"/>
                <w:i w:val="0"/>
                <w:iCs w:val="0"/>
                <w:noProof w:val="0"/>
                <w:sz w:val="22"/>
                <w:szCs w:val="22"/>
                <w:lang w:eastAsia="en-US"/>
              </w:rPr>
            </w:pPr>
            <w:r w:rsidRPr="00B00DC7">
              <w:rPr>
                <w:rFonts w:eastAsiaTheme="minorHAnsi"/>
                <w:b w:val="0"/>
                <w:i w:val="0"/>
                <w:iCs w:val="0"/>
                <w:noProof w:val="0"/>
                <w:sz w:val="22"/>
                <w:szCs w:val="22"/>
                <w:lang w:eastAsia="en-US"/>
              </w:rPr>
              <w:t>and how these adhere to standard definitions</w:t>
            </w:r>
          </w:p>
        </w:tc>
        <w:tc>
          <w:tcPr>
            <w:tcW w:w="6469" w:type="dxa"/>
          </w:tcPr>
          <w:p w14:paraId="223761D1" w14:textId="77777777" w:rsidR="00B00DC7" w:rsidRPr="00C75B05" w:rsidRDefault="00B00DC7" w:rsidP="00B00DC7">
            <w:pPr>
              <w:spacing w:before="240"/>
            </w:pPr>
            <w:r w:rsidRPr="00C75B05">
              <w:t>Does not include patients not traced to a CCG, as data is presented by CCG.</w:t>
            </w:r>
          </w:p>
          <w:p w14:paraId="41B063BF" w14:textId="77777777" w:rsidR="00B00DC7" w:rsidRPr="00C75B05" w:rsidRDefault="00B00DC7" w:rsidP="00B00DC7">
            <w:pPr>
              <w:spacing w:before="240"/>
            </w:pPr>
            <w:r w:rsidRPr="00C75B05">
              <w:t xml:space="preserve">This covers all cancers as defined by ICD-10 codes C00 to C97 and D05. Children are included in the </w:t>
            </w:r>
            <w:proofErr w:type="gramStart"/>
            <w:r w:rsidRPr="00C75B05">
              <w:t>62 day</w:t>
            </w:r>
            <w:proofErr w:type="gramEnd"/>
            <w:r w:rsidRPr="00C75B05">
              <w:t xml:space="preserve"> performance figures, though in the context of cancer waiting times these are classed as rarer cancers and are expected to be treated within 31 days.</w:t>
            </w:r>
          </w:p>
          <w:p w14:paraId="26EF618B" w14:textId="77777777" w:rsidR="00B00DC7" w:rsidRPr="00B00DC7" w:rsidRDefault="00B00DC7" w:rsidP="00B00DC7">
            <w:pPr>
              <w:pStyle w:val="Default"/>
              <w:rPr>
                <w:rFonts w:eastAsiaTheme="minorHAnsi"/>
                <w:color w:val="auto"/>
                <w:sz w:val="22"/>
                <w:szCs w:val="22"/>
              </w:rPr>
            </w:pPr>
            <w:r w:rsidRPr="00B00DC7">
              <w:rPr>
                <w:rFonts w:eastAsiaTheme="minorHAnsi"/>
                <w:color w:val="auto"/>
                <w:sz w:val="22"/>
                <w:szCs w:val="22"/>
              </w:rPr>
              <w:t xml:space="preserve">If a patient is not recorded as beginning treatment, they are not included in the indicator. For patients who have no diagnosis of cancer recorded and no subsequent </w:t>
            </w:r>
            <w:proofErr w:type="gramStart"/>
            <w:r w:rsidRPr="00B00DC7">
              <w:rPr>
                <w:rFonts w:eastAsiaTheme="minorHAnsi"/>
                <w:color w:val="auto"/>
                <w:sz w:val="22"/>
                <w:szCs w:val="22"/>
              </w:rPr>
              <w:t>62 day</w:t>
            </w:r>
            <w:proofErr w:type="gramEnd"/>
            <w:r w:rsidRPr="00B00DC7">
              <w:rPr>
                <w:rFonts w:eastAsiaTheme="minorHAnsi"/>
                <w:color w:val="auto"/>
                <w:sz w:val="22"/>
                <w:szCs w:val="22"/>
              </w:rPr>
              <w:t xml:space="preserve"> period data is entered it will be taken that there was a non-cancer diagnosis. The activity up to the date first seen would still be counted and needs to be uploaded. Such records can be </w:t>
            </w:r>
            <w:proofErr w:type="gramStart"/>
            <w:r w:rsidRPr="00B00DC7">
              <w:rPr>
                <w:rFonts w:eastAsiaTheme="minorHAnsi"/>
                <w:color w:val="auto"/>
                <w:sz w:val="22"/>
                <w:szCs w:val="22"/>
              </w:rPr>
              <w:t>closed down</w:t>
            </w:r>
            <w:proofErr w:type="gramEnd"/>
            <w:r w:rsidRPr="00B00DC7">
              <w:rPr>
                <w:rFonts w:eastAsiaTheme="minorHAnsi"/>
                <w:color w:val="auto"/>
                <w:sz w:val="22"/>
                <w:szCs w:val="22"/>
              </w:rPr>
              <w:t xml:space="preserve"> locally (see page 14 of the National Cancer Waiting Times Monitoring </w:t>
            </w:r>
            <w:r w:rsidRPr="00B00DC7">
              <w:rPr>
                <w:rFonts w:eastAsiaTheme="minorHAnsi"/>
                <w:color w:val="auto"/>
                <w:sz w:val="22"/>
                <w:szCs w:val="22"/>
              </w:rPr>
              <w:lastRenderedPageBreak/>
              <w:t xml:space="preserve">Dataset Guidance: http://systems.digital.nhs.uk/ssd/cancerwaiting/cwtguide9.pdf) </w:t>
            </w:r>
            <w:r w:rsidRPr="00B00DC7">
              <w:rPr>
                <w:rFonts w:eastAsiaTheme="minorHAnsi"/>
                <w:color w:val="auto"/>
                <w:sz w:val="22"/>
                <w:szCs w:val="22"/>
              </w:rPr>
              <w:br/>
            </w:r>
          </w:p>
          <w:p w14:paraId="487DCC17" w14:textId="77777777" w:rsidR="00B00DC7" w:rsidRPr="00B00DC7" w:rsidRDefault="00B00DC7" w:rsidP="00B00DC7">
            <w:pPr>
              <w:pStyle w:val="Default"/>
              <w:rPr>
                <w:rFonts w:eastAsiaTheme="minorHAnsi"/>
                <w:color w:val="auto"/>
                <w:sz w:val="22"/>
                <w:szCs w:val="22"/>
              </w:rPr>
            </w:pPr>
            <w:r w:rsidRPr="00B00DC7">
              <w:rPr>
                <w:rFonts w:eastAsiaTheme="minorHAnsi"/>
                <w:color w:val="auto"/>
                <w:sz w:val="22"/>
                <w:szCs w:val="22"/>
              </w:rPr>
              <w:t>Cancer waiting times service standards are applicable to patients cared for under the NHS in England with ICD codes C00-C97 (excluding basal cell carcinoma) and D05 (All carcinoma in situ – breast). This includes those patients:</w:t>
            </w:r>
          </w:p>
          <w:p w14:paraId="1D0B69D8"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being treated within a clinical trial</w:t>
            </w:r>
          </w:p>
          <w:p w14:paraId="59E854FD"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whose cancer care is undertaken by a private provider on behalf of the NHS i.e. directly commissioned by an English NHS commissioner</w:t>
            </w:r>
          </w:p>
          <w:p w14:paraId="41115FBA"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whose care is sub-contracted to another provider – including a private provider – (and hence paid for) by an English NHS provider i.e. commissioned by an English NHS commissioner but subcontracted out by the commissioned provider</w:t>
            </w:r>
          </w:p>
          <w:p w14:paraId="52923909"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diagnosed with a second new cancer</w:t>
            </w:r>
          </w:p>
          <w:p w14:paraId="4EA2FFA3"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without microscopic verification of the tumour (i.e. histology or cytology) if the patient has been told they have cancer and/or have received treatment for cancer</w:t>
            </w:r>
          </w:p>
          <w:p w14:paraId="5E35E33C" w14:textId="77777777" w:rsidR="00B00DC7" w:rsidRPr="00B00DC7" w:rsidRDefault="00B00DC7" w:rsidP="00B00DC7">
            <w:pPr>
              <w:pStyle w:val="Default"/>
              <w:numPr>
                <w:ilvl w:val="0"/>
                <w:numId w:val="5"/>
              </w:numPr>
              <w:ind w:left="0"/>
              <w:rPr>
                <w:rFonts w:eastAsiaTheme="minorHAnsi"/>
                <w:color w:val="auto"/>
                <w:sz w:val="22"/>
                <w:szCs w:val="22"/>
              </w:rPr>
            </w:pPr>
            <w:r w:rsidRPr="00B00DC7">
              <w:rPr>
                <w:rFonts w:eastAsiaTheme="minorHAnsi"/>
                <w:color w:val="auto"/>
                <w:sz w:val="22"/>
                <w:szCs w:val="22"/>
              </w:rPr>
              <w:t>with any skin squamous cell carcinoma (SCC).</w:t>
            </w:r>
          </w:p>
          <w:p w14:paraId="545B5887" w14:textId="77777777" w:rsidR="00B00DC7" w:rsidRPr="00B00DC7" w:rsidRDefault="00B00DC7" w:rsidP="00B00DC7">
            <w:pPr>
              <w:pStyle w:val="Default"/>
              <w:rPr>
                <w:rFonts w:eastAsiaTheme="minorHAnsi"/>
                <w:color w:val="auto"/>
                <w:sz w:val="22"/>
                <w:szCs w:val="22"/>
              </w:rPr>
            </w:pPr>
            <w:r w:rsidRPr="00B00DC7">
              <w:rPr>
                <w:rFonts w:eastAsiaTheme="minorHAnsi"/>
                <w:color w:val="auto"/>
                <w:sz w:val="22"/>
                <w:szCs w:val="22"/>
              </w:rPr>
              <w:br/>
              <w:t>Cancer waiting times service standards are not applicable to patients:</w:t>
            </w:r>
          </w:p>
          <w:p w14:paraId="4F6003D1" w14:textId="77777777" w:rsidR="00B00DC7" w:rsidRPr="00B00DC7" w:rsidRDefault="00B00DC7" w:rsidP="00B00DC7">
            <w:pPr>
              <w:pStyle w:val="Default"/>
              <w:numPr>
                <w:ilvl w:val="0"/>
                <w:numId w:val="3"/>
              </w:numPr>
              <w:spacing w:after="62"/>
              <w:ind w:left="0"/>
              <w:rPr>
                <w:rFonts w:eastAsiaTheme="minorHAnsi"/>
                <w:color w:val="auto"/>
                <w:sz w:val="22"/>
                <w:szCs w:val="22"/>
              </w:rPr>
            </w:pPr>
            <w:r w:rsidRPr="00B00DC7">
              <w:rPr>
                <w:rFonts w:eastAsiaTheme="minorHAnsi"/>
                <w:color w:val="auto"/>
                <w:sz w:val="22"/>
                <w:szCs w:val="22"/>
              </w:rPr>
              <w:t xml:space="preserve">with a non-invasive cancer i.e.: </w:t>
            </w:r>
          </w:p>
          <w:p w14:paraId="317F3B6C" w14:textId="77777777" w:rsidR="00B00DC7" w:rsidRPr="00B00DC7" w:rsidRDefault="00B00DC7" w:rsidP="00B00DC7">
            <w:pPr>
              <w:pStyle w:val="Default"/>
              <w:numPr>
                <w:ilvl w:val="1"/>
                <w:numId w:val="3"/>
              </w:numPr>
              <w:spacing w:after="62"/>
              <w:ind w:left="0"/>
              <w:rPr>
                <w:rFonts w:eastAsiaTheme="minorHAnsi"/>
                <w:color w:val="auto"/>
                <w:sz w:val="22"/>
                <w:szCs w:val="22"/>
              </w:rPr>
            </w:pPr>
            <w:r w:rsidRPr="00B00DC7">
              <w:rPr>
                <w:rFonts w:eastAsiaTheme="minorHAnsi"/>
                <w:color w:val="auto"/>
                <w:sz w:val="22"/>
                <w:szCs w:val="22"/>
              </w:rPr>
              <w:t>carcinoma in situ (</w:t>
            </w:r>
            <w:proofErr w:type="gramStart"/>
            <w:r w:rsidRPr="00B00DC7">
              <w:rPr>
                <w:rFonts w:eastAsiaTheme="minorHAnsi"/>
                <w:color w:val="auto"/>
                <w:sz w:val="22"/>
                <w:szCs w:val="22"/>
              </w:rPr>
              <w:t>with the exception of</w:t>
            </w:r>
            <w:proofErr w:type="gramEnd"/>
            <w:r w:rsidRPr="00B00DC7">
              <w:rPr>
                <w:rFonts w:eastAsiaTheme="minorHAnsi"/>
                <w:color w:val="auto"/>
                <w:sz w:val="22"/>
                <w:szCs w:val="22"/>
              </w:rPr>
              <w:t xml:space="preserve"> breast (D05) which is included) – local systems will need to be in place to notify cancer registries of carcinoma in situ cases except for D05 </w:t>
            </w:r>
          </w:p>
          <w:p w14:paraId="7917778C" w14:textId="77777777" w:rsidR="00B00DC7" w:rsidRPr="00B00DC7" w:rsidRDefault="00B00DC7" w:rsidP="00B00DC7">
            <w:pPr>
              <w:pStyle w:val="Default"/>
              <w:numPr>
                <w:ilvl w:val="1"/>
                <w:numId w:val="3"/>
              </w:numPr>
              <w:spacing w:after="62"/>
              <w:ind w:left="0"/>
              <w:rPr>
                <w:rFonts w:eastAsiaTheme="minorHAnsi"/>
                <w:color w:val="auto"/>
                <w:sz w:val="22"/>
                <w:szCs w:val="22"/>
              </w:rPr>
            </w:pPr>
            <w:r w:rsidRPr="00B00DC7">
              <w:rPr>
                <w:rFonts w:eastAsiaTheme="minorHAnsi"/>
                <w:color w:val="auto"/>
                <w:sz w:val="22"/>
                <w:szCs w:val="22"/>
              </w:rPr>
              <w:t xml:space="preserve">basal cell carcinoma (BCC). </w:t>
            </w:r>
          </w:p>
          <w:p w14:paraId="1452237C" w14:textId="77777777" w:rsidR="00B00DC7" w:rsidRPr="00B00DC7" w:rsidRDefault="00B00DC7" w:rsidP="00B00DC7">
            <w:pPr>
              <w:pStyle w:val="Default"/>
              <w:numPr>
                <w:ilvl w:val="0"/>
                <w:numId w:val="3"/>
              </w:numPr>
              <w:spacing w:after="62"/>
              <w:ind w:left="0"/>
              <w:rPr>
                <w:rFonts w:eastAsiaTheme="minorHAnsi"/>
                <w:color w:val="auto"/>
                <w:sz w:val="22"/>
                <w:szCs w:val="22"/>
              </w:rPr>
            </w:pPr>
            <w:r w:rsidRPr="00B00DC7">
              <w:rPr>
                <w:rFonts w:eastAsiaTheme="minorHAnsi"/>
                <w:color w:val="auto"/>
                <w:sz w:val="22"/>
                <w:szCs w:val="22"/>
              </w:rPr>
              <w:t xml:space="preserve">who die prior to treatment commencing – local systems will need to be able to flag this and forward the information to cancer </w:t>
            </w:r>
            <w:proofErr w:type="gramStart"/>
            <w:r w:rsidRPr="00B00DC7">
              <w:rPr>
                <w:rFonts w:eastAsiaTheme="minorHAnsi"/>
                <w:color w:val="auto"/>
                <w:sz w:val="22"/>
                <w:szCs w:val="22"/>
              </w:rPr>
              <w:t>registries</w:t>
            </w:r>
            <w:proofErr w:type="gramEnd"/>
            <w:r w:rsidRPr="00B00DC7">
              <w:rPr>
                <w:rFonts w:eastAsiaTheme="minorHAnsi"/>
                <w:color w:val="auto"/>
                <w:sz w:val="22"/>
                <w:szCs w:val="22"/>
              </w:rPr>
              <w:t xml:space="preserve"> </w:t>
            </w:r>
          </w:p>
          <w:p w14:paraId="2E27F5A2" w14:textId="77777777" w:rsidR="00B00DC7" w:rsidRPr="00B00DC7" w:rsidRDefault="00B00DC7" w:rsidP="00B00DC7">
            <w:pPr>
              <w:pStyle w:val="Default"/>
              <w:numPr>
                <w:ilvl w:val="0"/>
                <w:numId w:val="3"/>
              </w:numPr>
              <w:spacing w:after="62"/>
              <w:ind w:left="0"/>
              <w:rPr>
                <w:rFonts w:eastAsiaTheme="minorHAnsi"/>
                <w:color w:val="auto"/>
                <w:sz w:val="22"/>
                <w:szCs w:val="22"/>
              </w:rPr>
            </w:pPr>
            <w:r w:rsidRPr="00B00DC7">
              <w:rPr>
                <w:rFonts w:eastAsiaTheme="minorHAnsi"/>
                <w:color w:val="auto"/>
                <w:sz w:val="22"/>
                <w:szCs w:val="22"/>
              </w:rPr>
              <w:t xml:space="preserve">receiving diagnostic services and treatment privately. However: </w:t>
            </w:r>
          </w:p>
          <w:p w14:paraId="4E071A6C" w14:textId="77777777" w:rsidR="00B00DC7" w:rsidRPr="00B00DC7" w:rsidRDefault="00B00DC7" w:rsidP="00B00DC7">
            <w:pPr>
              <w:pStyle w:val="Default"/>
              <w:numPr>
                <w:ilvl w:val="1"/>
                <w:numId w:val="3"/>
              </w:numPr>
              <w:spacing w:after="62"/>
              <w:ind w:left="0"/>
              <w:rPr>
                <w:rFonts w:eastAsiaTheme="minorHAnsi"/>
                <w:color w:val="auto"/>
                <w:sz w:val="22"/>
                <w:szCs w:val="22"/>
              </w:rPr>
            </w:pPr>
            <w:r w:rsidRPr="00B00DC7">
              <w:rPr>
                <w:rFonts w:eastAsiaTheme="minorHAnsi"/>
                <w:color w:val="auto"/>
                <w:sz w:val="22"/>
                <w:szCs w:val="22"/>
              </w:rPr>
              <w:t xml:space="preserve">where a patient chooses to be seen initially by a specialist privately but is then referred for treatment under the NHS, the patient should be included under the existing </w:t>
            </w:r>
            <w:proofErr w:type="gramStart"/>
            <w:r w:rsidRPr="00B00DC7">
              <w:rPr>
                <w:rFonts w:eastAsiaTheme="minorHAnsi"/>
                <w:color w:val="auto"/>
                <w:sz w:val="22"/>
                <w:szCs w:val="22"/>
              </w:rPr>
              <w:t>31 day</w:t>
            </w:r>
            <w:proofErr w:type="gramEnd"/>
            <w:r w:rsidRPr="00B00DC7">
              <w:rPr>
                <w:rFonts w:eastAsiaTheme="minorHAnsi"/>
                <w:color w:val="auto"/>
                <w:sz w:val="22"/>
                <w:szCs w:val="22"/>
              </w:rPr>
              <w:t xml:space="preserve"> standards </w:t>
            </w:r>
          </w:p>
          <w:p w14:paraId="018D8185" w14:textId="77777777" w:rsidR="00B00DC7" w:rsidRPr="00B00DC7" w:rsidRDefault="00B00DC7" w:rsidP="00B00DC7">
            <w:pPr>
              <w:pStyle w:val="Default"/>
              <w:numPr>
                <w:ilvl w:val="1"/>
                <w:numId w:val="3"/>
              </w:numPr>
              <w:spacing w:after="62"/>
              <w:ind w:left="0"/>
              <w:rPr>
                <w:rFonts w:eastAsiaTheme="minorHAnsi"/>
                <w:color w:val="auto"/>
                <w:sz w:val="22"/>
                <w:szCs w:val="22"/>
              </w:rPr>
            </w:pPr>
            <w:r w:rsidRPr="00B00DC7">
              <w:rPr>
                <w:rFonts w:eastAsiaTheme="minorHAnsi"/>
                <w:color w:val="auto"/>
                <w:sz w:val="22"/>
                <w:szCs w:val="22"/>
              </w:rPr>
              <w:t xml:space="preserve">where a patient is first seen under the </w:t>
            </w:r>
            <w:proofErr w:type="gramStart"/>
            <w:r w:rsidRPr="00B00DC7">
              <w:rPr>
                <w:rFonts w:eastAsiaTheme="minorHAnsi"/>
                <w:color w:val="auto"/>
                <w:sz w:val="22"/>
                <w:szCs w:val="22"/>
              </w:rPr>
              <w:t>two week</w:t>
            </w:r>
            <w:proofErr w:type="gramEnd"/>
            <w:r w:rsidRPr="00B00DC7">
              <w:rPr>
                <w:rFonts w:eastAsiaTheme="minorHAnsi"/>
                <w:color w:val="auto"/>
                <w:sz w:val="22"/>
                <w:szCs w:val="22"/>
              </w:rPr>
              <w:t xml:space="preserve"> standard, then chooses to have diagnostic tests privately before returning to the NHS for cancer treatment, only the two week standard and 31 day standard apply. The patient is excluded from the </w:t>
            </w:r>
            <w:proofErr w:type="gramStart"/>
            <w:r w:rsidRPr="00B00DC7">
              <w:rPr>
                <w:rFonts w:eastAsiaTheme="minorHAnsi"/>
                <w:color w:val="auto"/>
                <w:sz w:val="22"/>
                <w:szCs w:val="22"/>
              </w:rPr>
              <w:t>62 day</w:t>
            </w:r>
            <w:proofErr w:type="gramEnd"/>
            <w:r w:rsidRPr="00B00DC7">
              <w:rPr>
                <w:rFonts w:eastAsiaTheme="minorHAnsi"/>
                <w:color w:val="auto"/>
                <w:sz w:val="22"/>
                <w:szCs w:val="22"/>
              </w:rPr>
              <w:t xml:space="preserve"> standard as the diagnostic phase of the period has been carried out by the private sector. </w:t>
            </w:r>
          </w:p>
          <w:p w14:paraId="2CAE8E74" w14:textId="77777777" w:rsidR="00B00DC7" w:rsidRPr="00B00DC7" w:rsidRDefault="00B00DC7" w:rsidP="00B00DC7">
            <w:pPr>
              <w:pStyle w:val="Default"/>
              <w:numPr>
                <w:ilvl w:val="0"/>
                <w:numId w:val="3"/>
              </w:numPr>
              <w:ind w:left="0"/>
              <w:rPr>
                <w:rFonts w:eastAsiaTheme="minorHAnsi"/>
                <w:color w:val="auto"/>
                <w:sz w:val="22"/>
                <w:szCs w:val="22"/>
              </w:rPr>
            </w:pPr>
            <w:r w:rsidRPr="00B00DC7">
              <w:rPr>
                <w:rFonts w:eastAsiaTheme="minorHAnsi"/>
                <w:color w:val="auto"/>
                <w:sz w:val="22"/>
                <w:szCs w:val="22"/>
              </w:rPr>
              <w:t xml:space="preserve">who refuse all reasonable offers of diagnostics or treatments, or opt to be treated outside of the </w:t>
            </w:r>
            <w:proofErr w:type="gramStart"/>
            <w:r w:rsidRPr="00B00DC7">
              <w:rPr>
                <w:rFonts w:eastAsiaTheme="minorHAnsi"/>
                <w:color w:val="auto"/>
                <w:sz w:val="22"/>
                <w:szCs w:val="22"/>
              </w:rPr>
              <w:t>NHS.</w:t>
            </w:r>
            <w:proofErr w:type="gramEnd"/>
            <w:r w:rsidRPr="00B00DC7">
              <w:rPr>
                <w:rFonts w:eastAsiaTheme="minorHAnsi"/>
                <w:color w:val="auto"/>
                <w:sz w:val="22"/>
                <w:szCs w:val="22"/>
              </w:rPr>
              <w:t xml:space="preserve"> </w:t>
            </w:r>
          </w:p>
          <w:p w14:paraId="3F9BC864" w14:textId="77777777" w:rsidR="00B00DC7" w:rsidRPr="00C75B05" w:rsidRDefault="00B00DC7" w:rsidP="00B00DC7">
            <w:pPr>
              <w:spacing w:before="240"/>
            </w:pPr>
            <w:r w:rsidRPr="00C75B05">
              <w:t>For cancer waiting times:</w:t>
            </w:r>
          </w:p>
          <w:p w14:paraId="566377E9" w14:textId="77777777" w:rsidR="00B00DC7" w:rsidRPr="00C75B05" w:rsidRDefault="00B00DC7" w:rsidP="00B00DC7">
            <w:pPr>
              <w:pStyle w:val="ListParagraph"/>
              <w:numPr>
                <w:ilvl w:val="0"/>
                <w:numId w:val="4"/>
              </w:numPr>
              <w:spacing w:before="240" w:after="180" w:line="240" w:lineRule="auto"/>
              <w:ind w:left="0"/>
              <w:contextualSpacing w:val="0"/>
              <w:textboxTightWrap w:val="lastLineOnly"/>
            </w:pPr>
            <w:r w:rsidRPr="00C75B05">
              <w:t>a reasonable offer for diagnostics or treatments is counted as a service commissioned by an English NHS commissioner that is clinically appropriate as decided by the consultant.</w:t>
            </w:r>
          </w:p>
          <w:p w14:paraId="40FC040E" w14:textId="77777777" w:rsidR="00B00DC7" w:rsidRPr="00C75B05" w:rsidRDefault="00B00DC7" w:rsidP="00B00DC7">
            <w:pPr>
              <w:pStyle w:val="ListParagraph"/>
              <w:numPr>
                <w:ilvl w:val="0"/>
                <w:numId w:val="4"/>
              </w:numPr>
              <w:spacing w:before="240" w:after="180" w:line="240" w:lineRule="auto"/>
              <w:ind w:left="0"/>
              <w:contextualSpacing w:val="0"/>
              <w:textboxTightWrap w:val="lastLineOnly"/>
            </w:pPr>
            <w:r w:rsidRPr="00C75B05">
              <w:t xml:space="preserve">a ‘reasonable’ offer of an appointment is defined by local policy and should be an offer for diagnosis or treatment in a cancer </w:t>
            </w:r>
            <w:r w:rsidRPr="00C75B05">
              <w:lastRenderedPageBreak/>
              <w:t xml:space="preserve">pathway. Part of being reasonable means that the patient has been consulted and listened to, </w:t>
            </w:r>
            <w:proofErr w:type="gramStart"/>
            <w:r w:rsidRPr="00C75B05">
              <w:t>taking into account</w:t>
            </w:r>
            <w:proofErr w:type="gramEnd"/>
            <w:r w:rsidRPr="00C75B05">
              <w:t xml:space="preserve"> what the patient would find reasonable. In cases of contention (such as treatments offered on the same day) the commissioner decides whether the offered appointment was reasonable.</w:t>
            </w:r>
          </w:p>
          <w:p w14:paraId="7172E950" w14:textId="1F3461D5" w:rsidR="00B00DC7" w:rsidRPr="00B00DC7" w:rsidRDefault="00B00DC7" w:rsidP="00B00DC7">
            <w:pPr>
              <w:pStyle w:val="Frontpagesubhead"/>
              <w:rPr>
                <w:rFonts w:eastAsiaTheme="minorHAnsi"/>
                <w:b w:val="0"/>
                <w:i w:val="0"/>
                <w:iCs w:val="0"/>
                <w:noProof w:val="0"/>
                <w:sz w:val="22"/>
                <w:szCs w:val="22"/>
                <w:lang w:eastAsia="en-US"/>
              </w:rPr>
            </w:pPr>
            <w:r w:rsidRPr="00B00DC7">
              <w:rPr>
                <w:rFonts w:eastAsiaTheme="minorHAnsi"/>
                <w:b w:val="0"/>
                <w:i w:val="0"/>
                <w:iCs w:val="0"/>
                <w:noProof w:val="0"/>
                <w:sz w:val="22"/>
                <w:szCs w:val="22"/>
                <w:lang w:eastAsia="en-US"/>
              </w:rPr>
              <w:t>While much of the total care pathway is covered by these cancer waiting times statistics some elements of the care pathway may not be as well represented. For example: activity after a patient with requiring End of Life Care has been referred to a community/voluntary palliative care team will not be fully included within these statistics.</w:t>
            </w:r>
          </w:p>
        </w:tc>
      </w:tr>
      <w:tr w:rsidR="00B00DC7" w:rsidRPr="00C75B05" w14:paraId="15F18A07" w14:textId="77777777" w:rsidTr="00B00DC7">
        <w:tc>
          <w:tcPr>
            <w:tcW w:w="2836" w:type="dxa"/>
          </w:tcPr>
          <w:p w14:paraId="042778AB" w14:textId="22C321EF"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lastRenderedPageBreak/>
              <w:t>Data processing</w:t>
            </w:r>
          </w:p>
        </w:tc>
        <w:tc>
          <w:tcPr>
            <w:tcW w:w="6469" w:type="dxa"/>
          </w:tcPr>
          <w:p w14:paraId="794CE4C6" w14:textId="32F98041"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Data are extracted as numerator (within standard) and denominator (total treated) fields.</w:t>
            </w:r>
          </w:p>
        </w:tc>
      </w:tr>
      <w:tr w:rsidR="00B00DC7" w:rsidRPr="00C75B05" w14:paraId="790F9726" w14:textId="77777777" w:rsidTr="00B00DC7">
        <w:tc>
          <w:tcPr>
            <w:tcW w:w="2836" w:type="dxa"/>
          </w:tcPr>
          <w:p w14:paraId="45A51112" w14:textId="1199AD8B" w:rsidR="00B00DC7" w:rsidRPr="00B00DC7" w:rsidRDefault="00B00DC7" w:rsidP="00B00DC7">
            <w:pPr>
              <w:pStyle w:val="ListParagraph"/>
              <w:numPr>
                <w:ilvl w:val="0"/>
                <w:numId w:val="4"/>
              </w:numPr>
              <w:spacing w:before="240" w:after="180" w:line="240" w:lineRule="auto"/>
              <w:ind w:left="0"/>
              <w:contextualSpacing w:val="0"/>
              <w:textboxTightWrap w:val="lastLineOnly"/>
              <w:rPr>
                <w:b/>
                <w:bCs/>
              </w:rPr>
            </w:pPr>
            <w:r w:rsidRPr="00B00DC7">
              <w:rPr>
                <w:b/>
                <w:bCs/>
              </w:rPr>
              <w:t>CONSTRUCTION</w:t>
            </w:r>
          </w:p>
        </w:tc>
        <w:tc>
          <w:tcPr>
            <w:tcW w:w="6469" w:type="dxa"/>
          </w:tcPr>
          <w:p w14:paraId="688CB52E"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p>
        </w:tc>
      </w:tr>
      <w:tr w:rsidR="00B00DC7" w:rsidRPr="00C75B05" w14:paraId="6A573A45" w14:textId="77777777" w:rsidTr="00B00DC7">
        <w:tc>
          <w:tcPr>
            <w:tcW w:w="2836" w:type="dxa"/>
          </w:tcPr>
          <w:p w14:paraId="1B417119" w14:textId="724A3337"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Numerator</w:t>
            </w:r>
          </w:p>
        </w:tc>
        <w:tc>
          <w:tcPr>
            <w:tcW w:w="6469" w:type="dxa"/>
          </w:tcPr>
          <w:p w14:paraId="389C96F0" w14:textId="239BBD2B"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The number of people with an urgent GP referral for suspected cancer who received first treatment in the quarter and where the referral to first treatment is within 62 days, by CCG.</w:t>
            </w:r>
          </w:p>
        </w:tc>
      </w:tr>
      <w:tr w:rsidR="00B00DC7" w:rsidRPr="00C75B05" w14:paraId="324AEC84" w14:textId="77777777" w:rsidTr="00B00DC7">
        <w:tc>
          <w:tcPr>
            <w:tcW w:w="2836" w:type="dxa"/>
          </w:tcPr>
          <w:p w14:paraId="307FA28E" w14:textId="28B4DB96"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Denominator</w:t>
            </w:r>
          </w:p>
        </w:tc>
        <w:tc>
          <w:tcPr>
            <w:tcW w:w="6469" w:type="dxa"/>
          </w:tcPr>
          <w:p w14:paraId="2B8BEE8A" w14:textId="3D58CF7A"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The total number of people with an urgent GP referral for suspected cancer who received first treatment within the quarter, by CCG</w:t>
            </w:r>
          </w:p>
        </w:tc>
      </w:tr>
      <w:tr w:rsidR="00B00DC7" w:rsidRPr="00C75B05" w14:paraId="72770B52" w14:textId="77777777" w:rsidTr="00B00DC7">
        <w:tc>
          <w:tcPr>
            <w:tcW w:w="2836" w:type="dxa"/>
          </w:tcPr>
          <w:p w14:paraId="67D4BA37" w14:textId="131C47D3"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Computation</w:t>
            </w:r>
          </w:p>
        </w:tc>
        <w:tc>
          <w:tcPr>
            <w:tcW w:w="6469" w:type="dxa"/>
          </w:tcPr>
          <w:p w14:paraId="66F8D101" w14:textId="3EFC2E96"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100% * (Numerator/Denominator); the proportion (as a %) of people with an urgent GP referral for suspected cancer that began their first definitive treatment within 62 days</w:t>
            </w:r>
          </w:p>
        </w:tc>
      </w:tr>
      <w:tr w:rsidR="00B00DC7" w:rsidRPr="00C75B05" w14:paraId="4994CE89" w14:textId="77777777" w:rsidTr="00B00DC7">
        <w:tc>
          <w:tcPr>
            <w:tcW w:w="2836" w:type="dxa"/>
          </w:tcPr>
          <w:p w14:paraId="1B826F21" w14:textId="6B940E86"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Risk adjustment or standardisation type and methodology</w:t>
            </w:r>
          </w:p>
        </w:tc>
        <w:tc>
          <w:tcPr>
            <w:tcW w:w="6469" w:type="dxa"/>
          </w:tcPr>
          <w:sdt>
            <w:sdtPr>
              <w:alias w:val="Risk adjustment type"/>
              <w:tag w:val="Risk adjustment type"/>
              <w:id w:val="1214319314"/>
              <w:placeholder>
                <w:docPart w:val="2845E95ED0D840569F0BD47690BD6084"/>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sdtContent>
              <w:p w14:paraId="29FE294F" w14:textId="77777777" w:rsidR="00B00DC7" w:rsidRPr="00C75B05" w:rsidRDefault="00B00DC7" w:rsidP="00B00DC7">
                <w:pPr>
                  <w:pStyle w:val="ListParagraph"/>
                  <w:numPr>
                    <w:ilvl w:val="0"/>
                    <w:numId w:val="4"/>
                  </w:numPr>
                  <w:spacing w:before="240" w:after="180" w:line="240" w:lineRule="auto"/>
                  <w:ind w:left="0"/>
                  <w:contextualSpacing w:val="0"/>
                  <w:textboxTightWrap w:val="lastLineOnly"/>
                </w:pPr>
                <w:r w:rsidRPr="00B00DC7">
                  <w:t>None</w:t>
                </w:r>
              </w:p>
            </w:sdtContent>
          </w:sdt>
          <w:p w14:paraId="168394A4"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Variables and methodology:</w:t>
            </w:r>
          </w:p>
          <w:p w14:paraId="75EE147C"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p>
        </w:tc>
      </w:tr>
      <w:tr w:rsidR="00B00DC7" w:rsidRPr="00C75B05" w14:paraId="20A1896B" w14:textId="77777777" w:rsidTr="00B00DC7">
        <w:tc>
          <w:tcPr>
            <w:tcW w:w="2836" w:type="dxa"/>
          </w:tcPr>
          <w:p w14:paraId="2B977AA4"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Justification of risk adjustment type and variables</w:t>
            </w:r>
          </w:p>
          <w:p w14:paraId="47EEAD01" w14:textId="6D48B35A"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or why risk adjustment is not used</w:t>
            </w:r>
          </w:p>
        </w:tc>
        <w:tc>
          <w:tcPr>
            <w:tcW w:w="6469" w:type="dxa"/>
          </w:tcPr>
          <w:p w14:paraId="2A6FDDED" w14:textId="1915725E"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C75B05">
              <w:t>The indicator is designed to accurately reflect the true proportion of people with an urgent GP referral for suspected cancer that began their first definitive treatment within 62 days without any adjustment.</w:t>
            </w:r>
          </w:p>
        </w:tc>
      </w:tr>
      <w:tr w:rsidR="00B00DC7" w:rsidRPr="00C75B05" w14:paraId="57438471" w14:textId="77777777" w:rsidTr="00B00DC7">
        <w:tc>
          <w:tcPr>
            <w:tcW w:w="2836" w:type="dxa"/>
          </w:tcPr>
          <w:p w14:paraId="632D33E8" w14:textId="66D13E90"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Confidence interval / control limit use and methodology</w:t>
            </w:r>
          </w:p>
        </w:tc>
        <w:tc>
          <w:tcPr>
            <w:tcW w:w="6469" w:type="dxa"/>
          </w:tcPr>
          <w:sdt>
            <w:sdtPr>
              <w:alias w:val="Confidence Interval/control limit use"/>
              <w:tag w:val="Confidence Interval/control limit use"/>
              <w:id w:val="1287858884"/>
              <w:placeholder>
                <w:docPart w:val="83F359B9F3F849668E593A3CCDD7D21A"/>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0459FFEB" w14:textId="77777777" w:rsidR="00B00DC7" w:rsidRPr="00C75B05" w:rsidRDefault="00B00DC7" w:rsidP="00B00DC7">
                <w:pPr>
                  <w:pStyle w:val="ListParagraph"/>
                  <w:numPr>
                    <w:ilvl w:val="0"/>
                    <w:numId w:val="4"/>
                  </w:numPr>
                  <w:spacing w:before="240" w:after="180" w:line="240" w:lineRule="auto"/>
                  <w:ind w:left="0"/>
                  <w:contextualSpacing w:val="0"/>
                  <w:textboxTightWrap w:val="lastLineOnly"/>
                </w:pPr>
                <w:r w:rsidRPr="00C75B05">
                  <w:t>None</w:t>
                </w:r>
              </w:p>
            </w:sdtContent>
          </w:sdt>
          <w:p w14:paraId="0BBB998A"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r w:rsidRPr="00B00DC7">
              <w:t>Methodology: N/A</w:t>
            </w:r>
          </w:p>
          <w:p w14:paraId="582D2724" w14:textId="77777777" w:rsidR="00B00DC7" w:rsidRPr="00B00DC7" w:rsidRDefault="00B00DC7" w:rsidP="00B00DC7">
            <w:pPr>
              <w:pStyle w:val="ListParagraph"/>
              <w:numPr>
                <w:ilvl w:val="0"/>
                <w:numId w:val="4"/>
              </w:numPr>
              <w:spacing w:before="240" w:after="180" w:line="240" w:lineRule="auto"/>
              <w:ind w:left="0"/>
              <w:contextualSpacing w:val="0"/>
              <w:textboxTightWrap w:val="lastLineOnly"/>
            </w:pPr>
          </w:p>
        </w:tc>
      </w:tr>
      <w:tr w:rsidR="00B00DC7" w:rsidRPr="00C75B05" w14:paraId="6EB01C71" w14:textId="77777777" w:rsidTr="00B00DC7">
        <w:tc>
          <w:tcPr>
            <w:tcW w:w="2836" w:type="dxa"/>
          </w:tcPr>
          <w:p w14:paraId="1575CCF9" w14:textId="52C64A88" w:rsidR="00B00DC7" w:rsidRPr="00C75B05" w:rsidRDefault="00B00DC7" w:rsidP="00B00DC7">
            <w:pPr>
              <w:pStyle w:val="ListParagraph"/>
              <w:numPr>
                <w:ilvl w:val="0"/>
                <w:numId w:val="4"/>
              </w:numPr>
              <w:spacing w:before="240" w:after="180" w:line="240" w:lineRule="auto"/>
              <w:ind w:left="0"/>
              <w:contextualSpacing w:val="0"/>
              <w:textboxTightWrap w:val="lastLineOnly"/>
              <w:rPr>
                <w:b/>
                <w:bCs/>
                <w:i/>
                <w:iCs/>
              </w:rPr>
            </w:pPr>
            <w:r w:rsidRPr="00B00DC7">
              <w:lastRenderedPageBreak/>
              <w:t>Justification of confidence intervals / control limits used</w:t>
            </w:r>
          </w:p>
        </w:tc>
        <w:tc>
          <w:tcPr>
            <w:tcW w:w="6469" w:type="dxa"/>
          </w:tcPr>
          <w:p w14:paraId="1C262737" w14:textId="77777777" w:rsidR="00B00DC7" w:rsidRPr="00C75B05" w:rsidRDefault="00B00DC7" w:rsidP="00B00DC7">
            <w:pPr>
              <w:spacing w:before="240"/>
            </w:pPr>
            <w:r w:rsidRPr="00C75B05">
              <w:t xml:space="preserve">Confidence intervals / control limits are not included as these are not appropriate for this measure, which is based on administrative data. </w:t>
            </w:r>
          </w:p>
          <w:p w14:paraId="7EBB1A5B" w14:textId="77777777" w:rsidR="00B00DC7" w:rsidRPr="00C75B05" w:rsidRDefault="00B00DC7" w:rsidP="00B00DC7">
            <w:r w:rsidRPr="00C75B05">
              <w:t xml:space="preserve">In principle, this waiting time standard should be met for all patients. The operational tolerance of 85% is included on the </w:t>
            </w:r>
            <w:proofErr w:type="spellStart"/>
            <w:r w:rsidRPr="00C75B05">
              <w:t>MyNHS</w:t>
            </w:r>
            <w:proofErr w:type="spellEnd"/>
            <w:r w:rsidRPr="00C75B05">
              <w:t xml:space="preserve"> website; CCGs are assessed directly against this standard, which makes allowance for the fact that there will be cases in which the 62 day wait period is not achievable (patients may elect to delay treatment, may be unfit for their treatment or it may be clinically inappropriate to treat them within the standard time).</w:t>
            </w:r>
          </w:p>
          <w:p w14:paraId="6345252D" w14:textId="77777777" w:rsidR="00B00DC7" w:rsidRPr="00C75B05" w:rsidRDefault="00B00DC7" w:rsidP="00B00DC7">
            <w:pPr>
              <w:pStyle w:val="Frontpagesubhead"/>
              <w:rPr>
                <w:b w:val="0"/>
                <w:bCs/>
                <w:i w:val="0"/>
                <w:iCs w:val="0"/>
              </w:rPr>
            </w:pPr>
          </w:p>
        </w:tc>
      </w:tr>
    </w:tbl>
    <w:p w14:paraId="11A446C1" w14:textId="77777777" w:rsidR="00211DD9" w:rsidRDefault="00211DD9" w:rsidP="00C75B05">
      <w:pPr>
        <w:pStyle w:val="Frontpagesubhead"/>
      </w:pPr>
    </w:p>
    <w:p w14:paraId="616C1925" w14:textId="1A27C1C3" w:rsidR="00211DD9" w:rsidRDefault="00B00DC7" w:rsidP="00B00DC7">
      <w:pPr>
        <w:rPr>
          <w:b/>
          <w:bCs/>
          <w:sz w:val="24"/>
          <w:szCs w:val="24"/>
        </w:rPr>
      </w:pPr>
      <w:r w:rsidRPr="00B00DC7">
        <w:rPr>
          <w:b/>
          <w:bCs/>
          <w:sz w:val="24"/>
          <w:szCs w:val="24"/>
        </w:rPr>
        <w:t>Presentation and Interpretation</w:t>
      </w:r>
    </w:p>
    <w:p w14:paraId="41E9B7EF" w14:textId="77777777" w:rsidR="00B00DC7" w:rsidRDefault="00B00DC7" w:rsidP="00B00DC7">
      <w:pPr>
        <w:rPr>
          <w:b/>
        </w:rPr>
      </w:pPr>
    </w:p>
    <w:p w14:paraId="024125A4" w14:textId="54F28BED" w:rsidR="00B00DC7" w:rsidRDefault="00B00DC7" w:rsidP="00B00DC7">
      <w:pPr>
        <w:rPr>
          <w:b/>
        </w:rPr>
      </w:pPr>
      <w:r w:rsidRPr="00C75B05">
        <w:rPr>
          <w:b/>
        </w:rPr>
        <w:t>Presentation of indicator</w:t>
      </w:r>
    </w:p>
    <w:p w14:paraId="24C0B0C8" w14:textId="77777777" w:rsidR="00B00DC7" w:rsidRPr="00C75B05" w:rsidRDefault="00B00DC7" w:rsidP="00B00DC7">
      <w:pPr>
        <w:spacing w:before="240"/>
      </w:pPr>
      <w:r w:rsidRPr="00C75B05">
        <w:t>The indicator will be presented monthly in excel spreadsheets hosted on the NHS statistics website (</w:t>
      </w:r>
      <w:hyperlink r:id="rId14" w:history="1">
        <w:r w:rsidRPr="00C75B05">
          <w:t>https://www.england.nhs.uk/statistics/statistical-work-areas/cancer-waiting-times/</w:t>
        </w:r>
      </w:hyperlink>
      <w:r w:rsidRPr="00C75B05">
        <w:t>). These include numerator, denominator and percentage figures for each CCG and each month, as well as a reference to the operational standard.</w:t>
      </w:r>
    </w:p>
    <w:p w14:paraId="0F4A9CE2" w14:textId="62E68A75" w:rsidR="00B00DC7" w:rsidRDefault="00B00DC7" w:rsidP="00B00DC7">
      <w:pPr>
        <w:spacing w:before="240"/>
      </w:pPr>
      <w:r w:rsidRPr="00C75B05">
        <w:t xml:space="preserve">The indicator will be released in public quarterly at CCG level through the </w:t>
      </w:r>
      <w:proofErr w:type="spellStart"/>
      <w:r w:rsidRPr="00C75B05">
        <w:t>MyNHS</w:t>
      </w:r>
      <w:proofErr w:type="spellEnd"/>
      <w:r w:rsidRPr="00C75B05">
        <w:t xml:space="preserve"> webpage.  </w:t>
      </w:r>
      <w:proofErr w:type="spellStart"/>
      <w:r w:rsidRPr="00C75B05">
        <w:t>MyNHS</w:t>
      </w:r>
      <w:proofErr w:type="spellEnd"/>
      <w:r w:rsidRPr="00C75B05">
        <w:t xml:space="preserve"> standards will be followed to ensure that the presentation is in line with the usual presentation on </w:t>
      </w:r>
      <w:proofErr w:type="spellStart"/>
      <w:r w:rsidRPr="00C75B05">
        <w:t>MyNHS</w:t>
      </w:r>
      <w:proofErr w:type="spellEnd"/>
      <w:r w:rsidRPr="00C75B05">
        <w:t xml:space="preserve"> and appropriate to the audience.</w:t>
      </w:r>
    </w:p>
    <w:p w14:paraId="415A8970" w14:textId="2032F7A3" w:rsidR="00B85A4B" w:rsidRDefault="00B85A4B" w:rsidP="00B00DC7">
      <w:pPr>
        <w:spacing w:before="240"/>
      </w:pPr>
      <w:r w:rsidRPr="00C75B05">
        <w:t xml:space="preserve">The below example table demonstrates how the data is presented on </w:t>
      </w:r>
      <w:proofErr w:type="spellStart"/>
      <w:r w:rsidRPr="00C75B05">
        <w:t>MyNHS</w:t>
      </w:r>
      <w:proofErr w:type="spellEnd"/>
      <w:r>
        <w:t>.</w:t>
      </w:r>
    </w:p>
    <w:p w14:paraId="387FB3C5" w14:textId="77777777" w:rsidR="00B85A4B" w:rsidRPr="00C75B05" w:rsidRDefault="00B85A4B" w:rsidP="00B85A4B">
      <w:pPr>
        <w:spacing w:before="240"/>
      </w:pPr>
      <w:r w:rsidRPr="00C75B05">
        <w:t xml:space="preserve">Updates to the My NHS website are planned for over the upcoming year to improve data visualisation. </w:t>
      </w:r>
    </w:p>
    <w:p w14:paraId="0A0038AC" w14:textId="2B4B2C82" w:rsidR="00B85A4B" w:rsidRPr="00B00DC7" w:rsidRDefault="00B85A4B" w:rsidP="00B85A4B">
      <w:pPr>
        <w:spacing w:before="240"/>
        <w:rPr>
          <w:b/>
          <w:bCs/>
          <w:sz w:val="24"/>
          <w:szCs w:val="24"/>
        </w:rPr>
      </w:pPr>
      <w:r w:rsidRPr="00C75B05">
        <w:t xml:space="preserve">In addition, the indicator is also included as part of a dashboard compromising </w:t>
      </w:r>
      <w:proofErr w:type="gramStart"/>
      <w:r w:rsidRPr="00C75B05">
        <w:t>all of</w:t>
      </w:r>
      <w:proofErr w:type="gramEnd"/>
      <w:r w:rsidRPr="00C75B05">
        <w:t xml:space="preserve"> the CCG IAF indicators that is shared with regional teams, who can forward on the dashboard to CCGs.</w:t>
      </w:r>
    </w:p>
    <w:p w14:paraId="2C6C7F58" w14:textId="77777777" w:rsidR="00B85A4B" w:rsidRDefault="00B00DC7">
      <w:pPr>
        <w:rPr>
          <w:b/>
          <w:bCs/>
          <w:sz w:val="24"/>
          <w:szCs w:val="24"/>
        </w:rPr>
      </w:pPr>
      <w:r w:rsidRPr="00C75B05">
        <w:rPr>
          <w:noProof/>
          <w:lang w:eastAsia="en-GB"/>
        </w:rPr>
        <w:lastRenderedPageBreak/>
        <w:drawing>
          <wp:inline distT="0" distB="0" distL="0" distR="0" wp14:anchorId="12DA3B6E" wp14:editId="0C1A07FE">
            <wp:extent cx="5731510" cy="3561374"/>
            <wp:effectExtent l="0" t="0" r="2540" b="1270"/>
            <wp:docPr id="3" name="Picture 3" descr="Screenshot of My NHS webpage with illustrative examp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561374"/>
                    </a:xfrm>
                    <a:prstGeom prst="rect">
                      <a:avLst/>
                    </a:prstGeom>
                  </pic:spPr>
                </pic:pic>
              </a:graphicData>
            </a:graphic>
          </wp:inline>
        </w:drawing>
      </w:r>
    </w:p>
    <w:p w14:paraId="0AE74A06" w14:textId="77777777" w:rsidR="00B85A4B" w:rsidRDefault="00B85A4B">
      <w:pPr>
        <w:rPr>
          <w:b/>
          <w:bCs/>
          <w:sz w:val="24"/>
          <w:szCs w:val="24"/>
        </w:rPr>
      </w:pPr>
    </w:p>
    <w:p w14:paraId="7760F629" w14:textId="77777777" w:rsidR="00B85A4B" w:rsidRPr="00B00DC7" w:rsidRDefault="00211DD9">
      <w:pPr>
        <w:rPr>
          <w:b/>
          <w:bCs/>
          <w:sz w:val="24"/>
          <w:szCs w:val="24"/>
        </w:rPr>
      </w:pPr>
      <w:r w:rsidRPr="00B00DC7">
        <w:rPr>
          <w:b/>
          <w:bCs/>
          <w:sz w:val="24"/>
          <w:szCs w:val="24"/>
        </w:rPr>
        <w:br w:type="page"/>
      </w:r>
    </w:p>
    <w:tbl>
      <w:tblPr>
        <w:tblStyle w:val="TableGrid"/>
        <w:tblW w:w="0" w:type="auto"/>
        <w:tblInd w:w="-289" w:type="dxa"/>
        <w:tblLayout w:type="fixed"/>
        <w:tblLook w:val="04A0" w:firstRow="1" w:lastRow="0" w:firstColumn="1" w:lastColumn="0" w:noHBand="0" w:noVBand="1"/>
      </w:tblPr>
      <w:tblGrid>
        <w:gridCol w:w="2836"/>
        <w:gridCol w:w="6469"/>
      </w:tblGrid>
      <w:tr w:rsidR="00B85A4B" w:rsidRPr="00B00DC7" w14:paraId="231F4FE2" w14:textId="77777777" w:rsidTr="00C20F5C">
        <w:tc>
          <w:tcPr>
            <w:tcW w:w="2836" w:type="dxa"/>
          </w:tcPr>
          <w:p w14:paraId="4FFCA1DE" w14:textId="5A611A7C" w:rsidR="00B85A4B" w:rsidRPr="00B85A4B" w:rsidRDefault="00B85A4B" w:rsidP="00B85A4B">
            <w:pPr>
              <w:rPr>
                <w:b/>
                <w:bCs/>
              </w:rPr>
            </w:pPr>
            <w:r w:rsidRPr="00B85A4B">
              <w:rPr>
                <w:b/>
                <w:bCs/>
              </w:rPr>
              <w:lastRenderedPageBreak/>
              <w:t>Section</w:t>
            </w:r>
          </w:p>
        </w:tc>
        <w:tc>
          <w:tcPr>
            <w:tcW w:w="6469" w:type="dxa"/>
          </w:tcPr>
          <w:p w14:paraId="1260B57E" w14:textId="5A41EF1F" w:rsidR="00B85A4B" w:rsidRPr="00B85A4B" w:rsidRDefault="00B85A4B" w:rsidP="00B85A4B">
            <w:pPr>
              <w:rPr>
                <w:b/>
                <w:bCs/>
              </w:rPr>
            </w:pPr>
            <w:r w:rsidRPr="00B85A4B">
              <w:rPr>
                <w:b/>
                <w:bCs/>
              </w:rPr>
              <w:t>Overview</w:t>
            </w:r>
          </w:p>
        </w:tc>
      </w:tr>
      <w:tr w:rsidR="00B85A4B" w:rsidRPr="00C75B05" w14:paraId="3DB3B391" w14:textId="77777777" w:rsidTr="00C20F5C">
        <w:tc>
          <w:tcPr>
            <w:tcW w:w="2836" w:type="dxa"/>
          </w:tcPr>
          <w:p w14:paraId="034851EB" w14:textId="41270E8D" w:rsidR="00B85A4B" w:rsidRPr="00B85A4B" w:rsidRDefault="00B85A4B" w:rsidP="00B85A4B">
            <w:r>
              <w:t>Presentation (continued)</w:t>
            </w:r>
          </w:p>
        </w:tc>
        <w:tc>
          <w:tcPr>
            <w:tcW w:w="6469" w:type="dxa"/>
          </w:tcPr>
          <w:p w14:paraId="1D360D94" w14:textId="77777777" w:rsidR="00B85A4B" w:rsidRPr="00B85A4B" w:rsidRDefault="00B85A4B" w:rsidP="00B85A4B"/>
        </w:tc>
      </w:tr>
      <w:tr w:rsidR="00B85A4B" w:rsidRPr="00C75B05" w14:paraId="46874535" w14:textId="77777777" w:rsidTr="00C20F5C">
        <w:tc>
          <w:tcPr>
            <w:tcW w:w="2836" w:type="dxa"/>
          </w:tcPr>
          <w:p w14:paraId="1DDA134C" w14:textId="77777777" w:rsidR="00B85A4B" w:rsidRPr="00C75B05" w:rsidRDefault="00B85A4B" w:rsidP="00B85A4B">
            <w:pPr>
              <w:spacing w:before="240"/>
              <w:ind w:left="34"/>
              <w:rPr>
                <w:b/>
              </w:rPr>
            </w:pPr>
            <w:r w:rsidRPr="00C75B05">
              <w:rPr>
                <w:b/>
              </w:rPr>
              <w:t>Contextual information provided alongside indicator</w:t>
            </w:r>
          </w:p>
          <w:p w14:paraId="165022C4" w14:textId="522304FA" w:rsidR="00B85A4B" w:rsidRPr="00B85A4B" w:rsidRDefault="00B85A4B" w:rsidP="00B85A4B">
            <w:r w:rsidRPr="00C75B05">
              <w:t>with justification</w:t>
            </w:r>
          </w:p>
        </w:tc>
        <w:tc>
          <w:tcPr>
            <w:tcW w:w="6469" w:type="dxa"/>
          </w:tcPr>
          <w:p w14:paraId="1B527CB7" w14:textId="2482D7C5" w:rsidR="00B85A4B" w:rsidRPr="00B85A4B" w:rsidRDefault="00B85A4B" w:rsidP="00B85A4B">
            <w:r w:rsidRPr="00C75B05">
              <w:t>Past data for Primary Care Trusts (PCTs) (April 2011 to March 2013) is presented.</w:t>
            </w:r>
          </w:p>
        </w:tc>
      </w:tr>
      <w:tr w:rsidR="00B85A4B" w:rsidRPr="00C75B05" w14:paraId="50EBA64A" w14:textId="77777777" w:rsidTr="00C20F5C">
        <w:tc>
          <w:tcPr>
            <w:tcW w:w="2836" w:type="dxa"/>
          </w:tcPr>
          <w:p w14:paraId="5F8D13B7" w14:textId="4A9C5817" w:rsidR="00B85A4B" w:rsidRPr="00B85A4B" w:rsidRDefault="00B85A4B" w:rsidP="00B85A4B">
            <w:r w:rsidRPr="00C75B05">
              <w:rPr>
                <w:b/>
              </w:rPr>
              <w:t>Calculation and data source of contextual information</w:t>
            </w:r>
          </w:p>
        </w:tc>
        <w:tc>
          <w:tcPr>
            <w:tcW w:w="6469" w:type="dxa"/>
          </w:tcPr>
          <w:p w14:paraId="423A4812" w14:textId="6AEC34AF" w:rsidR="00B85A4B" w:rsidRPr="00B85A4B" w:rsidRDefault="00B85A4B" w:rsidP="00B85A4B">
            <w:r w:rsidRPr="00C75B05">
              <w:t>This shows the results split by PCT, since CCGs did not exist prior to April 2013.</w:t>
            </w:r>
          </w:p>
        </w:tc>
      </w:tr>
      <w:tr w:rsidR="00B85A4B" w:rsidRPr="00C75B05" w14:paraId="5E247649" w14:textId="77777777" w:rsidTr="00C20F5C">
        <w:tc>
          <w:tcPr>
            <w:tcW w:w="2836" w:type="dxa"/>
          </w:tcPr>
          <w:p w14:paraId="02ADFE9C" w14:textId="77777777" w:rsidR="00B85A4B" w:rsidRPr="00C75B05" w:rsidRDefault="00B85A4B" w:rsidP="00B85A4B">
            <w:pPr>
              <w:spacing w:before="240"/>
              <w:ind w:left="34"/>
              <w:rPr>
                <w:b/>
              </w:rPr>
            </w:pPr>
            <w:r w:rsidRPr="00C75B05">
              <w:rPr>
                <w:b/>
              </w:rPr>
              <w:t>Use of bandings, benchmarks or targets</w:t>
            </w:r>
          </w:p>
          <w:p w14:paraId="5B9BA373" w14:textId="680D62D6" w:rsidR="00B85A4B" w:rsidRPr="00B85A4B" w:rsidRDefault="00B85A4B" w:rsidP="00B85A4B">
            <w:r w:rsidRPr="00C75B05">
              <w:t>with justification</w:t>
            </w:r>
          </w:p>
        </w:tc>
        <w:tc>
          <w:tcPr>
            <w:tcW w:w="6469" w:type="dxa"/>
          </w:tcPr>
          <w:p w14:paraId="6495A67A" w14:textId="77777777" w:rsidR="00B85A4B" w:rsidRPr="00C75B05" w:rsidRDefault="00B85A4B" w:rsidP="00B85A4B">
            <w:r w:rsidRPr="00C75B05">
              <w:t xml:space="preserve">In principle, this waiting time standard should be met for all patients. The operational tolerance of 85% is included on the </w:t>
            </w:r>
            <w:proofErr w:type="spellStart"/>
            <w:r w:rsidRPr="00C75B05">
              <w:t>MyNHS</w:t>
            </w:r>
            <w:proofErr w:type="spellEnd"/>
            <w:r w:rsidRPr="00C75B05">
              <w:t xml:space="preserve"> website; CCGs are assessed against this standard, which makes allowance for the fact that there will be cases in which the 62 day wait period is not achievable (patients may elect to delay treatment, may be unfit for their treatment or it may be clinically inappropriate to treat them within the standard time).</w:t>
            </w:r>
          </w:p>
          <w:p w14:paraId="5C207507" w14:textId="77777777" w:rsidR="00B85A4B" w:rsidRPr="00C75B05" w:rsidRDefault="00B85A4B" w:rsidP="00B85A4B">
            <w:pPr>
              <w:pStyle w:val="Default"/>
              <w:rPr>
                <w:color w:val="auto"/>
                <w:sz w:val="22"/>
                <w:szCs w:val="22"/>
              </w:rPr>
            </w:pPr>
          </w:p>
          <w:p w14:paraId="64367E29" w14:textId="77777777" w:rsidR="00B85A4B" w:rsidRPr="00C75B05" w:rsidRDefault="00B85A4B" w:rsidP="00B85A4B">
            <w:pPr>
              <w:pStyle w:val="Default"/>
              <w:spacing w:after="202"/>
              <w:rPr>
                <w:color w:val="auto"/>
                <w:sz w:val="22"/>
                <w:szCs w:val="22"/>
              </w:rPr>
            </w:pPr>
            <w:r w:rsidRPr="00C75B05">
              <w:rPr>
                <w:color w:val="auto"/>
                <w:sz w:val="22"/>
                <w:szCs w:val="22"/>
              </w:rPr>
              <w:t xml:space="preserve">The method of calculating the interval between urgent referral and treatment was revised from 1 January 2009 in order to bring cancer waiting times processes in line with the measurement and management of referral to treatment (18 week) pathways. Until this time, it was possible to adjust calculated waiting times to ‘suspend’ patients during intervals when they wanted time to think about treatment options or were medically unfit to progress to the next stage in the care pathway. This was often referred to by clinicians as ‘stopping the clock’. It was decided that it would be too complex and resource intensive for the NHS to run two systems in parallel. In addition, there were concerns that some providers might be using suspensions to improve their reported performance. </w:t>
            </w:r>
          </w:p>
          <w:p w14:paraId="1992C4F6" w14:textId="77777777" w:rsidR="00B85A4B" w:rsidRPr="00C75B05" w:rsidRDefault="00B85A4B" w:rsidP="00B85A4B">
            <w:pPr>
              <w:pStyle w:val="Default"/>
              <w:spacing w:after="202"/>
              <w:rPr>
                <w:color w:val="auto"/>
                <w:sz w:val="22"/>
                <w:szCs w:val="22"/>
              </w:rPr>
            </w:pPr>
            <w:r w:rsidRPr="00C75B05">
              <w:rPr>
                <w:color w:val="auto"/>
                <w:sz w:val="22"/>
                <w:szCs w:val="22"/>
              </w:rPr>
              <w:t>DH’s 2011 review of cancer waiting time standards (</w:t>
            </w:r>
            <w:hyperlink r:id="rId16" w:history="1">
              <w:r w:rsidRPr="00C75B05">
                <w:rPr>
                  <w:rStyle w:val="Hyperlink"/>
                  <w:color w:val="auto"/>
                  <w:sz w:val="22"/>
                  <w:szCs w:val="22"/>
                </w:rPr>
                <w:t>https://www.gov.uk/government/uploads/system/uploads/attachment_data/file/213787/dh_123395.pdf</w:t>
              </w:r>
            </w:hyperlink>
            <w:r w:rsidRPr="00C75B05">
              <w:rPr>
                <w:color w:val="auto"/>
                <w:sz w:val="22"/>
                <w:szCs w:val="22"/>
              </w:rPr>
              <w:t xml:space="preserve">) found that the decision to remove these adjustments had unintended consequences for the decision-making and planning of cancer treatments. The concern particularly relates to the achievement of the </w:t>
            </w:r>
            <w:proofErr w:type="gramStart"/>
            <w:r w:rsidRPr="00C75B05">
              <w:rPr>
                <w:color w:val="auto"/>
                <w:sz w:val="22"/>
                <w:szCs w:val="22"/>
              </w:rPr>
              <w:t>two month</w:t>
            </w:r>
            <w:proofErr w:type="gramEnd"/>
            <w:r w:rsidRPr="00C75B05">
              <w:rPr>
                <w:color w:val="auto"/>
                <w:sz w:val="22"/>
                <w:szCs w:val="22"/>
              </w:rPr>
              <w:t xml:space="preserve"> standard and the challenge to achieve this without causing a breach. Clinicians reported that they feel under pressure by managers to push patients through a pathway quicker than may be appropriate. </w:t>
            </w:r>
          </w:p>
          <w:p w14:paraId="2E9AD195" w14:textId="77777777" w:rsidR="00B85A4B" w:rsidRPr="00C75B05" w:rsidRDefault="00B85A4B" w:rsidP="00B85A4B">
            <w:pPr>
              <w:pStyle w:val="Default"/>
              <w:rPr>
                <w:color w:val="auto"/>
                <w:sz w:val="22"/>
                <w:szCs w:val="22"/>
              </w:rPr>
            </w:pPr>
            <w:r w:rsidRPr="00C75B05">
              <w:rPr>
                <w:color w:val="auto"/>
                <w:sz w:val="22"/>
                <w:szCs w:val="22"/>
              </w:rPr>
              <w:t xml:space="preserve">To compensate for removing the ability to adjust a patient’s calculated waiting time (where appropriate), the operational standard (the level against which local performance is assessed) for the </w:t>
            </w:r>
            <w:proofErr w:type="gramStart"/>
            <w:r w:rsidRPr="00C75B05">
              <w:rPr>
                <w:color w:val="auto"/>
                <w:sz w:val="22"/>
                <w:szCs w:val="22"/>
              </w:rPr>
              <w:t>two month</w:t>
            </w:r>
            <w:proofErr w:type="gramEnd"/>
            <w:r w:rsidRPr="00C75B05">
              <w:rPr>
                <w:color w:val="auto"/>
                <w:sz w:val="22"/>
                <w:szCs w:val="22"/>
              </w:rPr>
              <w:t xml:space="preserve"> standard was revised from 95% to 85%. This change was made so that achievement of the standard would neither be easier nor harder across the NHS following the removal of the ability to adjust </w:t>
            </w:r>
            <w:proofErr w:type="gramStart"/>
            <w:r w:rsidRPr="00C75B05">
              <w:rPr>
                <w:color w:val="auto"/>
                <w:sz w:val="22"/>
                <w:szCs w:val="22"/>
              </w:rPr>
              <w:t>patients’</w:t>
            </w:r>
            <w:proofErr w:type="gramEnd"/>
            <w:r w:rsidRPr="00C75B05">
              <w:rPr>
                <w:color w:val="auto"/>
                <w:sz w:val="22"/>
                <w:szCs w:val="22"/>
              </w:rPr>
              <w:t xml:space="preserve"> calculated waiting times. </w:t>
            </w:r>
          </w:p>
          <w:p w14:paraId="7CDA4F63" w14:textId="77777777" w:rsidR="00B85A4B" w:rsidRPr="00B85A4B" w:rsidRDefault="00B85A4B" w:rsidP="00B85A4B"/>
        </w:tc>
      </w:tr>
      <w:tr w:rsidR="00B85A4B" w:rsidRPr="00C75B05" w14:paraId="421B80C2" w14:textId="77777777" w:rsidTr="00C20F5C">
        <w:tc>
          <w:tcPr>
            <w:tcW w:w="2836" w:type="dxa"/>
          </w:tcPr>
          <w:p w14:paraId="4D194C6E" w14:textId="77777777" w:rsidR="00B85A4B" w:rsidRPr="00C75B05" w:rsidRDefault="00B85A4B" w:rsidP="00B85A4B">
            <w:pPr>
              <w:spacing w:before="240"/>
              <w:ind w:left="34"/>
              <w:rPr>
                <w:b/>
              </w:rPr>
            </w:pPr>
            <w:r w:rsidRPr="00C75B05">
              <w:rPr>
                <w:b/>
              </w:rPr>
              <w:lastRenderedPageBreak/>
              <w:t>Banding, benchmark or target methodology</w:t>
            </w:r>
          </w:p>
          <w:p w14:paraId="79A5F83B" w14:textId="5E95F3AC" w:rsidR="00B85A4B" w:rsidRPr="00B85A4B" w:rsidRDefault="00B85A4B" w:rsidP="00B85A4B">
            <w:r w:rsidRPr="00C75B05">
              <w:t>if appropriate</w:t>
            </w:r>
          </w:p>
        </w:tc>
        <w:tc>
          <w:tcPr>
            <w:tcW w:w="6469" w:type="dxa"/>
          </w:tcPr>
          <w:p w14:paraId="6F30E704" w14:textId="39B1F3E9" w:rsidR="00B85A4B" w:rsidRPr="00B85A4B" w:rsidRDefault="00B85A4B" w:rsidP="00B85A4B">
            <w:r w:rsidRPr="00C75B05">
              <w:t>The operational standard of 85% is a published figure against which CCGs are already measured.</w:t>
            </w:r>
          </w:p>
        </w:tc>
      </w:tr>
      <w:tr w:rsidR="00B85A4B" w:rsidRPr="00C75B05" w14:paraId="6A4C64C5" w14:textId="77777777" w:rsidTr="00C20F5C">
        <w:tc>
          <w:tcPr>
            <w:tcW w:w="2836" w:type="dxa"/>
          </w:tcPr>
          <w:p w14:paraId="1998323B" w14:textId="6C456C29" w:rsidR="00B85A4B" w:rsidRPr="00B85A4B" w:rsidRDefault="00B85A4B" w:rsidP="00B85A4B">
            <w:r>
              <w:rPr>
                <w:b/>
              </w:rPr>
              <w:t>INTERPRETATION</w:t>
            </w:r>
          </w:p>
        </w:tc>
        <w:tc>
          <w:tcPr>
            <w:tcW w:w="6469" w:type="dxa"/>
          </w:tcPr>
          <w:p w14:paraId="7ECBC4DE" w14:textId="77777777" w:rsidR="00B85A4B" w:rsidRPr="00B85A4B" w:rsidRDefault="00B85A4B" w:rsidP="00B85A4B"/>
        </w:tc>
      </w:tr>
      <w:tr w:rsidR="00B85A4B" w:rsidRPr="00C75B05" w14:paraId="28A6BB45" w14:textId="77777777" w:rsidTr="00C20F5C">
        <w:tc>
          <w:tcPr>
            <w:tcW w:w="2836" w:type="dxa"/>
          </w:tcPr>
          <w:p w14:paraId="76265B67" w14:textId="52B5EFA2" w:rsidR="00B85A4B" w:rsidRPr="00B85A4B" w:rsidRDefault="00B85A4B" w:rsidP="00B85A4B">
            <w:r w:rsidRPr="00C75B05">
              <w:rPr>
                <w:b/>
              </w:rPr>
              <w:t>Interpretation guidelines</w:t>
            </w:r>
          </w:p>
        </w:tc>
        <w:tc>
          <w:tcPr>
            <w:tcW w:w="6469" w:type="dxa"/>
          </w:tcPr>
          <w:p w14:paraId="28B6F0FF" w14:textId="77777777" w:rsidR="00B85A4B" w:rsidRPr="00C75B05" w:rsidRDefault="00B85A4B" w:rsidP="00B85A4B">
            <w:pPr>
              <w:spacing w:before="240"/>
            </w:pPr>
            <w:r w:rsidRPr="00C75B05">
              <w:t xml:space="preserve">A given CCG’s value indicates what percentage of patients receiving their first definitive treatment for suspected cancer following an urgent GP referral for suspected cancer did so within 62 days of that referral. CCGs are assessed against an operational standard of 85%; this makes allowance for cases where the </w:t>
            </w:r>
            <w:proofErr w:type="gramStart"/>
            <w:r w:rsidRPr="00C75B05">
              <w:t>62 day</w:t>
            </w:r>
            <w:proofErr w:type="gramEnd"/>
            <w:r w:rsidRPr="00C75B05">
              <w:t xml:space="preserve"> limit is exceeded for allowable reasons (e.g. patient chooses to delay treatment, patient is unfit for treatment, or treatment within 62 days of referral is clinically inappropriate).</w:t>
            </w:r>
          </w:p>
          <w:p w14:paraId="388D87FD" w14:textId="0D4823A2" w:rsidR="00B85A4B" w:rsidRPr="00B85A4B" w:rsidRDefault="00B85A4B" w:rsidP="00B85A4B">
            <w:r w:rsidRPr="00C75B05">
              <w:t>The measure covers only urgent GP referrals, and therefore is not a comprehensive measure of all referral routes which are ultimately treated for cancer. It covers completed pathways, therefore does not measure those on the waiting list.</w:t>
            </w:r>
          </w:p>
        </w:tc>
      </w:tr>
      <w:tr w:rsidR="00B85A4B" w:rsidRPr="00C75B05" w14:paraId="3E426915" w14:textId="77777777" w:rsidTr="00C20F5C">
        <w:tc>
          <w:tcPr>
            <w:tcW w:w="2836" w:type="dxa"/>
          </w:tcPr>
          <w:p w14:paraId="01B3D0A3" w14:textId="238BABC9" w:rsidR="00B85A4B" w:rsidRPr="00B85A4B" w:rsidRDefault="00B85A4B" w:rsidP="00B85A4B">
            <w:r w:rsidRPr="00C75B05">
              <w:rPr>
                <w:b/>
              </w:rPr>
              <w:t>Limitations and potential bias</w:t>
            </w:r>
          </w:p>
        </w:tc>
        <w:tc>
          <w:tcPr>
            <w:tcW w:w="6469" w:type="dxa"/>
          </w:tcPr>
          <w:p w14:paraId="6A579D82" w14:textId="4049FEC2" w:rsidR="00B85A4B" w:rsidRPr="00B85A4B" w:rsidRDefault="00B85A4B" w:rsidP="00B85A4B">
            <w:r w:rsidRPr="00C75B05">
              <w:t xml:space="preserve">Does not include patients not traced to a CCG. No mechanism to revise monthly or quarterly data once published. The indicator is not sensitive to clinical priority, patients with other conditions and other case mix issues; some cancers will require more and varied diagnostic tests before treatment. Tertiary trusts may receive late transfers that result in missing the </w:t>
            </w:r>
            <w:proofErr w:type="gramStart"/>
            <w:r w:rsidRPr="00C75B05">
              <w:t>62 day</w:t>
            </w:r>
            <w:proofErr w:type="gramEnd"/>
            <w:r w:rsidRPr="00C75B05">
              <w:t xml:space="preserve"> standard (this is being remedied under the new Inter-Provider Transfer policy, which should better allocate breaches: https://www.england.nhs.uk/wp-content/uploads/2016/03/cancr-brch-allocatn-guid-2016.pdf)</w:t>
            </w:r>
          </w:p>
        </w:tc>
      </w:tr>
      <w:tr w:rsidR="00B85A4B" w:rsidRPr="00C75B05" w14:paraId="040A3846" w14:textId="77777777" w:rsidTr="00C20F5C">
        <w:tc>
          <w:tcPr>
            <w:tcW w:w="2836" w:type="dxa"/>
          </w:tcPr>
          <w:p w14:paraId="5E3C642C" w14:textId="71BF2FEA" w:rsidR="00B85A4B" w:rsidRPr="00B85A4B" w:rsidRDefault="00B85A4B" w:rsidP="00B85A4B">
            <w:r w:rsidRPr="00C75B05">
              <w:rPr>
                <w:b/>
              </w:rPr>
              <w:t>Improvement actions</w:t>
            </w:r>
          </w:p>
        </w:tc>
        <w:tc>
          <w:tcPr>
            <w:tcW w:w="6469" w:type="dxa"/>
          </w:tcPr>
          <w:p w14:paraId="4DDBCB11" w14:textId="4E9E233C" w:rsidR="00B85A4B" w:rsidRPr="00B85A4B" w:rsidRDefault="00B85A4B" w:rsidP="00B85A4B">
            <w:r w:rsidRPr="00C75B05">
              <w:t>CCGs can engage with providers to address poor performance (e.g. by addressing demand/supply imbalances, by commissioning activity from the private sector etc.). Financial penalties in provider contracts can encourage providers to meet the operational standard.</w:t>
            </w:r>
          </w:p>
        </w:tc>
      </w:tr>
      <w:tr w:rsidR="00B85A4B" w:rsidRPr="00C75B05" w14:paraId="695054A9" w14:textId="77777777" w:rsidTr="00C20F5C">
        <w:tc>
          <w:tcPr>
            <w:tcW w:w="2836" w:type="dxa"/>
          </w:tcPr>
          <w:p w14:paraId="593398CA" w14:textId="23BA9F1F" w:rsidR="00B85A4B" w:rsidRPr="00B85A4B" w:rsidRDefault="00B85A4B" w:rsidP="00B85A4B">
            <w:r w:rsidRPr="00C75B05">
              <w:rPr>
                <w:b/>
              </w:rPr>
              <w:t>Evidence of variability</w:t>
            </w:r>
          </w:p>
        </w:tc>
        <w:tc>
          <w:tcPr>
            <w:tcW w:w="6469" w:type="dxa"/>
          </w:tcPr>
          <w:p w14:paraId="2B7958CC" w14:textId="4977386F" w:rsidR="00B85A4B" w:rsidRPr="00B85A4B" w:rsidRDefault="00B85A4B" w:rsidP="00B85A4B">
            <w:r w:rsidRPr="00C75B05">
              <w:t xml:space="preserve">Data is available from </w:t>
            </w:r>
            <w:hyperlink r:id="rId17" w:history="1">
              <w:r w:rsidRPr="00C75B05">
                <w:t>https://www.england.nhs.uk/statistics/statistical-work-areas/cancer-waiting-times/</w:t>
              </w:r>
            </w:hyperlink>
            <w:r w:rsidRPr="00C75B05">
              <w:t>. Variation in CCG results for December 2015 is evident, with results ranging from 58.3% to 100%.</w:t>
            </w:r>
          </w:p>
        </w:tc>
      </w:tr>
      <w:tr w:rsidR="00B85A4B" w:rsidRPr="00C75B05" w14:paraId="6EC8301C" w14:textId="77777777" w:rsidTr="00C20F5C">
        <w:tc>
          <w:tcPr>
            <w:tcW w:w="2836" w:type="dxa"/>
          </w:tcPr>
          <w:p w14:paraId="0173884C" w14:textId="40EAE249" w:rsidR="00B85A4B" w:rsidRPr="00C75B05" w:rsidRDefault="00B85A4B" w:rsidP="00B85A4B">
            <w:pPr>
              <w:rPr>
                <w:b/>
              </w:rPr>
            </w:pPr>
            <w:r>
              <w:rPr>
                <w:b/>
              </w:rPr>
              <w:t>RISKS</w:t>
            </w:r>
          </w:p>
        </w:tc>
        <w:tc>
          <w:tcPr>
            <w:tcW w:w="6469" w:type="dxa"/>
          </w:tcPr>
          <w:p w14:paraId="484088AD" w14:textId="77777777" w:rsidR="00B85A4B" w:rsidRPr="00C75B05" w:rsidRDefault="00B85A4B" w:rsidP="00B85A4B"/>
        </w:tc>
      </w:tr>
      <w:tr w:rsidR="00B85A4B" w:rsidRPr="00C75B05" w14:paraId="36E8BD07" w14:textId="77777777" w:rsidTr="00C20F5C">
        <w:tc>
          <w:tcPr>
            <w:tcW w:w="2836" w:type="dxa"/>
          </w:tcPr>
          <w:p w14:paraId="4664A1E7" w14:textId="5E9B4DCD" w:rsidR="00B85A4B" w:rsidRPr="00C75B05" w:rsidRDefault="00B85A4B" w:rsidP="00B85A4B">
            <w:pPr>
              <w:rPr>
                <w:b/>
              </w:rPr>
            </w:pPr>
            <w:r w:rsidRPr="00C75B05">
              <w:rPr>
                <w:b/>
              </w:rPr>
              <w:t>Similar existing indicators</w:t>
            </w:r>
          </w:p>
        </w:tc>
        <w:tc>
          <w:tcPr>
            <w:tcW w:w="6469" w:type="dxa"/>
          </w:tcPr>
          <w:p w14:paraId="1DA3FB34" w14:textId="070497D4" w:rsidR="00B85A4B" w:rsidRPr="00C75B05" w:rsidRDefault="00B85A4B" w:rsidP="00B85A4B">
            <w:r w:rsidRPr="00C75B05">
              <w:t>Data are also published split by provider.</w:t>
            </w:r>
          </w:p>
        </w:tc>
      </w:tr>
      <w:tr w:rsidR="00B85A4B" w:rsidRPr="00C75B05" w14:paraId="6178FC58" w14:textId="77777777" w:rsidTr="00C20F5C">
        <w:tc>
          <w:tcPr>
            <w:tcW w:w="2836" w:type="dxa"/>
          </w:tcPr>
          <w:p w14:paraId="2DF188D1" w14:textId="56415823" w:rsidR="00B85A4B" w:rsidRPr="00C75B05" w:rsidRDefault="00B85A4B" w:rsidP="00B85A4B">
            <w:pPr>
              <w:rPr>
                <w:b/>
              </w:rPr>
            </w:pPr>
            <w:r w:rsidRPr="00C75B05">
              <w:rPr>
                <w:b/>
              </w:rPr>
              <w:t>Coherence and comparability</w:t>
            </w:r>
          </w:p>
        </w:tc>
        <w:tc>
          <w:tcPr>
            <w:tcW w:w="6469" w:type="dxa"/>
          </w:tcPr>
          <w:p w14:paraId="23DF126E" w14:textId="77777777" w:rsidR="00B85A4B" w:rsidRPr="00C75B05" w:rsidRDefault="00B85A4B" w:rsidP="00B85A4B">
            <w:pPr>
              <w:spacing w:before="240"/>
            </w:pPr>
            <w:r w:rsidRPr="00C75B05">
              <w:t>The cancer waiting times statistics are published in similar format and in the same part of the DH website as other waiting times data, for example Referral to Treatment waiting time statistics in order to support a wider understanding of these services. These data are also derived from the National Cancer Dataset: Waiting Times Subset</w:t>
            </w:r>
            <w:proofErr w:type="gramStart"/>
            <w:r w:rsidRPr="00C75B05">
              <w:t>5 ,</w:t>
            </w:r>
            <w:proofErr w:type="gramEnd"/>
            <w:r w:rsidRPr="00C75B05">
              <w:t xml:space="preserve"> which is a dataset specifically designed to be interoperable with both local management and clinical systems. This means that these data are of more relevance for supporting service improvement to enable better outcomes for NHS cancer services.</w:t>
            </w:r>
          </w:p>
          <w:p w14:paraId="3FD2C606" w14:textId="77777777" w:rsidR="00B85A4B" w:rsidRPr="00C75B05" w:rsidRDefault="00B85A4B" w:rsidP="00B85A4B">
            <w:pPr>
              <w:spacing w:before="240"/>
            </w:pPr>
            <w:r w:rsidRPr="00C75B05">
              <w:lastRenderedPageBreak/>
              <w:t>Results prior to April 2013 are presented for PCTs. For April 2013 onwards, they are presented for CCGs.</w:t>
            </w:r>
          </w:p>
          <w:p w14:paraId="261A7EA3" w14:textId="1403B9A3" w:rsidR="00B85A4B" w:rsidRPr="00C75B05" w:rsidRDefault="00B85A4B" w:rsidP="00B85A4B">
            <w:r w:rsidRPr="00C75B05">
              <w:t xml:space="preserve">In </w:t>
            </w:r>
            <w:proofErr w:type="gramStart"/>
            <w:r w:rsidRPr="00C75B05">
              <w:t>both of these</w:t>
            </w:r>
            <w:proofErr w:type="gramEnd"/>
            <w:r w:rsidRPr="00C75B05">
              <w:t xml:space="preserve"> cases, the methodologies are aligned with those presented on </w:t>
            </w:r>
            <w:proofErr w:type="spellStart"/>
            <w:r w:rsidRPr="00C75B05">
              <w:t>MyNHS</w:t>
            </w:r>
            <w:proofErr w:type="spellEnd"/>
            <w:r w:rsidRPr="00C75B05">
              <w:t xml:space="preserve"> and in the technical annex published on NHS England’s website (https://www.england.nhs.uk/commissioning/ccg-auth/).</w:t>
            </w:r>
          </w:p>
        </w:tc>
      </w:tr>
      <w:tr w:rsidR="00B85A4B" w:rsidRPr="00C75B05" w14:paraId="38FFDE9D" w14:textId="77777777" w:rsidTr="00C20F5C">
        <w:tc>
          <w:tcPr>
            <w:tcW w:w="2836" w:type="dxa"/>
          </w:tcPr>
          <w:p w14:paraId="5ACD8FCE" w14:textId="6DF55371" w:rsidR="00B85A4B" w:rsidRPr="00C75B05" w:rsidRDefault="00B85A4B" w:rsidP="00B85A4B">
            <w:pPr>
              <w:rPr>
                <w:b/>
              </w:rPr>
            </w:pPr>
            <w:r w:rsidRPr="00C75B05">
              <w:rPr>
                <w:b/>
              </w:rPr>
              <w:lastRenderedPageBreak/>
              <w:t>Undesired behaviours and/or gaming</w:t>
            </w:r>
          </w:p>
        </w:tc>
        <w:tc>
          <w:tcPr>
            <w:tcW w:w="6469" w:type="dxa"/>
          </w:tcPr>
          <w:p w14:paraId="1B12BD96" w14:textId="778EFCD9" w:rsidR="00B85A4B" w:rsidRPr="00C75B05" w:rsidRDefault="00B85A4B" w:rsidP="00B85A4B">
            <w:r w:rsidRPr="00C75B05">
              <w:t xml:space="preserve">Potentially CCGs could game the indicator by not treating patients who have passed the </w:t>
            </w:r>
            <w:proofErr w:type="gramStart"/>
            <w:r w:rsidRPr="00C75B05">
              <w:t>62 day</w:t>
            </w:r>
            <w:proofErr w:type="gramEnd"/>
            <w:r w:rsidRPr="00C75B05">
              <w:t xml:space="preserve"> mark or by selectively validating their data. There’s also a risk that waiting lists could be managed in a way which is not based on clinical need.</w:t>
            </w:r>
          </w:p>
        </w:tc>
      </w:tr>
      <w:tr w:rsidR="00B85A4B" w:rsidRPr="00C75B05" w14:paraId="7162C121" w14:textId="77777777" w:rsidTr="00C20F5C">
        <w:tc>
          <w:tcPr>
            <w:tcW w:w="2836" w:type="dxa"/>
          </w:tcPr>
          <w:p w14:paraId="71EE2320" w14:textId="43871920" w:rsidR="00B85A4B" w:rsidRPr="00C75B05" w:rsidRDefault="00B85A4B" w:rsidP="00B85A4B">
            <w:pPr>
              <w:rPr>
                <w:b/>
              </w:rPr>
            </w:pPr>
            <w:r w:rsidRPr="00C75B05">
              <w:rPr>
                <w:b/>
              </w:rPr>
              <w:t>Approach to indicator review</w:t>
            </w:r>
          </w:p>
        </w:tc>
        <w:tc>
          <w:tcPr>
            <w:tcW w:w="6469" w:type="dxa"/>
          </w:tcPr>
          <w:p w14:paraId="30DBCA0D" w14:textId="77777777" w:rsidR="00B85A4B" w:rsidRPr="00C75B05" w:rsidRDefault="00B85A4B" w:rsidP="00B85A4B">
            <w:pPr>
              <w:spacing w:before="240"/>
            </w:pPr>
            <w:r w:rsidRPr="00C75B05">
              <w:t>The indicator forms part of the CCG Improvement and Assessment Framework which will be subject to regular review.  The Framework proposal was the subject of an engagement exercise during February 2016; feedback from this exercise has been considered in development of the final version for 2016-17.</w:t>
            </w:r>
          </w:p>
          <w:p w14:paraId="57C666CE" w14:textId="7AE31E00" w:rsidR="00B85A4B" w:rsidRPr="00C75B05" w:rsidRDefault="00B85A4B" w:rsidP="00B85A4B">
            <w:r w:rsidRPr="00C75B05">
              <w:t xml:space="preserve">The National Diagnostics Capacity Fund will award funding in early autumn 2016 to test more efficient diagnostic pathways. NHS England will test how to best deliver the Faster Diagnosis Standard with five local health economies in 2016/17, ready for roll out from 2017 onwards. This standard will mean that patients referred by their GP will find out </w:t>
            </w:r>
            <w:proofErr w:type="gramStart"/>
            <w:r w:rsidRPr="00C75B05">
              <w:t>whether or not</w:t>
            </w:r>
            <w:proofErr w:type="gramEnd"/>
            <w:r w:rsidRPr="00C75B05">
              <w:t xml:space="preserve"> they have cancer within 28 days.</w:t>
            </w:r>
          </w:p>
        </w:tc>
      </w:tr>
      <w:tr w:rsidR="00B85A4B" w:rsidRPr="00C75B05" w14:paraId="570201FA" w14:textId="77777777" w:rsidTr="00C20F5C">
        <w:tc>
          <w:tcPr>
            <w:tcW w:w="2836" w:type="dxa"/>
          </w:tcPr>
          <w:p w14:paraId="20DA160D" w14:textId="7602D890" w:rsidR="00B85A4B" w:rsidRPr="00C75B05" w:rsidRDefault="00B85A4B" w:rsidP="00B85A4B">
            <w:pPr>
              <w:rPr>
                <w:b/>
              </w:rPr>
            </w:pPr>
            <w:r w:rsidRPr="00C75B05">
              <w:rPr>
                <w:b/>
              </w:rPr>
              <w:t>Disclosure control</w:t>
            </w:r>
          </w:p>
        </w:tc>
        <w:tc>
          <w:tcPr>
            <w:tcW w:w="6469" w:type="dxa"/>
          </w:tcPr>
          <w:p w14:paraId="663B022C" w14:textId="77777777" w:rsidR="00B85A4B" w:rsidRPr="00C75B05" w:rsidRDefault="00B85A4B" w:rsidP="00B85A4B">
            <w:pPr>
              <w:spacing w:before="240"/>
            </w:pPr>
            <w:r w:rsidRPr="00C75B05">
              <w:t>For monthly commissioner data, all cancer types are grouped, reducing disclosure risk.</w:t>
            </w:r>
          </w:p>
          <w:p w14:paraId="698CBB80" w14:textId="00CF478D" w:rsidR="00B85A4B" w:rsidRPr="00C75B05" w:rsidRDefault="00B85A4B" w:rsidP="00B85A4B">
            <w:r w:rsidRPr="00C75B05">
              <w:t>Presentation of the indicator will comply with NHS Anonymisation Standard http://webarchive.nationalarchives.gov.uk/+/http://www.isb.nhs.uk/library/standard/128</w:t>
            </w:r>
          </w:p>
        </w:tc>
      </w:tr>
      <w:tr w:rsidR="00B85A4B" w:rsidRPr="00C75B05" w14:paraId="3C1F3B8E" w14:textId="77777777" w:rsidTr="00C20F5C">
        <w:tc>
          <w:tcPr>
            <w:tcW w:w="2836" w:type="dxa"/>
          </w:tcPr>
          <w:p w14:paraId="577C8518" w14:textId="6D26FC9B" w:rsidR="00B85A4B" w:rsidRPr="00C75B05" w:rsidRDefault="00B85A4B" w:rsidP="00B85A4B">
            <w:pPr>
              <w:rPr>
                <w:b/>
              </w:rPr>
            </w:pPr>
            <w:r w:rsidRPr="00C75B05">
              <w:rPr>
                <w:b/>
              </w:rPr>
              <w:t>Copyright</w:t>
            </w:r>
          </w:p>
        </w:tc>
        <w:tc>
          <w:tcPr>
            <w:tcW w:w="6469" w:type="dxa"/>
          </w:tcPr>
          <w:p w14:paraId="5F0ACB1F" w14:textId="0BB5BDD3" w:rsidR="00B85A4B" w:rsidRPr="00C75B05" w:rsidRDefault="00B85A4B" w:rsidP="00B85A4B">
            <w:r w:rsidRPr="00C75B05">
              <w:t>NHS England.  Open Government Licence applies http://www.nationalarchives.gov.uk/doc/open-government-licence/version/3/</w:t>
            </w:r>
          </w:p>
        </w:tc>
      </w:tr>
    </w:tbl>
    <w:p w14:paraId="7DFCB7B7" w14:textId="77777777" w:rsidR="00211DD9" w:rsidRPr="00C75B05" w:rsidRDefault="00211DD9"/>
    <w:p w14:paraId="2E98B862" w14:textId="77777777" w:rsidR="00211DD9" w:rsidRPr="00C75B05" w:rsidRDefault="00211DD9">
      <w:r w:rsidRPr="00C75B05">
        <w:br w:type="page"/>
      </w:r>
    </w:p>
    <w:p w14:paraId="65771C0E" w14:textId="77777777" w:rsidR="00211DD9" w:rsidRPr="00C75B05" w:rsidRDefault="00211DD9" w:rsidP="00211DD9"/>
    <w:p w14:paraId="4C30D26F" w14:textId="77777777" w:rsidR="00211DD9" w:rsidRPr="00C75B05" w:rsidRDefault="00211DD9">
      <w:pPr>
        <w:rPr>
          <w:b/>
        </w:rPr>
      </w:pPr>
      <w:r w:rsidRPr="00C75B05">
        <w:rPr>
          <w:b/>
        </w:rPr>
        <w:br w:type="page"/>
      </w:r>
    </w:p>
    <w:sdt>
      <w:sdtPr>
        <w:id w:val="-28027844"/>
        <w:docPartObj>
          <w:docPartGallery w:val="Cover Pages"/>
          <w:docPartUnique/>
        </w:docPartObj>
      </w:sdtPr>
      <w:sdtEndPr>
        <w:rPr>
          <w:rFonts w:eastAsia="+mn-ea"/>
          <w:b/>
          <w:position w:val="1"/>
        </w:rPr>
      </w:sdtEndPr>
      <w:sdtContent>
        <w:p w14:paraId="58B5C094" w14:textId="02D8BE30" w:rsidR="00211DD9" w:rsidRPr="00C75B05" w:rsidRDefault="00211DD9" w:rsidP="00211DD9">
          <w:pPr>
            <w:jc w:val="center"/>
          </w:pPr>
        </w:p>
        <w:p w14:paraId="4FA9C62E" w14:textId="24DDF2DF" w:rsidR="00211DD9" w:rsidRPr="00C75B05" w:rsidRDefault="00FE4918">
          <w:r w:rsidRPr="00C75B05">
            <w:rPr>
              <w:rFonts w:eastAsiaTheme="majorEastAsia"/>
              <w:caps/>
              <w:noProof/>
              <w:lang w:eastAsia="en-GB"/>
            </w:rPr>
            <w:drawing>
              <wp:inline distT="0" distB="0" distL="0" distR="0" wp14:anchorId="71BB173F" wp14:editId="3177BB9B">
                <wp:extent cx="2188031" cy="1021080"/>
                <wp:effectExtent l="0" t="0" r="0" b="7620"/>
                <wp:docPr id="7" name="Picture 7" descr="Information Governan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8">
                          <a:extLst>
                            <a:ext uri="{28A0092B-C50C-407E-A947-70E740481C1C}">
                              <a14:useLocalDpi xmlns:a14="http://schemas.microsoft.com/office/drawing/2010/main" val="0"/>
                            </a:ext>
                          </a:extLst>
                        </a:blip>
                        <a:stretch>
                          <a:fillRect/>
                        </a:stretch>
                      </pic:blipFill>
                      <pic:spPr>
                        <a:xfrm>
                          <a:off x="0" y="0"/>
                          <a:ext cx="2188031" cy="1021080"/>
                        </a:xfrm>
                        <a:prstGeom prst="rect">
                          <a:avLst/>
                        </a:prstGeom>
                      </pic:spPr>
                    </pic:pic>
                  </a:graphicData>
                </a:graphic>
              </wp:inline>
            </w:drawing>
          </w:r>
        </w:p>
        <w:p w14:paraId="3F24B970" w14:textId="77777777" w:rsidR="00211DD9" w:rsidRPr="00C75B05" w:rsidRDefault="00211DD9"/>
        <w:p w14:paraId="7EEAD8A6" w14:textId="3400FC5B" w:rsidR="00211DD9" w:rsidRPr="00C75B05" w:rsidRDefault="00B85A4B">
          <w:pPr>
            <w:rPr>
              <w:rFonts w:eastAsia="+mn-ea"/>
              <w:b/>
              <w:position w:val="1"/>
              <w:lang w:eastAsia="en-GB"/>
            </w:rPr>
          </w:pPr>
          <w:r w:rsidRPr="00C75B05">
            <w:rPr>
              <w:rFonts w:eastAsia="Times New Roman"/>
              <w:noProof/>
              <w:lang w:eastAsia="en-GB"/>
            </w:rPr>
            <w:drawing>
              <wp:inline distT="0" distB="0" distL="0" distR="0" wp14:anchorId="08A1B3C4" wp14:editId="6999E9E7">
                <wp:extent cx="6076950" cy="1407795"/>
                <wp:effectExtent l="0" t="0" r="0" b="1905"/>
                <wp:docPr id="6" name="Picture 6" descr="Logos of organisations:&#10;Care Quality Commission&#10;Department of Health&#10;Health Education England&#10;Health and Social Care Information Centre&#10;NHS England&#10;National Institute of Health and care Excellence&#10;Public Health England&#10;Trust Development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6076950" cy="1407795"/>
                        </a:xfrm>
                        <a:prstGeom prst="rect">
                          <a:avLst/>
                        </a:prstGeom>
                        <a:noFill/>
                      </pic:spPr>
                    </pic:pic>
                  </a:graphicData>
                </a:graphic>
              </wp:inline>
            </w:drawing>
          </w:r>
          <w:r w:rsidRPr="00C75B05">
            <w:rPr>
              <w:rFonts w:eastAsia="Times New Roman"/>
              <w:noProof/>
              <w:lang w:eastAsia="en-GB"/>
            </w:rPr>
            <w:t xml:space="preserve"> </w:t>
          </w:r>
          <w:r w:rsidR="00211DD9" w:rsidRPr="00C75B05">
            <w:rPr>
              <w:rFonts w:eastAsia="+mn-ea"/>
              <w:b/>
              <w:position w:val="1"/>
            </w:rPr>
            <w:br w:type="page"/>
          </w:r>
        </w:p>
      </w:sdtContent>
    </w:sdt>
    <w:p w14:paraId="128645C7" w14:textId="77777777" w:rsidR="00211DD9" w:rsidRPr="00C75B05" w:rsidRDefault="00211DD9" w:rsidP="00211DD9">
      <w:pPr>
        <w:pStyle w:val="NormalWeb"/>
        <w:spacing w:before="0" w:beforeAutospacing="0" w:after="0" w:afterAutospacing="0"/>
        <w:rPr>
          <w:rFonts w:ascii="Arial" w:eastAsia="+mn-ea" w:hAnsi="Arial" w:cs="Arial"/>
          <w:position w:val="1"/>
          <w:sz w:val="22"/>
          <w:szCs w:val="22"/>
        </w:rPr>
      </w:pPr>
    </w:p>
    <w:p w14:paraId="442FA54E"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dateFormat w:val="dd/MM/yyyy"/>
            <w:lid w:val="en-GB"/>
            <w:storeMappedDataAs w:val="dateTime"/>
            <w:calendar w:val="gregorian"/>
          </w:date>
        </w:sdtPr>
        <w:sdtEndPr/>
        <w:sdtContent>
          <w:r w:rsidRPr="00C75B05">
            <w:rPr>
              <w:rFonts w:ascii="Arial" w:eastAsia="+mn-ea" w:hAnsi="Arial" w:cs="Arial"/>
              <w:b/>
              <w:position w:val="1"/>
              <w:sz w:val="22"/>
              <w:szCs w:val="22"/>
            </w:rPr>
            <w:t>Click here to enter date</w:t>
          </w:r>
        </w:sdtContent>
      </w:sdt>
    </w:p>
    <w:p w14:paraId="72E57C25"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C75B05" w:rsidRPr="00C75B05" w14:paraId="29DDBDFD" w14:textId="77777777" w:rsidTr="00211DD9">
        <w:trPr>
          <w:trHeight w:val="359"/>
        </w:trPr>
        <w:tc>
          <w:tcPr>
            <w:tcW w:w="3369" w:type="dxa"/>
            <w:tcBorders>
              <w:top w:val="nil"/>
              <w:left w:val="nil"/>
              <w:bottom w:val="nil"/>
              <w:right w:val="nil"/>
            </w:tcBorders>
            <w:shd w:val="clear" w:color="auto" w:fill="DBE5F1" w:themeFill="accent1" w:themeFillTint="33"/>
          </w:tcPr>
          <w:p w14:paraId="68D89D56"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918DCDC"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Initial assurance</w:t>
                </w:r>
              </w:p>
            </w:tc>
          </w:sdtContent>
        </w:sdt>
      </w:tr>
      <w:tr w:rsidR="00C75B05" w:rsidRPr="00C75B05" w14:paraId="79603904" w14:textId="77777777" w:rsidTr="00211DD9">
        <w:trPr>
          <w:trHeight w:val="557"/>
        </w:trPr>
        <w:tc>
          <w:tcPr>
            <w:tcW w:w="3369" w:type="dxa"/>
            <w:tcBorders>
              <w:top w:val="nil"/>
              <w:left w:val="nil"/>
              <w:bottom w:val="nil"/>
              <w:right w:val="nil"/>
            </w:tcBorders>
            <w:shd w:val="clear" w:color="auto" w:fill="DBE5F1" w:themeFill="accent1" w:themeFillTint="33"/>
          </w:tcPr>
          <w:p w14:paraId="3ACE5320"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1857BFA7"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1st IGB meeting</w:t>
                </w:r>
              </w:p>
            </w:tc>
          </w:sdtContent>
        </w:sdt>
      </w:tr>
    </w:tbl>
    <w:p w14:paraId="7B783600" w14:textId="77777777" w:rsidR="00211DD9" w:rsidRPr="00C75B05" w:rsidRDefault="00211DD9" w:rsidP="00211DD9"/>
    <w:p w14:paraId="4DBC9F67" w14:textId="77777777" w:rsidR="00211DD9" w:rsidRPr="00C75B05" w:rsidRDefault="0074602D" w:rsidP="00211DD9">
      <w:pPr>
        <w:jc w:val="center"/>
        <w:rPr>
          <w:rFonts w:eastAsia="+mn-ea"/>
          <w:b/>
          <w:position w:val="1"/>
          <w:lang w:eastAsia="en-GB"/>
        </w:rPr>
      </w:pPr>
      <w:r>
        <w:rPr>
          <w:rFonts w:eastAsia="+mn-ea"/>
          <w:b/>
          <w:position w:val="1"/>
          <w:lang w:eastAsia="en-GB"/>
        </w:rPr>
        <w:pict w14:anchorId="07B8C5D6">
          <v:rect id="_x0000_i1025" style="width:503.2pt;height:1.5pt" o:hralign="center" o:hrstd="t" o:hr="t" fillcolor="#a0a0a0" stroked="f"/>
        </w:pic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036"/>
        <w:gridCol w:w="3381"/>
      </w:tblGrid>
      <w:tr w:rsidR="00FE4918" w:rsidRPr="00C75B05" w14:paraId="00195EF3" w14:textId="77777777" w:rsidTr="00FE4918">
        <w:tc>
          <w:tcPr>
            <w:tcW w:w="3599" w:type="dxa"/>
          </w:tcPr>
          <w:p w14:paraId="55CF6CE4" w14:textId="61B13DC4" w:rsidR="00FE4918" w:rsidRPr="00FE4918" w:rsidRDefault="00FE4918" w:rsidP="00FE4918">
            <w:pPr>
              <w:spacing w:before="120"/>
              <w:rPr>
                <w:rFonts w:eastAsia="+mn-ea"/>
                <w:b/>
                <w:position w:val="1"/>
              </w:rPr>
            </w:pPr>
            <w:r w:rsidRPr="00C75B05">
              <w:rPr>
                <w:rFonts w:eastAsia="+mn-ea"/>
                <w:b/>
                <w:position w:val="1"/>
              </w:rPr>
              <w:t>Ratings Against Assessment Criteria</w:t>
            </w:r>
          </w:p>
        </w:tc>
        <w:tc>
          <w:tcPr>
            <w:tcW w:w="2036" w:type="dxa"/>
          </w:tcPr>
          <w:p w14:paraId="11913D60" w14:textId="77777777" w:rsidR="00FE4918" w:rsidRDefault="00FE4918" w:rsidP="00C20F5C">
            <w:pPr>
              <w:spacing w:line="360" w:lineRule="auto"/>
              <w:jc w:val="center"/>
              <w:rPr>
                <w:b/>
                <w:noProof/>
                <w:lang w:eastAsia="en-GB"/>
              </w:rPr>
            </w:pPr>
          </w:p>
        </w:tc>
        <w:tc>
          <w:tcPr>
            <w:tcW w:w="3381" w:type="dxa"/>
          </w:tcPr>
          <w:p w14:paraId="55ACCFEB" w14:textId="77777777" w:rsidR="00FE4918" w:rsidRPr="00C75B05" w:rsidRDefault="00FE4918" w:rsidP="00FE4918">
            <w:pPr>
              <w:spacing w:before="120"/>
              <w:jc w:val="center"/>
              <w:rPr>
                <w:rFonts w:eastAsia="+mn-ea"/>
                <w:b/>
                <w:position w:val="1"/>
              </w:rPr>
            </w:pPr>
            <w:r w:rsidRPr="00C75B05">
              <w:rPr>
                <w:rFonts w:eastAsia="+mn-ea"/>
                <w:b/>
                <w:position w:val="1"/>
              </w:rPr>
              <w:t>Overall Rating</w:t>
            </w:r>
          </w:p>
          <w:p w14:paraId="0BEC377D" w14:textId="77777777" w:rsidR="00FE4918" w:rsidRPr="00C75B05" w:rsidRDefault="00FE4918" w:rsidP="00C20F5C">
            <w:pPr>
              <w:spacing w:before="100" w:beforeAutospacing="1" w:after="100" w:afterAutospacing="1" w:line="360" w:lineRule="auto"/>
              <w:jc w:val="center"/>
              <w:rPr>
                <w:b/>
              </w:rPr>
            </w:pPr>
          </w:p>
        </w:tc>
      </w:tr>
      <w:tr w:rsidR="00C20F5C" w:rsidRPr="00C75B05" w14:paraId="1ECCBB1A" w14:textId="77777777" w:rsidTr="00FE4918">
        <w:tc>
          <w:tcPr>
            <w:tcW w:w="3599" w:type="dxa"/>
            <w:hideMark/>
          </w:tcPr>
          <w:p w14:paraId="14182CD2" w14:textId="77777777" w:rsidR="00C20F5C" w:rsidRPr="00C75B05" w:rsidRDefault="00C20F5C" w:rsidP="00C20F5C">
            <w:pPr>
              <w:spacing w:line="360" w:lineRule="auto"/>
              <w:rPr>
                <w:rFonts w:eastAsia="+mn-ea"/>
                <w:position w:val="1"/>
              </w:rPr>
            </w:pPr>
            <w:r w:rsidRPr="00C75B05">
              <w:rPr>
                <w:rFonts w:eastAsia="+mn-ea"/>
                <w:position w:val="1"/>
              </w:rPr>
              <w:t>Clarity</w:t>
            </w:r>
          </w:p>
        </w:tc>
        <w:tc>
          <w:tcPr>
            <w:tcW w:w="2036" w:type="dxa"/>
            <w:hideMark/>
          </w:tcPr>
          <w:p w14:paraId="7E7C2178" w14:textId="3F2DE5FF" w:rsidR="00C20F5C" w:rsidRPr="00C75B05" w:rsidRDefault="00C20F5C" w:rsidP="00C20F5C">
            <w:pPr>
              <w:spacing w:line="360" w:lineRule="auto"/>
              <w:jc w:val="center"/>
              <w:rPr>
                <w:rFonts w:eastAsia="+mn-ea"/>
                <w:b/>
                <w:position w:val="1"/>
              </w:rPr>
            </w:pPr>
            <w:r>
              <w:rPr>
                <w:b/>
                <w:noProof/>
                <w:lang w:eastAsia="en-GB"/>
              </w:rPr>
              <w:t>Fit for use</w:t>
            </w:r>
          </w:p>
        </w:tc>
        <w:tc>
          <w:tcPr>
            <w:tcW w:w="3381" w:type="dxa"/>
            <w:hideMark/>
          </w:tcPr>
          <w:p w14:paraId="7B1CE6BC" w14:textId="69134D51" w:rsidR="00C20F5C" w:rsidRPr="00C75B05" w:rsidRDefault="00C20F5C" w:rsidP="00C20F5C">
            <w:pPr>
              <w:spacing w:before="100" w:beforeAutospacing="1" w:after="100" w:afterAutospacing="1" w:line="360" w:lineRule="auto"/>
              <w:jc w:val="center"/>
              <w:rPr>
                <w:rFonts w:eastAsia="+mn-ea"/>
                <w:b/>
                <w:position w:val="1"/>
              </w:rPr>
            </w:pPr>
            <w:r w:rsidRPr="00C75B05">
              <w:rPr>
                <w:b/>
              </w:rPr>
              <w:t>Fit for use with caveats</w:t>
            </w:r>
          </w:p>
        </w:tc>
      </w:tr>
      <w:tr w:rsidR="00C20F5C" w:rsidRPr="00C75B05" w14:paraId="6CD51C5A" w14:textId="77777777" w:rsidTr="00FE4918">
        <w:tc>
          <w:tcPr>
            <w:tcW w:w="3599" w:type="dxa"/>
            <w:hideMark/>
          </w:tcPr>
          <w:p w14:paraId="2F329137" w14:textId="77777777" w:rsidR="00C20F5C" w:rsidRPr="00C75B05" w:rsidRDefault="00C20F5C" w:rsidP="00C20F5C">
            <w:pPr>
              <w:spacing w:line="360" w:lineRule="auto"/>
              <w:rPr>
                <w:rFonts w:eastAsia="+mn-ea"/>
                <w:position w:val="1"/>
              </w:rPr>
            </w:pPr>
            <w:r w:rsidRPr="00C75B05">
              <w:rPr>
                <w:rFonts w:eastAsia="+mn-ea"/>
                <w:position w:val="1"/>
              </w:rPr>
              <w:t>Rationale</w:t>
            </w:r>
          </w:p>
        </w:tc>
        <w:tc>
          <w:tcPr>
            <w:tcW w:w="2036" w:type="dxa"/>
            <w:hideMark/>
          </w:tcPr>
          <w:p w14:paraId="41F9AA5F" w14:textId="22F4BCF6" w:rsidR="00C20F5C" w:rsidRPr="00C75B05" w:rsidRDefault="00C20F5C" w:rsidP="00C20F5C">
            <w:pPr>
              <w:spacing w:line="360" w:lineRule="auto"/>
              <w:jc w:val="center"/>
              <w:rPr>
                <w:rFonts w:eastAsia="+mn-ea"/>
                <w:b/>
                <w:position w:val="1"/>
              </w:rPr>
            </w:pPr>
            <w:r>
              <w:rPr>
                <w:b/>
                <w:noProof/>
                <w:lang w:eastAsia="en-GB"/>
              </w:rPr>
              <w:t>Fit for use</w:t>
            </w:r>
          </w:p>
        </w:tc>
        <w:tc>
          <w:tcPr>
            <w:tcW w:w="0" w:type="auto"/>
            <w:hideMark/>
          </w:tcPr>
          <w:p w14:paraId="2209CB9D" w14:textId="77777777" w:rsidR="00C20F5C" w:rsidRPr="00C75B05" w:rsidRDefault="00C20F5C" w:rsidP="00C20F5C">
            <w:pPr>
              <w:spacing w:line="360" w:lineRule="auto"/>
              <w:rPr>
                <w:rFonts w:eastAsia="+mn-ea"/>
                <w:b/>
                <w:position w:val="1"/>
              </w:rPr>
            </w:pPr>
          </w:p>
        </w:tc>
      </w:tr>
      <w:tr w:rsidR="00C20F5C" w:rsidRPr="00C75B05" w14:paraId="5CE5541F" w14:textId="77777777" w:rsidTr="00FE4918">
        <w:tc>
          <w:tcPr>
            <w:tcW w:w="3599" w:type="dxa"/>
            <w:hideMark/>
          </w:tcPr>
          <w:p w14:paraId="46AD8C20" w14:textId="77777777" w:rsidR="00C20F5C" w:rsidRPr="00C75B05" w:rsidRDefault="00C20F5C" w:rsidP="00C20F5C">
            <w:pPr>
              <w:spacing w:line="360" w:lineRule="auto"/>
              <w:rPr>
                <w:rFonts w:eastAsia="+mn-ea"/>
                <w:position w:val="1"/>
              </w:rPr>
            </w:pPr>
            <w:r w:rsidRPr="00C75B05">
              <w:rPr>
                <w:rFonts w:eastAsia="+mn-ea"/>
                <w:position w:val="1"/>
              </w:rPr>
              <w:t>Data</w:t>
            </w:r>
          </w:p>
        </w:tc>
        <w:tc>
          <w:tcPr>
            <w:tcW w:w="2036" w:type="dxa"/>
            <w:hideMark/>
          </w:tcPr>
          <w:p w14:paraId="0AE582F7" w14:textId="2201DF2B" w:rsidR="00C20F5C" w:rsidRPr="00C75B05" w:rsidRDefault="00C20F5C" w:rsidP="00C20F5C">
            <w:pPr>
              <w:spacing w:line="360" w:lineRule="auto"/>
              <w:jc w:val="center"/>
              <w:rPr>
                <w:rFonts w:eastAsia="+mn-ea"/>
                <w:b/>
                <w:position w:val="1"/>
              </w:rPr>
            </w:pPr>
            <w:r>
              <w:rPr>
                <w:b/>
                <w:noProof/>
                <w:lang w:eastAsia="en-GB"/>
              </w:rPr>
              <w:t>Fit for use</w:t>
            </w:r>
          </w:p>
        </w:tc>
        <w:tc>
          <w:tcPr>
            <w:tcW w:w="0" w:type="auto"/>
            <w:hideMark/>
          </w:tcPr>
          <w:p w14:paraId="21DE0151" w14:textId="77777777" w:rsidR="00C20F5C" w:rsidRPr="00C75B05" w:rsidRDefault="00C20F5C" w:rsidP="00C20F5C">
            <w:pPr>
              <w:spacing w:line="360" w:lineRule="auto"/>
              <w:rPr>
                <w:rFonts w:eastAsia="+mn-ea"/>
                <w:b/>
                <w:position w:val="1"/>
              </w:rPr>
            </w:pPr>
          </w:p>
        </w:tc>
      </w:tr>
      <w:tr w:rsidR="00C20F5C" w:rsidRPr="00C75B05" w14:paraId="69DF601A" w14:textId="77777777" w:rsidTr="00FE4918">
        <w:tc>
          <w:tcPr>
            <w:tcW w:w="3599" w:type="dxa"/>
            <w:hideMark/>
          </w:tcPr>
          <w:p w14:paraId="64D8FEFA" w14:textId="77777777" w:rsidR="00C20F5C" w:rsidRPr="00C75B05" w:rsidRDefault="00C20F5C" w:rsidP="00C20F5C">
            <w:pPr>
              <w:spacing w:line="360" w:lineRule="auto"/>
              <w:rPr>
                <w:rFonts w:eastAsia="+mn-ea"/>
                <w:position w:val="1"/>
              </w:rPr>
            </w:pPr>
            <w:r w:rsidRPr="00C75B05">
              <w:rPr>
                <w:rFonts w:eastAsia="+mn-ea"/>
                <w:position w:val="1"/>
              </w:rPr>
              <w:t>Construction</w:t>
            </w:r>
          </w:p>
        </w:tc>
        <w:tc>
          <w:tcPr>
            <w:tcW w:w="2036" w:type="dxa"/>
            <w:hideMark/>
          </w:tcPr>
          <w:p w14:paraId="73BAB53A" w14:textId="2DFCE525" w:rsidR="00C20F5C" w:rsidRPr="00C75B05" w:rsidRDefault="00C20F5C" w:rsidP="00C20F5C">
            <w:pPr>
              <w:spacing w:line="360" w:lineRule="auto"/>
              <w:jc w:val="center"/>
              <w:rPr>
                <w:rFonts w:eastAsia="+mn-ea"/>
                <w:b/>
                <w:position w:val="1"/>
              </w:rPr>
            </w:pPr>
            <w:r w:rsidRPr="00C75B05">
              <w:rPr>
                <w:b/>
              </w:rPr>
              <w:t>Fit for use with caveats</w:t>
            </w:r>
          </w:p>
        </w:tc>
        <w:tc>
          <w:tcPr>
            <w:tcW w:w="0" w:type="auto"/>
            <w:hideMark/>
          </w:tcPr>
          <w:p w14:paraId="5CC76E4D" w14:textId="77777777" w:rsidR="00C20F5C" w:rsidRPr="00C75B05" w:rsidRDefault="00C20F5C" w:rsidP="00C20F5C">
            <w:pPr>
              <w:spacing w:line="360" w:lineRule="auto"/>
              <w:rPr>
                <w:rFonts w:eastAsia="+mn-ea"/>
                <w:b/>
                <w:position w:val="1"/>
              </w:rPr>
            </w:pPr>
          </w:p>
        </w:tc>
      </w:tr>
      <w:tr w:rsidR="00414916" w:rsidRPr="00C75B05" w14:paraId="3B95FC82" w14:textId="77777777" w:rsidTr="00FE4918">
        <w:tc>
          <w:tcPr>
            <w:tcW w:w="3599" w:type="dxa"/>
            <w:hideMark/>
          </w:tcPr>
          <w:p w14:paraId="3976C75F" w14:textId="77777777" w:rsidR="00414916" w:rsidRPr="00C75B05" w:rsidRDefault="00414916" w:rsidP="00C20F5C">
            <w:pPr>
              <w:spacing w:line="360" w:lineRule="auto"/>
              <w:rPr>
                <w:rFonts w:eastAsia="+mn-ea"/>
                <w:position w:val="1"/>
              </w:rPr>
            </w:pPr>
            <w:r w:rsidRPr="00C75B05">
              <w:rPr>
                <w:rFonts w:eastAsia="+mn-ea"/>
                <w:position w:val="1"/>
              </w:rPr>
              <w:t>Presentation and Interpretation</w:t>
            </w:r>
          </w:p>
        </w:tc>
        <w:tc>
          <w:tcPr>
            <w:tcW w:w="2036" w:type="dxa"/>
            <w:hideMark/>
          </w:tcPr>
          <w:p w14:paraId="1CCB6001" w14:textId="6D2BE24C" w:rsidR="00414916" w:rsidRPr="00C75B05" w:rsidRDefault="00414916" w:rsidP="00C20F5C">
            <w:pPr>
              <w:spacing w:line="360" w:lineRule="auto"/>
              <w:jc w:val="center"/>
              <w:rPr>
                <w:rFonts w:eastAsia="+mn-ea"/>
                <w:b/>
                <w:position w:val="1"/>
              </w:rPr>
            </w:pPr>
            <w:r w:rsidRPr="00C75B05">
              <w:rPr>
                <w:b/>
              </w:rPr>
              <w:t>Fit for use with caveats</w:t>
            </w:r>
          </w:p>
        </w:tc>
        <w:tc>
          <w:tcPr>
            <w:tcW w:w="3381" w:type="dxa"/>
            <w:hideMark/>
          </w:tcPr>
          <w:p w14:paraId="412ECDB2" w14:textId="5355D08E" w:rsidR="00414916" w:rsidRPr="00C75B05" w:rsidRDefault="00414916" w:rsidP="00C20F5C">
            <w:pPr>
              <w:spacing w:line="360" w:lineRule="auto"/>
              <w:jc w:val="center"/>
              <w:rPr>
                <w:rFonts w:eastAsia="+mn-ea"/>
                <w:b/>
                <w:position w:val="1"/>
              </w:rPr>
            </w:pPr>
          </w:p>
        </w:tc>
      </w:tr>
      <w:tr w:rsidR="00414916" w:rsidRPr="00C75B05" w14:paraId="5F152741" w14:textId="77777777" w:rsidTr="00FE4918">
        <w:tc>
          <w:tcPr>
            <w:tcW w:w="3599" w:type="dxa"/>
            <w:hideMark/>
          </w:tcPr>
          <w:p w14:paraId="0404CEB6" w14:textId="77777777" w:rsidR="00414916" w:rsidRPr="00C75B05" w:rsidRDefault="00414916" w:rsidP="00C20F5C">
            <w:pPr>
              <w:spacing w:line="360" w:lineRule="auto"/>
              <w:rPr>
                <w:rFonts w:eastAsia="+mn-ea"/>
                <w:position w:val="1"/>
              </w:rPr>
            </w:pPr>
            <w:r w:rsidRPr="00C75B05">
              <w:rPr>
                <w:rFonts w:eastAsia="+mn-ea"/>
                <w:position w:val="1"/>
              </w:rPr>
              <w:t>Risks and Usefulness</w:t>
            </w:r>
          </w:p>
        </w:tc>
        <w:tc>
          <w:tcPr>
            <w:tcW w:w="2036" w:type="dxa"/>
            <w:hideMark/>
          </w:tcPr>
          <w:p w14:paraId="477ADA88" w14:textId="3CDB3822" w:rsidR="00414916" w:rsidRPr="00C75B05" w:rsidRDefault="00414916" w:rsidP="00C20F5C">
            <w:pPr>
              <w:spacing w:line="360" w:lineRule="auto"/>
              <w:jc w:val="center"/>
              <w:rPr>
                <w:rFonts w:eastAsia="+mn-ea"/>
                <w:b/>
                <w:position w:val="1"/>
              </w:rPr>
            </w:pPr>
            <w:r>
              <w:rPr>
                <w:b/>
                <w:noProof/>
                <w:lang w:eastAsia="en-GB"/>
              </w:rPr>
              <w:t>Fit for use</w:t>
            </w:r>
          </w:p>
        </w:tc>
        <w:tc>
          <w:tcPr>
            <w:tcW w:w="0" w:type="auto"/>
            <w:hideMark/>
          </w:tcPr>
          <w:p w14:paraId="4F1E7902" w14:textId="77777777" w:rsidR="00414916" w:rsidRPr="00C75B05" w:rsidRDefault="00414916" w:rsidP="00C20F5C">
            <w:pPr>
              <w:spacing w:line="360" w:lineRule="auto"/>
              <w:rPr>
                <w:rFonts w:eastAsia="+mn-ea"/>
                <w:b/>
                <w:position w:val="1"/>
              </w:rPr>
            </w:pPr>
          </w:p>
        </w:tc>
      </w:tr>
    </w:tbl>
    <w:p w14:paraId="498FC72C"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2BD8C5AB"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C75B05" w:rsidRPr="00C75B05" w14:paraId="1003BBA7" w14:textId="77777777" w:rsidTr="00211DD9">
        <w:tc>
          <w:tcPr>
            <w:tcW w:w="3369" w:type="dxa"/>
            <w:shd w:val="clear" w:color="auto" w:fill="DBE5F1" w:themeFill="accent1" w:themeFillTint="33"/>
            <w:vAlign w:val="center"/>
          </w:tcPr>
          <w:p w14:paraId="3623ED11"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911" w:type="dxa"/>
              </w:tcPr>
              <w:p w14:paraId="1B4A64A5"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This indicator has been approved for inclusion in the National Library of Quality Assured Indicators</w:t>
                </w:r>
              </w:p>
            </w:tc>
          </w:sdtContent>
        </w:sdt>
      </w:tr>
    </w:tbl>
    <w:p w14:paraId="7A42A17F"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693A8F4D" w14:textId="77777777" w:rsidR="00211DD9" w:rsidRPr="00C75B05" w:rsidRDefault="00211DD9" w:rsidP="00211DD9">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75B05" w:rsidRPr="00C75B05" w14:paraId="22B67CA5" w14:textId="77777777" w:rsidTr="00211DD9">
        <w:tc>
          <w:tcPr>
            <w:tcW w:w="10280" w:type="dxa"/>
            <w:shd w:val="clear" w:color="auto" w:fill="DBE5F1" w:themeFill="accent1" w:themeFillTint="33"/>
          </w:tcPr>
          <w:p w14:paraId="06987B15"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Key findings from Assurance</w:t>
            </w:r>
          </w:p>
        </w:tc>
      </w:tr>
      <w:tr w:rsidR="00211DD9" w:rsidRPr="00C75B05" w14:paraId="17B80D1B" w14:textId="77777777" w:rsidTr="00211DD9">
        <w:tc>
          <w:tcPr>
            <w:tcW w:w="10280" w:type="dxa"/>
          </w:tcPr>
          <w:p w14:paraId="4DD87944" w14:textId="790E5D4D" w:rsidR="00211DD9" w:rsidRPr="00C75B05" w:rsidRDefault="00211DD9" w:rsidP="00211DD9">
            <w:pPr>
              <w:pStyle w:val="NormalWeb"/>
              <w:spacing w:before="240" w:beforeAutospacing="0" w:after="0" w:afterAutospacing="0"/>
              <w:rPr>
                <w:rFonts w:ascii="Arial" w:eastAsia="+mn-ea" w:hAnsi="Arial" w:cs="Arial"/>
                <w:position w:val="1"/>
                <w:sz w:val="22"/>
                <w:szCs w:val="22"/>
              </w:rPr>
            </w:pPr>
            <w:r w:rsidRPr="00C75B05">
              <w:rPr>
                <w:rFonts w:ascii="Arial" w:eastAsia="+mn-ea" w:hAnsi="Arial" w:cs="Arial"/>
                <w:position w:val="1"/>
                <w:sz w:val="22"/>
                <w:szCs w:val="22"/>
              </w:rPr>
              <w:t xml:space="preserve">This indicator has been approved by IGB for 6 months after which the position will be reviewed. IGB recognises that the applicant intends to apply confidence </w:t>
            </w:r>
            <w:r w:rsidR="009C1CA5" w:rsidRPr="00C75B05">
              <w:rPr>
                <w:rFonts w:ascii="Arial" w:eastAsia="+mn-ea" w:hAnsi="Arial" w:cs="Arial"/>
                <w:position w:val="1"/>
                <w:sz w:val="22"/>
                <w:szCs w:val="22"/>
              </w:rPr>
              <w:t>intervals,</w:t>
            </w:r>
            <w:r w:rsidRPr="00C75B05">
              <w:rPr>
                <w:rFonts w:ascii="Arial" w:eastAsia="+mn-ea" w:hAnsi="Arial" w:cs="Arial"/>
                <w:position w:val="1"/>
                <w:sz w:val="22"/>
                <w:szCs w:val="22"/>
              </w:rPr>
              <w:t xml:space="preserve"> but this is still in development. IGB therefore recommends that this indicator should not be used for comparisons until confidence intervals are added.</w:t>
            </w:r>
          </w:p>
          <w:p w14:paraId="04B10FCE" w14:textId="77777777" w:rsidR="00211DD9" w:rsidRPr="00C75B05" w:rsidRDefault="00211DD9" w:rsidP="00211DD9">
            <w:pPr>
              <w:pStyle w:val="NormalWeb"/>
              <w:spacing w:before="240" w:beforeAutospacing="0" w:after="0" w:afterAutospacing="0"/>
              <w:ind w:left="720"/>
              <w:rPr>
                <w:rFonts w:ascii="Arial" w:eastAsia="+mn-ea" w:hAnsi="Arial" w:cs="Arial"/>
                <w:position w:val="1"/>
                <w:sz w:val="22"/>
                <w:szCs w:val="22"/>
              </w:rPr>
            </w:pPr>
          </w:p>
        </w:tc>
      </w:tr>
    </w:tbl>
    <w:p w14:paraId="0ADB924A" w14:textId="77777777" w:rsidR="00211DD9" w:rsidRPr="00C75B05" w:rsidRDefault="00211DD9" w:rsidP="00211DD9">
      <w:pPr>
        <w:pStyle w:val="NormalWeb"/>
        <w:spacing w:before="0" w:beforeAutospacing="0" w:after="0" w:afterAutospacing="0"/>
        <w:rPr>
          <w:rFonts w:ascii="Arial" w:eastAsia="+mn-ea" w:hAnsi="Arial" w:cs="Arial"/>
          <w:position w:val="1"/>
          <w:sz w:val="22"/>
          <w:szCs w:val="22"/>
        </w:rPr>
      </w:pPr>
    </w:p>
    <w:p w14:paraId="2487CD51" w14:textId="77777777" w:rsidR="00211DD9" w:rsidRPr="00C75B05" w:rsidRDefault="00211DD9" w:rsidP="00211DD9">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C75B05" w:rsidRPr="00C75B05" w14:paraId="4C8ACE56" w14:textId="77777777" w:rsidTr="00211DD9">
        <w:tc>
          <w:tcPr>
            <w:tcW w:w="3369" w:type="dxa"/>
            <w:shd w:val="clear" w:color="auto" w:fill="DBE5F1" w:themeFill="accent1" w:themeFillTint="33"/>
          </w:tcPr>
          <w:p w14:paraId="08DC6B41" w14:textId="77777777" w:rsidR="00211DD9" w:rsidRPr="00C75B05" w:rsidRDefault="00211DD9" w:rsidP="00211DD9">
            <w:pPr>
              <w:pStyle w:val="NormalWeb"/>
              <w:spacing w:before="60" w:beforeAutospacing="0" w:after="60" w:afterAutospacing="0"/>
              <w:rPr>
                <w:rFonts w:ascii="Arial" w:eastAsia="+mn-ea" w:hAnsi="Arial" w:cs="Arial"/>
                <w:b/>
                <w:position w:val="1"/>
                <w:sz w:val="22"/>
                <w:szCs w:val="22"/>
              </w:rPr>
            </w:pPr>
            <w:r w:rsidRPr="00C75B05">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7-10-04T00:00:00Z">
              <w:dateFormat w:val="dd/MM/yyyy"/>
              <w:lid w:val="en-GB"/>
              <w:storeMappedDataAs w:val="dateTime"/>
              <w:calendar w:val="gregorian"/>
            </w:date>
          </w:sdtPr>
          <w:sdtEndPr/>
          <w:sdtContent>
            <w:tc>
              <w:tcPr>
                <w:tcW w:w="6945" w:type="dxa"/>
              </w:tcPr>
              <w:p w14:paraId="0B0B5364" w14:textId="77777777" w:rsidR="00211DD9" w:rsidRPr="00C75B05" w:rsidRDefault="00211DD9" w:rsidP="00211DD9">
                <w:pPr>
                  <w:pStyle w:val="NormalWeb"/>
                  <w:spacing w:before="60" w:beforeAutospacing="0" w:after="60" w:afterAutospacing="0"/>
                  <w:rPr>
                    <w:rFonts w:ascii="Arial" w:eastAsia="+mn-ea" w:hAnsi="Arial" w:cs="Arial"/>
                    <w:position w:val="1"/>
                    <w:sz w:val="22"/>
                    <w:szCs w:val="22"/>
                  </w:rPr>
                </w:pPr>
                <w:r w:rsidRPr="00C75B05">
                  <w:rPr>
                    <w:rFonts w:ascii="Arial" w:eastAsia="+mn-ea" w:hAnsi="Arial" w:cs="Arial"/>
                    <w:position w:val="1"/>
                    <w:sz w:val="22"/>
                    <w:szCs w:val="22"/>
                  </w:rPr>
                  <w:t>04/10/2017</w:t>
                </w:r>
              </w:p>
            </w:tc>
          </w:sdtContent>
        </w:sdt>
      </w:tr>
      <w:tr w:rsidR="00C75B05" w:rsidRPr="00C75B05" w14:paraId="0BCEF6B7" w14:textId="77777777" w:rsidTr="00211DD9">
        <w:tc>
          <w:tcPr>
            <w:tcW w:w="3369" w:type="dxa"/>
            <w:shd w:val="clear" w:color="auto" w:fill="DBE5F1" w:themeFill="accent1" w:themeFillTint="33"/>
          </w:tcPr>
          <w:p w14:paraId="041A9D20" w14:textId="77777777" w:rsidR="00211DD9" w:rsidRPr="00C75B05" w:rsidRDefault="00211DD9" w:rsidP="00211DD9">
            <w:pPr>
              <w:pStyle w:val="NormalWeb"/>
              <w:spacing w:before="60" w:beforeAutospacing="0" w:after="60" w:afterAutospacing="0"/>
              <w:rPr>
                <w:rFonts w:ascii="Arial" w:eastAsia="+mn-ea" w:hAnsi="Arial" w:cs="Arial"/>
                <w:b/>
                <w:position w:val="1"/>
                <w:sz w:val="22"/>
                <w:szCs w:val="22"/>
              </w:rPr>
            </w:pPr>
            <w:r w:rsidRPr="00C75B05">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18-04-05T00:00:00Z">
              <w:dateFormat w:val="dd/MM/yyyy"/>
              <w:lid w:val="en-GB"/>
              <w:storeMappedDataAs w:val="dateTime"/>
              <w:calendar w:val="gregorian"/>
            </w:date>
          </w:sdtPr>
          <w:sdtEndPr/>
          <w:sdtContent>
            <w:tc>
              <w:tcPr>
                <w:tcW w:w="6945" w:type="dxa"/>
              </w:tcPr>
              <w:p w14:paraId="0C0A8CF9" w14:textId="77777777" w:rsidR="00211DD9" w:rsidRPr="00C75B05" w:rsidRDefault="00211DD9" w:rsidP="00211DD9">
                <w:pPr>
                  <w:pStyle w:val="NormalWeb"/>
                  <w:spacing w:before="60" w:beforeAutospacing="0" w:after="60" w:afterAutospacing="0"/>
                  <w:rPr>
                    <w:rFonts w:ascii="Arial" w:eastAsia="+mn-ea" w:hAnsi="Arial" w:cs="Arial"/>
                    <w:position w:val="1"/>
                    <w:sz w:val="22"/>
                    <w:szCs w:val="22"/>
                  </w:rPr>
                </w:pPr>
                <w:r w:rsidRPr="00C75B05">
                  <w:rPr>
                    <w:rFonts w:ascii="Arial" w:eastAsia="+mn-ea" w:hAnsi="Arial" w:cs="Arial"/>
                    <w:position w:val="1"/>
                    <w:sz w:val="22"/>
                    <w:szCs w:val="22"/>
                  </w:rPr>
                  <w:t>05/04/2018</w:t>
                </w:r>
              </w:p>
            </w:tc>
          </w:sdtContent>
        </w:sdt>
      </w:tr>
    </w:tbl>
    <w:p w14:paraId="1DDB7E2F" w14:textId="77777777" w:rsidR="00211DD9" w:rsidRPr="00C75B05" w:rsidRDefault="00211DD9" w:rsidP="00211DD9">
      <w:pPr>
        <w:pStyle w:val="NormalWeb"/>
        <w:spacing w:before="0" w:beforeAutospacing="0" w:after="0" w:afterAutospacing="0"/>
        <w:rPr>
          <w:rFonts w:ascii="Arial" w:eastAsia="+mn-ea" w:hAnsi="Arial" w:cs="Arial"/>
          <w:position w:val="1"/>
          <w:sz w:val="22"/>
          <w:szCs w:val="22"/>
        </w:rPr>
      </w:pPr>
    </w:p>
    <w:p w14:paraId="0884914B" w14:textId="77777777" w:rsidR="00211DD9" w:rsidRPr="00C75B05" w:rsidRDefault="00211DD9" w:rsidP="00211DD9">
      <w:pPr>
        <w:pStyle w:val="NormalWeb"/>
        <w:spacing w:before="0" w:beforeAutospacing="0" w:after="0" w:afterAutospacing="0"/>
        <w:ind w:left="142" w:hanging="142"/>
        <w:rPr>
          <w:rFonts w:ascii="Arial" w:eastAsia="+mn-ea" w:hAnsi="Arial" w:cs="Arial"/>
          <w:position w:val="1"/>
          <w:sz w:val="22"/>
          <w:szCs w:val="22"/>
        </w:rPr>
      </w:pPr>
    </w:p>
    <w:p w14:paraId="60C690E8" w14:textId="74C37AB1" w:rsidR="00211DD9" w:rsidRPr="00C75B05" w:rsidRDefault="00211DD9"/>
    <w:p w14:paraId="3CB209FE" w14:textId="77777777" w:rsidR="00211DD9" w:rsidRPr="00C75B05" w:rsidRDefault="00211DD9" w:rsidP="00211DD9">
      <w:pPr>
        <w:pStyle w:val="NormalWeb"/>
        <w:tabs>
          <w:tab w:val="right" w:pos="10064"/>
        </w:tabs>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 xml:space="preserve">Details of Methodology Appraisal – </w:t>
      </w:r>
      <w:sdt>
        <w:sdtPr>
          <w:rPr>
            <w:rFonts w:ascii="Arial" w:eastAsia="+mn-ea" w:hAnsi="Arial" w:cs="Arial"/>
            <w:b/>
            <w:position w:val="1"/>
            <w:sz w:val="22"/>
            <w:szCs w:val="22"/>
          </w:rPr>
          <w:id w:val="1730420586"/>
          <w:date w:fullDate="2017-03-09T00:00:00Z">
            <w:dateFormat w:val="dd/MM/yyyy"/>
            <w:lid w:val="en-GB"/>
            <w:storeMappedDataAs w:val="dateTime"/>
            <w:calendar w:val="gregorian"/>
          </w:date>
        </w:sdtPr>
        <w:sdtEndPr/>
        <w:sdtContent>
          <w:r w:rsidRPr="00C75B05">
            <w:rPr>
              <w:rFonts w:ascii="Arial" w:eastAsia="+mn-ea" w:hAnsi="Arial" w:cs="Arial"/>
              <w:b/>
              <w:position w:val="1"/>
              <w:sz w:val="22"/>
              <w:szCs w:val="22"/>
            </w:rPr>
            <w:t>09/03/2017</w:t>
          </w:r>
        </w:sdtContent>
      </w:sdt>
      <w:r w:rsidRPr="00C75B05">
        <w:rPr>
          <w:rFonts w:ascii="Arial" w:eastAsia="+mn-ea" w:hAnsi="Arial" w:cs="Arial"/>
          <w:b/>
          <w:position w:val="1"/>
          <w:sz w:val="22"/>
          <w:szCs w:val="22"/>
        </w:rPr>
        <w:tab/>
      </w:r>
    </w:p>
    <w:p w14:paraId="15363CD4"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C75B05" w:rsidRPr="00C75B05" w14:paraId="217F2446" w14:textId="77777777" w:rsidTr="00211DD9">
        <w:tc>
          <w:tcPr>
            <w:tcW w:w="3369" w:type="dxa"/>
            <w:shd w:val="clear" w:color="auto" w:fill="DBE5F1" w:themeFill="accent1" w:themeFillTint="33"/>
          </w:tcPr>
          <w:p w14:paraId="5CC8458A" w14:textId="77777777" w:rsidR="00211DD9" w:rsidRPr="00C75B05" w:rsidRDefault="00211DD9" w:rsidP="00211DD9">
            <w:pPr>
              <w:pStyle w:val="NormalWeb"/>
              <w:spacing w:beforeLines="60" w:before="144" w:beforeAutospacing="0" w:afterLines="60" w:after="144" w:afterAutospacing="0"/>
              <w:rPr>
                <w:rFonts w:ascii="Arial" w:eastAsia="+mn-ea" w:hAnsi="Arial" w:cs="Arial"/>
                <w:b/>
                <w:position w:val="1"/>
                <w:sz w:val="22"/>
                <w:szCs w:val="22"/>
              </w:rPr>
            </w:pPr>
            <w:r w:rsidRPr="00C75B05">
              <w:rPr>
                <w:rFonts w:ascii="Arial" w:eastAsia="+mn-ea" w:hAnsi="Arial" w:cs="Arial"/>
                <w:b/>
                <w:position w:val="1"/>
                <w:sz w:val="22"/>
                <w:szCs w:val="22"/>
              </w:rPr>
              <w:t>Methodology appraisal body</w:t>
            </w:r>
          </w:p>
        </w:tc>
        <w:tc>
          <w:tcPr>
            <w:tcW w:w="6945" w:type="dxa"/>
          </w:tcPr>
          <w:p w14:paraId="0A20A5A3" w14:textId="77777777" w:rsidR="00211DD9" w:rsidRPr="00C75B05" w:rsidRDefault="0074602D" w:rsidP="00211DD9">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HSCIC's Indicator &amp; Methodology Assurance Service" w:value="HSCIC's Indicator &amp; Methodology Assurance Service"/>
                </w:dropDownList>
              </w:sdtPr>
              <w:sdtEndPr/>
              <w:sdtContent>
                <w:r w:rsidR="00211DD9" w:rsidRPr="00C75B05">
                  <w:rPr>
                    <w:rFonts w:ascii="Arial" w:eastAsia="+mn-ea" w:hAnsi="Arial" w:cs="Arial"/>
                    <w:position w:val="1"/>
                    <w:sz w:val="22"/>
                    <w:szCs w:val="22"/>
                  </w:rPr>
                  <w:t>HSCIC's Indicator &amp; Methodology Assurance Service</w:t>
                </w:r>
              </w:sdtContent>
            </w:sdt>
          </w:p>
        </w:tc>
      </w:tr>
      <w:tr w:rsidR="00C75B05" w:rsidRPr="00C75B05" w14:paraId="564B8E58" w14:textId="77777777" w:rsidTr="00211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259F64E7"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lastRenderedPageBreak/>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EEEB2BA"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Initial assurance</w:t>
                </w:r>
              </w:p>
            </w:tc>
          </w:sdtContent>
        </w:sdt>
      </w:tr>
      <w:tr w:rsidR="00C75B05" w:rsidRPr="00C75B05" w14:paraId="28AAB8D6" w14:textId="77777777" w:rsidTr="00C2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uto"/>
          </w:tcPr>
          <w:p w14:paraId="2BA09AB7"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4B5C22AA"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2nd MRG meeting</w:t>
                </w:r>
              </w:p>
            </w:tc>
          </w:sdtContent>
        </w:sdt>
      </w:tr>
    </w:tbl>
    <w:p w14:paraId="3881C4DB" w14:textId="77777777" w:rsidR="00211DD9" w:rsidRPr="00C75B05" w:rsidRDefault="00211DD9" w:rsidP="00211DD9"/>
    <w:p w14:paraId="6569DA9A" w14:textId="77777777" w:rsidR="00211DD9" w:rsidRPr="00C75B05" w:rsidRDefault="00211DD9" w:rsidP="00211DD9">
      <w:pPr>
        <w:rPr>
          <w:rFonts w:eastAsia="+mn-ea"/>
          <w:b/>
          <w:i/>
          <w:position w:val="1"/>
          <w:lang w:eastAsia="en-GB"/>
        </w:rPr>
      </w:pPr>
      <w:r w:rsidRPr="00C75B05">
        <w:rPr>
          <w:rFonts w:eastAsia="+mn-ea"/>
          <w:b/>
          <w:i/>
          <w:position w:val="1"/>
          <w:lang w:eastAsia="en-GB"/>
        </w:rPr>
        <w:t>Suggested Assurance Rating by Methodology Appraisal Body</w:t>
      </w:r>
    </w:p>
    <w:p w14:paraId="28F42601" w14:textId="77777777" w:rsidR="00211DD9" w:rsidRPr="00C75B05" w:rsidRDefault="0074602D" w:rsidP="00211DD9">
      <w:pPr>
        <w:jc w:val="center"/>
        <w:rPr>
          <w:rFonts w:eastAsia="+mn-ea"/>
          <w:b/>
          <w:position w:val="1"/>
          <w:lang w:eastAsia="en-GB"/>
        </w:rPr>
      </w:pPr>
      <w:r>
        <w:rPr>
          <w:rFonts w:eastAsia="+mn-ea"/>
          <w:b/>
          <w:position w:val="1"/>
          <w:lang w:eastAsia="en-GB"/>
        </w:rPr>
        <w:pict w14:anchorId="7B79E156">
          <v:rect id="_x0000_i1026" style="width:503.2pt;height:1.5pt" o:hralign="center" o:hrstd="t" o:hr="t" fillcolor="#a0a0a0" stroked="f"/>
        </w:pict>
      </w:r>
    </w:p>
    <w:tbl>
      <w:tblPr>
        <w:tblStyle w:val="TableGrid"/>
        <w:tblW w:w="0" w:type="auto"/>
        <w:tblLook w:val="04A0" w:firstRow="1" w:lastRow="0" w:firstColumn="1" w:lastColumn="0" w:noHBand="0" w:noVBand="1"/>
      </w:tblPr>
      <w:tblGrid>
        <w:gridCol w:w="3599"/>
        <w:gridCol w:w="2036"/>
        <w:gridCol w:w="3381"/>
      </w:tblGrid>
      <w:tr w:rsidR="00FE4918" w:rsidRPr="00C75B05" w14:paraId="1B435874" w14:textId="77777777" w:rsidTr="00FE4918">
        <w:tc>
          <w:tcPr>
            <w:tcW w:w="3599" w:type="dxa"/>
          </w:tcPr>
          <w:p w14:paraId="33280229" w14:textId="77777777" w:rsidR="00FE4918" w:rsidRPr="00C75B05" w:rsidRDefault="00FE4918" w:rsidP="00FE4918">
            <w:pPr>
              <w:spacing w:before="120"/>
              <w:rPr>
                <w:rFonts w:eastAsia="+mn-ea"/>
                <w:b/>
                <w:position w:val="1"/>
              </w:rPr>
            </w:pPr>
            <w:r w:rsidRPr="00C75B05">
              <w:rPr>
                <w:rFonts w:eastAsia="+mn-ea"/>
                <w:b/>
                <w:position w:val="1"/>
              </w:rPr>
              <w:t>Ratings Against Assessment Criteria</w:t>
            </w:r>
          </w:p>
          <w:p w14:paraId="2C365F0D" w14:textId="77777777" w:rsidR="00FE4918" w:rsidRPr="00C75B05" w:rsidRDefault="00FE4918" w:rsidP="00211DD9">
            <w:pPr>
              <w:spacing w:line="360" w:lineRule="auto"/>
              <w:rPr>
                <w:rFonts w:eastAsia="+mn-ea"/>
                <w:position w:val="1"/>
              </w:rPr>
            </w:pPr>
          </w:p>
        </w:tc>
        <w:tc>
          <w:tcPr>
            <w:tcW w:w="2036" w:type="dxa"/>
          </w:tcPr>
          <w:p w14:paraId="3CE9490B" w14:textId="77777777" w:rsidR="00FE4918" w:rsidRPr="00C75B05" w:rsidRDefault="00FE4918" w:rsidP="00211DD9">
            <w:pPr>
              <w:spacing w:line="360" w:lineRule="auto"/>
              <w:jc w:val="center"/>
              <w:rPr>
                <w:b/>
              </w:rPr>
            </w:pPr>
          </w:p>
        </w:tc>
        <w:tc>
          <w:tcPr>
            <w:tcW w:w="3381" w:type="dxa"/>
          </w:tcPr>
          <w:p w14:paraId="089DB3E9" w14:textId="77777777" w:rsidR="00FE4918" w:rsidRPr="00C75B05" w:rsidRDefault="00FE4918" w:rsidP="00FE4918">
            <w:pPr>
              <w:spacing w:before="120"/>
              <w:jc w:val="center"/>
              <w:rPr>
                <w:rFonts w:eastAsia="+mn-ea"/>
                <w:b/>
                <w:position w:val="1"/>
              </w:rPr>
            </w:pPr>
            <w:r w:rsidRPr="00C75B05">
              <w:rPr>
                <w:rFonts w:eastAsia="+mn-ea"/>
                <w:b/>
                <w:position w:val="1"/>
              </w:rPr>
              <w:t>Overall Rating</w:t>
            </w:r>
          </w:p>
          <w:p w14:paraId="5CA4043C" w14:textId="77777777" w:rsidR="00FE4918" w:rsidRPr="00C75B05" w:rsidRDefault="00FE4918" w:rsidP="00211DD9">
            <w:pPr>
              <w:spacing w:before="100" w:beforeAutospacing="1" w:after="100" w:afterAutospacing="1" w:line="360" w:lineRule="auto"/>
              <w:jc w:val="center"/>
              <w:rPr>
                <w:rFonts w:eastAsia="+mn-ea"/>
                <w:b/>
                <w:position w:val="1"/>
              </w:rPr>
            </w:pPr>
          </w:p>
        </w:tc>
      </w:tr>
      <w:tr w:rsidR="00FE4918" w:rsidRPr="00C75B05" w14:paraId="6F4A9762" w14:textId="77777777" w:rsidTr="00FE4918">
        <w:tc>
          <w:tcPr>
            <w:tcW w:w="3599" w:type="dxa"/>
            <w:hideMark/>
          </w:tcPr>
          <w:p w14:paraId="7463DB0D" w14:textId="77777777" w:rsidR="00FE4918" w:rsidRPr="00C75B05" w:rsidRDefault="00FE4918" w:rsidP="00211DD9">
            <w:pPr>
              <w:spacing w:line="360" w:lineRule="auto"/>
              <w:rPr>
                <w:rFonts w:eastAsia="+mn-ea"/>
                <w:position w:val="1"/>
              </w:rPr>
            </w:pPr>
            <w:r w:rsidRPr="00C75B05">
              <w:rPr>
                <w:rFonts w:eastAsia="+mn-ea"/>
                <w:position w:val="1"/>
              </w:rPr>
              <w:t>Clarity</w:t>
            </w:r>
          </w:p>
        </w:tc>
        <w:tc>
          <w:tcPr>
            <w:tcW w:w="2036" w:type="dxa"/>
            <w:hideMark/>
          </w:tcPr>
          <w:p w14:paraId="35D77D6E" w14:textId="6DB8FEE7" w:rsidR="00FE4918" w:rsidRPr="00C75B05" w:rsidRDefault="00FE4918" w:rsidP="00211DD9">
            <w:pPr>
              <w:spacing w:line="360" w:lineRule="auto"/>
              <w:jc w:val="center"/>
              <w:rPr>
                <w:rFonts w:eastAsia="+mn-ea"/>
                <w:b/>
                <w:position w:val="1"/>
              </w:rPr>
            </w:pPr>
            <w:r w:rsidRPr="00C75B05">
              <w:rPr>
                <w:b/>
              </w:rPr>
              <w:t>Fit for use</w:t>
            </w:r>
          </w:p>
        </w:tc>
        <w:tc>
          <w:tcPr>
            <w:tcW w:w="3381" w:type="dxa"/>
            <w:tcBorders>
              <w:bottom w:val="single" w:sz="4" w:space="0" w:color="FFFFFF"/>
            </w:tcBorders>
          </w:tcPr>
          <w:p w14:paraId="26F3BA9B" w14:textId="7420CE12" w:rsidR="00FE4918" w:rsidRPr="00C75B05" w:rsidRDefault="00FE4918" w:rsidP="00211DD9">
            <w:pPr>
              <w:spacing w:before="100" w:beforeAutospacing="1" w:after="100" w:afterAutospacing="1" w:line="360" w:lineRule="auto"/>
              <w:jc w:val="center"/>
              <w:rPr>
                <w:rFonts w:eastAsia="+mn-ea"/>
                <w:b/>
                <w:position w:val="1"/>
              </w:rPr>
            </w:pPr>
            <w:r w:rsidRPr="00C75B05">
              <w:rPr>
                <w:b/>
              </w:rPr>
              <w:t>Not fit for use</w:t>
            </w:r>
          </w:p>
        </w:tc>
      </w:tr>
      <w:tr w:rsidR="00FE4918" w:rsidRPr="00C75B05" w14:paraId="415FEBEC" w14:textId="77777777" w:rsidTr="00FE4918">
        <w:tc>
          <w:tcPr>
            <w:tcW w:w="3599" w:type="dxa"/>
            <w:hideMark/>
          </w:tcPr>
          <w:p w14:paraId="1B9E8AF5" w14:textId="77777777" w:rsidR="00FE4918" w:rsidRPr="00C75B05" w:rsidRDefault="00FE4918" w:rsidP="00211DD9">
            <w:pPr>
              <w:spacing w:line="360" w:lineRule="auto"/>
              <w:rPr>
                <w:rFonts w:eastAsia="+mn-ea"/>
                <w:position w:val="1"/>
              </w:rPr>
            </w:pPr>
            <w:r w:rsidRPr="00C75B05">
              <w:rPr>
                <w:rFonts w:eastAsia="+mn-ea"/>
                <w:position w:val="1"/>
              </w:rPr>
              <w:t>Rationale</w:t>
            </w:r>
          </w:p>
        </w:tc>
        <w:tc>
          <w:tcPr>
            <w:tcW w:w="2036" w:type="dxa"/>
            <w:hideMark/>
          </w:tcPr>
          <w:p w14:paraId="2C459253" w14:textId="4DD75E38" w:rsidR="00FE4918" w:rsidRPr="00C75B05" w:rsidRDefault="00FE4918" w:rsidP="00211DD9">
            <w:pPr>
              <w:spacing w:line="360" w:lineRule="auto"/>
              <w:jc w:val="center"/>
              <w:rPr>
                <w:rFonts w:eastAsia="+mn-ea"/>
                <w:b/>
                <w:position w:val="1"/>
              </w:rPr>
            </w:pPr>
            <w:r w:rsidRPr="00C75B05">
              <w:rPr>
                <w:b/>
              </w:rPr>
              <w:t>Fit for use</w:t>
            </w:r>
          </w:p>
        </w:tc>
        <w:tc>
          <w:tcPr>
            <w:tcW w:w="0" w:type="auto"/>
            <w:tcBorders>
              <w:top w:val="single" w:sz="4" w:space="0" w:color="FFFFFF"/>
              <w:bottom w:val="single" w:sz="4" w:space="0" w:color="FFFFFF"/>
            </w:tcBorders>
          </w:tcPr>
          <w:p w14:paraId="040B5246" w14:textId="77777777" w:rsidR="00FE4918" w:rsidRPr="00C75B05" w:rsidRDefault="00FE4918" w:rsidP="00211DD9">
            <w:pPr>
              <w:spacing w:line="360" w:lineRule="auto"/>
              <w:rPr>
                <w:rFonts w:eastAsia="+mn-ea"/>
                <w:b/>
                <w:position w:val="1"/>
              </w:rPr>
            </w:pPr>
          </w:p>
        </w:tc>
      </w:tr>
      <w:tr w:rsidR="00FE4918" w:rsidRPr="00C75B05" w14:paraId="00FB3C4F" w14:textId="77777777" w:rsidTr="00FE4918">
        <w:tc>
          <w:tcPr>
            <w:tcW w:w="3599" w:type="dxa"/>
            <w:hideMark/>
          </w:tcPr>
          <w:p w14:paraId="17EA81D2" w14:textId="77777777" w:rsidR="00FE4918" w:rsidRPr="00C75B05" w:rsidRDefault="00FE4918" w:rsidP="00211DD9">
            <w:pPr>
              <w:spacing w:line="360" w:lineRule="auto"/>
              <w:rPr>
                <w:rFonts w:eastAsia="+mn-ea"/>
                <w:position w:val="1"/>
              </w:rPr>
            </w:pPr>
            <w:r w:rsidRPr="00C75B05">
              <w:rPr>
                <w:rFonts w:eastAsia="+mn-ea"/>
                <w:position w:val="1"/>
              </w:rPr>
              <w:t>Data</w:t>
            </w:r>
          </w:p>
        </w:tc>
        <w:tc>
          <w:tcPr>
            <w:tcW w:w="2036" w:type="dxa"/>
            <w:hideMark/>
          </w:tcPr>
          <w:p w14:paraId="1A831AE6" w14:textId="594005E2" w:rsidR="00FE4918" w:rsidRPr="00C75B05" w:rsidRDefault="00FE4918" w:rsidP="00211DD9">
            <w:pPr>
              <w:spacing w:line="360" w:lineRule="auto"/>
              <w:jc w:val="center"/>
              <w:rPr>
                <w:rFonts w:eastAsia="+mn-ea"/>
                <w:b/>
                <w:position w:val="1"/>
              </w:rPr>
            </w:pPr>
            <w:r w:rsidRPr="00C75B05">
              <w:rPr>
                <w:b/>
              </w:rPr>
              <w:t>Fit for use</w:t>
            </w:r>
          </w:p>
        </w:tc>
        <w:tc>
          <w:tcPr>
            <w:tcW w:w="0" w:type="auto"/>
            <w:tcBorders>
              <w:top w:val="single" w:sz="4" w:space="0" w:color="FFFFFF"/>
              <w:bottom w:val="single" w:sz="4" w:space="0" w:color="FFFFFF"/>
            </w:tcBorders>
          </w:tcPr>
          <w:p w14:paraId="32ABB994" w14:textId="77777777" w:rsidR="00FE4918" w:rsidRPr="00C75B05" w:rsidRDefault="00FE4918" w:rsidP="00211DD9">
            <w:pPr>
              <w:spacing w:line="360" w:lineRule="auto"/>
              <w:rPr>
                <w:rFonts w:eastAsia="+mn-ea"/>
                <w:b/>
                <w:position w:val="1"/>
              </w:rPr>
            </w:pPr>
          </w:p>
        </w:tc>
      </w:tr>
      <w:tr w:rsidR="00FE4918" w:rsidRPr="00C75B05" w14:paraId="52E794FA" w14:textId="77777777" w:rsidTr="00FE4918">
        <w:tc>
          <w:tcPr>
            <w:tcW w:w="3599" w:type="dxa"/>
            <w:hideMark/>
          </w:tcPr>
          <w:p w14:paraId="4145587F" w14:textId="77777777" w:rsidR="00FE4918" w:rsidRPr="00C75B05" w:rsidRDefault="00FE4918" w:rsidP="00211DD9">
            <w:pPr>
              <w:spacing w:line="360" w:lineRule="auto"/>
              <w:rPr>
                <w:rFonts w:eastAsia="+mn-ea"/>
                <w:position w:val="1"/>
              </w:rPr>
            </w:pPr>
            <w:r w:rsidRPr="00C75B05">
              <w:rPr>
                <w:rFonts w:eastAsia="+mn-ea"/>
                <w:position w:val="1"/>
              </w:rPr>
              <w:t>Construction</w:t>
            </w:r>
          </w:p>
        </w:tc>
        <w:tc>
          <w:tcPr>
            <w:tcW w:w="2036" w:type="dxa"/>
            <w:hideMark/>
          </w:tcPr>
          <w:p w14:paraId="1C60EA04" w14:textId="75A6386D" w:rsidR="00FE4918" w:rsidRPr="00C75B05" w:rsidRDefault="00FE4918" w:rsidP="00211DD9">
            <w:pPr>
              <w:spacing w:line="360" w:lineRule="auto"/>
              <w:jc w:val="center"/>
              <w:rPr>
                <w:rFonts w:eastAsia="+mn-ea"/>
                <w:b/>
                <w:position w:val="1"/>
              </w:rPr>
            </w:pPr>
            <w:r w:rsidRPr="00C75B05">
              <w:rPr>
                <w:b/>
              </w:rPr>
              <w:t>Not fit for use</w:t>
            </w:r>
          </w:p>
        </w:tc>
        <w:tc>
          <w:tcPr>
            <w:tcW w:w="0" w:type="auto"/>
            <w:tcBorders>
              <w:top w:val="single" w:sz="4" w:space="0" w:color="FFFFFF"/>
              <w:bottom w:val="single" w:sz="4" w:space="0" w:color="FFFFFF"/>
            </w:tcBorders>
          </w:tcPr>
          <w:p w14:paraId="4CFE4D48" w14:textId="77777777" w:rsidR="00FE4918" w:rsidRPr="00C75B05" w:rsidRDefault="00FE4918" w:rsidP="00211DD9">
            <w:pPr>
              <w:spacing w:line="360" w:lineRule="auto"/>
              <w:rPr>
                <w:rFonts w:eastAsia="+mn-ea"/>
                <w:b/>
                <w:position w:val="1"/>
              </w:rPr>
            </w:pPr>
          </w:p>
        </w:tc>
      </w:tr>
      <w:tr w:rsidR="00FE4918" w:rsidRPr="00C75B05" w14:paraId="41BC0F79" w14:textId="77777777" w:rsidTr="00FE4918">
        <w:tc>
          <w:tcPr>
            <w:tcW w:w="3599" w:type="dxa"/>
            <w:hideMark/>
          </w:tcPr>
          <w:p w14:paraId="194B2226" w14:textId="77777777" w:rsidR="00FE4918" w:rsidRPr="00C75B05" w:rsidRDefault="00FE4918" w:rsidP="00211DD9">
            <w:pPr>
              <w:spacing w:line="360" w:lineRule="auto"/>
              <w:rPr>
                <w:rFonts w:eastAsia="+mn-ea"/>
                <w:position w:val="1"/>
              </w:rPr>
            </w:pPr>
            <w:r w:rsidRPr="00C75B05">
              <w:rPr>
                <w:rFonts w:eastAsia="+mn-ea"/>
                <w:position w:val="1"/>
              </w:rPr>
              <w:t>Presentation and Interpretation</w:t>
            </w:r>
          </w:p>
        </w:tc>
        <w:tc>
          <w:tcPr>
            <w:tcW w:w="2036" w:type="dxa"/>
            <w:hideMark/>
          </w:tcPr>
          <w:p w14:paraId="7269D1C9" w14:textId="77C76AFB" w:rsidR="00FE4918" w:rsidRPr="00C75B05" w:rsidRDefault="00FE4918" w:rsidP="00211DD9">
            <w:pPr>
              <w:spacing w:line="360" w:lineRule="auto"/>
              <w:jc w:val="center"/>
              <w:rPr>
                <w:rFonts w:eastAsia="+mn-ea"/>
                <w:b/>
                <w:position w:val="1"/>
              </w:rPr>
            </w:pPr>
            <w:r w:rsidRPr="00C75B05">
              <w:rPr>
                <w:b/>
              </w:rPr>
              <w:t>Fit for use with caveats</w:t>
            </w:r>
          </w:p>
        </w:tc>
        <w:tc>
          <w:tcPr>
            <w:tcW w:w="3381" w:type="dxa"/>
            <w:tcBorders>
              <w:top w:val="single" w:sz="4" w:space="0" w:color="FFFFFF"/>
              <w:bottom w:val="single" w:sz="4" w:space="0" w:color="FFFFFF"/>
            </w:tcBorders>
          </w:tcPr>
          <w:p w14:paraId="60A1FEE2" w14:textId="336FD606" w:rsidR="00FE4918" w:rsidRPr="00C75B05" w:rsidRDefault="00FE4918" w:rsidP="00211DD9">
            <w:pPr>
              <w:spacing w:line="360" w:lineRule="auto"/>
              <w:jc w:val="center"/>
              <w:rPr>
                <w:rFonts w:eastAsia="+mn-ea"/>
                <w:b/>
                <w:position w:val="1"/>
              </w:rPr>
            </w:pPr>
          </w:p>
        </w:tc>
      </w:tr>
      <w:tr w:rsidR="00FE4918" w:rsidRPr="00C75B05" w14:paraId="4B9F73CC" w14:textId="77777777" w:rsidTr="00FE4918">
        <w:tc>
          <w:tcPr>
            <w:tcW w:w="3599" w:type="dxa"/>
            <w:hideMark/>
          </w:tcPr>
          <w:p w14:paraId="66AA79F5" w14:textId="77777777" w:rsidR="00FE4918" w:rsidRPr="00C75B05" w:rsidRDefault="00FE4918" w:rsidP="00211DD9">
            <w:pPr>
              <w:spacing w:line="360" w:lineRule="auto"/>
              <w:rPr>
                <w:rFonts w:eastAsia="+mn-ea"/>
                <w:position w:val="1"/>
              </w:rPr>
            </w:pPr>
            <w:r w:rsidRPr="00C75B05">
              <w:rPr>
                <w:rFonts w:eastAsia="+mn-ea"/>
                <w:position w:val="1"/>
              </w:rPr>
              <w:t>Risks and Usefulness</w:t>
            </w:r>
          </w:p>
        </w:tc>
        <w:tc>
          <w:tcPr>
            <w:tcW w:w="2036" w:type="dxa"/>
            <w:hideMark/>
          </w:tcPr>
          <w:p w14:paraId="3515A683" w14:textId="47143B99" w:rsidR="00FE4918" w:rsidRPr="00C75B05" w:rsidRDefault="00FE4918" w:rsidP="00211DD9">
            <w:pPr>
              <w:spacing w:line="360" w:lineRule="auto"/>
              <w:jc w:val="center"/>
              <w:rPr>
                <w:rFonts w:eastAsia="+mn-ea"/>
                <w:b/>
                <w:position w:val="1"/>
              </w:rPr>
            </w:pPr>
            <w:r w:rsidRPr="00C75B05">
              <w:rPr>
                <w:b/>
              </w:rPr>
              <w:t>Fit for use</w:t>
            </w:r>
          </w:p>
        </w:tc>
        <w:tc>
          <w:tcPr>
            <w:tcW w:w="0" w:type="auto"/>
            <w:tcBorders>
              <w:top w:val="single" w:sz="4" w:space="0" w:color="FFFFFF"/>
            </w:tcBorders>
          </w:tcPr>
          <w:p w14:paraId="1AA1C8C2" w14:textId="77777777" w:rsidR="00FE4918" w:rsidRPr="00C75B05" w:rsidRDefault="00FE4918" w:rsidP="00211DD9">
            <w:pPr>
              <w:spacing w:line="360" w:lineRule="auto"/>
              <w:rPr>
                <w:rFonts w:eastAsia="+mn-ea"/>
                <w:b/>
                <w:position w:val="1"/>
              </w:rPr>
            </w:pPr>
          </w:p>
        </w:tc>
      </w:tr>
    </w:tbl>
    <w:p w14:paraId="3F2A313A" w14:textId="77777777" w:rsidR="00211DD9" w:rsidRPr="00C75B05" w:rsidRDefault="00211DD9" w:rsidP="00211DD9">
      <w:pPr>
        <w:spacing w:before="240"/>
        <w:rPr>
          <w:rFonts w:eastAsia="+mn-ea"/>
          <w:b/>
          <w:position w:val="1"/>
        </w:rPr>
      </w:pPr>
      <w:r w:rsidRPr="00C75B05">
        <w:rPr>
          <w:rFonts w:eastAsia="+mn-ea"/>
          <w:b/>
          <w:position w:val="1"/>
        </w:rPr>
        <w:t>Summary Recommendation to Applicant:</w:t>
      </w:r>
    </w:p>
    <w:sdt>
      <w:sdtPr>
        <w:rPr>
          <w:lang w:val="en"/>
        </w:rPr>
        <w:id w:val="692660743"/>
        <w:text w:multiLine="1"/>
      </w:sdtPr>
      <w:sdtEndPr/>
      <w:sdtContent>
        <w:p w14:paraId="50AF48EC" w14:textId="1FF9C7A7" w:rsidR="00211DD9" w:rsidRPr="00C75B05" w:rsidRDefault="00211DD9" w:rsidP="00211DD9">
          <w:pPr>
            <w:spacing w:before="240"/>
            <w:rPr>
              <w:rFonts w:eastAsia="+mn-ea"/>
              <w:position w:val="1"/>
            </w:rPr>
          </w:pPr>
          <w:r w:rsidRPr="00C75B05">
            <w:rPr>
              <w:lang w:val="en"/>
            </w:rPr>
            <w:t xml:space="preserve">MRG would like to thank the applicants for submitting a good quality application to the group for consideration. </w:t>
          </w:r>
          <w:r w:rsidRPr="00C75B05">
            <w:rPr>
              <w:lang w:val="en"/>
            </w:rPr>
            <w:br/>
            <w:t xml:space="preserve">MRG recognize that work is already planned in relation to the use of confidence intervals for the whole of the CCGIAF indicators. However, despite the strength of the rest of the application, additional work on confidence intervals is required for the construction of this indicator to meet the indicator purpose to compare variation across CCGs. This is required before the group can recommend the indicator to the Indicator Governance Board (IGB) for final assurance. Additional background should also be added to the paperwork on the use of the 85% operational standard set by the Department of Health in 2009 and presentation of data on MyNHS. </w:t>
          </w:r>
          <w:r w:rsidRPr="00C75B05">
            <w:rPr>
              <w:lang w:val="en"/>
            </w:rPr>
            <w:br/>
          </w:r>
          <w:r w:rsidRPr="00C75B05">
            <w:rPr>
              <w:lang w:val="en"/>
            </w:rPr>
            <w:br/>
            <w:t xml:space="preserve">MRG have therefore given the indicator a rating of “Not fit for use” as they are not currently able to endorse its inclusion into the Library of Quality Assured Indicators. On the basis that updates are made to the paperwork the group would be pleased to update the assessment to “Fit for Use” and recommend the indicator to IGB. </w:t>
          </w:r>
          <w:r w:rsidRPr="00C75B05">
            <w:rPr>
              <w:lang w:val="en"/>
            </w:rPr>
            <w:br/>
          </w:r>
          <w:r w:rsidRPr="00C75B05">
            <w:rPr>
              <w:lang w:val="en"/>
            </w:rPr>
            <w:br/>
            <w:t xml:space="preserve">MRG does not approve an application </w:t>
          </w:r>
          <w:r w:rsidR="009C1CA5" w:rsidRPr="00C75B05">
            <w:rPr>
              <w:lang w:val="en"/>
            </w:rPr>
            <w:t>directly but</w:t>
          </w:r>
          <w:r w:rsidRPr="00C75B05">
            <w:rPr>
              <w:lang w:val="en"/>
            </w:rPr>
            <w:t xml:space="preserve"> provides advice to the Indicator Governance Board to enable it to reach a view around approval. MRG will not therefore prevent the application progressing to IGB if the applicant wishes to submit the indicator without further amendment. The applicant may therefore wish to approach the Indicator Methodology Assurance Service at NHS Digital if it wishes to pursue this option.</w:t>
          </w:r>
        </w:p>
      </w:sdtContent>
    </w:sdt>
    <w:p w14:paraId="6F8D712E" w14:textId="77777777" w:rsidR="00211DD9" w:rsidRPr="00C75B05" w:rsidRDefault="00211DD9" w:rsidP="00211DD9">
      <w:pPr>
        <w:spacing w:before="240"/>
        <w:rPr>
          <w:rFonts w:eastAsia="+mn-ea"/>
          <w:b/>
          <w:position w:val="1"/>
        </w:rPr>
      </w:pPr>
      <w:r w:rsidRPr="00C75B05">
        <w:rPr>
          <w:rFonts w:eastAsia="+mn-ea"/>
          <w:b/>
          <w:position w:val="1"/>
        </w:rPr>
        <w:t>Summary Recommendation to IGB:</w:t>
      </w:r>
    </w:p>
    <w:sdt>
      <w:sdtPr>
        <w:rPr>
          <w:lang w:eastAsia="en-GB"/>
        </w:rPr>
        <w:alias w:val="Summary Recommendation to IGB"/>
        <w:tag w:val="Summary Recommendation to IGB"/>
        <w:id w:val="2031983090"/>
        <w:text w:multiLine="1"/>
      </w:sdtPr>
      <w:sdtEndPr/>
      <w:sdtContent>
        <w:p w14:paraId="203BDDAF" w14:textId="740DDE93" w:rsidR="00211DD9" w:rsidRPr="00C75B05" w:rsidRDefault="00211DD9" w:rsidP="00211DD9">
          <w:pPr>
            <w:spacing w:before="240"/>
            <w:rPr>
              <w:lang w:eastAsia="en-GB"/>
            </w:rPr>
          </w:pPr>
          <w:r w:rsidRPr="00C75B05">
            <w:rPr>
              <w:lang w:eastAsia="en-GB"/>
            </w:rPr>
            <w:t>The indicator is not currently being escalated to IGB.</w:t>
          </w:r>
          <w:r w:rsidR="009C1CA5" w:rsidRPr="00C75B05">
            <w:rPr>
              <w:lang w:eastAsia="en-GB"/>
            </w:rPr>
            <w:br/>
          </w:r>
        </w:p>
      </w:sdtContent>
    </w:sdt>
    <w:p w14:paraId="33B452AC" w14:textId="53209075" w:rsidR="00211DD9" w:rsidRPr="00C75B05" w:rsidRDefault="00211DD9" w:rsidP="00211DD9">
      <w:pPr>
        <w:rPr>
          <w:b/>
        </w:rPr>
      </w:pPr>
      <w:r w:rsidRPr="00C75B05">
        <w:rPr>
          <w:b/>
        </w:rPr>
        <w:t>Please find a detailed description of recommendations and actions in the appraisal log at the end of the document.</w:t>
      </w:r>
    </w:p>
    <w:p w14:paraId="0A4E2C80" w14:textId="77777777" w:rsidR="009C1CA5" w:rsidRPr="00C75B05" w:rsidRDefault="009C1CA5" w:rsidP="00211DD9">
      <w:pPr>
        <w:rPr>
          <w:b/>
          <w:spacing w:val="5"/>
          <w:kern w:val="28"/>
        </w:rPr>
      </w:pPr>
    </w:p>
    <w:p w14:paraId="27D470FE" w14:textId="77777777" w:rsidR="00211DD9" w:rsidRPr="00C75B05" w:rsidRDefault="00211DD9" w:rsidP="00211DD9">
      <w:pPr>
        <w:pStyle w:val="NormalWeb"/>
        <w:tabs>
          <w:tab w:val="right" w:pos="10064"/>
        </w:tabs>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lastRenderedPageBreak/>
        <w:t xml:space="preserve">Details of Methodology Appraisal – </w:t>
      </w:r>
      <w:sdt>
        <w:sdtPr>
          <w:rPr>
            <w:rFonts w:ascii="Arial" w:eastAsia="+mn-ea" w:hAnsi="Arial" w:cs="Arial"/>
            <w:b/>
            <w:position w:val="1"/>
            <w:sz w:val="22"/>
            <w:szCs w:val="22"/>
          </w:rPr>
          <w:id w:val="-913928698"/>
          <w:date w:fullDate="2016-12-08T00:00:00Z">
            <w:dateFormat w:val="dd/MM/yyyy"/>
            <w:lid w:val="en-GB"/>
            <w:storeMappedDataAs w:val="dateTime"/>
            <w:calendar w:val="gregorian"/>
          </w:date>
        </w:sdtPr>
        <w:sdtEndPr/>
        <w:sdtContent>
          <w:r w:rsidRPr="00C75B05">
            <w:rPr>
              <w:rFonts w:ascii="Arial" w:eastAsia="+mn-ea" w:hAnsi="Arial" w:cs="Arial"/>
              <w:b/>
              <w:position w:val="1"/>
              <w:sz w:val="22"/>
              <w:szCs w:val="22"/>
            </w:rPr>
            <w:t>08/12/2016</w:t>
          </w:r>
        </w:sdtContent>
      </w:sdt>
      <w:r w:rsidRPr="00C75B05">
        <w:rPr>
          <w:rFonts w:ascii="Arial" w:eastAsia="+mn-ea" w:hAnsi="Arial" w:cs="Arial"/>
          <w:b/>
          <w:position w:val="1"/>
          <w:sz w:val="22"/>
          <w:szCs w:val="22"/>
        </w:rPr>
        <w:tab/>
      </w:r>
    </w:p>
    <w:p w14:paraId="1BFF9851"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C75B05" w:rsidRPr="00C75B05" w14:paraId="2551614D" w14:textId="77777777" w:rsidTr="00211DD9">
        <w:tc>
          <w:tcPr>
            <w:tcW w:w="3369" w:type="dxa"/>
            <w:shd w:val="clear" w:color="auto" w:fill="DBE5F1" w:themeFill="accent1" w:themeFillTint="33"/>
          </w:tcPr>
          <w:p w14:paraId="37831F50" w14:textId="77777777" w:rsidR="00211DD9" w:rsidRPr="00C75B05" w:rsidRDefault="00211DD9" w:rsidP="00211DD9">
            <w:pPr>
              <w:pStyle w:val="NormalWeb"/>
              <w:spacing w:beforeLines="60" w:before="144" w:beforeAutospacing="0" w:afterLines="60" w:after="144" w:afterAutospacing="0"/>
              <w:rPr>
                <w:rFonts w:ascii="Arial" w:eastAsia="+mn-ea" w:hAnsi="Arial" w:cs="Arial"/>
                <w:b/>
                <w:position w:val="1"/>
                <w:sz w:val="22"/>
                <w:szCs w:val="22"/>
              </w:rPr>
            </w:pPr>
            <w:r w:rsidRPr="00C75B05">
              <w:rPr>
                <w:rFonts w:ascii="Arial" w:eastAsia="+mn-ea" w:hAnsi="Arial" w:cs="Arial"/>
                <w:b/>
                <w:position w:val="1"/>
                <w:sz w:val="22"/>
                <w:szCs w:val="22"/>
              </w:rPr>
              <w:t>Methodology appraisal body</w:t>
            </w:r>
          </w:p>
        </w:tc>
        <w:tc>
          <w:tcPr>
            <w:tcW w:w="6945" w:type="dxa"/>
          </w:tcPr>
          <w:p w14:paraId="3C550945" w14:textId="77777777" w:rsidR="00211DD9" w:rsidRPr="00C75B05" w:rsidRDefault="0074602D" w:rsidP="00211DD9">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96148894"/>
                <w:dropDownList>
                  <w:listItem w:value="Choose an item."/>
                  <w:listItem w:displayText="HSCIC's Indicator &amp; Methodology Assurance Service" w:value="HSCIC's Indicator &amp; Methodology Assurance Service"/>
                </w:dropDownList>
              </w:sdtPr>
              <w:sdtEndPr/>
              <w:sdtContent>
                <w:r w:rsidR="00211DD9" w:rsidRPr="00C75B05">
                  <w:rPr>
                    <w:rFonts w:ascii="Arial" w:eastAsia="+mn-ea" w:hAnsi="Arial" w:cs="Arial"/>
                    <w:position w:val="1"/>
                    <w:sz w:val="22"/>
                    <w:szCs w:val="22"/>
                  </w:rPr>
                  <w:t>HSCIC's Indicator &amp; Methodology Assurance Service</w:t>
                </w:r>
              </w:sdtContent>
            </w:sdt>
          </w:p>
        </w:tc>
      </w:tr>
      <w:tr w:rsidR="00C75B05" w:rsidRPr="00C75B05" w14:paraId="381FA15F" w14:textId="77777777" w:rsidTr="00211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3E0E9A85"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7281496"/>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14AA819"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Initial assurance</w:t>
                </w:r>
              </w:p>
            </w:tc>
          </w:sdtContent>
        </w:sdt>
      </w:tr>
      <w:tr w:rsidR="00C75B05" w:rsidRPr="00C75B05" w14:paraId="6AD1A16C" w14:textId="77777777" w:rsidTr="00211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307E8EA2"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b/>
                <w:position w:val="1"/>
                <w:sz w:val="22"/>
                <w:szCs w:val="22"/>
              </w:rPr>
              <w:t>Iteration</w:t>
            </w:r>
          </w:p>
        </w:tc>
        <w:sdt>
          <w:sdtPr>
            <w:rPr>
              <w:rFonts w:ascii="Arial" w:eastAsia="+mn-ea" w:hAnsi="Arial" w:cs="Arial"/>
              <w:position w:val="1"/>
              <w:sz w:val="22"/>
              <w:szCs w:val="22"/>
            </w:rPr>
            <w:id w:val="148065202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02329D85" w14:textId="77777777" w:rsidR="00211DD9" w:rsidRPr="00C75B05" w:rsidRDefault="00211DD9" w:rsidP="00211DD9">
                <w:pPr>
                  <w:pStyle w:val="NormalWeb"/>
                  <w:spacing w:beforeLines="60" w:before="144" w:beforeAutospacing="0" w:afterLines="60" w:after="144" w:afterAutospacing="0"/>
                  <w:rPr>
                    <w:rFonts w:ascii="Arial" w:eastAsia="+mn-ea" w:hAnsi="Arial" w:cs="Arial"/>
                    <w:position w:val="1"/>
                    <w:sz w:val="22"/>
                    <w:szCs w:val="22"/>
                  </w:rPr>
                </w:pPr>
                <w:r w:rsidRPr="00C75B05">
                  <w:rPr>
                    <w:rFonts w:ascii="Arial" w:eastAsia="+mn-ea" w:hAnsi="Arial" w:cs="Arial"/>
                    <w:position w:val="1"/>
                    <w:sz w:val="22"/>
                    <w:szCs w:val="22"/>
                  </w:rPr>
                  <w:t>1st MRG meeting</w:t>
                </w:r>
              </w:p>
            </w:tc>
          </w:sdtContent>
        </w:sdt>
      </w:tr>
    </w:tbl>
    <w:p w14:paraId="072AAF97" w14:textId="77777777" w:rsidR="00211DD9" w:rsidRPr="00C75B05" w:rsidRDefault="00211DD9" w:rsidP="00211DD9"/>
    <w:p w14:paraId="0B9EE7EF" w14:textId="77777777" w:rsidR="00211DD9" w:rsidRPr="00C75B05" w:rsidRDefault="00211DD9" w:rsidP="00211DD9">
      <w:pPr>
        <w:rPr>
          <w:rFonts w:eastAsia="+mn-ea"/>
          <w:b/>
          <w:i/>
          <w:position w:val="1"/>
          <w:lang w:eastAsia="en-GB"/>
        </w:rPr>
      </w:pPr>
      <w:r w:rsidRPr="00C75B05">
        <w:rPr>
          <w:rFonts w:eastAsia="+mn-ea"/>
          <w:b/>
          <w:i/>
          <w:position w:val="1"/>
          <w:lang w:eastAsia="en-GB"/>
        </w:rPr>
        <w:t>Suggested Assurance Rating by Methodology Appraisal Body</w:t>
      </w:r>
    </w:p>
    <w:p w14:paraId="6A347884" w14:textId="77777777" w:rsidR="00211DD9" w:rsidRPr="00C75B05" w:rsidRDefault="0074602D" w:rsidP="00211DD9">
      <w:pPr>
        <w:jc w:val="center"/>
        <w:rPr>
          <w:rFonts w:eastAsia="+mn-ea"/>
          <w:b/>
          <w:position w:val="1"/>
          <w:lang w:eastAsia="en-GB"/>
        </w:rPr>
      </w:pPr>
      <w:r>
        <w:rPr>
          <w:rFonts w:eastAsia="+mn-ea"/>
          <w:b/>
          <w:position w:val="1"/>
          <w:lang w:eastAsia="en-GB"/>
        </w:rPr>
        <w:pict w14:anchorId="3E75CFD5">
          <v:rect id="_x0000_i1027" style="width:503.2pt;height:1.5pt" o:hralign="center" o:hrstd="t" o:hr="t" fillcolor="#a0a0a0" stroked="f"/>
        </w:pict>
      </w:r>
    </w:p>
    <w:tbl>
      <w:tblPr>
        <w:tblStyle w:val="TableGrid"/>
        <w:tblW w:w="0" w:type="auto"/>
        <w:tblLook w:val="04A0" w:firstRow="1" w:lastRow="0" w:firstColumn="1" w:lastColumn="0" w:noHBand="0" w:noVBand="1"/>
      </w:tblPr>
      <w:tblGrid>
        <w:gridCol w:w="3618"/>
        <w:gridCol w:w="1913"/>
        <w:gridCol w:w="3485"/>
      </w:tblGrid>
      <w:tr w:rsidR="00FE4918" w:rsidRPr="00C75B05" w14:paraId="112AE70E" w14:textId="77777777" w:rsidTr="00FE4918">
        <w:tc>
          <w:tcPr>
            <w:tcW w:w="3618" w:type="dxa"/>
          </w:tcPr>
          <w:p w14:paraId="3E23CAEB" w14:textId="77777777" w:rsidR="00FE4918" w:rsidRPr="00C75B05" w:rsidRDefault="00FE4918" w:rsidP="00FE4918">
            <w:pPr>
              <w:spacing w:before="120"/>
              <w:rPr>
                <w:rFonts w:eastAsia="+mn-ea"/>
                <w:b/>
                <w:position w:val="1"/>
              </w:rPr>
            </w:pPr>
            <w:r w:rsidRPr="00C75B05">
              <w:rPr>
                <w:rFonts w:eastAsia="+mn-ea"/>
                <w:b/>
                <w:position w:val="1"/>
              </w:rPr>
              <w:t>Ratings Against Assessment Criteria</w:t>
            </w:r>
          </w:p>
          <w:p w14:paraId="62921CCA" w14:textId="77777777" w:rsidR="00FE4918" w:rsidRPr="00C75B05" w:rsidRDefault="00FE4918" w:rsidP="00211DD9">
            <w:pPr>
              <w:spacing w:line="360" w:lineRule="auto"/>
              <w:rPr>
                <w:rFonts w:eastAsia="+mn-ea"/>
                <w:position w:val="1"/>
              </w:rPr>
            </w:pPr>
          </w:p>
        </w:tc>
        <w:tc>
          <w:tcPr>
            <w:tcW w:w="1913" w:type="dxa"/>
          </w:tcPr>
          <w:p w14:paraId="1A676B25" w14:textId="77777777" w:rsidR="00FE4918" w:rsidRPr="00C75B05" w:rsidRDefault="00FE4918" w:rsidP="00211DD9">
            <w:pPr>
              <w:spacing w:line="360" w:lineRule="auto"/>
              <w:jc w:val="center"/>
              <w:rPr>
                <w:rFonts w:eastAsia="+mn-ea"/>
                <w:b/>
                <w:position w:val="1"/>
              </w:rPr>
            </w:pPr>
          </w:p>
        </w:tc>
        <w:tc>
          <w:tcPr>
            <w:tcW w:w="3485" w:type="dxa"/>
          </w:tcPr>
          <w:p w14:paraId="0A35B154" w14:textId="77777777" w:rsidR="00FE4918" w:rsidRPr="00C75B05" w:rsidRDefault="00FE4918" w:rsidP="00FE4918">
            <w:pPr>
              <w:spacing w:before="120"/>
              <w:jc w:val="center"/>
              <w:rPr>
                <w:rFonts w:eastAsia="+mn-ea"/>
                <w:b/>
                <w:position w:val="1"/>
              </w:rPr>
            </w:pPr>
            <w:r w:rsidRPr="00C75B05">
              <w:rPr>
                <w:rFonts w:eastAsia="+mn-ea"/>
                <w:b/>
                <w:position w:val="1"/>
              </w:rPr>
              <w:t>Overall Rating</w:t>
            </w:r>
          </w:p>
          <w:p w14:paraId="0C86244A" w14:textId="77777777" w:rsidR="00FE4918" w:rsidRPr="00C75B05" w:rsidRDefault="00FE4918" w:rsidP="00FE4918">
            <w:pPr>
              <w:spacing w:before="100" w:beforeAutospacing="1" w:after="100" w:afterAutospacing="1" w:line="360" w:lineRule="auto"/>
              <w:rPr>
                <w:b/>
              </w:rPr>
            </w:pPr>
          </w:p>
        </w:tc>
      </w:tr>
      <w:tr w:rsidR="00C75B05" w:rsidRPr="00C75B05" w14:paraId="716B4F6D" w14:textId="77777777" w:rsidTr="00FE4918">
        <w:tc>
          <w:tcPr>
            <w:tcW w:w="3618" w:type="dxa"/>
            <w:hideMark/>
          </w:tcPr>
          <w:p w14:paraId="36F5FC5A" w14:textId="77777777" w:rsidR="00211DD9" w:rsidRPr="00C75B05" w:rsidRDefault="00211DD9" w:rsidP="00211DD9">
            <w:pPr>
              <w:spacing w:line="360" w:lineRule="auto"/>
              <w:rPr>
                <w:rFonts w:eastAsia="+mn-ea"/>
                <w:position w:val="1"/>
              </w:rPr>
            </w:pPr>
            <w:r w:rsidRPr="00C75B05">
              <w:rPr>
                <w:rFonts w:eastAsia="+mn-ea"/>
                <w:position w:val="1"/>
              </w:rPr>
              <w:t>Clarity</w:t>
            </w:r>
          </w:p>
        </w:tc>
        <w:tc>
          <w:tcPr>
            <w:tcW w:w="1913" w:type="dxa"/>
            <w:hideMark/>
          </w:tcPr>
          <w:p w14:paraId="15DEE6A9" w14:textId="77777777" w:rsidR="00211DD9" w:rsidRPr="00C75B05" w:rsidRDefault="00211DD9" w:rsidP="00211DD9">
            <w:pPr>
              <w:spacing w:line="360" w:lineRule="auto"/>
              <w:jc w:val="center"/>
              <w:rPr>
                <w:rFonts w:eastAsia="+mn-ea"/>
                <w:b/>
                <w:position w:val="1"/>
              </w:rPr>
            </w:pPr>
            <w:r w:rsidRPr="00C75B05">
              <w:rPr>
                <w:rFonts w:eastAsia="+mn-ea"/>
                <w:b/>
                <w:position w:val="1"/>
              </w:rPr>
              <w:t>-</w:t>
            </w:r>
          </w:p>
        </w:tc>
        <w:tc>
          <w:tcPr>
            <w:tcW w:w="3485" w:type="dxa"/>
            <w:tcBorders>
              <w:bottom w:val="single" w:sz="4" w:space="0" w:color="FFFFFF"/>
            </w:tcBorders>
            <w:hideMark/>
          </w:tcPr>
          <w:p w14:paraId="23438C55" w14:textId="317B6851" w:rsidR="00211DD9" w:rsidRPr="00C75B05" w:rsidRDefault="00FE4918" w:rsidP="00FE4918">
            <w:pPr>
              <w:spacing w:before="100" w:beforeAutospacing="1" w:after="100" w:afterAutospacing="1" w:line="360" w:lineRule="auto"/>
              <w:rPr>
                <w:rFonts w:eastAsia="+mn-ea"/>
                <w:b/>
                <w:position w:val="1"/>
              </w:rPr>
            </w:pPr>
            <w:r w:rsidRPr="00C75B05">
              <w:rPr>
                <w:b/>
              </w:rPr>
              <w:t>Not enough information provided</w:t>
            </w:r>
          </w:p>
        </w:tc>
      </w:tr>
      <w:tr w:rsidR="00C75B05" w:rsidRPr="00C75B05" w14:paraId="238F2A04" w14:textId="77777777" w:rsidTr="00FE4918">
        <w:tc>
          <w:tcPr>
            <w:tcW w:w="3618" w:type="dxa"/>
            <w:hideMark/>
          </w:tcPr>
          <w:p w14:paraId="3CD2EB6E" w14:textId="77777777" w:rsidR="00211DD9" w:rsidRPr="00C75B05" w:rsidRDefault="00211DD9" w:rsidP="00211DD9">
            <w:pPr>
              <w:spacing w:line="360" w:lineRule="auto"/>
              <w:rPr>
                <w:rFonts w:eastAsia="+mn-ea"/>
                <w:position w:val="1"/>
              </w:rPr>
            </w:pPr>
            <w:r w:rsidRPr="00C75B05">
              <w:rPr>
                <w:rFonts w:eastAsia="+mn-ea"/>
                <w:position w:val="1"/>
              </w:rPr>
              <w:t>Rationale</w:t>
            </w:r>
          </w:p>
        </w:tc>
        <w:tc>
          <w:tcPr>
            <w:tcW w:w="1913" w:type="dxa"/>
            <w:hideMark/>
          </w:tcPr>
          <w:p w14:paraId="029EA4EB" w14:textId="77777777" w:rsidR="00211DD9" w:rsidRPr="00C75B05" w:rsidRDefault="00211DD9" w:rsidP="00211DD9">
            <w:pPr>
              <w:spacing w:line="360" w:lineRule="auto"/>
              <w:jc w:val="center"/>
              <w:rPr>
                <w:rFonts w:eastAsia="+mn-ea"/>
                <w:b/>
                <w:position w:val="1"/>
              </w:rPr>
            </w:pPr>
            <w:r w:rsidRPr="00C75B05">
              <w:rPr>
                <w:rFonts w:eastAsia="+mn-ea"/>
                <w:b/>
                <w:position w:val="1"/>
              </w:rPr>
              <w:t>-</w:t>
            </w:r>
          </w:p>
        </w:tc>
        <w:tc>
          <w:tcPr>
            <w:tcW w:w="0" w:type="auto"/>
            <w:tcBorders>
              <w:top w:val="single" w:sz="4" w:space="0" w:color="FFFFFF"/>
              <w:bottom w:val="single" w:sz="4" w:space="0" w:color="FFFFFF"/>
            </w:tcBorders>
            <w:hideMark/>
          </w:tcPr>
          <w:p w14:paraId="1B298990" w14:textId="77777777" w:rsidR="00211DD9" w:rsidRPr="00C75B05" w:rsidRDefault="00211DD9" w:rsidP="00211DD9">
            <w:pPr>
              <w:spacing w:line="360" w:lineRule="auto"/>
              <w:rPr>
                <w:rFonts w:eastAsia="+mn-ea"/>
                <w:b/>
                <w:position w:val="1"/>
              </w:rPr>
            </w:pPr>
          </w:p>
        </w:tc>
      </w:tr>
      <w:tr w:rsidR="00C75B05" w:rsidRPr="00C75B05" w14:paraId="320F4DC5" w14:textId="77777777" w:rsidTr="00FE4918">
        <w:tc>
          <w:tcPr>
            <w:tcW w:w="3618" w:type="dxa"/>
            <w:hideMark/>
          </w:tcPr>
          <w:p w14:paraId="464B979F" w14:textId="77777777" w:rsidR="00211DD9" w:rsidRPr="00C75B05" w:rsidRDefault="00211DD9" w:rsidP="00211DD9">
            <w:pPr>
              <w:spacing w:line="360" w:lineRule="auto"/>
              <w:rPr>
                <w:rFonts w:eastAsia="+mn-ea"/>
                <w:position w:val="1"/>
              </w:rPr>
            </w:pPr>
            <w:r w:rsidRPr="00C75B05">
              <w:rPr>
                <w:rFonts w:eastAsia="+mn-ea"/>
                <w:position w:val="1"/>
              </w:rPr>
              <w:t>Data</w:t>
            </w:r>
          </w:p>
        </w:tc>
        <w:tc>
          <w:tcPr>
            <w:tcW w:w="1913" w:type="dxa"/>
            <w:hideMark/>
          </w:tcPr>
          <w:p w14:paraId="5D048321" w14:textId="77777777" w:rsidR="00211DD9" w:rsidRPr="00C75B05" w:rsidRDefault="00211DD9" w:rsidP="00211DD9">
            <w:pPr>
              <w:spacing w:line="360" w:lineRule="auto"/>
              <w:jc w:val="center"/>
              <w:rPr>
                <w:rFonts w:eastAsia="+mn-ea"/>
                <w:b/>
                <w:position w:val="1"/>
              </w:rPr>
            </w:pPr>
            <w:r w:rsidRPr="00C75B05">
              <w:rPr>
                <w:rFonts w:eastAsia="+mn-ea"/>
                <w:b/>
                <w:position w:val="1"/>
              </w:rPr>
              <w:t>-</w:t>
            </w:r>
          </w:p>
        </w:tc>
        <w:tc>
          <w:tcPr>
            <w:tcW w:w="0" w:type="auto"/>
            <w:tcBorders>
              <w:top w:val="single" w:sz="4" w:space="0" w:color="FFFFFF"/>
              <w:bottom w:val="single" w:sz="4" w:space="0" w:color="FFFFFF"/>
            </w:tcBorders>
            <w:hideMark/>
          </w:tcPr>
          <w:p w14:paraId="11277710" w14:textId="77777777" w:rsidR="00211DD9" w:rsidRPr="00C75B05" w:rsidRDefault="00211DD9" w:rsidP="00211DD9">
            <w:pPr>
              <w:spacing w:line="360" w:lineRule="auto"/>
              <w:rPr>
                <w:rFonts w:eastAsia="+mn-ea"/>
                <w:b/>
                <w:position w:val="1"/>
              </w:rPr>
            </w:pPr>
          </w:p>
        </w:tc>
      </w:tr>
      <w:tr w:rsidR="00C75B05" w:rsidRPr="00C75B05" w14:paraId="0758B403" w14:textId="77777777" w:rsidTr="00FE4918">
        <w:tc>
          <w:tcPr>
            <w:tcW w:w="3618" w:type="dxa"/>
            <w:hideMark/>
          </w:tcPr>
          <w:p w14:paraId="102757CF" w14:textId="77777777" w:rsidR="00211DD9" w:rsidRPr="00C75B05" w:rsidRDefault="00211DD9" w:rsidP="00211DD9">
            <w:pPr>
              <w:spacing w:line="360" w:lineRule="auto"/>
              <w:rPr>
                <w:rFonts w:eastAsia="+mn-ea"/>
                <w:position w:val="1"/>
              </w:rPr>
            </w:pPr>
            <w:r w:rsidRPr="00C75B05">
              <w:rPr>
                <w:rFonts w:eastAsia="+mn-ea"/>
                <w:position w:val="1"/>
              </w:rPr>
              <w:t>Construction</w:t>
            </w:r>
          </w:p>
        </w:tc>
        <w:tc>
          <w:tcPr>
            <w:tcW w:w="1913" w:type="dxa"/>
            <w:hideMark/>
          </w:tcPr>
          <w:p w14:paraId="5060607D" w14:textId="77777777" w:rsidR="00211DD9" w:rsidRPr="00C75B05" w:rsidRDefault="00211DD9" w:rsidP="00211DD9">
            <w:pPr>
              <w:spacing w:line="360" w:lineRule="auto"/>
              <w:jc w:val="center"/>
              <w:rPr>
                <w:rFonts w:eastAsia="+mn-ea"/>
                <w:b/>
                <w:position w:val="1"/>
              </w:rPr>
            </w:pPr>
            <w:r w:rsidRPr="00C75B05">
              <w:rPr>
                <w:rFonts w:eastAsia="+mn-ea"/>
                <w:b/>
                <w:position w:val="1"/>
              </w:rPr>
              <w:t>-</w:t>
            </w:r>
          </w:p>
        </w:tc>
        <w:tc>
          <w:tcPr>
            <w:tcW w:w="0" w:type="auto"/>
            <w:tcBorders>
              <w:top w:val="single" w:sz="4" w:space="0" w:color="FFFFFF"/>
              <w:bottom w:val="single" w:sz="4" w:space="0" w:color="FFFFFF"/>
            </w:tcBorders>
            <w:hideMark/>
          </w:tcPr>
          <w:p w14:paraId="1C626F68" w14:textId="77777777" w:rsidR="00211DD9" w:rsidRPr="00C75B05" w:rsidRDefault="00211DD9" w:rsidP="00211DD9">
            <w:pPr>
              <w:spacing w:line="360" w:lineRule="auto"/>
              <w:rPr>
                <w:rFonts w:eastAsia="+mn-ea"/>
                <w:b/>
                <w:position w:val="1"/>
              </w:rPr>
            </w:pPr>
          </w:p>
        </w:tc>
      </w:tr>
      <w:tr w:rsidR="00FE4918" w:rsidRPr="00C75B05" w14:paraId="54FADE5E" w14:textId="77777777" w:rsidTr="00FE4918">
        <w:tc>
          <w:tcPr>
            <w:tcW w:w="3618" w:type="dxa"/>
            <w:hideMark/>
          </w:tcPr>
          <w:p w14:paraId="70FE98A6" w14:textId="77777777" w:rsidR="00FE4918" w:rsidRPr="00C75B05" w:rsidRDefault="00FE4918" w:rsidP="00211DD9">
            <w:pPr>
              <w:spacing w:line="360" w:lineRule="auto"/>
              <w:rPr>
                <w:rFonts w:eastAsia="+mn-ea"/>
                <w:position w:val="1"/>
              </w:rPr>
            </w:pPr>
            <w:r w:rsidRPr="00C75B05">
              <w:rPr>
                <w:rFonts w:eastAsia="+mn-ea"/>
                <w:position w:val="1"/>
              </w:rPr>
              <w:t>Presentation and Interpretation</w:t>
            </w:r>
          </w:p>
        </w:tc>
        <w:tc>
          <w:tcPr>
            <w:tcW w:w="1913" w:type="dxa"/>
            <w:hideMark/>
          </w:tcPr>
          <w:p w14:paraId="72331608" w14:textId="77777777" w:rsidR="00FE4918" w:rsidRPr="00C75B05" w:rsidRDefault="00FE4918" w:rsidP="00211DD9">
            <w:pPr>
              <w:spacing w:line="360" w:lineRule="auto"/>
              <w:jc w:val="center"/>
              <w:rPr>
                <w:rFonts w:eastAsia="+mn-ea"/>
                <w:b/>
                <w:position w:val="1"/>
              </w:rPr>
            </w:pPr>
            <w:r w:rsidRPr="00C75B05">
              <w:rPr>
                <w:rFonts w:eastAsia="+mn-ea"/>
                <w:b/>
                <w:position w:val="1"/>
              </w:rPr>
              <w:t>-</w:t>
            </w:r>
          </w:p>
        </w:tc>
        <w:tc>
          <w:tcPr>
            <w:tcW w:w="3485" w:type="dxa"/>
            <w:tcBorders>
              <w:top w:val="single" w:sz="4" w:space="0" w:color="FFFFFF"/>
              <w:bottom w:val="single" w:sz="4" w:space="0" w:color="FFFFFF"/>
            </w:tcBorders>
            <w:hideMark/>
          </w:tcPr>
          <w:p w14:paraId="2CE12951" w14:textId="1E7650A0" w:rsidR="00FE4918" w:rsidRPr="00C75B05" w:rsidRDefault="00FE4918" w:rsidP="00211DD9">
            <w:pPr>
              <w:spacing w:line="360" w:lineRule="auto"/>
              <w:jc w:val="center"/>
              <w:rPr>
                <w:rFonts w:eastAsia="+mn-ea"/>
                <w:b/>
                <w:position w:val="1"/>
              </w:rPr>
            </w:pPr>
          </w:p>
        </w:tc>
      </w:tr>
      <w:tr w:rsidR="00FE4918" w:rsidRPr="00C75B05" w14:paraId="6404A506" w14:textId="77777777" w:rsidTr="00FE4918">
        <w:tc>
          <w:tcPr>
            <w:tcW w:w="3618" w:type="dxa"/>
            <w:hideMark/>
          </w:tcPr>
          <w:p w14:paraId="3731A31A" w14:textId="77777777" w:rsidR="00FE4918" w:rsidRPr="00C75B05" w:rsidRDefault="00FE4918" w:rsidP="00211DD9">
            <w:pPr>
              <w:spacing w:line="360" w:lineRule="auto"/>
              <w:rPr>
                <w:rFonts w:eastAsia="+mn-ea"/>
                <w:position w:val="1"/>
              </w:rPr>
            </w:pPr>
            <w:r w:rsidRPr="00C75B05">
              <w:rPr>
                <w:rFonts w:eastAsia="+mn-ea"/>
                <w:position w:val="1"/>
              </w:rPr>
              <w:t>Risks and Usefulness</w:t>
            </w:r>
          </w:p>
        </w:tc>
        <w:tc>
          <w:tcPr>
            <w:tcW w:w="1913" w:type="dxa"/>
            <w:hideMark/>
          </w:tcPr>
          <w:p w14:paraId="064AE5F4" w14:textId="77777777" w:rsidR="00FE4918" w:rsidRPr="00C75B05" w:rsidRDefault="00FE4918" w:rsidP="00211DD9">
            <w:pPr>
              <w:spacing w:line="360" w:lineRule="auto"/>
              <w:jc w:val="center"/>
              <w:rPr>
                <w:rFonts w:eastAsia="+mn-ea"/>
                <w:b/>
                <w:position w:val="1"/>
              </w:rPr>
            </w:pPr>
            <w:r w:rsidRPr="00C75B05">
              <w:rPr>
                <w:rFonts w:eastAsia="+mn-ea"/>
                <w:b/>
                <w:position w:val="1"/>
              </w:rPr>
              <w:t>-</w:t>
            </w:r>
          </w:p>
        </w:tc>
        <w:tc>
          <w:tcPr>
            <w:tcW w:w="0" w:type="auto"/>
            <w:tcBorders>
              <w:top w:val="single" w:sz="4" w:space="0" w:color="FFFFFF"/>
            </w:tcBorders>
            <w:hideMark/>
          </w:tcPr>
          <w:p w14:paraId="02647C63" w14:textId="77777777" w:rsidR="00FE4918" w:rsidRPr="00C75B05" w:rsidRDefault="00FE4918" w:rsidP="00211DD9">
            <w:pPr>
              <w:spacing w:line="360" w:lineRule="auto"/>
              <w:rPr>
                <w:rFonts w:eastAsia="+mn-ea"/>
                <w:b/>
                <w:position w:val="1"/>
              </w:rPr>
            </w:pPr>
          </w:p>
        </w:tc>
      </w:tr>
    </w:tbl>
    <w:p w14:paraId="213BC6D4" w14:textId="77777777" w:rsidR="00211DD9" w:rsidRPr="00C75B05" w:rsidRDefault="00211DD9" w:rsidP="00211DD9">
      <w:pPr>
        <w:pStyle w:val="NormalWeb"/>
        <w:spacing w:before="0" w:beforeAutospacing="0" w:after="0" w:afterAutospacing="0" w:line="360" w:lineRule="auto"/>
        <w:rPr>
          <w:rFonts w:ascii="Arial" w:eastAsia="+mn-ea" w:hAnsi="Arial" w:cs="Arial"/>
          <w:b/>
          <w:position w:val="1"/>
          <w:sz w:val="22"/>
          <w:szCs w:val="22"/>
        </w:rPr>
      </w:pPr>
    </w:p>
    <w:p w14:paraId="0D476FDC" w14:textId="77777777" w:rsidR="00211DD9" w:rsidRPr="00C75B05" w:rsidRDefault="00211DD9" w:rsidP="00211DD9">
      <w:pPr>
        <w:spacing w:before="240"/>
        <w:rPr>
          <w:rFonts w:eastAsia="+mn-ea"/>
          <w:b/>
          <w:position w:val="1"/>
        </w:rPr>
      </w:pPr>
      <w:r w:rsidRPr="00C75B05">
        <w:rPr>
          <w:rFonts w:eastAsia="+mn-ea"/>
          <w:b/>
          <w:position w:val="1"/>
        </w:rPr>
        <w:t>Summary Recommendation to Applicant:</w:t>
      </w:r>
    </w:p>
    <w:sdt>
      <w:sdtPr>
        <w:rPr>
          <w:rFonts w:eastAsia="+mn-ea"/>
          <w:position w:val="1"/>
        </w:rPr>
        <w:id w:val="-754965807"/>
        <w:text w:multiLine="1"/>
      </w:sdtPr>
      <w:sdtEndPr/>
      <w:sdtContent>
        <w:p w14:paraId="089B1149" w14:textId="77777777" w:rsidR="00211DD9" w:rsidRPr="00C75B05" w:rsidRDefault="00211DD9" w:rsidP="00211DD9">
          <w:pPr>
            <w:spacing w:before="240"/>
            <w:rPr>
              <w:rFonts w:eastAsia="+mn-ea"/>
              <w:position w:val="1"/>
            </w:rPr>
          </w:pPr>
          <w:r w:rsidRPr="00C75B05">
            <w:rPr>
              <w:rFonts w:eastAsia="+mn-ea"/>
              <w:position w:val="1"/>
            </w:rPr>
            <w:t>MRG recommend that the application is returned to the group once the recommendations listed in the appraisal log have been actioned.</w:t>
          </w:r>
        </w:p>
      </w:sdtContent>
    </w:sdt>
    <w:p w14:paraId="3FF2C023" w14:textId="77777777" w:rsidR="00211DD9" w:rsidRPr="00C75B05" w:rsidRDefault="00211DD9" w:rsidP="00211DD9">
      <w:pPr>
        <w:spacing w:before="240"/>
        <w:rPr>
          <w:rFonts w:eastAsia="+mn-ea"/>
          <w:b/>
          <w:position w:val="1"/>
        </w:rPr>
      </w:pPr>
      <w:r w:rsidRPr="00C75B05">
        <w:rPr>
          <w:rFonts w:eastAsia="+mn-ea"/>
          <w:b/>
          <w:position w:val="1"/>
        </w:rPr>
        <w:t>Summary Recommendation to IGB:</w:t>
      </w:r>
    </w:p>
    <w:sdt>
      <w:sdtPr>
        <w:rPr>
          <w:lang w:eastAsia="en-GB"/>
        </w:rPr>
        <w:alias w:val="Summary Recommendation to IGB"/>
        <w:tag w:val="Summary Recommendation to IGB"/>
        <w:id w:val="177009201"/>
        <w:text w:multiLine="1"/>
      </w:sdtPr>
      <w:sdtEndPr/>
      <w:sdtContent>
        <w:p w14:paraId="5EC1D568" w14:textId="77777777" w:rsidR="00211DD9" w:rsidRPr="00C75B05" w:rsidRDefault="00211DD9" w:rsidP="00211DD9">
          <w:pPr>
            <w:spacing w:before="240"/>
            <w:rPr>
              <w:lang w:eastAsia="en-GB"/>
            </w:rPr>
          </w:pPr>
          <w:r w:rsidRPr="00C75B05">
            <w:rPr>
              <w:lang w:eastAsia="en-GB"/>
            </w:rPr>
            <w:t>The indicator is not currently being escalated to IGB.</w:t>
          </w:r>
        </w:p>
      </w:sdtContent>
    </w:sdt>
    <w:p w14:paraId="4D24D6B0" w14:textId="77777777" w:rsidR="00211DD9" w:rsidRPr="00C75B05" w:rsidRDefault="00211DD9" w:rsidP="00211DD9">
      <w:r w:rsidRPr="00C75B05">
        <w:t xml:space="preserve"> </w:t>
      </w:r>
    </w:p>
    <w:p w14:paraId="194D0AF6" w14:textId="77777777" w:rsidR="00211DD9" w:rsidRPr="00C75B05" w:rsidRDefault="00211DD9" w:rsidP="00211DD9">
      <w:pPr>
        <w:rPr>
          <w:b/>
          <w:spacing w:val="5"/>
          <w:kern w:val="28"/>
        </w:rPr>
      </w:pPr>
      <w:r w:rsidRPr="00C75B05">
        <w:rPr>
          <w:b/>
        </w:rPr>
        <w:t>Please find a detailed description of recommendations and actions in the appraisal log at the end of the document.</w:t>
      </w:r>
    </w:p>
    <w:p w14:paraId="3BAA3DDC"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0D13E722"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4F96BE65"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651307A0"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p w14:paraId="26186449"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t>What do the Assurance Ratings mean?</w:t>
      </w:r>
    </w:p>
    <w:p w14:paraId="10CC1239" w14:textId="77777777" w:rsidR="00211DD9" w:rsidRPr="00C75B05" w:rsidRDefault="00211DD9" w:rsidP="00211DD9"/>
    <w:p w14:paraId="7FE3D60A" w14:textId="77777777" w:rsidR="00211DD9" w:rsidRPr="00C75B05" w:rsidRDefault="00211DD9" w:rsidP="00211D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2519"/>
        <w:gridCol w:w="5527"/>
      </w:tblGrid>
      <w:tr w:rsidR="00FE4918" w:rsidRPr="00C75B05" w14:paraId="78207C1C" w14:textId="77777777" w:rsidTr="00FE4918">
        <w:tc>
          <w:tcPr>
            <w:tcW w:w="980" w:type="dxa"/>
            <w:vAlign w:val="center"/>
          </w:tcPr>
          <w:p w14:paraId="11B8F765" w14:textId="77777777" w:rsidR="00FE4918" w:rsidRPr="00C75B05" w:rsidRDefault="00FE4918" w:rsidP="00211DD9">
            <w:pPr>
              <w:spacing w:before="120" w:after="120"/>
              <w:rPr>
                <w:b/>
              </w:rPr>
            </w:pPr>
            <w:bookmarkStart w:id="1" w:name="_Hlk34225748"/>
          </w:p>
        </w:tc>
        <w:tc>
          <w:tcPr>
            <w:tcW w:w="2519" w:type="dxa"/>
            <w:vAlign w:val="center"/>
          </w:tcPr>
          <w:p w14:paraId="7FF7A099" w14:textId="4B491640" w:rsidR="00FE4918" w:rsidRPr="00C75B05" w:rsidRDefault="00FE4918" w:rsidP="00211DD9">
            <w:pPr>
              <w:spacing w:before="120" w:after="120"/>
              <w:rPr>
                <w:b/>
              </w:rPr>
            </w:pPr>
            <w:r w:rsidRPr="00C75B05">
              <w:rPr>
                <w:b/>
              </w:rPr>
              <w:t>Rating</w:t>
            </w:r>
          </w:p>
        </w:tc>
        <w:tc>
          <w:tcPr>
            <w:tcW w:w="5527" w:type="dxa"/>
            <w:vAlign w:val="center"/>
          </w:tcPr>
          <w:p w14:paraId="59D915A7" w14:textId="6789990B" w:rsidR="00FE4918" w:rsidRPr="00C75B05" w:rsidRDefault="00FE4918" w:rsidP="00211DD9">
            <w:pPr>
              <w:spacing w:before="120" w:after="120"/>
            </w:pPr>
            <w:r w:rsidRPr="00C75B05">
              <w:rPr>
                <w:b/>
              </w:rPr>
              <w:t>Description</w:t>
            </w:r>
          </w:p>
        </w:tc>
      </w:tr>
      <w:tr w:rsidR="00C75B05" w:rsidRPr="00C75B05" w14:paraId="47A053F1" w14:textId="77777777" w:rsidTr="00FE4918">
        <w:tc>
          <w:tcPr>
            <w:tcW w:w="980" w:type="dxa"/>
            <w:vAlign w:val="center"/>
          </w:tcPr>
          <w:p w14:paraId="6CB7B339" w14:textId="6BA55AAE" w:rsidR="00211DD9" w:rsidRPr="00C75B05" w:rsidRDefault="00211DD9" w:rsidP="00211DD9">
            <w:pPr>
              <w:spacing w:before="120" w:after="120"/>
              <w:rPr>
                <w:b/>
              </w:rPr>
            </w:pPr>
          </w:p>
        </w:tc>
        <w:tc>
          <w:tcPr>
            <w:tcW w:w="2519" w:type="dxa"/>
            <w:vAlign w:val="center"/>
          </w:tcPr>
          <w:p w14:paraId="5E637669" w14:textId="77777777" w:rsidR="00211DD9" w:rsidRPr="00C75B05" w:rsidRDefault="00211DD9" w:rsidP="00211DD9">
            <w:pPr>
              <w:spacing w:before="120" w:after="120"/>
              <w:rPr>
                <w:b/>
              </w:rPr>
            </w:pPr>
            <w:r w:rsidRPr="00C75B05">
              <w:rPr>
                <w:b/>
              </w:rPr>
              <w:t>Fit for use</w:t>
            </w:r>
          </w:p>
        </w:tc>
        <w:tc>
          <w:tcPr>
            <w:tcW w:w="5527" w:type="dxa"/>
            <w:vAlign w:val="center"/>
          </w:tcPr>
          <w:p w14:paraId="28C278C8" w14:textId="77777777" w:rsidR="00211DD9" w:rsidRPr="00C75B05" w:rsidRDefault="00211DD9" w:rsidP="00211DD9">
            <w:pPr>
              <w:spacing w:before="120" w:after="120"/>
            </w:pPr>
            <w:r w:rsidRPr="00C75B05">
              <w:t>This indicator can be used with confidence that it is constructed in a sound manner that is fit for purpose.</w:t>
            </w:r>
          </w:p>
        </w:tc>
      </w:tr>
      <w:tr w:rsidR="00C75B05" w:rsidRPr="00C75B05" w14:paraId="51671F50" w14:textId="77777777" w:rsidTr="00FE4918">
        <w:tc>
          <w:tcPr>
            <w:tcW w:w="980" w:type="dxa"/>
            <w:vAlign w:val="center"/>
          </w:tcPr>
          <w:p w14:paraId="6CC122BC" w14:textId="4194BC7F" w:rsidR="00211DD9" w:rsidRPr="00C75B05" w:rsidRDefault="00211DD9" w:rsidP="00211DD9">
            <w:pPr>
              <w:spacing w:before="120" w:after="120"/>
              <w:rPr>
                <w:b/>
              </w:rPr>
            </w:pPr>
          </w:p>
        </w:tc>
        <w:tc>
          <w:tcPr>
            <w:tcW w:w="2519" w:type="dxa"/>
            <w:vAlign w:val="center"/>
          </w:tcPr>
          <w:p w14:paraId="485E6C80" w14:textId="77777777" w:rsidR="00211DD9" w:rsidRPr="00C75B05" w:rsidRDefault="00211DD9" w:rsidP="00211DD9">
            <w:pPr>
              <w:spacing w:before="120" w:after="120"/>
              <w:rPr>
                <w:b/>
              </w:rPr>
            </w:pPr>
            <w:r w:rsidRPr="00C75B05">
              <w:rPr>
                <w:b/>
              </w:rPr>
              <w:t>Fit for use with caveats</w:t>
            </w:r>
          </w:p>
        </w:tc>
        <w:tc>
          <w:tcPr>
            <w:tcW w:w="5527" w:type="dxa"/>
            <w:vAlign w:val="center"/>
          </w:tcPr>
          <w:p w14:paraId="69753B0C" w14:textId="77777777" w:rsidR="00211DD9" w:rsidRPr="00C75B05" w:rsidRDefault="00211DD9" w:rsidP="00211DD9">
            <w:pPr>
              <w:spacing w:before="120" w:after="120"/>
            </w:pPr>
            <w:r w:rsidRPr="00C75B05">
              <w:t xml:space="preserve">The indicator is fit for </w:t>
            </w:r>
            <w:proofErr w:type="gramStart"/>
            <w:r w:rsidRPr="00C75B05">
              <w:t>use,</w:t>
            </w:r>
            <w:proofErr w:type="gramEnd"/>
            <w:r w:rsidRPr="00C75B05">
              <w:t xml:space="preserve"> however users should be aware of caveats and/or recommendations for </w:t>
            </w:r>
            <w:r w:rsidRPr="00C75B05">
              <w:lastRenderedPageBreak/>
              <w:t>improvement that have been identified during the assurance process.</w:t>
            </w:r>
          </w:p>
        </w:tc>
      </w:tr>
      <w:tr w:rsidR="00C75B05" w:rsidRPr="00C75B05" w14:paraId="15B5B527" w14:textId="77777777" w:rsidTr="00FE4918">
        <w:tc>
          <w:tcPr>
            <w:tcW w:w="980" w:type="dxa"/>
            <w:vAlign w:val="center"/>
          </w:tcPr>
          <w:p w14:paraId="7C2925BD" w14:textId="43B31A54" w:rsidR="00211DD9" w:rsidRPr="00C75B05" w:rsidRDefault="00211DD9" w:rsidP="00211DD9">
            <w:pPr>
              <w:spacing w:before="120" w:after="120"/>
              <w:rPr>
                <w:b/>
              </w:rPr>
            </w:pPr>
          </w:p>
        </w:tc>
        <w:tc>
          <w:tcPr>
            <w:tcW w:w="2519" w:type="dxa"/>
            <w:vAlign w:val="center"/>
          </w:tcPr>
          <w:p w14:paraId="5199B028" w14:textId="77777777" w:rsidR="00211DD9" w:rsidRPr="00C75B05" w:rsidRDefault="00211DD9" w:rsidP="00211DD9">
            <w:pPr>
              <w:spacing w:before="120" w:after="120"/>
              <w:rPr>
                <w:b/>
              </w:rPr>
            </w:pPr>
            <w:r w:rsidRPr="00C75B05">
              <w:rPr>
                <w:b/>
              </w:rPr>
              <w:t>Use with caution – data quality issue</w:t>
            </w:r>
          </w:p>
        </w:tc>
        <w:tc>
          <w:tcPr>
            <w:tcW w:w="5527" w:type="dxa"/>
            <w:vAlign w:val="center"/>
          </w:tcPr>
          <w:p w14:paraId="1007C8F9" w14:textId="77777777" w:rsidR="00211DD9" w:rsidRPr="00C75B05" w:rsidRDefault="00211DD9" w:rsidP="00211DD9">
            <w:pPr>
              <w:spacing w:before="120" w:after="120"/>
            </w:pPr>
            <w:r w:rsidRPr="00C75B05">
              <w:t xml:space="preserve">The indicator is based on a sound methodology for which the assurance process </w:t>
            </w:r>
            <w:proofErr w:type="gramStart"/>
            <w:r w:rsidRPr="00C75B05">
              <w:t>endorse</w:t>
            </w:r>
            <w:proofErr w:type="gramEnd"/>
            <w:r w:rsidRPr="00C75B05">
              <w:t xml:space="preserve"> the use, however issues have been identified with the national data source which have implications for its use as an indicator.</w:t>
            </w:r>
          </w:p>
        </w:tc>
      </w:tr>
      <w:tr w:rsidR="00C75B05" w:rsidRPr="00C75B05" w14:paraId="7E7A5047" w14:textId="77777777" w:rsidTr="00FE4918">
        <w:tc>
          <w:tcPr>
            <w:tcW w:w="980" w:type="dxa"/>
            <w:vAlign w:val="center"/>
          </w:tcPr>
          <w:p w14:paraId="76F35196" w14:textId="4E0620A1" w:rsidR="00211DD9" w:rsidRPr="00C75B05" w:rsidRDefault="00211DD9" w:rsidP="00211DD9">
            <w:pPr>
              <w:spacing w:before="120" w:after="120"/>
              <w:rPr>
                <w:b/>
              </w:rPr>
            </w:pPr>
          </w:p>
        </w:tc>
        <w:tc>
          <w:tcPr>
            <w:tcW w:w="2519" w:type="dxa"/>
            <w:vAlign w:val="center"/>
          </w:tcPr>
          <w:p w14:paraId="6F8DDF13" w14:textId="77777777" w:rsidR="00211DD9" w:rsidRPr="00C75B05" w:rsidRDefault="00211DD9" w:rsidP="00211DD9">
            <w:pPr>
              <w:spacing w:before="120" w:after="120"/>
              <w:rPr>
                <w:b/>
              </w:rPr>
            </w:pPr>
            <w:r w:rsidRPr="00C75B05">
              <w:rPr>
                <w:b/>
              </w:rPr>
              <w:t>Not fit for use</w:t>
            </w:r>
          </w:p>
        </w:tc>
        <w:tc>
          <w:tcPr>
            <w:tcW w:w="5527" w:type="dxa"/>
            <w:vAlign w:val="center"/>
          </w:tcPr>
          <w:p w14:paraId="30B3D836" w14:textId="77777777" w:rsidR="00211DD9" w:rsidRPr="00C75B05" w:rsidRDefault="00211DD9" w:rsidP="00211DD9">
            <w:pPr>
              <w:spacing w:before="120" w:after="120"/>
            </w:pPr>
            <w:r w:rsidRPr="00C75B05">
              <w:t>Issues have been identified with the indicator which have resulted in the assurance process currently not endorsing its use as a quality indicator.</w:t>
            </w:r>
          </w:p>
        </w:tc>
      </w:tr>
      <w:tr w:rsidR="00C75B05" w:rsidRPr="00C75B05" w14:paraId="2D44A205" w14:textId="77777777" w:rsidTr="00FE4918">
        <w:tc>
          <w:tcPr>
            <w:tcW w:w="980" w:type="dxa"/>
            <w:vAlign w:val="center"/>
          </w:tcPr>
          <w:p w14:paraId="3566AAA1" w14:textId="7ED09B42" w:rsidR="00211DD9" w:rsidRPr="00C75B05" w:rsidRDefault="00211DD9" w:rsidP="00211DD9">
            <w:pPr>
              <w:spacing w:before="120" w:after="120"/>
              <w:rPr>
                <w:b/>
              </w:rPr>
            </w:pPr>
          </w:p>
        </w:tc>
        <w:tc>
          <w:tcPr>
            <w:tcW w:w="2519" w:type="dxa"/>
            <w:vAlign w:val="center"/>
          </w:tcPr>
          <w:p w14:paraId="3EACBFA0" w14:textId="77777777" w:rsidR="00211DD9" w:rsidRPr="00C75B05" w:rsidRDefault="00211DD9" w:rsidP="00211DD9">
            <w:pPr>
              <w:spacing w:before="120" w:after="120"/>
              <w:rPr>
                <w:b/>
              </w:rPr>
            </w:pPr>
            <w:r w:rsidRPr="00C75B05">
              <w:rPr>
                <w:b/>
              </w:rPr>
              <w:t>Not enough information provided</w:t>
            </w:r>
          </w:p>
        </w:tc>
        <w:tc>
          <w:tcPr>
            <w:tcW w:w="5527" w:type="dxa"/>
            <w:vAlign w:val="center"/>
          </w:tcPr>
          <w:p w14:paraId="04402E80" w14:textId="77777777" w:rsidR="00211DD9" w:rsidRPr="00C75B05" w:rsidRDefault="00211DD9" w:rsidP="00211DD9">
            <w:pPr>
              <w:spacing w:before="120" w:after="120"/>
            </w:pPr>
            <w:r w:rsidRPr="00C75B05">
              <w:t>There has not been enough information supplied to the assurance process to be able to accurately give the indicator a level of assurance.</w:t>
            </w:r>
          </w:p>
        </w:tc>
      </w:tr>
      <w:bookmarkEnd w:id="1"/>
    </w:tbl>
    <w:p w14:paraId="3D08522A" w14:textId="77777777" w:rsidR="00211DD9" w:rsidRPr="00C75B05" w:rsidRDefault="00211DD9" w:rsidP="00211DD9">
      <w:pPr>
        <w:pStyle w:val="NormalWeb"/>
        <w:spacing w:before="0" w:beforeAutospacing="0" w:after="0" w:afterAutospacing="0"/>
        <w:rPr>
          <w:rFonts w:ascii="Arial" w:eastAsia="+mn-ea" w:hAnsi="Arial" w:cs="Arial"/>
          <w:sz w:val="22"/>
          <w:szCs w:val="22"/>
        </w:rPr>
      </w:pPr>
      <w:r w:rsidRPr="00C75B05">
        <w:rPr>
          <w:rFonts w:ascii="Arial" w:eastAsia="+mn-ea" w:hAnsi="Arial" w:cs="Arial"/>
          <w:sz w:val="22"/>
          <w:szCs w:val="22"/>
        </w:rPr>
        <w:br w:type="page"/>
      </w:r>
    </w:p>
    <w:p w14:paraId="0344DF84" w14:textId="77777777" w:rsidR="00211DD9" w:rsidRPr="00C75B05" w:rsidRDefault="00211DD9" w:rsidP="00211DD9">
      <w:pPr>
        <w:spacing w:before="240"/>
        <w:rPr>
          <w:rFonts w:eastAsia="+mn-ea"/>
          <w:b/>
          <w:position w:val="1"/>
          <w:lang w:eastAsia="en-GB"/>
        </w:rPr>
        <w:sectPr w:rsidR="00211DD9" w:rsidRPr="00C75B05" w:rsidSect="00211DD9">
          <w:headerReference w:type="default"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043F7EA8"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r w:rsidRPr="00C75B05">
        <w:rPr>
          <w:rFonts w:ascii="Arial" w:eastAsia="+mn-ea" w:hAnsi="Arial" w:cs="Arial"/>
          <w:b/>
          <w:position w:val="1"/>
          <w:sz w:val="22"/>
          <w:szCs w:val="22"/>
        </w:rPr>
        <w:lastRenderedPageBreak/>
        <w:t xml:space="preserve">Appraisal Log </w:t>
      </w:r>
    </w:p>
    <w:p w14:paraId="12EAB340" w14:textId="77777777" w:rsidR="00211DD9" w:rsidRPr="00C75B05" w:rsidRDefault="00211DD9" w:rsidP="00211DD9">
      <w:pPr>
        <w:pStyle w:val="NormalWeb"/>
        <w:spacing w:before="0" w:beforeAutospacing="0" w:after="0" w:afterAutospacing="0"/>
        <w:rPr>
          <w:rFonts w:ascii="Arial" w:eastAsia="+mn-ea" w:hAnsi="Arial" w:cs="Arial"/>
          <w:b/>
          <w:position w:val="1"/>
          <w:sz w:val="22"/>
          <w:szCs w:val="22"/>
        </w:rPr>
      </w:pPr>
    </w:p>
    <w:tbl>
      <w:tblPr>
        <w:tblStyle w:val="TableGrid"/>
        <w:tblW w:w="5000" w:type="pct"/>
        <w:tblLook w:val="04A0" w:firstRow="1" w:lastRow="0" w:firstColumn="1" w:lastColumn="0" w:noHBand="0" w:noVBand="1"/>
      </w:tblPr>
      <w:tblGrid>
        <w:gridCol w:w="869"/>
        <w:gridCol w:w="4257"/>
        <w:gridCol w:w="1184"/>
        <w:gridCol w:w="4537"/>
        <w:gridCol w:w="1268"/>
        <w:gridCol w:w="1195"/>
        <w:gridCol w:w="1268"/>
      </w:tblGrid>
      <w:tr w:rsidR="00FE4918" w:rsidRPr="00C75B05" w14:paraId="206222E1"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60EBEEF1" w14:textId="77777777" w:rsidR="00FE4918" w:rsidRPr="00C75B05" w:rsidRDefault="00FE4918" w:rsidP="00211DD9">
            <w:pPr>
              <w:rPr>
                <w:b/>
                <w:i/>
              </w:rPr>
            </w:pP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63A82AB" w14:textId="43BBF598" w:rsidR="00FE4918" w:rsidRPr="00C75B05" w:rsidRDefault="00FE4918" w:rsidP="00211DD9">
            <w:pPr>
              <w:rPr>
                <w:b/>
                <w:i/>
              </w:rPr>
            </w:pPr>
            <w:r w:rsidRPr="00C75B05">
              <w:rPr>
                <w:b/>
              </w:rPr>
              <w:t>Clarity</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DB3C246" w14:textId="77777777" w:rsidR="00FE4918" w:rsidRPr="00C75B05" w:rsidRDefault="00FE4918" w:rsidP="00211DD9">
            <w:pPr>
              <w:rPr>
                <w:b/>
                <w:i/>
              </w:rPr>
            </w:pP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430BD57" w14:textId="77777777" w:rsidR="00FE4918" w:rsidRPr="00C75B05" w:rsidRDefault="00FE4918" w:rsidP="00211DD9">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2CDC7824" w14:textId="77777777" w:rsidR="00FE4918" w:rsidRPr="00C75B05" w:rsidRDefault="00FE4918" w:rsidP="00211DD9">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20F9C623" w14:textId="77777777" w:rsidR="00FE4918" w:rsidRPr="00C75B05" w:rsidRDefault="00FE4918" w:rsidP="00211DD9">
            <w:pPr>
              <w:rPr>
                <w:b/>
                <w:i/>
              </w:rPr>
            </w:pPr>
          </w:p>
        </w:tc>
        <w:tc>
          <w:tcPr>
            <w:tcW w:w="436" w:type="pct"/>
            <w:tcBorders>
              <w:top w:val="nil"/>
              <w:left w:val="single" w:sz="4" w:space="0" w:color="DBE5F1" w:themeColor="accent1" w:themeTint="33"/>
              <w:bottom w:val="single" w:sz="4" w:space="0" w:color="DBE5F1" w:themeColor="accent1" w:themeTint="33"/>
              <w:right w:val="nil"/>
            </w:tcBorders>
            <w:vAlign w:val="center"/>
          </w:tcPr>
          <w:p w14:paraId="2932E403" w14:textId="77777777" w:rsidR="00FE4918" w:rsidRPr="00C75B05" w:rsidRDefault="00FE4918" w:rsidP="00211DD9">
            <w:pPr>
              <w:rPr>
                <w:b/>
                <w:i/>
              </w:rPr>
            </w:pPr>
          </w:p>
        </w:tc>
      </w:tr>
      <w:tr w:rsidR="00C75B05" w:rsidRPr="00C75B05" w14:paraId="42E646C7"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3D53D9D4" w14:textId="77777777" w:rsidR="00211DD9" w:rsidRPr="00C75B05" w:rsidRDefault="00211DD9" w:rsidP="00211DD9">
            <w:pPr>
              <w:rPr>
                <w:b/>
                <w:i/>
              </w:rPr>
            </w:pPr>
            <w:r w:rsidRPr="00C75B05">
              <w:rPr>
                <w:b/>
                <w:i/>
              </w:rPr>
              <w:t>Rec. no</w:t>
            </w: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4D872F4" w14:textId="77777777" w:rsidR="00211DD9" w:rsidRPr="00C75B05" w:rsidRDefault="00211DD9" w:rsidP="00211DD9">
            <w:pPr>
              <w:rPr>
                <w:b/>
                <w:i/>
              </w:rPr>
            </w:pPr>
            <w:r w:rsidRPr="00C75B05">
              <w:rPr>
                <w:b/>
                <w:i/>
              </w:rPr>
              <w:t>Issue or recommendation</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EBEEBC9" w14:textId="77777777" w:rsidR="00211DD9" w:rsidRPr="00C75B05" w:rsidRDefault="00211DD9" w:rsidP="00211DD9">
            <w:pPr>
              <w:rPr>
                <w:b/>
                <w:i/>
              </w:rPr>
            </w:pPr>
            <w:r w:rsidRPr="00C75B05">
              <w:rPr>
                <w:b/>
                <w:i/>
              </w:rPr>
              <w:t>Raised by / Date</w:t>
            </w: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D683C22" w14:textId="77777777" w:rsidR="00211DD9" w:rsidRPr="00C75B05" w:rsidRDefault="00211DD9" w:rsidP="00211DD9">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2D7D472" w14:textId="77777777" w:rsidR="00211DD9" w:rsidRPr="00C75B05" w:rsidRDefault="00211DD9" w:rsidP="00211DD9">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CFDE911" w14:textId="77777777" w:rsidR="00211DD9" w:rsidRPr="00C75B05" w:rsidRDefault="00211DD9" w:rsidP="00211DD9">
            <w:pPr>
              <w:rPr>
                <w:b/>
                <w:i/>
              </w:rPr>
            </w:pPr>
            <w:r w:rsidRPr="00C75B05">
              <w:rPr>
                <w:b/>
                <w:i/>
              </w:rPr>
              <w:t>Resolved</w:t>
            </w:r>
          </w:p>
        </w:tc>
        <w:tc>
          <w:tcPr>
            <w:tcW w:w="436" w:type="pct"/>
            <w:tcBorders>
              <w:top w:val="nil"/>
              <w:left w:val="single" w:sz="4" w:space="0" w:color="DBE5F1" w:themeColor="accent1" w:themeTint="33"/>
              <w:bottom w:val="single" w:sz="4" w:space="0" w:color="DBE5F1" w:themeColor="accent1" w:themeTint="33"/>
              <w:right w:val="nil"/>
            </w:tcBorders>
            <w:vAlign w:val="center"/>
          </w:tcPr>
          <w:p w14:paraId="53E2E7DF" w14:textId="77777777" w:rsidR="00211DD9" w:rsidRPr="00C75B05" w:rsidRDefault="00211DD9" w:rsidP="00211DD9">
            <w:pPr>
              <w:rPr>
                <w:b/>
                <w:i/>
              </w:rPr>
            </w:pPr>
            <w:r w:rsidRPr="00C75B05">
              <w:rPr>
                <w:b/>
                <w:i/>
              </w:rPr>
              <w:t>Sign off by / Date</w:t>
            </w:r>
          </w:p>
        </w:tc>
      </w:tr>
      <w:tr w:rsidR="00211DD9" w:rsidRPr="00C75B05" w14:paraId="331A7FC0"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1736284C" w14:textId="77777777" w:rsidR="00211DD9" w:rsidRPr="00C75B05" w:rsidRDefault="00211DD9" w:rsidP="00211DD9">
            <w:r w:rsidRPr="00C75B05">
              <w:t>1a</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3B4A395" w14:textId="77777777" w:rsidR="00211DD9" w:rsidRPr="00C75B05" w:rsidRDefault="00211DD9" w:rsidP="00211DD9">
            <w:r w:rsidRPr="00C75B05">
              <w:t>The definition could be more explicit in terms of patients who are excluded from the denominator. It would also be useful to more explicitly state what activity or patient journey would result in patients being included in the denominator and numerator. This should also detail exactly when the time between referral and first definitive treatment for cancer starts and stops.</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3F458E8"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0038497" w14:textId="77777777" w:rsidR="00211DD9" w:rsidRPr="00C75B05" w:rsidRDefault="00211DD9" w:rsidP="00211DD9">
            <w:r w:rsidRPr="00C75B05">
              <w:t xml:space="preserve">Added additional information on exclusions taken from later section in document. </w:t>
            </w:r>
          </w:p>
          <w:p w14:paraId="42025332" w14:textId="77777777" w:rsidR="00211DD9" w:rsidRPr="00C75B05" w:rsidRDefault="00211DD9" w:rsidP="00211DD9"/>
          <w:p w14:paraId="6E3E83CC" w14:textId="77777777" w:rsidR="00211DD9" w:rsidRPr="00C75B05" w:rsidRDefault="00211DD9" w:rsidP="00211DD9">
            <w:r w:rsidRPr="00C75B05">
              <w:t xml:space="preserve">Expanded comment on activities triggering inclusion. </w:t>
            </w:r>
          </w:p>
          <w:p w14:paraId="6F5312C1" w14:textId="77777777" w:rsidR="00211DD9" w:rsidRPr="00C75B05" w:rsidRDefault="00211DD9" w:rsidP="00211DD9"/>
          <w:p w14:paraId="61037ACF" w14:textId="77777777" w:rsidR="00211DD9" w:rsidRPr="00C75B05" w:rsidRDefault="00211DD9" w:rsidP="00211DD9">
            <w:r w:rsidRPr="00C75B05">
              <w:t xml:space="preserve">Clarified time period.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D8B4B69" w14:textId="77777777" w:rsidR="00211DD9" w:rsidRPr="00C75B05" w:rsidRDefault="00211DD9" w:rsidP="00211DD9">
            <w:r w:rsidRPr="00C75B05">
              <w:t>03/03/17</w:t>
            </w:r>
          </w:p>
        </w:tc>
        <w:sdt>
          <w:sdtPr>
            <w:id w:val="692496695"/>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3D8F0C8"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749A093C" w14:textId="77777777" w:rsidR="00211DD9" w:rsidRPr="00C75B05" w:rsidRDefault="00211DD9" w:rsidP="00211DD9">
            <w:r w:rsidRPr="00C75B05">
              <w:t>MRG</w:t>
            </w:r>
          </w:p>
          <w:p w14:paraId="5461482B" w14:textId="77777777" w:rsidR="00211DD9" w:rsidRPr="00C75B05" w:rsidRDefault="00211DD9" w:rsidP="00211DD9">
            <w:r w:rsidRPr="00C75B05">
              <w:t>09/03/17</w:t>
            </w:r>
          </w:p>
        </w:tc>
      </w:tr>
    </w:tbl>
    <w:p w14:paraId="1AA3B255" w14:textId="77777777" w:rsidR="00211DD9" w:rsidRPr="00C75B05" w:rsidRDefault="00211DD9" w:rsidP="00211DD9"/>
    <w:tbl>
      <w:tblPr>
        <w:tblStyle w:val="TableGrid"/>
        <w:tblW w:w="5000" w:type="pct"/>
        <w:tblLook w:val="04A0" w:firstRow="1" w:lastRow="0" w:firstColumn="1" w:lastColumn="0" w:noHBand="0" w:noVBand="1"/>
      </w:tblPr>
      <w:tblGrid>
        <w:gridCol w:w="869"/>
        <w:gridCol w:w="4257"/>
        <w:gridCol w:w="1184"/>
        <w:gridCol w:w="4537"/>
        <w:gridCol w:w="1268"/>
        <w:gridCol w:w="1195"/>
        <w:gridCol w:w="1268"/>
      </w:tblGrid>
      <w:tr w:rsidR="00FE4918" w:rsidRPr="00C75B05" w14:paraId="594C5002"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2E1CB0B1" w14:textId="77777777" w:rsidR="00FE4918" w:rsidRPr="00C75B05" w:rsidRDefault="00FE4918" w:rsidP="00211DD9">
            <w:pPr>
              <w:rPr>
                <w:b/>
                <w:i/>
              </w:rPr>
            </w:pP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DB34C2C" w14:textId="0DE257B3" w:rsidR="00FE4918" w:rsidRPr="00C75B05" w:rsidRDefault="00FE4918" w:rsidP="00211DD9">
            <w:pPr>
              <w:rPr>
                <w:b/>
                <w:i/>
              </w:rPr>
            </w:pPr>
            <w:r w:rsidRPr="00C75B05">
              <w:rPr>
                <w:b/>
              </w:rPr>
              <w:t>Rationale</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27DED9C" w14:textId="77777777" w:rsidR="00FE4918" w:rsidRPr="00C75B05" w:rsidRDefault="00FE4918" w:rsidP="00211DD9">
            <w:pPr>
              <w:rPr>
                <w:b/>
                <w:i/>
              </w:rPr>
            </w:pP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41120EF" w14:textId="77777777" w:rsidR="00FE4918" w:rsidRPr="00C75B05" w:rsidRDefault="00FE4918" w:rsidP="00211DD9">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0295190" w14:textId="77777777" w:rsidR="00FE4918" w:rsidRPr="00C75B05" w:rsidRDefault="00FE4918" w:rsidP="00211DD9">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C2AB88A" w14:textId="77777777" w:rsidR="00FE4918" w:rsidRPr="00C75B05" w:rsidRDefault="00FE4918" w:rsidP="00211DD9">
            <w:pPr>
              <w:rPr>
                <w:b/>
                <w:i/>
              </w:rPr>
            </w:pPr>
          </w:p>
        </w:tc>
        <w:tc>
          <w:tcPr>
            <w:tcW w:w="436" w:type="pct"/>
            <w:tcBorders>
              <w:top w:val="nil"/>
              <w:left w:val="single" w:sz="4" w:space="0" w:color="DBE5F1" w:themeColor="accent1" w:themeTint="33"/>
              <w:bottom w:val="single" w:sz="4" w:space="0" w:color="DBE5F1" w:themeColor="accent1" w:themeTint="33"/>
              <w:right w:val="nil"/>
            </w:tcBorders>
            <w:vAlign w:val="center"/>
          </w:tcPr>
          <w:p w14:paraId="2DF63497" w14:textId="77777777" w:rsidR="00FE4918" w:rsidRPr="00C75B05" w:rsidRDefault="00FE4918" w:rsidP="00211DD9">
            <w:pPr>
              <w:rPr>
                <w:b/>
                <w:i/>
              </w:rPr>
            </w:pPr>
          </w:p>
        </w:tc>
      </w:tr>
      <w:tr w:rsidR="00C75B05" w:rsidRPr="00C75B05" w14:paraId="6F9F2E66"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762B048C" w14:textId="77777777" w:rsidR="00211DD9" w:rsidRPr="00C75B05" w:rsidRDefault="00211DD9" w:rsidP="00211DD9">
            <w:pPr>
              <w:rPr>
                <w:b/>
                <w:i/>
              </w:rPr>
            </w:pPr>
            <w:r w:rsidRPr="00C75B05">
              <w:rPr>
                <w:b/>
                <w:i/>
              </w:rPr>
              <w:t>Rec. no</w:t>
            </w: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B5A5DE7" w14:textId="77777777" w:rsidR="00211DD9" w:rsidRPr="00C75B05" w:rsidRDefault="00211DD9" w:rsidP="00211DD9">
            <w:pPr>
              <w:rPr>
                <w:b/>
                <w:i/>
              </w:rPr>
            </w:pPr>
            <w:r w:rsidRPr="00C75B05">
              <w:rPr>
                <w:b/>
                <w:i/>
              </w:rPr>
              <w:t>Issue or recommendation</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4D14841" w14:textId="77777777" w:rsidR="00211DD9" w:rsidRPr="00C75B05" w:rsidRDefault="00211DD9" w:rsidP="00211DD9">
            <w:pPr>
              <w:rPr>
                <w:b/>
                <w:i/>
              </w:rPr>
            </w:pPr>
            <w:r w:rsidRPr="00C75B05">
              <w:rPr>
                <w:b/>
                <w:i/>
              </w:rPr>
              <w:t>Raised by / Date</w:t>
            </w: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BCD974A" w14:textId="77777777" w:rsidR="00211DD9" w:rsidRPr="00C75B05" w:rsidRDefault="00211DD9" w:rsidP="00211DD9">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931DC22" w14:textId="77777777" w:rsidR="00211DD9" w:rsidRPr="00C75B05" w:rsidRDefault="00211DD9" w:rsidP="00211DD9">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8D6CDB6" w14:textId="77777777" w:rsidR="00211DD9" w:rsidRPr="00C75B05" w:rsidRDefault="00211DD9" w:rsidP="00211DD9">
            <w:pPr>
              <w:rPr>
                <w:b/>
                <w:i/>
              </w:rPr>
            </w:pPr>
            <w:r w:rsidRPr="00C75B05">
              <w:rPr>
                <w:b/>
                <w:i/>
              </w:rPr>
              <w:t>Resolved</w:t>
            </w:r>
          </w:p>
        </w:tc>
        <w:tc>
          <w:tcPr>
            <w:tcW w:w="436" w:type="pct"/>
            <w:tcBorders>
              <w:top w:val="nil"/>
              <w:left w:val="single" w:sz="4" w:space="0" w:color="DBE5F1" w:themeColor="accent1" w:themeTint="33"/>
              <w:bottom w:val="single" w:sz="4" w:space="0" w:color="DBE5F1" w:themeColor="accent1" w:themeTint="33"/>
              <w:right w:val="nil"/>
            </w:tcBorders>
            <w:vAlign w:val="center"/>
          </w:tcPr>
          <w:p w14:paraId="039E6BEE" w14:textId="77777777" w:rsidR="00211DD9" w:rsidRPr="00C75B05" w:rsidRDefault="00211DD9" w:rsidP="00211DD9">
            <w:pPr>
              <w:rPr>
                <w:b/>
                <w:i/>
              </w:rPr>
            </w:pPr>
            <w:r w:rsidRPr="00C75B05">
              <w:rPr>
                <w:b/>
                <w:i/>
              </w:rPr>
              <w:t>Sign off by / Date</w:t>
            </w:r>
          </w:p>
        </w:tc>
      </w:tr>
      <w:tr w:rsidR="00C75B05" w:rsidRPr="00C75B05" w14:paraId="50CCA1A2"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48C3EDF3" w14:textId="77777777" w:rsidR="00211DD9" w:rsidRPr="00C75B05" w:rsidRDefault="00211DD9" w:rsidP="00211DD9">
            <w:r w:rsidRPr="00C75B05">
              <w:t>2a</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F8C5686" w14:textId="7F2CA785" w:rsidR="00211DD9" w:rsidRPr="00C75B05" w:rsidRDefault="00211DD9" w:rsidP="00211DD9">
            <w:r w:rsidRPr="00C75B05">
              <w:t xml:space="preserve">MRG asks the applicant to consider more thoroughly what the evidence base and cited observational study (Section 2.4) shows and supports. </w:t>
            </w:r>
            <w:r w:rsidR="00A77D6F" w:rsidRPr="00C75B05">
              <w:t>However,</w:t>
            </w:r>
            <w:r w:rsidRPr="00C75B05">
              <w:t xml:space="preserve"> the group understand that it stands to reason that decreased waiting times will lead to quicker treatment and better outcomes generally. </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5E024F3"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2F6690C" w14:textId="77777777" w:rsidR="00211DD9" w:rsidRPr="00C75B05" w:rsidRDefault="00211DD9" w:rsidP="00211DD9">
            <w:r w:rsidRPr="00C75B05">
              <w:t xml:space="preserve">Expanded on the limitation of the findings from the quoted study and added consideration of impact on patient experience.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228EB58" w14:textId="77777777" w:rsidR="00211DD9" w:rsidRPr="00C75B05" w:rsidRDefault="00211DD9" w:rsidP="00211DD9">
            <w:r w:rsidRPr="00C75B05">
              <w:t>03/03/17</w:t>
            </w:r>
          </w:p>
        </w:tc>
        <w:sdt>
          <w:sdtPr>
            <w:id w:val="1733420856"/>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6D95DB9"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2BED3203" w14:textId="77777777" w:rsidR="00211DD9" w:rsidRPr="00C75B05" w:rsidRDefault="00211DD9" w:rsidP="00211DD9">
            <w:r w:rsidRPr="00C75B05">
              <w:t>MRG</w:t>
            </w:r>
          </w:p>
          <w:p w14:paraId="45A47295" w14:textId="77777777" w:rsidR="00211DD9" w:rsidRPr="00C75B05" w:rsidRDefault="00211DD9" w:rsidP="00211DD9">
            <w:r w:rsidRPr="00C75B05">
              <w:t>09/03/17</w:t>
            </w:r>
          </w:p>
        </w:tc>
      </w:tr>
      <w:tr w:rsidR="00C75B05" w:rsidRPr="00C75B05" w14:paraId="21512F1B"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5561A615" w14:textId="77777777" w:rsidR="00211DD9" w:rsidRPr="00C75B05" w:rsidRDefault="00211DD9" w:rsidP="00211DD9">
            <w:r w:rsidRPr="00C75B05">
              <w:t>2b</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E2D527E" w14:textId="77777777" w:rsidR="00211DD9" w:rsidRPr="00C75B05" w:rsidRDefault="00211DD9" w:rsidP="00211DD9">
            <w:r w:rsidRPr="00C75B05">
              <w:t xml:space="preserve">Please can the applicants include more information in the endorsement section (2.3) regarding the input from clinical experts into the development of the indicator and the role of the independent moderation panels , as discussed verbally during the meeting.  Could this </w:t>
            </w:r>
            <w:r w:rsidRPr="00C75B05">
              <w:lastRenderedPageBreak/>
              <w:t>section please also reflect any endorsement by relevant clinical bodies.</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BC25D9A" w14:textId="77777777" w:rsidR="00211DD9" w:rsidRPr="00C75B05" w:rsidRDefault="00211DD9" w:rsidP="00211DD9">
            <w:r w:rsidRPr="00C75B05">
              <w:lastRenderedPageBreak/>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A8DAEC4" w14:textId="77777777" w:rsidR="00211DD9" w:rsidRPr="00C75B05" w:rsidRDefault="00211DD9" w:rsidP="00211DD9">
            <w:r w:rsidRPr="00C75B05">
              <w:t xml:space="preserve">Expanded on the role of the expert panel in agreeing indicators. </w:t>
            </w:r>
          </w:p>
          <w:p w14:paraId="28767C88" w14:textId="77777777" w:rsidR="00211DD9" w:rsidRPr="00C75B05" w:rsidRDefault="00211DD9" w:rsidP="00211DD9"/>
          <w:p w14:paraId="64943376" w14:textId="77777777" w:rsidR="00211DD9" w:rsidRPr="00C75B05" w:rsidRDefault="00211DD9" w:rsidP="00211DD9">
            <w:r w:rsidRPr="00C75B05">
              <w:t xml:space="preserve">References to role of the waiting times standard in the NHS Constitution as well as the Independent Cancer Taskforce Report.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4872FB4" w14:textId="77777777" w:rsidR="00211DD9" w:rsidRPr="00C75B05" w:rsidRDefault="00211DD9" w:rsidP="00211DD9">
            <w:r w:rsidRPr="00C75B05">
              <w:t>03/03/17</w:t>
            </w:r>
          </w:p>
        </w:tc>
        <w:sdt>
          <w:sdtPr>
            <w:id w:val="731198147"/>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13DCD33"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6AF6224C" w14:textId="77777777" w:rsidR="00211DD9" w:rsidRPr="00C75B05" w:rsidRDefault="00211DD9" w:rsidP="00211DD9">
            <w:r w:rsidRPr="00C75B05">
              <w:t>MRG</w:t>
            </w:r>
          </w:p>
          <w:p w14:paraId="7F8EB8B7" w14:textId="77777777" w:rsidR="00211DD9" w:rsidRPr="00C75B05" w:rsidRDefault="00211DD9" w:rsidP="00211DD9">
            <w:r w:rsidRPr="00C75B05">
              <w:t>09/03/17</w:t>
            </w:r>
          </w:p>
        </w:tc>
      </w:tr>
      <w:tr w:rsidR="00C75B05" w:rsidRPr="00C75B05" w14:paraId="56F4D141"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4288E491" w14:textId="77777777" w:rsidR="00211DD9" w:rsidRPr="00C75B05" w:rsidRDefault="00211DD9" w:rsidP="00211DD9">
            <w:r w:rsidRPr="00C75B05">
              <w:t>2c</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8B56CA3" w14:textId="77777777" w:rsidR="00211DD9" w:rsidRPr="00C75B05" w:rsidRDefault="00211DD9" w:rsidP="00211DD9">
            <w:r w:rsidRPr="00C75B05">
              <w:t>Please can the applicant briefly summarise in the application form how this indicator will be used within the CCG IAF and how it contributes to the framework’s aim.</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3157A84"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A09D080" w14:textId="77777777" w:rsidR="00211DD9" w:rsidRPr="00C75B05" w:rsidRDefault="00211DD9" w:rsidP="00211DD9">
            <w:r w:rsidRPr="00C75B05">
              <w:t xml:space="preserve">Expanded on the role of the indicator in the IAF.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590A156" w14:textId="77777777" w:rsidR="00211DD9" w:rsidRPr="00C75B05" w:rsidRDefault="00211DD9" w:rsidP="00211DD9">
            <w:r w:rsidRPr="00C75B05">
              <w:t>03/03/17</w:t>
            </w:r>
          </w:p>
        </w:tc>
        <w:sdt>
          <w:sdtPr>
            <w:id w:val="-1019160114"/>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88A1AC2"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15317F5D" w14:textId="77777777" w:rsidR="00211DD9" w:rsidRPr="00C75B05" w:rsidRDefault="00211DD9" w:rsidP="00211DD9">
            <w:r w:rsidRPr="00C75B05">
              <w:t>MRG</w:t>
            </w:r>
          </w:p>
          <w:p w14:paraId="26EFC211" w14:textId="77777777" w:rsidR="00211DD9" w:rsidRPr="00C75B05" w:rsidRDefault="00211DD9" w:rsidP="00211DD9">
            <w:r w:rsidRPr="00C75B05">
              <w:t>09/03/17</w:t>
            </w:r>
          </w:p>
        </w:tc>
      </w:tr>
      <w:tr w:rsidR="00211DD9" w:rsidRPr="00C75B05" w14:paraId="7B060D3F"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090C849B" w14:textId="77777777" w:rsidR="00211DD9" w:rsidRPr="00C75B05" w:rsidRDefault="00211DD9" w:rsidP="00211DD9">
            <w:r w:rsidRPr="00C75B05">
              <w:t>2d</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047E78E" w14:textId="77777777" w:rsidR="00211DD9" w:rsidRPr="00C75B05" w:rsidRDefault="00211DD9" w:rsidP="00211DD9">
            <w:r w:rsidRPr="00C75B05">
              <w:t>MRG ask the applicant to consider whether improving patient experience is one of the aims of decreasing waiting times.</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18B03BC"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D1B1245" w14:textId="77777777" w:rsidR="00211DD9" w:rsidRPr="00C75B05" w:rsidRDefault="00211DD9" w:rsidP="00211DD9">
            <w:r w:rsidRPr="00C75B05">
              <w:t xml:space="preserve">Added reference to this.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298CC24" w14:textId="77777777" w:rsidR="00211DD9" w:rsidRPr="00C75B05" w:rsidRDefault="00211DD9" w:rsidP="00211DD9">
            <w:r w:rsidRPr="00C75B05">
              <w:t>03/03/17</w:t>
            </w:r>
          </w:p>
        </w:tc>
        <w:sdt>
          <w:sdtPr>
            <w:id w:val="476494812"/>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ADC4A48"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701A97C0" w14:textId="77777777" w:rsidR="00211DD9" w:rsidRPr="00C75B05" w:rsidRDefault="00211DD9" w:rsidP="00211DD9">
            <w:r w:rsidRPr="00C75B05">
              <w:t>MRG</w:t>
            </w:r>
          </w:p>
          <w:p w14:paraId="473C9AA9" w14:textId="77777777" w:rsidR="00211DD9" w:rsidRPr="00C75B05" w:rsidRDefault="00211DD9" w:rsidP="00211DD9">
            <w:r w:rsidRPr="00C75B05">
              <w:t>09/03/17</w:t>
            </w:r>
          </w:p>
        </w:tc>
      </w:tr>
    </w:tbl>
    <w:p w14:paraId="32373182" w14:textId="77777777" w:rsidR="00211DD9" w:rsidRPr="00C75B05" w:rsidRDefault="00211DD9" w:rsidP="00211DD9"/>
    <w:tbl>
      <w:tblPr>
        <w:tblStyle w:val="TableGrid"/>
        <w:tblW w:w="5000" w:type="pct"/>
        <w:tblLook w:val="04A0" w:firstRow="1" w:lastRow="0" w:firstColumn="1" w:lastColumn="0" w:noHBand="0" w:noVBand="1"/>
      </w:tblPr>
      <w:tblGrid>
        <w:gridCol w:w="869"/>
        <w:gridCol w:w="4257"/>
        <w:gridCol w:w="1184"/>
        <w:gridCol w:w="4537"/>
        <w:gridCol w:w="1268"/>
        <w:gridCol w:w="1195"/>
        <w:gridCol w:w="1268"/>
      </w:tblGrid>
      <w:tr w:rsidR="00FE4918" w:rsidRPr="00C75B05" w14:paraId="0050CF55"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666861AB" w14:textId="77777777" w:rsidR="00FE4918" w:rsidRPr="00C75B05" w:rsidRDefault="00FE4918" w:rsidP="00211DD9">
            <w:pPr>
              <w:rPr>
                <w:b/>
                <w:i/>
              </w:rPr>
            </w:pP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D77DA67" w14:textId="318032D0" w:rsidR="00FE4918" w:rsidRPr="00C75B05" w:rsidRDefault="00FE4918" w:rsidP="00211DD9">
            <w:pPr>
              <w:rPr>
                <w:b/>
                <w:i/>
              </w:rPr>
            </w:pPr>
            <w:r w:rsidRPr="00C75B05">
              <w:rPr>
                <w:b/>
              </w:rPr>
              <w:t>Data</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A026FDF" w14:textId="77777777" w:rsidR="00FE4918" w:rsidRPr="00C75B05" w:rsidRDefault="00FE4918" w:rsidP="00211DD9">
            <w:pPr>
              <w:rPr>
                <w:b/>
                <w:i/>
              </w:rPr>
            </w:pP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A8A784F" w14:textId="77777777" w:rsidR="00FE4918" w:rsidRPr="00C75B05" w:rsidRDefault="00FE4918" w:rsidP="00211DD9">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D362E50" w14:textId="77777777" w:rsidR="00FE4918" w:rsidRPr="00C75B05" w:rsidRDefault="00FE4918" w:rsidP="00211DD9">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29B9512" w14:textId="77777777" w:rsidR="00FE4918" w:rsidRPr="00C75B05" w:rsidRDefault="00FE4918" w:rsidP="00211DD9">
            <w:pPr>
              <w:rPr>
                <w:b/>
                <w:i/>
              </w:rPr>
            </w:pPr>
          </w:p>
        </w:tc>
        <w:tc>
          <w:tcPr>
            <w:tcW w:w="436" w:type="pct"/>
            <w:tcBorders>
              <w:top w:val="nil"/>
              <w:left w:val="single" w:sz="4" w:space="0" w:color="DBE5F1" w:themeColor="accent1" w:themeTint="33"/>
              <w:bottom w:val="single" w:sz="4" w:space="0" w:color="DBE5F1" w:themeColor="accent1" w:themeTint="33"/>
              <w:right w:val="nil"/>
            </w:tcBorders>
            <w:vAlign w:val="center"/>
          </w:tcPr>
          <w:p w14:paraId="15B29D7F" w14:textId="77777777" w:rsidR="00FE4918" w:rsidRPr="00C75B05" w:rsidRDefault="00FE4918" w:rsidP="00211DD9">
            <w:pPr>
              <w:rPr>
                <w:b/>
                <w:i/>
              </w:rPr>
            </w:pPr>
          </w:p>
        </w:tc>
      </w:tr>
      <w:tr w:rsidR="00C75B05" w:rsidRPr="00C75B05" w14:paraId="2C8727FD" w14:textId="77777777" w:rsidTr="00FE4918">
        <w:tc>
          <w:tcPr>
            <w:tcW w:w="298" w:type="pct"/>
            <w:tcBorders>
              <w:top w:val="nil"/>
              <w:left w:val="nil"/>
              <w:bottom w:val="single" w:sz="4" w:space="0" w:color="DBE5F1" w:themeColor="accent1" w:themeTint="33"/>
              <w:right w:val="single" w:sz="4" w:space="0" w:color="DBE5F1" w:themeColor="accent1" w:themeTint="33"/>
            </w:tcBorders>
            <w:vAlign w:val="center"/>
          </w:tcPr>
          <w:p w14:paraId="5227DDE7" w14:textId="77777777" w:rsidR="00211DD9" w:rsidRPr="00C75B05" w:rsidRDefault="00211DD9" w:rsidP="00211DD9">
            <w:pPr>
              <w:rPr>
                <w:b/>
                <w:i/>
              </w:rPr>
            </w:pPr>
            <w:r w:rsidRPr="00C75B05">
              <w:rPr>
                <w:b/>
                <w:i/>
              </w:rPr>
              <w:t>Rec. no</w:t>
            </w:r>
          </w:p>
        </w:tc>
        <w:tc>
          <w:tcPr>
            <w:tcW w:w="146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E78D67C" w14:textId="77777777" w:rsidR="00211DD9" w:rsidRPr="00C75B05" w:rsidRDefault="00211DD9" w:rsidP="00211DD9">
            <w:pPr>
              <w:rPr>
                <w:b/>
                <w:i/>
              </w:rPr>
            </w:pPr>
            <w:r w:rsidRPr="00C75B05">
              <w:rPr>
                <w:b/>
                <w:i/>
              </w:rPr>
              <w:t>Issue or recommendation</w:t>
            </w:r>
          </w:p>
        </w:tc>
        <w:tc>
          <w:tcPr>
            <w:tcW w:w="40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CC93EA4" w14:textId="77777777" w:rsidR="00211DD9" w:rsidRPr="00C75B05" w:rsidRDefault="00211DD9" w:rsidP="00211DD9">
            <w:pPr>
              <w:rPr>
                <w:b/>
                <w:i/>
              </w:rPr>
            </w:pPr>
            <w:r w:rsidRPr="00C75B05">
              <w:rPr>
                <w:b/>
                <w:i/>
              </w:rPr>
              <w:t>Raised by / Date</w:t>
            </w:r>
          </w:p>
        </w:tc>
        <w:tc>
          <w:tcPr>
            <w:tcW w:w="1556"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2F75137D" w14:textId="77777777" w:rsidR="00211DD9" w:rsidRPr="00C75B05" w:rsidRDefault="00211DD9" w:rsidP="00211DD9">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9796A31" w14:textId="77777777" w:rsidR="00211DD9" w:rsidRPr="00C75B05" w:rsidRDefault="00211DD9" w:rsidP="00211DD9">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1EBB418" w14:textId="77777777" w:rsidR="00211DD9" w:rsidRPr="00C75B05" w:rsidRDefault="00211DD9" w:rsidP="00211DD9">
            <w:pPr>
              <w:rPr>
                <w:b/>
                <w:i/>
              </w:rPr>
            </w:pPr>
            <w:r w:rsidRPr="00C75B05">
              <w:rPr>
                <w:b/>
                <w:i/>
              </w:rPr>
              <w:t>Resolved</w:t>
            </w:r>
          </w:p>
        </w:tc>
        <w:tc>
          <w:tcPr>
            <w:tcW w:w="436" w:type="pct"/>
            <w:tcBorders>
              <w:top w:val="nil"/>
              <w:left w:val="single" w:sz="4" w:space="0" w:color="DBE5F1" w:themeColor="accent1" w:themeTint="33"/>
              <w:bottom w:val="single" w:sz="4" w:space="0" w:color="DBE5F1" w:themeColor="accent1" w:themeTint="33"/>
              <w:right w:val="nil"/>
            </w:tcBorders>
            <w:vAlign w:val="center"/>
          </w:tcPr>
          <w:p w14:paraId="4A68AB79" w14:textId="77777777" w:rsidR="00211DD9" w:rsidRPr="00C75B05" w:rsidRDefault="00211DD9" w:rsidP="00211DD9">
            <w:pPr>
              <w:rPr>
                <w:b/>
                <w:i/>
              </w:rPr>
            </w:pPr>
            <w:r w:rsidRPr="00C75B05">
              <w:rPr>
                <w:b/>
                <w:i/>
              </w:rPr>
              <w:t>Sign off by / Date</w:t>
            </w:r>
          </w:p>
        </w:tc>
      </w:tr>
      <w:tr w:rsidR="00C75B05" w:rsidRPr="00C75B05" w14:paraId="204CD95B"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5815D606" w14:textId="77777777" w:rsidR="00211DD9" w:rsidRPr="00C75B05" w:rsidRDefault="00211DD9" w:rsidP="00211DD9">
            <w:r w:rsidRPr="00C75B05">
              <w:t>3a</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8C07819" w14:textId="77777777" w:rsidR="00211DD9" w:rsidRPr="00C75B05" w:rsidRDefault="00211DD9" w:rsidP="00211DD9">
            <w:r w:rsidRPr="00C75B05">
              <w:t>There is a lack of analysis of the data quality of the data source for the purposes of this indicator. Please can the applicants provide further information including quantitative analysis.</w:t>
            </w:r>
          </w:p>
          <w:p w14:paraId="6ACC41B4" w14:textId="77777777" w:rsidR="00211DD9" w:rsidRPr="00C75B05" w:rsidRDefault="00211DD9" w:rsidP="00211DD9">
            <w:r w:rsidRPr="00C75B05">
              <w:t>In general, when discussing data quality, applicants should refer to all domains of quality, rather than coverage alone. Other data quality domains include: Completeness, Integrity, Validity, Timeliness and Default.</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9018270"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09F5D9D5" w14:textId="77777777" w:rsidR="00211DD9" w:rsidRPr="00C75B05" w:rsidRDefault="00211DD9" w:rsidP="00211DD9">
            <w:pPr>
              <w:rPr>
                <w:highlight w:val="yellow"/>
              </w:rPr>
            </w:pPr>
            <w:r w:rsidRPr="00C75B05">
              <w:t xml:space="preserve">Flagged up where the response referred to individual elements and clarified responsibilities for quality assurance in this and the following question.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7B27D5F" w14:textId="77777777" w:rsidR="00211DD9" w:rsidRPr="00C75B05" w:rsidRDefault="00211DD9" w:rsidP="00211DD9">
            <w:r w:rsidRPr="00C75B05">
              <w:t>03/03/17</w:t>
            </w:r>
          </w:p>
        </w:tc>
        <w:sdt>
          <w:sdtPr>
            <w:id w:val="-1023932915"/>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58079CE"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3CCDBAF0" w14:textId="77777777" w:rsidR="00211DD9" w:rsidRPr="00C75B05" w:rsidRDefault="00211DD9" w:rsidP="00211DD9">
            <w:r w:rsidRPr="00C75B05">
              <w:t>MRG</w:t>
            </w:r>
          </w:p>
          <w:p w14:paraId="3B8960A1" w14:textId="77777777" w:rsidR="00211DD9" w:rsidRPr="00C75B05" w:rsidRDefault="00211DD9" w:rsidP="00211DD9">
            <w:r w:rsidRPr="00C75B05">
              <w:t>09/03/17</w:t>
            </w:r>
          </w:p>
        </w:tc>
      </w:tr>
      <w:tr w:rsidR="00C75B05" w:rsidRPr="00C75B05" w14:paraId="17B96D84"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3F3B3BDE" w14:textId="77777777" w:rsidR="00211DD9" w:rsidRPr="00C75B05" w:rsidRDefault="00211DD9" w:rsidP="00211DD9">
            <w:r w:rsidRPr="00C75B05">
              <w:t>3b</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E749C3F" w14:textId="77777777" w:rsidR="00211DD9" w:rsidRPr="00C75B05" w:rsidRDefault="00211DD9" w:rsidP="00211DD9">
            <w:r w:rsidRPr="00C75B05">
              <w:t>MRG suggests that the applicant includes information on whether the data that comes out of the collection system is accepted as correct or whether validations / processes are in place to verify it.</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A9B0C9B"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93F697A" w14:textId="77777777" w:rsidR="00211DD9" w:rsidRPr="00C75B05" w:rsidRDefault="00211DD9" w:rsidP="00211DD9">
            <w:r w:rsidRPr="00C75B05">
              <w:t>Responded to the question – following feedback from NHS Digital.</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0BE5EFD" w14:textId="77777777" w:rsidR="00211DD9" w:rsidRPr="00C75B05" w:rsidRDefault="00211DD9" w:rsidP="00211DD9">
            <w:r w:rsidRPr="00C75B05">
              <w:t>03/03/17</w:t>
            </w:r>
          </w:p>
        </w:tc>
        <w:sdt>
          <w:sdtPr>
            <w:id w:val="-1025631126"/>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24ED870"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05D23A4D" w14:textId="77777777" w:rsidR="00211DD9" w:rsidRPr="00C75B05" w:rsidRDefault="00211DD9" w:rsidP="00211DD9">
            <w:r w:rsidRPr="00C75B05">
              <w:t>MRG</w:t>
            </w:r>
          </w:p>
          <w:p w14:paraId="6D1347E1" w14:textId="77777777" w:rsidR="00211DD9" w:rsidRPr="00C75B05" w:rsidRDefault="00211DD9" w:rsidP="00211DD9">
            <w:r w:rsidRPr="00C75B05">
              <w:t>09/03/17</w:t>
            </w:r>
          </w:p>
        </w:tc>
      </w:tr>
      <w:tr w:rsidR="00C75B05" w:rsidRPr="00C75B05" w14:paraId="705BD22E"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3FAB0E49" w14:textId="77777777" w:rsidR="00211DD9" w:rsidRPr="00C75B05" w:rsidRDefault="00211DD9" w:rsidP="00211DD9">
            <w:r w:rsidRPr="00C75B05">
              <w:t>3c</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04FDC3D" w14:textId="77777777" w:rsidR="00211DD9" w:rsidRPr="00C75B05" w:rsidRDefault="00211DD9" w:rsidP="00211DD9">
            <w:r w:rsidRPr="00C75B05">
              <w:t xml:space="preserve">The quality improvement currently states ‘Not applicable’. It would be useful for </w:t>
            </w:r>
            <w:r w:rsidRPr="00C75B05">
              <w:lastRenderedPageBreak/>
              <w:t>MRG to understand why this is the case, for example if the quality of data is high.</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2C0E235" w14:textId="77777777" w:rsidR="00211DD9" w:rsidRPr="00C75B05" w:rsidRDefault="00211DD9" w:rsidP="00211DD9">
            <w:r w:rsidRPr="00C75B05">
              <w:lastRenderedPageBreak/>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CB2E120" w14:textId="77777777" w:rsidR="00211DD9" w:rsidRPr="00C75B05" w:rsidRDefault="00211DD9" w:rsidP="00211DD9">
            <w:r w:rsidRPr="00C75B05">
              <w:t xml:space="preserve">Expanded on the ongoing/ recurrent activity, such as guidance aimed at supporting and improving data submissions.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573423E" w14:textId="77777777" w:rsidR="00211DD9" w:rsidRPr="00C75B05" w:rsidRDefault="00211DD9" w:rsidP="00211DD9">
            <w:r w:rsidRPr="00C75B05">
              <w:t>03/03/17</w:t>
            </w:r>
          </w:p>
        </w:tc>
        <w:sdt>
          <w:sdtPr>
            <w:id w:val="1380430204"/>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1C13884"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3CA1DA53" w14:textId="77777777" w:rsidR="00211DD9" w:rsidRPr="00C75B05" w:rsidRDefault="00211DD9" w:rsidP="00211DD9">
            <w:r w:rsidRPr="00C75B05">
              <w:t>MRG</w:t>
            </w:r>
          </w:p>
          <w:p w14:paraId="284168BD" w14:textId="77777777" w:rsidR="00211DD9" w:rsidRPr="00C75B05" w:rsidRDefault="00211DD9" w:rsidP="00211DD9">
            <w:r w:rsidRPr="00C75B05">
              <w:t>09/03/17</w:t>
            </w:r>
          </w:p>
        </w:tc>
      </w:tr>
      <w:tr w:rsidR="00C75B05" w:rsidRPr="00C75B05" w14:paraId="6515BCCE"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0D9B1F68" w14:textId="77777777" w:rsidR="00211DD9" w:rsidRPr="00C75B05" w:rsidRDefault="00211DD9" w:rsidP="00211DD9">
            <w:r w:rsidRPr="00C75B05">
              <w:t>3d</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3109374" w14:textId="77777777" w:rsidR="00211DD9" w:rsidRPr="00C75B05" w:rsidRDefault="00211DD9" w:rsidP="00211DD9">
            <w:r w:rsidRPr="00C75B05">
              <w:t>MRG suggests the applicant considers whether it is appropriate to include children and rare cancers (where cancer waiting time should be 31 days rather than 62 days) in the indicator.</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DF5853B"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4F051C32" w14:textId="77777777" w:rsidR="00211DD9" w:rsidRPr="00C75B05" w:rsidRDefault="00211DD9" w:rsidP="00211DD9">
            <w:pPr>
              <w:rPr>
                <w:highlight w:val="yellow"/>
              </w:rPr>
            </w:pPr>
            <w:r w:rsidRPr="00C75B05">
              <w:t>Added comment on this.</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2179C6F" w14:textId="77777777" w:rsidR="00211DD9" w:rsidRPr="00C75B05" w:rsidRDefault="00211DD9" w:rsidP="00211DD9">
            <w:r w:rsidRPr="00C75B05">
              <w:t>03/03/17</w:t>
            </w:r>
          </w:p>
        </w:tc>
        <w:sdt>
          <w:sdtPr>
            <w:id w:val="1117336540"/>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ED901E0"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5629C704" w14:textId="77777777" w:rsidR="00211DD9" w:rsidRPr="00C75B05" w:rsidRDefault="00211DD9" w:rsidP="00211DD9">
            <w:r w:rsidRPr="00C75B05">
              <w:t>MRG</w:t>
            </w:r>
          </w:p>
          <w:p w14:paraId="1BC4B9B9" w14:textId="77777777" w:rsidR="00211DD9" w:rsidRPr="00C75B05" w:rsidRDefault="00211DD9" w:rsidP="00211DD9">
            <w:r w:rsidRPr="00C75B05">
              <w:t>09/03/17</w:t>
            </w:r>
          </w:p>
        </w:tc>
      </w:tr>
      <w:tr w:rsidR="00211DD9" w:rsidRPr="00C75B05" w14:paraId="43425339" w14:textId="77777777" w:rsidTr="00FE4918">
        <w:tc>
          <w:tcPr>
            <w:tcW w:w="298"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0DF9196F" w14:textId="77777777" w:rsidR="00211DD9" w:rsidRPr="00C75B05" w:rsidRDefault="00211DD9" w:rsidP="00211DD9">
            <w:r w:rsidRPr="00C75B05">
              <w:t>3e</w:t>
            </w:r>
          </w:p>
        </w:tc>
        <w:tc>
          <w:tcPr>
            <w:tcW w:w="146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8516EB3" w14:textId="77777777" w:rsidR="00211DD9" w:rsidRPr="00C75B05" w:rsidRDefault="00211DD9" w:rsidP="00211DD9">
            <w:r w:rsidRPr="00C75B05">
              <w:t>In Section 3.2, please could the applicants outline whether any other data sources were considered for the indicator, and if so, the reasoning for the current selection.</w:t>
            </w:r>
          </w:p>
        </w:tc>
        <w:tc>
          <w:tcPr>
            <w:tcW w:w="40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710856B" w14:textId="77777777" w:rsidR="00211DD9" w:rsidRPr="00C75B05" w:rsidRDefault="00211DD9" w:rsidP="00211DD9">
            <w:r w:rsidRPr="00C75B05">
              <w:t>08/12/16</w:t>
            </w:r>
          </w:p>
        </w:tc>
        <w:tc>
          <w:tcPr>
            <w:tcW w:w="1556"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FDB4326" w14:textId="77777777" w:rsidR="00211DD9" w:rsidRPr="00C75B05" w:rsidRDefault="00211DD9" w:rsidP="00211DD9">
            <w:pPr>
              <w:rPr>
                <w:highlight w:val="yellow"/>
              </w:rPr>
            </w:pPr>
            <w:r w:rsidRPr="00C75B05">
              <w:t xml:space="preserve">Provided reasoning for use of this data source.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9ABC427" w14:textId="77777777" w:rsidR="00211DD9" w:rsidRPr="00C75B05" w:rsidRDefault="00211DD9" w:rsidP="00211DD9">
            <w:r w:rsidRPr="00C75B05">
              <w:t>03/03/17</w:t>
            </w:r>
          </w:p>
        </w:tc>
        <w:sdt>
          <w:sdtPr>
            <w:id w:val="-558475533"/>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D90BA40"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36"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5445F7EC" w14:textId="77777777" w:rsidR="00211DD9" w:rsidRPr="00C75B05" w:rsidRDefault="00211DD9" w:rsidP="00211DD9">
            <w:r w:rsidRPr="00C75B05">
              <w:t>MRG</w:t>
            </w:r>
          </w:p>
          <w:p w14:paraId="1B450E4D" w14:textId="77777777" w:rsidR="00211DD9" w:rsidRPr="00C75B05" w:rsidRDefault="00211DD9" w:rsidP="00211DD9">
            <w:r w:rsidRPr="00C75B05">
              <w:t>09/03/17</w:t>
            </w:r>
          </w:p>
        </w:tc>
      </w:tr>
    </w:tbl>
    <w:p w14:paraId="627F94D6" w14:textId="77777777" w:rsidR="00211DD9" w:rsidRPr="00C75B05" w:rsidRDefault="00211DD9" w:rsidP="00211DD9"/>
    <w:tbl>
      <w:tblPr>
        <w:tblStyle w:val="TableGrid"/>
        <w:tblW w:w="5000" w:type="pct"/>
        <w:tblLook w:val="04A0" w:firstRow="1" w:lastRow="0" w:firstColumn="1" w:lastColumn="0" w:noHBand="0" w:noVBand="1"/>
      </w:tblPr>
      <w:tblGrid>
        <w:gridCol w:w="838"/>
        <w:gridCol w:w="4223"/>
        <w:gridCol w:w="1319"/>
        <w:gridCol w:w="4502"/>
        <w:gridCol w:w="1268"/>
        <w:gridCol w:w="1195"/>
        <w:gridCol w:w="1233"/>
      </w:tblGrid>
      <w:tr w:rsidR="00FE4918" w:rsidRPr="00C75B05" w14:paraId="62506457" w14:textId="77777777" w:rsidTr="00FE4918">
        <w:tc>
          <w:tcPr>
            <w:tcW w:w="287" w:type="pct"/>
            <w:tcBorders>
              <w:top w:val="nil"/>
              <w:left w:val="nil"/>
              <w:bottom w:val="single" w:sz="4" w:space="0" w:color="DBE5F1" w:themeColor="accent1" w:themeTint="33"/>
              <w:right w:val="single" w:sz="4" w:space="0" w:color="DBE5F1" w:themeColor="accent1" w:themeTint="33"/>
            </w:tcBorders>
            <w:vAlign w:val="center"/>
          </w:tcPr>
          <w:p w14:paraId="2087E178" w14:textId="77777777" w:rsidR="00FE4918" w:rsidRPr="00C75B05" w:rsidRDefault="00FE4918" w:rsidP="00211DD9">
            <w:pPr>
              <w:rPr>
                <w:b/>
                <w:i/>
              </w:rPr>
            </w:pP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7E1828D" w14:textId="1A8A0237" w:rsidR="00FE4918" w:rsidRPr="00C75B05" w:rsidRDefault="00FE4918" w:rsidP="00211DD9">
            <w:pPr>
              <w:rPr>
                <w:b/>
                <w:i/>
              </w:rPr>
            </w:pPr>
            <w:r w:rsidRPr="00C75B05">
              <w:rPr>
                <w:b/>
              </w:rPr>
              <w:t>Construction</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15A196A" w14:textId="77777777" w:rsidR="00FE4918" w:rsidRPr="00C75B05" w:rsidRDefault="00FE4918" w:rsidP="00211DD9">
            <w:pPr>
              <w:rPr>
                <w:b/>
                <w:i/>
              </w:rPr>
            </w:pP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88DC835" w14:textId="77777777" w:rsidR="00FE4918" w:rsidRPr="00C75B05" w:rsidRDefault="00FE4918" w:rsidP="00211DD9">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24664C8" w14:textId="77777777" w:rsidR="00FE4918" w:rsidRPr="00C75B05" w:rsidRDefault="00FE4918" w:rsidP="00211DD9">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1952A17" w14:textId="77777777" w:rsidR="00FE4918" w:rsidRPr="00C75B05" w:rsidRDefault="00FE4918" w:rsidP="00211DD9">
            <w:pPr>
              <w:rPr>
                <w:b/>
                <w:i/>
              </w:rPr>
            </w:pPr>
          </w:p>
        </w:tc>
        <w:tc>
          <w:tcPr>
            <w:tcW w:w="423" w:type="pct"/>
            <w:tcBorders>
              <w:top w:val="nil"/>
              <w:left w:val="single" w:sz="4" w:space="0" w:color="DBE5F1" w:themeColor="accent1" w:themeTint="33"/>
              <w:bottom w:val="single" w:sz="4" w:space="0" w:color="DBE5F1" w:themeColor="accent1" w:themeTint="33"/>
              <w:right w:val="nil"/>
            </w:tcBorders>
            <w:vAlign w:val="center"/>
          </w:tcPr>
          <w:p w14:paraId="627CA199" w14:textId="77777777" w:rsidR="00FE4918" w:rsidRPr="00C75B05" w:rsidRDefault="00FE4918" w:rsidP="00211DD9">
            <w:pPr>
              <w:rPr>
                <w:b/>
                <w:i/>
              </w:rPr>
            </w:pPr>
          </w:p>
        </w:tc>
      </w:tr>
      <w:tr w:rsidR="00C75B05" w:rsidRPr="00C75B05" w14:paraId="40688805" w14:textId="77777777" w:rsidTr="00FE4918">
        <w:tc>
          <w:tcPr>
            <w:tcW w:w="287" w:type="pct"/>
            <w:tcBorders>
              <w:top w:val="nil"/>
              <w:left w:val="nil"/>
              <w:bottom w:val="single" w:sz="4" w:space="0" w:color="DBE5F1" w:themeColor="accent1" w:themeTint="33"/>
              <w:right w:val="single" w:sz="4" w:space="0" w:color="DBE5F1" w:themeColor="accent1" w:themeTint="33"/>
            </w:tcBorders>
            <w:vAlign w:val="center"/>
          </w:tcPr>
          <w:p w14:paraId="150B2E7B" w14:textId="77777777" w:rsidR="00211DD9" w:rsidRPr="00C75B05" w:rsidRDefault="00211DD9" w:rsidP="00211DD9">
            <w:pPr>
              <w:rPr>
                <w:b/>
                <w:i/>
              </w:rPr>
            </w:pPr>
            <w:r w:rsidRPr="00C75B05">
              <w:rPr>
                <w:b/>
                <w:i/>
              </w:rPr>
              <w:t>Rec. no</w:t>
            </w: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902E1BF" w14:textId="77777777" w:rsidR="00211DD9" w:rsidRPr="00C75B05" w:rsidRDefault="00211DD9" w:rsidP="00211DD9">
            <w:pPr>
              <w:rPr>
                <w:b/>
                <w:i/>
              </w:rPr>
            </w:pPr>
            <w:r w:rsidRPr="00C75B05">
              <w:rPr>
                <w:b/>
                <w:i/>
              </w:rPr>
              <w:t>Issue or recommendation</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2E9B5E04" w14:textId="77777777" w:rsidR="00211DD9" w:rsidRPr="00C75B05" w:rsidRDefault="00211DD9" w:rsidP="00211DD9">
            <w:pPr>
              <w:rPr>
                <w:b/>
                <w:i/>
              </w:rPr>
            </w:pPr>
            <w:r w:rsidRPr="00C75B05">
              <w:rPr>
                <w:b/>
                <w:i/>
              </w:rPr>
              <w:t>Raised by / Date</w:t>
            </w: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9727C13" w14:textId="77777777" w:rsidR="00211DD9" w:rsidRPr="00C75B05" w:rsidRDefault="00211DD9" w:rsidP="00211DD9">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80E965B" w14:textId="77777777" w:rsidR="00211DD9" w:rsidRPr="00C75B05" w:rsidRDefault="00211DD9" w:rsidP="00211DD9">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2AAF667" w14:textId="77777777" w:rsidR="00211DD9" w:rsidRPr="00C75B05" w:rsidRDefault="00211DD9" w:rsidP="00211DD9">
            <w:pPr>
              <w:rPr>
                <w:b/>
                <w:i/>
              </w:rPr>
            </w:pPr>
            <w:r w:rsidRPr="00C75B05">
              <w:rPr>
                <w:b/>
                <w:i/>
              </w:rPr>
              <w:t>Resolved</w:t>
            </w:r>
          </w:p>
        </w:tc>
        <w:tc>
          <w:tcPr>
            <w:tcW w:w="423" w:type="pct"/>
            <w:tcBorders>
              <w:top w:val="nil"/>
              <w:left w:val="single" w:sz="4" w:space="0" w:color="DBE5F1" w:themeColor="accent1" w:themeTint="33"/>
              <w:bottom w:val="single" w:sz="4" w:space="0" w:color="DBE5F1" w:themeColor="accent1" w:themeTint="33"/>
              <w:right w:val="nil"/>
            </w:tcBorders>
            <w:vAlign w:val="center"/>
          </w:tcPr>
          <w:p w14:paraId="33BBA2FD" w14:textId="77777777" w:rsidR="00211DD9" w:rsidRPr="00C75B05" w:rsidRDefault="00211DD9" w:rsidP="00211DD9">
            <w:pPr>
              <w:rPr>
                <w:b/>
                <w:i/>
              </w:rPr>
            </w:pPr>
            <w:r w:rsidRPr="00C75B05">
              <w:rPr>
                <w:b/>
                <w:i/>
              </w:rPr>
              <w:t>Sign off by / Date</w:t>
            </w:r>
          </w:p>
        </w:tc>
      </w:tr>
      <w:tr w:rsidR="00C75B05" w:rsidRPr="00C75B05" w14:paraId="7725794C"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053705EE" w14:textId="77777777" w:rsidR="00211DD9" w:rsidRPr="00C75B05" w:rsidRDefault="00211DD9" w:rsidP="00211DD9">
            <w:r w:rsidRPr="00C75B05">
              <w:t>4a</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AEB3455" w14:textId="77777777" w:rsidR="00211DD9" w:rsidRPr="00C75B05" w:rsidRDefault="00211DD9" w:rsidP="00211DD9">
            <w:r w:rsidRPr="00C75B05">
              <w:t xml:space="preserve">MRG recommend the use of confidence intervals for this indicator. </w:t>
            </w:r>
          </w:p>
          <w:p w14:paraId="1C43758D" w14:textId="77777777" w:rsidR="00211DD9" w:rsidRPr="00C75B05" w:rsidRDefault="00211DD9" w:rsidP="00211DD9">
            <w:r w:rsidRPr="00C75B05">
              <w:t>As a minimum it would be useful to calculate confidence intervals to see how they relate to the fact that the operational target allows 15% for patients where the 62 day referral may not be achievable (i.e. the target is 85%).</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3015F70" w14:textId="77777777" w:rsidR="00211DD9" w:rsidRPr="00C75B05" w:rsidRDefault="00211DD9" w:rsidP="00211DD9">
            <w:r w:rsidRPr="00C75B05">
              <w:t>08/12/16</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6B734E3" w14:textId="77777777" w:rsidR="00211DD9" w:rsidRPr="00C75B05" w:rsidRDefault="00211DD9" w:rsidP="00211DD9">
            <w:pPr>
              <w:rPr>
                <w:highlight w:val="yellow"/>
              </w:rPr>
            </w:pPr>
            <w:r w:rsidRPr="00C75B05">
              <w:t>Following discussion with MRG, this has been taken out of the application to reflect the fact that there is wider ongoing work on statistical significance for the wider IAF, which will need to be discussed separately.</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D74C333" w14:textId="77777777" w:rsidR="00211DD9" w:rsidRPr="00C75B05" w:rsidRDefault="00211DD9" w:rsidP="00211DD9">
            <w:r w:rsidRPr="00C75B05">
              <w:t>03/03/17</w:t>
            </w:r>
          </w:p>
        </w:tc>
        <w:sdt>
          <w:sdtPr>
            <w:id w:val="1667126029"/>
            <w14:checkbox>
              <w14:checked w14:val="0"/>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3717A76"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3373A8F4" w14:textId="77777777" w:rsidR="00211DD9" w:rsidRPr="00C75B05" w:rsidRDefault="00211DD9" w:rsidP="00211DD9"/>
        </w:tc>
      </w:tr>
      <w:tr w:rsidR="00C75B05" w:rsidRPr="00C75B05" w14:paraId="13733E72"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73AB3E95" w14:textId="77777777" w:rsidR="00211DD9" w:rsidRPr="00C75B05" w:rsidRDefault="00211DD9" w:rsidP="00211DD9">
            <w:r w:rsidRPr="00C75B05">
              <w:t>4b</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B8CE294" w14:textId="77777777" w:rsidR="00211DD9" w:rsidRPr="00C75B05" w:rsidRDefault="00211DD9" w:rsidP="00211DD9">
            <w:r w:rsidRPr="00C75B05">
              <w:t xml:space="preserve">MRG recognise that work is already planned in relation to the use of confidence intervals for the whole of the CCGIAF indicators. However, MRG reiterate that additional work on confidence intervals is required for the construction of this indicator to meet the purpose in section 2.1, which is to compare variation across CCGs. This is required before the group can pass the </w:t>
            </w:r>
            <w:r w:rsidRPr="00C75B05">
              <w:lastRenderedPageBreak/>
              <w:t>indicator to the Indicator Governance Board for final assurance.</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6DCF267" w14:textId="77777777" w:rsidR="00211DD9" w:rsidRPr="00C75B05" w:rsidRDefault="00211DD9" w:rsidP="00211DD9">
            <w:r w:rsidRPr="00C75B05">
              <w:lastRenderedPageBreak/>
              <w:t>09/03/2017</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54C1A74" w14:textId="77777777" w:rsidR="00211DD9" w:rsidRPr="00C75B05" w:rsidRDefault="00211DD9" w:rsidP="00211DD9">
            <w:pPr>
              <w:rPr>
                <w:highlight w:val="yellow"/>
              </w:rPr>
            </w:pP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39FC774" w14:textId="77777777" w:rsidR="00211DD9" w:rsidRPr="00C75B05" w:rsidRDefault="00211DD9" w:rsidP="00211DD9"/>
        </w:tc>
        <w:sdt>
          <w:sdtPr>
            <w:id w:val="-1646500013"/>
            <w14:checkbox>
              <w14:checked w14:val="0"/>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3B39BE3"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1C7018C7" w14:textId="77777777" w:rsidR="00211DD9" w:rsidRPr="00C75B05" w:rsidRDefault="00211DD9" w:rsidP="00211DD9"/>
        </w:tc>
      </w:tr>
      <w:tr w:rsidR="00211DD9" w:rsidRPr="00C75B05" w14:paraId="71EC174D"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472F5F13" w14:textId="77777777" w:rsidR="00211DD9" w:rsidRPr="00C75B05" w:rsidRDefault="00211DD9" w:rsidP="00211DD9">
            <w:r w:rsidRPr="00C75B05">
              <w:t>4c</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F5F3690" w14:textId="77777777" w:rsidR="00211DD9" w:rsidRPr="00C75B05" w:rsidRDefault="00211DD9" w:rsidP="00211DD9">
            <w:r w:rsidRPr="00C75B05">
              <w:t>MRG ask that the applicants reconsider the wording of the denominator to accurately reflect the population of patients being included.  A recommended denominator is as follows ‘The total number of people receiving first treatment for cancer within the quarter with an urgent GP referral for suspected cancer, by CCG ‘.</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2BD2A47" w14:textId="77777777" w:rsidR="00211DD9" w:rsidRPr="00C75B05" w:rsidRDefault="00211DD9" w:rsidP="00211DD9">
            <w:r w:rsidRPr="00C75B05">
              <w:t>08/12/16</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E0B91ED" w14:textId="77777777" w:rsidR="00211DD9" w:rsidRPr="00C75B05" w:rsidRDefault="00211DD9" w:rsidP="00211DD9">
            <w:r w:rsidRPr="00C75B05">
              <w:t xml:space="preserve">Accepted proposed wording.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CEA0A6B" w14:textId="77777777" w:rsidR="00211DD9" w:rsidRPr="00C75B05" w:rsidRDefault="00211DD9" w:rsidP="00211DD9"/>
        </w:tc>
        <w:sdt>
          <w:sdtPr>
            <w:id w:val="-168483508"/>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99E62C5"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1C3FE660" w14:textId="77777777" w:rsidR="00211DD9" w:rsidRPr="00C75B05" w:rsidRDefault="00211DD9" w:rsidP="00211DD9">
            <w:r w:rsidRPr="00C75B05">
              <w:t>MRG</w:t>
            </w:r>
          </w:p>
          <w:p w14:paraId="5A75BD4D" w14:textId="77777777" w:rsidR="00211DD9" w:rsidRPr="00C75B05" w:rsidRDefault="00211DD9" w:rsidP="00211DD9">
            <w:r w:rsidRPr="00C75B05">
              <w:t>09/03/17</w:t>
            </w:r>
          </w:p>
        </w:tc>
      </w:tr>
    </w:tbl>
    <w:p w14:paraId="0946C722" w14:textId="77777777" w:rsidR="00211DD9" w:rsidRPr="00C75B05" w:rsidRDefault="00211DD9" w:rsidP="00211DD9"/>
    <w:tbl>
      <w:tblPr>
        <w:tblStyle w:val="TableGrid"/>
        <w:tblW w:w="5000" w:type="pct"/>
        <w:tblLook w:val="04A0" w:firstRow="1" w:lastRow="0" w:firstColumn="1" w:lastColumn="0" w:noHBand="0" w:noVBand="1"/>
      </w:tblPr>
      <w:tblGrid>
        <w:gridCol w:w="838"/>
        <w:gridCol w:w="4223"/>
        <w:gridCol w:w="1319"/>
        <w:gridCol w:w="4502"/>
        <w:gridCol w:w="1268"/>
        <w:gridCol w:w="1195"/>
        <w:gridCol w:w="1233"/>
      </w:tblGrid>
      <w:tr w:rsidR="00FE4918" w:rsidRPr="00C75B05" w14:paraId="32ADE565" w14:textId="77777777" w:rsidTr="00FE4918">
        <w:trPr>
          <w:trHeight w:val="764"/>
        </w:trPr>
        <w:tc>
          <w:tcPr>
            <w:tcW w:w="287" w:type="pct"/>
            <w:tcBorders>
              <w:top w:val="nil"/>
              <w:left w:val="nil"/>
              <w:bottom w:val="single" w:sz="4" w:space="0" w:color="DBE5F1" w:themeColor="accent1" w:themeTint="33"/>
              <w:right w:val="single" w:sz="4" w:space="0" w:color="DBE5F1" w:themeColor="accent1" w:themeTint="33"/>
            </w:tcBorders>
            <w:vAlign w:val="center"/>
          </w:tcPr>
          <w:p w14:paraId="578FD240" w14:textId="77777777" w:rsidR="00FE4918" w:rsidRPr="00C75B05" w:rsidRDefault="00FE4918" w:rsidP="00211DD9">
            <w:pPr>
              <w:rPr>
                <w:b/>
                <w:i/>
              </w:rPr>
            </w:pP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381BEFC" w14:textId="76EC337E" w:rsidR="00FE4918" w:rsidRPr="00C75B05" w:rsidRDefault="00FE4918" w:rsidP="00211DD9">
            <w:pPr>
              <w:rPr>
                <w:b/>
                <w:i/>
              </w:rPr>
            </w:pPr>
            <w:r w:rsidRPr="00C75B05">
              <w:rPr>
                <w:b/>
              </w:rPr>
              <w:t>Presentation and Interpretation</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388AC4D" w14:textId="77777777" w:rsidR="00FE4918" w:rsidRPr="00C75B05" w:rsidRDefault="00FE4918" w:rsidP="00211DD9">
            <w:pPr>
              <w:rPr>
                <w:b/>
                <w:i/>
              </w:rPr>
            </w:pP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shd w:val="clear" w:color="auto" w:fill="auto"/>
            <w:vAlign w:val="center"/>
          </w:tcPr>
          <w:p w14:paraId="0D46EF40" w14:textId="77777777" w:rsidR="00FE4918" w:rsidRPr="00C75B05" w:rsidRDefault="00FE4918" w:rsidP="00211DD9">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75552597" w14:textId="77777777" w:rsidR="00FE4918" w:rsidRPr="00C75B05" w:rsidRDefault="00FE4918" w:rsidP="00211DD9">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E900CA9" w14:textId="77777777" w:rsidR="00FE4918" w:rsidRPr="00C75B05" w:rsidRDefault="00FE4918" w:rsidP="00211DD9">
            <w:pPr>
              <w:rPr>
                <w:b/>
                <w:i/>
              </w:rPr>
            </w:pPr>
          </w:p>
        </w:tc>
        <w:tc>
          <w:tcPr>
            <w:tcW w:w="423" w:type="pct"/>
            <w:tcBorders>
              <w:top w:val="nil"/>
              <w:left w:val="single" w:sz="4" w:space="0" w:color="DBE5F1" w:themeColor="accent1" w:themeTint="33"/>
              <w:bottom w:val="single" w:sz="4" w:space="0" w:color="DBE5F1" w:themeColor="accent1" w:themeTint="33"/>
              <w:right w:val="nil"/>
            </w:tcBorders>
            <w:vAlign w:val="center"/>
          </w:tcPr>
          <w:p w14:paraId="5742A482" w14:textId="77777777" w:rsidR="00FE4918" w:rsidRPr="00C75B05" w:rsidRDefault="00FE4918" w:rsidP="00211DD9">
            <w:pPr>
              <w:rPr>
                <w:b/>
                <w:i/>
              </w:rPr>
            </w:pPr>
          </w:p>
        </w:tc>
      </w:tr>
      <w:tr w:rsidR="00C75B05" w:rsidRPr="00C75B05" w14:paraId="2A6188A1" w14:textId="77777777" w:rsidTr="00FE4918">
        <w:trPr>
          <w:trHeight w:val="764"/>
        </w:trPr>
        <w:tc>
          <w:tcPr>
            <w:tcW w:w="287" w:type="pct"/>
            <w:tcBorders>
              <w:top w:val="nil"/>
              <w:left w:val="nil"/>
              <w:bottom w:val="single" w:sz="4" w:space="0" w:color="DBE5F1" w:themeColor="accent1" w:themeTint="33"/>
              <w:right w:val="single" w:sz="4" w:space="0" w:color="DBE5F1" w:themeColor="accent1" w:themeTint="33"/>
            </w:tcBorders>
            <w:vAlign w:val="center"/>
          </w:tcPr>
          <w:p w14:paraId="19B5101B" w14:textId="77777777" w:rsidR="00211DD9" w:rsidRPr="00C75B05" w:rsidRDefault="00211DD9" w:rsidP="00211DD9">
            <w:pPr>
              <w:rPr>
                <w:b/>
                <w:i/>
              </w:rPr>
            </w:pPr>
            <w:r w:rsidRPr="00C75B05">
              <w:rPr>
                <w:b/>
                <w:i/>
              </w:rPr>
              <w:t>Rec. no</w:t>
            </w: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5237889D" w14:textId="77777777" w:rsidR="00211DD9" w:rsidRPr="00C75B05" w:rsidRDefault="00211DD9" w:rsidP="00211DD9">
            <w:pPr>
              <w:rPr>
                <w:b/>
                <w:i/>
              </w:rPr>
            </w:pPr>
            <w:r w:rsidRPr="00C75B05">
              <w:rPr>
                <w:b/>
                <w:i/>
              </w:rPr>
              <w:t>Issue or recommendation</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780E0B4" w14:textId="77777777" w:rsidR="00211DD9" w:rsidRPr="00C75B05" w:rsidRDefault="00211DD9" w:rsidP="00211DD9">
            <w:pPr>
              <w:rPr>
                <w:b/>
                <w:i/>
              </w:rPr>
            </w:pPr>
            <w:r w:rsidRPr="00C75B05">
              <w:rPr>
                <w:b/>
                <w:i/>
              </w:rPr>
              <w:t>Raised by / Date</w:t>
            </w: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shd w:val="clear" w:color="auto" w:fill="auto"/>
            <w:vAlign w:val="center"/>
          </w:tcPr>
          <w:p w14:paraId="663921EB" w14:textId="77777777" w:rsidR="00211DD9" w:rsidRPr="00C75B05" w:rsidRDefault="00211DD9" w:rsidP="00211DD9">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8D72DFB" w14:textId="77777777" w:rsidR="00211DD9" w:rsidRPr="00C75B05" w:rsidRDefault="00211DD9" w:rsidP="00211DD9">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20BC875" w14:textId="77777777" w:rsidR="00211DD9" w:rsidRPr="00C75B05" w:rsidRDefault="00211DD9" w:rsidP="00211DD9">
            <w:pPr>
              <w:rPr>
                <w:b/>
                <w:i/>
              </w:rPr>
            </w:pPr>
            <w:r w:rsidRPr="00C75B05">
              <w:rPr>
                <w:b/>
                <w:i/>
              </w:rPr>
              <w:t>Resolved</w:t>
            </w:r>
          </w:p>
        </w:tc>
        <w:tc>
          <w:tcPr>
            <w:tcW w:w="423" w:type="pct"/>
            <w:tcBorders>
              <w:top w:val="nil"/>
              <w:left w:val="single" w:sz="4" w:space="0" w:color="DBE5F1" w:themeColor="accent1" w:themeTint="33"/>
              <w:bottom w:val="single" w:sz="4" w:space="0" w:color="DBE5F1" w:themeColor="accent1" w:themeTint="33"/>
              <w:right w:val="nil"/>
            </w:tcBorders>
            <w:vAlign w:val="center"/>
          </w:tcPr>
          <w:p w14:paraId="0915F4EB" w14:textId="77777777" w:rsidR="00211DD9" w:rsidRPr="00C75B05" w:rsidRDefault="00211DD9" w:rsidP="00211DD9">
            <w:pPr>
              <w:rPr>
                <w:b/>
                <w:i/>
              </w:rPr>
            </w:pPr>
            <w:r w:rsidRPr="00C75B05">
              <w:rPr>
                <w:b/>
                <w:i/>
              </w:rPr>
              <w:t>Sign off by / Date</w:t>
            </w:r>
          </w:p>
        </w:tc>
      </w:tr>
      <w:tr w:rsidR="00C75B05" w:rsidRPr="00C75B05" w14:paraId="6F522161"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7AC3573C" w14:textId="77777777" w:rsidR="00211DD9" w:rsidRPr="00C75B05" w:rsidRDefault="00211DD9" w:rsidP="00211DD9">
            <w:r w:rsidRPr="00C75B05">
              <w:t>5a</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2F69554" w14:textId="77777777" w:rsidR="00211DD9" w:rsidRPr="00C75B05" w:rsidRDefault="00211DD9" w:rsidP="00211DD9">
            <w:r w:rsidRPr="00C75B05">
              <w:t xml:space="preserve">Within 4.7 the applicant has provided some background relating to the 85% waiting time operational standard. This should be moved to section 5.4 – use of benchmarks/targets. MRG have asked for additional clarity on the origin and use of this benchmark, for example reference to  work on the Cancer Reform Strategy and subsequent Cancer Waiting Times Commitments -  </w:t>
            </w:r>
            <w:hyperlink r:id="rId24" w:history="1">
              <w:r w:rsidRPr="00C75B05">
                <w:rPr>
                  <w:rStyle w:val="Hyperlink"/>
                  <w:color w:val="auto"/>
                </w:rPr>
                <w:t>dh_103431.pdf</w:t>
              </w:r>
            </w:hyperlink>
            <w:r w:rsidRPr="00C75B05">
              <w:t>. Is the 85% target still the consensus of professional opinion?</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8CB8D29" w14:textId="77777777" w:rsidR="00211DD9" w:rsidRPr="00C75B05" w:rsidRDefault="00211DD9" w:rsidP="00211DD9">
            <w:r w:rsidRPr="00C75B05">
              <w:t>09/03/2017</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73F328F8" w14:textId="77777777" w:rsidR="00211DD9" w:rsidRPr="00C75B05" w:rsidRDefault="00211DD9" w:rsidP="00211DD9"/>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277B272" w14:textId="77777777" w:rsidR="00211DD9" w:rsidRPr="00C75B05" w:rsidRDefault="00211DD9" w:rsidP="00211DD9"/>
        </w:tc>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5059F19" w14:textId="77777777" w:rsidR="00211DD9" w:rsidRPr="00C75B05" w:rsidRDefault="00211DD9" w:rsidP="00211DD9">
            <w:pPr>
              <w:jc w:val="center"/>
            </w:pPr>
          </w:p>
        </w:tc>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53B55A32" w14:textId="77777777" w:rsidR="00211DD9" w:rsidRPr="00C75B05" w:rsidRDefault="00211DD9" w:rsidP="00211DD9"/>
        </w:tc>
      </w:tr>
      <w:tr w:rsidR="00C75B05" w:rsidRPr="00C75B05" w14:paraId="66FA4C19"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3CD771B0" w14:textId="77777777" w:rsidR="00211DD9" w:rsidRPr="00C75B05" w:rsidRDefault="00211DD9" w:rsidP="00211DD9">
            <w:r w:rsidRPr="00C75B05">
              <w:t>5b</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03132B2" w14:textId="77777777" w:rsidR="00211DD9" w:rsidRPr="00C75B05" w:rsidRDefault="00211DD9" w:rsidP="00211DD9">
            <w:r w:rsidRPr="00C75B05">
              <w:t xml:space="preserve">MRG have made 3 recommendations in relation to presentation of the indicator on myNHS. </w:t>
            </w:r>
          </w:p>
          <w:p w14:paraId="6A72B49F" w14:textId="77777777" w:rsidR="00211DD9" w:rsidRPr="00C75B05" w:rsidRDefault="00211DD9" w:rsidP="00211DD9">
            <w:pPr>
              <w:pStyle w:val="ListParagraph"/>
              <w:numPr>
                <w:ilvl w:val="0"/>
                <w:numId w:val="6"/>
              </w:numPr>
              <w:spacing w:after="0" w:line="240" w:lineRule="auto"/>
            </w:pPr>
            <w:r w:rsidRPr="00C75B05">
              <w:t xml:space="preserve">Section 5.1 references that “updates to the My NHS website </w:t>
            </w:r>
            <w:r w:rsidRPr="00C75B05">
              <w:lastRenderedPageBreak/>
              <w:t>are planned for over the upcoming year to improve data visualisation” Can these be outlined in the paperwork</w:t>
            </w:r>
          </w:p>
          <w:p w14:paraId="4D882F6C" w14:textId="77777777" w:rsidR="00211DD9" w:rsidRPr="00C75B05" w:rsidRDefault="00211DD9" w:rsidP="00211DD9">
            <w:pPr>
              <w:pStyle w:val="ListParagraph"/>
              <w:numPr>
                <w:ilvl w:val="0"/>
                <w:numId w:val="6"/>
              </w:numPr>
              <w:spacing w:after="0" w:line="240" w:lineRule="auto"/>
            </w:pPr>
            <w:r w:rsidRPr="00C75B05">
              <w:t>The description of this indicator on myNHS does not currently reference that the start date of the 62 day pathway is the date at which the (hospital) provider who first treated the patient received the urgent GP referral. This should be updated.</w:t>
            </w:r>
          </w:p>
          <w:p w14:paraId="7C901F24" w14:textId="77777777" w:rsidR="00211DD9" w:rsidRPr="00C75B05" w:rsidRDefault="00211DD9" w:rsidP="00211DD9">
            <w:pPr>
              <w:pStyle w:val="ListParagraph"/>
              <w:numPr>
                <w:ilvl w:val="0"/>
                <w:numId w:val="6"/>
              </w:numPr>
              <w:spacing w:after="0" w:line="240" w:lineRule="auto"/>
            </w:pPr>
            <w:r w:rsidRPr="00C75B05">
              <w:t>There is no reference to which time period the indicator results relate to on myNHS. MRG recommend that this is highlighted</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007B146" w14:textId="77777777" w:rsidR="00211DD9" w:rsidRPr="00C75B05" w:rsidRDefault="00211DD9" w:rsidP="00211DD9">
            <w:r w:rsidRPr="00C75B05">
              <w:lastRenderedPageBreak/>
              <w:t>09/03/2017</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02289463" w14:textId="77777777" w:rsidR="00211DD9" w:rsidRPr="00C75B05" w:rsidRDefault="00211DD9" w:rsidP="00211DD9"/>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9D15827" w14:textId="77777777" w:rsidR="00211DD9" w:rsidRPr="00C75B05" w:rsidRDefault="00211DD9" w:rsidP="00211DD9"/>
        </w:tc>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F2FC73C" w14:textId="77777777" w:rsidR="00211DD9" w:rsidRPr="00C75B05" w:rsidRDefault="00211DD9" w:rsidP="00211DD9">
            <w:pPr>
              <w:jc w:val="center"/>
            </w:pPr>
          </w:p>
        </w:tc>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06FB04F8" w14:textId="77777777" w:rsidR="00211DD9" w:rsidRPr="00C75B05" w:rsidRDefault="00211DD9" w:rsidP="00211DD9"/>
        </w:tc>
      </w:tr>
      <w:tr w:rsidR="00211DD9" w:rsidRPr="00C75B05" w14:paraId="0DDF8A43"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2B464927" w14:textId="77777777" w:rsidR="00211DD9" w:rsidRPr="00C75B05" w:rsidRDefault="00211DD9" w:rsidP="00211DD9">
            <w:r w:rsidRPr="00C75B05">
              <w:t>5c</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271307D" w14:textId="77777777" w:rsidR="00211DD9" w:rsidRPr="00C75B05" w:rsidRDefault="00211DD9" w:rsidP="00211DD9">
            <w:r w:rsidRPr="00C75B05">
              <w:t xml:space="preserve">MRG suggest adding the standard deviation to the ‘Evidence of variability’, or including a chart plotting the spread of values by CCG. </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B5E04A7" w14:textId="77777777" w:rsidR="00211DD9" w:rsidRPr="00C75B05" w:rsidRDefault="00211DD9" w:rsidP="00211DD9">
            <w:r w:rsidRPr="00C75B05">
              <w:t>08/12/16</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30E53AF5" w14:textId="77777777" w:rsidR="00211DD9" w:rsidRPr="00C75B05" w:rsidRDefault="00211DD9" w:rsidP="00211DD9">
            <w:r w:rsidRPr="00C75B05">
              <w:t xml:space="preserve">Added a chart plotting the spread of value by CCG.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5139CFF" w14:textId="77777777" w:rsidR="00211DD9" w:rsidRPr="00C75B05" w:rsidRDefault="00211DD9" w:rsidP="00211DD9">
            <w:r w:rsidRPr="00C75B05">
              <w:t>03/03/17</w:t>
            </w:r>
          </w:p>
        </w:tc>
        <w:sdt>
          <w:sdtPr>
            <w:id w:val="2043168001"/>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C7AD43B" w14:textId="77777777" w:rsidR="00211DD9" w:rsidRPr="00C75B05" w:rsidRDefault="00211DD9" w:rsidP="00211DD9">
                <w:pPr>
                  <w:jc w:val="center"/>
                </w:pPr>
                <w:r w:rsidRPr="00C75B05">
                  <w:rPr>
                    <w:rFonts w:ascii="Segoe UI Symbol" w:eastAsia="MS Gothic" w:hAnsi="Segoe UI Symbol" w:cs="Segoe UI Symbol"/>
                  </w:rPr>
                  <w:t>☒</w:t>
                </w:r>
              </w:p>
            </w:tc>
          </w:sdtContent>
        </w:sdt>
        <w:tc>
          <w:tcPr>
            <w:tcW w:w="423"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4F2C9CFF" w14:textId="77777777" w:rsidR="00211DD9" w:rsidRPr="00C75B05" w:rsidRDefault="00211DD9" w:rsidP="00211DD9">
            <w:r w:rsidRPr="00C75B05">
              <w:t>MRG</w:t>
            </w:r>
          </w:p>
          <w:p w14:paraId="7D8FBA00" w14:textId="77777777" w:rsidR="00211DD9" w:rsidRPr="00C75B05" w:rsidRDefault="00211DD9" w:rsidP="00211DD9">
            <w:r w:rsidRPr="00C75B05">
              <w:t>09/03/17</w:t>
            </w:r>
          </w:p>
        </w:tc>
      </w:tr>
    </w:tbl>
    <w:p w14:paraId="53C7F458" w14:textId="77777777" w:rsidR="00211DD9" w:rsidRPr="00C75B05" w:rsidRDefault="00211DD9" w:rsidP="00211DD9"/>
    <w:tbl>
      <w:tblPr>
        <w:tblStyle w:val="TableGrid"/>
        <w:tblW w:w="5000" w:type="pct"/>
        <w:tblLook w:val="04A0" w:firstRow="1" w:lastRow="0" w:firstColumn="1" w:lastColumn="0" w:noHBand="0" w:noVBand="1"/>
      </w:tblPr>
      <w:tblGrid>
        <w:gridCol w:w="837"/>
        <w:gridCol w:w="4222"/>
        <w:gridCol w:w="1318"/>
        <w:gridCol w:w="4502"/>
        <w:gridCol w:w="1268"/>
        <w:gridCol w:w="1195"/>
        <w:gridCol w:w="1236"/>
      </w:tblGrid>
      <w:tr w:rsidR="00FE4918" w:rsidRPr="00C75B05" w14:paraId="7A3620C5" w14:textId="77777777" w:rsidTr="00FE4918">
        <w:tc>
          <w:tcPr>
            <w:tcW w:w="287" w:type="pct"/>
            <w:tcBorders>
              <w:top w:val="nil"/>
              <w:left w:val="nil"/>
              <w:bottom w:val="single" w:sz="4" w:space="0" w:color="DBE5F1" w:themeColor="accent1" w:themeTint="33"/>
              <w:right w:val="single" w:sz="4" w:space="0" w:color="DBE5F1" w:themeColor="accent1" w:themeTint="33"/>
            </w:tcBorders>
            <w:vAlign w:val="center"/>
          </w:tcPr>
          <w:p w14:paraId="0D11DDD4" w14:textId="77777777" w:rsidR="00FE4918" w:rsidRPr="00C75B05" w:rsidRDefault="00FE4918" w:rsidP="00FE4918">
            <w:pPr>
              <w:rPr>
                <w:b/>
                <w:i/>
              </w:rPr>
            </w:pP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tcPr>
          <w:p w14:paraId="0177B402" w14:textId="1B7AE1AB" w:rsidR="00FE4918" w:rsidRPr="00C75B05" w:rsidRDefault="00FE4918" w:rsidP="00FE4918">
            <w:pPr>
              <w:rPr>
                <w:b/>
                <w:i/>
              </w:rPr>
            </w:pPr>
            <w:r w:rsidRPr="00C75B05">
              <w:rPr>
                <w:b/>
              </w:rPr>
              <w:t>Risks and Usefulness</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84167B9" w14:textId="77777777" w:rsidR="00FE4918" w:rsidRPr="00C75B05" w:rsidRDefault="00FE4918" w:rsidP="00FE4918">
            <w:pPr>
              <w:rPr>
                <w:b/>
                <w:i/>
              </w:rPr>
            </w:pP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30350A7D" w14:textId="77777777" w:rsidR="00FE4918" w:rsidRPr="00C75B05" w:rsidRDefault="00FE4918" w:rsidP="00FE4918">
            <w:pPr>
              <w:rPr>
                <w:b/>
                <w:i/>
              </w:rPr>
            </w:pP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7DE01A06" w14:textId="77777777" w:rsidR="00FE4918" w:rsidRPr="00C75B05" w:rsidRDefault="00FE4918" w:rsidP="00FE4918">
            <w:pPr>
              <w:rPr>
                <w:b/>
                <w:i/>
              </w:rPr>
            </w:pP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1953565D" w14:textId="77777777" w:rsidR="00FE4918" w:rsidRPr="00C75B05" w:rsidRDefault="00FE4918" w:rsidP="00FE4918">
            <w:pPr>
              <w:rPr>
                <w:b/>
                <w:i/>
              </w:rPr>
            </w:pPr>
          </w:p>
        </w:tc>
        <w:tc>
          <w:tcPr>
            <w:tcW w:w="424" w:type="pct"/>
            <w:tcBorders>
              <w:top w:val="nil"/>
              <w:left w:val="single" w:sz="4" w:space="0" w:color="DBE5F1" w:themeColor="accent1" w:themeTint="33"/>
              <w:bottom w:val="single" w:sz="4" w:space="0" w:color="DBE5F1" w:themeColor="accent1" w:themeTint="33"/>
              <w:right w:val="nil"/>
            </w:tcBorders>
            <w:vAlign w:val="center"/>
          </w:tcPr>
          <w:p w14:paraId="2D24DCC4" w14:textId="77777777" w:rsidR="00FE4918" w:rsidRPr="00C75B05" w:rsidRDefault="00FE4918" w:rsidP="00FE4918">
            <w:pPr>
              <w:rPr>
                <w:b/>
                <w:i/>
              </w:rPr>
            </w:pPr>
          </w:p>
        </w:tc>
      </w:tr>
      <w:tr w:rsidR="00FE4918" w:rsidRPr="00C75B05" w14:paraId="7B850138" w14:textId="77777777" w:rsidTr="00FE4918">
        <w:tc>
          <w:tcPr>
            <w:tcW w:w="287" w:type="pct"/>
            <w:tcBorders>
              <w:top w:val="nil"/>
              <w:left w:val="nil"/>
              <w:bottom w:val="single" w:sz="4" w:space="0" w:color="DBE5F1" w:themeColor="accent1" w:themeTint="33"/>
              <w:right w:val="single" w:sz="4" w:space="0" w:color="DBE5F1" w:themeColor="accent1" w:themeTint="33"/>
            </w:tcBorders>
            <w:vAlign w:val="center"/>
          </w:tcPr>
          <w:p w14:paraId="6CE0BA3D" w14:textId="77777777" w:rsidR="00FE4918" w:rsidRPr="00C75B05" w:rsidRDefault="00FE4918" w:rsidP="00FE4918">
            <w:pPr>
              <w:rPr>
                <w:b/>
                <w:i/>
              </w:rPr>
            </w:pPr>
            <w:r w:rsidRPr="00C75B05">
              <w:rPr>
                <w:b/>
                <w:i/>
              </w:rPr>
              <w:t>Rec. no</w:t>
            </w:r>
          </w:p>
        </w:tc>
        <w:tc>
          <w:tcPr>
            <w:tcW w:w="1448"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455A26F" w14:textId="77777777" w:rsidR="00FE4918" w:rsidRPr="00C75B05" w:rsidRDefault="00FE4918" w:rsidP="00FE4918">
            <w:pPr>
              <w:rPr>
                <w:b/>
                <w:i/>
              </w:rPr>
            </w:pPr>
            <w:r w:rsidRPr="00C75B05">
              <w:rPr>
                <w:b/>
                <w:i/>
              </w:rPr>
              <w:t>Issue or recommendation</w:t>
            </w:r>
          </w:p>
        </w:tc>
        <w:tc>
          <w:tcPr>
            <w:tcW w:w="452"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644541EE" w14:textId="77777777" w:rsidR="00FE4918" w:rsidRPr="00C75B05" w:rsidRDefault="00FE4918" w:rsidP="00FE4918">
            <w:pPr>
              <w:rPr>
                <w:b/>
                <w:i/>
              </w:rPr>
            </w:pPr>
            <w:r w:rsidRPr="00C75B05">
              <w:rPr>
                <w:b/>
                <w:i/>
              </w:rPr>
              <w:t>Raised by / Date</w:t>
            </w:r>
          </w:p>
        </w:tc>
        <w:tc>
          <w:tcPr>
            <w:tcW w:w="1544"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4FFF3DD9" w14:textId="77777777" w:rsidR="00FE4918" w:rsidRPr="00C75B05" w:rsidRDefault="00FE4918" w:rsidP="00FE4918">
            <w:pPr>
              <w:rPr>
                <w:b/>
                <w:i/>
              </w:rPr>
            </w:pPr>
            <w:r w:rsidRPr="00C75B05">
              <w:rPr>
                <w:b/>
                <w:i/>
              </w:rPr>
              <w:t>Response or Action taken by applicant</w:t>
            </w:r>
          </w:p>
        </w:tc>
        <w:tc>
          <w:tcPr>
            <w:tcW w:w="435"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0DF48760" w14:textId="77777777" w:rsidR="00FE4918" w:rsidRPr="00C75B05" w:rsidRDefault="00FE4918" w:rsidP="00FE4918">
            <w:pPr>
              <w:rPr>
                <w:b/>
                <w:i/>
              </w:rPr>
            </w:pPr>
            <w:r w:rsidRPr="00C75B05">
              <w:rPr>
                <w:b/>
                <w:i/>
              </w:rPr>
              <w:t>Response date</w:t>
            </w:r>
          </w:p>
        </w:tc>
        <w:tc>
          <w:tcPr>
            <w:tcW w:w="410" w:type="pct"/>
            <w:tcBorders>
              <w:top w:val="nil"/>
              <w:left w:val="single" w:sz="4" w:space="0" w:color="DBE5F1" w:themeColor="accent1" w:themeTint="33"/>
              <w:bottom w:val="single" w:sz="4" w:space="0" w:color="DBE5F1" w:themeColor="accent1" w:themeTint="33"/>
              <w:right w:val="single" w:sz="4" w:space="0" w:color="DBE5F1" w:themeColor="accent1" w:themeTint="33"/>
            </w:tcBorders>
            <w:vAlign w:val="center"/>
          </w:tcPr>
          <w:p w14:paraId="78FA23AC" w14:textId="77777777" w:rsidR="00FE4918" w:rsidRPr="00C75B05" w:rsidRDefault="00FE4918" w:rsidP="00FE4918">
            <w:pPr>
              <w:rPr>
                <w:b/>
                <w:i/>
              </w:rPr>
            </w:pPr>
            <w:r w:rsidRPr="00C75B05">
              <w:rPr>
                <w:b/>
                <w:i/>
              </w:rPr>
              <w:t>Resolved</w:t>
            </w:r>
          </w:p>
        </w:tc>
        <w:tc>
          <w:tcPr>
            <w:tcW w:w="424" w:type="pct"/>
            <w:tcBorders>
              <w:top w:val="nil"/>
              <w:left w:val="single" w:sz="4" w:space="0" w:color="DBE5F1" w:themeColor="accent1" w:themeTint="33"/>
              <w:bottom w:val="single" w:sz="4" w:space="0" w:color="DBE5F1" w:themeColor="accent1" w:themeTint="33"/>
              <w:right w:val="nil"/>
            </w:tcBorders>
            <w:vAlign w:val="center"/>
          </w:tcPr>
          <w:p w14:paraId="2F37675C" w14:textId="77777777" w:rsidR="00FE4918" w:rsidRPr="00C75B05" w:rsidRDefault="00FE4918" w:rsidP="00FE4918">
            <w:pPr>
              <w:rPr>
                <w:b/>
                <w:i/>
              </w:rPr>
            </w:pPr>
            <w:r w:rsidRPr="00C75B05">
              <w:rPr>
                <w:b/>
                <w:i/>
              </w:rPr>
              <w:t>Sign off by / Date</w:t>
            </w:r>
          </w:p>
        </w:tc>
      </w:tr>
      <w:tr w:rsidR="00FE4918" w:rsidRPr="00C75B05" w14:paraId="4793626E"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388CC884" w14:textId="77777777" w:rsidR="00FE4918" w:rsidRPr="00C75B05" w:rsidRDefault="00FE4918" w:rsidP="00FE4918">
            <w:r w:rsidRPr="00C75B05">
              <w:t>6a</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BF53D82" w14:textId="77777777" w:rsidR="00FE4918" w:rsidRPr="00C75B05" w:rsidRDefault="00FE4918" w:rsidP="00FE4918">
            <w:r w:rsidRPr="00C75B05">
              <w:t>In 6.3, MRG ask that the following text be removed</w:t>
            </w:r>
          </w:p>
          <w:p w14:paraId="5A4557A0" w14:textId="77777777" w:rsidR="00FE4918" w:rsidRPr="00C75B05" w:rsidRDefault="00FE4918" w:rsidP="00FE4918">
            <w:r w:rsidRPr="00C75B05">
              <w:t>“Similarly, for providers, avoidance of recording a breach would be reflected in poorer patient experience scores.”</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13F8631" w14:textId="77777777" w:rsidR="00FE4918" w:rsidRPr="00C75B05" w:rsidRDefault="00FE4918" w:rsidP="00FE4918">
            <w:r w:rsidRPr="00C75B05">
              <w:t>09/03/2017</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6D0BE34F" w14:textId="77777777" w:rsidR="00FE4918" w:rsidRPr="00C75B05" w:rsidRDefault="00FE4918" w:rsidP="00FE4918"/>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C1C41E9" w14:textId="77777777" w:rsidR="00FE4918" w:rsidRPr="00C75B05" w:rsidRDefault="00FE4918" w:rsidP="00FE4918"/>
        </w:tc>
        <w:sdt>
          <w:sdtPr>
            <w:id w:val="-984923791"/>
            <w14:checkbox>
              <w14:checked w14:val="0"/>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3197D5B" w14:textId="77777777" w:rsidR="00FE4918" w:rsidRPr="00C75B05" w:rsidRDefault="00FE4918" w:rsidP="00FE4918">
                <w:pPr>
                  <w:jc w:val="center"/>
                </w:pPr>
                <w:r w:rsidRPr="00C75B05">
                  <w:rPr>
                    <w:rFonts w:ascii="Segoe UI Symbol" w:eastAsia="MS Gothic" w:hAnsi="Segoe UI Symbol" w:cs="Segoe UI Symbol"/>
                  </w:rPr>
                  <w:t>☐</w:t>
                </w:r>
              </w:p>
            </w:tc>
          </w:sdtContent>
        </w:sdt>
        <w:tc>
          <w:tcPr>
            <w:tcW w:w="424"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63EAF3AF" w14:textId="77777777" w:rsidR="00FE4918" w:rsidRPr="00C75B05" w:rsidRDefault="00FE4918" w:rsidP="00FE4918"/>
        </w:tc>
      </w:tr>
      <w:tr w:rsidR="00FE4918" w:rsidRPr="00C75B05" w14:paraId="1E598E1A"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7C33F857" w14:textId="77777777" w:rsidR="00FE4918" w:rsidRPr="00C75B05" w:rsidRDefault="00FE4918" w:rsidP="00FE4918">
            <w:r w:rsidRPr="00C75B05">
              <w:t>6b</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0CB0E66" w14:textId="77777777" w:rsidR="00FE4918" w:rsidRPr="00C75B05" w:rsidRDefault="00FE4918" w:rsidP="00FE4918">
            <w:r w:rsidRPr="00C75B05">
              <w:t xml:space="preserve">MRG discussed that the risk that waiting lists could be managed in a way which is not based on clinical need would be a major concern (section 6.3), however unlikely. It is asked that this risk, </w:t>
            </w:r>
            <w:r w:rsidRPr="00C75B05">
              <w:lastRenderedPageBreak/>
              <w:t xml:space="preserve">likelihood of occurrence and any mitigation in place is included in the application form. </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8F4555E" w14:textId="77777777" w:rsidR="00FE4918" w:rsidRPr="00C75B05" w:rsidRDefault="00FE4918" w:rsidP="00FE4918">
            <w:r w:rsidRPr="00C75B05">
              <w:lastRenderedPageBreak/>
              <w:t>08/12/16</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107BC9CC" w14:textId="77777777" w:rsidR="00FE4918" w:rsidRPr="00C75B05" w:rsidRDefault="00FE4918" w:rsidP="00FE4918">
            <w:r w:rsidRPr="00C75B05">
              <w:t xml:space="preserve">Added comments on why this is unlikely to happen and some existing evidence. </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77F957FF" w14:textId="77777777" w:rsidR="00FE4918" w:rsidRPr="00C75B05" w:rsidRDefault="00FE4918" w:rsidP="00FE4918">
            <w:r w:rsidRPr="00C75B05">
              <w:t>03/03/17</w:t>
            </w:r>
          </w:p>
        </w:tc>
        <w:sdt>
          <w:sdtPr>
            <w:id w:val="2038770715"/>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3B1B704" w14:textId="77777777" w:rsidR="00FE4918" w:rsidRPr="00C75B05" w:rsidRDefault="00FE4918" w:rsidP="00FE4918">
                <w:pPr>
                  <w:jc w:val="center"/>
                </w:pPr>
                <w:r w:rsidRPr="00C75B05">
                  <w:rPr>
                    <w:rFonts w:ascii="Segoe UI Symbol" w:eastAsia="MS Gothic" w:hAnsi="Segoe UI Symbol" w:cs="Segoe UI Symbol"/>
                  </w:rPr>
                  <w:t>☒</w:t>
                </w:r>
              </w:p>
            </w:tc>
          </w:sdtContent>
        </w:sdt>
        <w:tc>
          <w:tcPr>
            <w:tcW w:w="424"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43C6E527" w14:textId="77777777" w:rsidR="00FE4918" w:rsidRPr="00C75B05" w:rsidRDefault="00FE4918" w:rsidP="00FE4918">
            <w:r w:rsidRPr="00C75B05">
              <w:t>MRG</w:t>
            </w:r>
          </w:p>
          <w:p w14:paraId="4051D4B2" w14:textId="77777777" w:rsidR="00FE4918" w:rsidRPr="00C75B05" w:rsidRDefault="00FE4918" w:rsidP="00FE4918">
            <w:r w:rsidRPr="00C75B05">
              <w:t>09/03/17</w:t>
            </w:r>
          </w:p>
        </w:tc>
      </w:tr>
      <w:tr w:rsidR="00FE4918" w:rsidRPr="00C75B05" w14:paraId="6BA9A4A3" w14:textId="77777777" w:rsidTr="00FE4918">
        <w:tc>
          <w:tcPr>
            <w:tcW w:w="287" w:type="pct"/>
            <w:tcBorders>
              <w:top w:val="single" w:sz="4" w:space="0" w:color="DBE5F1" w:themeColor="accent1" w:themeTint="33"/>
              <w:left w:val="nil"/>
              <w:bottom w:val="single" w:sz="4" w:space="0" w:color="DBE5F1" w:themeColor="accent1" w:themeTint="33"/>
              <w:right w:val="single" w:sz="4" w:space="0" w:color="DBE5F1" w:themeColor="accent1" w:themeTint="33"/>
            </w:tcBorders>
          </w:tcPr>
          <w:p w14:paraId="6CAD4253" w14:textId="77777777" w:rsidR="00FE4918" w:rsidRPr="00C75B05" w:rsidRDefault="00FE4918" w:rsidP="00FE4918">
            <w:r w:rsidRPr="00C75B05">
              <w:t>6c</w:t>
            </w:r>
          </w:p>
        </w:tc>
        <w:tc>
          <w:tcPr>
            <w:tcW w:w="144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DD663E9" w14:textId="77777777" w:rsidR="00FE4918" w:rsidRPr="00C75B05" w:rsidRDefault="00FE4918" w:rsidP="00FE4918">
            <w:r w:rsidRPr="00C75B05">
              <w:t>MRG asks the applicants to reference other existing indicators in section 6.1, such as the 31 day waiting time indicator for rare cancers and the waiting time from referral to first seen indicator. Any differences between these indicators, such as cancers covered, should be included in 6.2.</w:t>
            </w:r>
          </w:p>
        </w:tc>
        <w:tc>
          <w:tcPr>
            <w:tcW w:w="452"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4C3C1EE" w14:textId="77777777" w:rsidR="00FE4918" w:rsidRPr="00C75B05" w:rsidRDefault="00FE4918" w:rsidP="00FE4918">
            <w:r w:rsidRPr="00C75B05">
              <w:t>08/12/16</w:t>
            </w:r>
          </w:p>
        </w:tc>
        <w:tc>
          <w:tcPr>
            <w:tcW w:w="1544"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54F38A99" w14:textId="77777777" w:rsidR="00FE4918" w:rsidRPr="00C75B05" w:rsidRDefault="00FE4918" w:rsidP="00FE4918">
            <w:r w:rsidRPr="00C75B05">
              <w:t>Added information as requested.</w:t>
            </w:r>
          </w:p>
        </w:tc>
        <w:tc>
          <w:tcPr>
            <w:tcW w:w="435"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E18DFD5" w14:textId="77777777" w:rsidR="00FE4918" w:rsidRPr="00C75B05" w:rsidRDefault="00FE4918" w:rsidP="00FE4918">
            <w:r w:rsidRPr="00C75B05">
              <w:t>03/03/17</w:t>
            </w:r>
          </w:p>
        </w:tc>
        <w:sdt>
          <w:sdtPr>
            <w:id w:val="1241456050"/>
            <w14:checkbox>
              <w14:checked w14:val="1"/>
              <w14:checkedState w14:val="2612" w14:font="MS Gothic"/>
              <w14:uncheckedState w14:val="2610" w14:font="MS Gothic"/>
            </w14:checkbox>
          </w:sdtPr>
          <w:sdtEndPr/>
          <w:sdtContent>
            <w:tc>
              <w:tcPr>
                <w:tcW w:w="41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B4FB676" w14:textId="77777777" w:rsidR="00FE4918" w:rsidRPr="00C75B05" w:rsidRDefault="00FE4918" w:rsidP="00FE4918">
                <w:pPr>
                  <w:jc w:val="center"/>
                </w:pPr>
                <w:r w:rsidRPr="00C75B05">
                  <w:rPr>
                    <w:rFonts w:ascii="Segoe UI Symbol" w:eastAsia="MS Gothic" w:hAnsi="Segoe UI Symbol" w:cs="Segoe UI Symbol"/>
                  </w:rPr>
                  <w:t>☒</w:t>
                </w:r>
              </w:p>
            </w:tc>
          </w:sdtContent>
        </w:sdt>
        <w:tc>
          <w:tcPr>
            <w:tcW w:w="424" w:type="pct"/>
            <w:tcBorders>
              <w:top w:val="single" w:sz="4" w:space="0" w:color="DBE5F1" w:themeColor="accent1" w:themeTint="33"/>
              <w:left w:val="single" w:sz="4" w:space="0" w:color="DBE5F1" w:themeColor="accent1" w:themeTint="33"/>
              <w:bottom w:val="single" w:sz="4" w:space="0" w:color="DBE5F1" w:themeColor="accent1" w:themeTint="33"/>
              <w:right w:val="nil"/>
            </w:tcBorders>
          </w:tcPr>
          <w:p w14:paraId="7C179CAA" w14:textId="77777777" w:rsidR="00FE4918" w:rsidRPr="00C75B05" w:rsidRDefault="00FE4918" w:rsidP="00FE4918">
            <w:r w:rsidRPr="00C75B05">
              <w:t>MRG</w:t>
            </w:r>
          </w:p>
          <w:p w14:paraId="30E210C2" w14:textId="77777777" w:rsidR="00FE4918" w:rsidRPr="00C75B05" w:rsidRDefault="00FE4918" w:rsidP="00FE4918">
            <w:r w:rsidRPr="00C75B05">
              <w:t>09/03/17</w:t>
            </w:r>
          </w:p>
        </w:tc>
      </w:tr>
    </w:tbl>
    <w:p w14:paraId="34D5F685" w14:textId="77777777" w:rsidR="00211DD9" w:rsidRDefault="00211DD9" w:rsidP="00211DD9"/>
    <w:p w14:paraId="513BF336" w14:textId="77777777" w:rsidR="00FE4918" w:rsidRDefault="00FE4918" w:rsidP="00211DD9"/>
    <w:p w14:paraId="03EE32FE" w14:textId="77777777" w:rsidR="00FE4918" w:rsidRDefault="00FE4918" w:rsidP="00FE4918">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NHS Digital.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6426DB9D" w14:textId="77777777" w:rsidR="00FE4918" w:rsidRDefault="00FE4918" w:rsidP="00FE4918">
      <w:pPr>
        <w:rPr>
          <w:rFonts w:cstheme="minorHAnsi"/>
          <w:b/>
          <w:color w:val="1F497D" w:themeColor="text2"/>
        </w:rPr>
      </w:pPr>
    </w:p>
    <w:p w14:paraId="41C40FB8" w14:textId="77777777" w:rsidR="00FE4918" w:rsidRDefault="00FE4918" w:rsidP="00FE4918">
      <w:pPr>
        <w:rPr>
          <w:rFonts w:cstheme="minorHAnsi"/>
          <w:b/>
          <w:color w:val="1F497D" w:themeColor="text2"/>
        </w:rPr>
      </w:pPr>
      <w:r>
        <w:rPr>
          <w:rFonts w:cstheme="minorHAnsi"/>
          <w:b/>
          <w:color w:val="1F497D" w:themeColor="text2"/>
        </w:rPr>
        <w:t>Indicator and Methodology Assurance Service</w:t>
      </w:r>
    </w:p>
    <w:p w14:paraId="199BDF16" w14:textId="77777777" w:rsidR="00FE4918" w:rsidRDefault="00FE4918" w:rsidP="00FE4918">
      <w:pPr>
        <w:rPr>
          <w:rFonts w:cstheme="minorHAnsi"/>
          <w:b/>
          <w:color w:val="1F497D" w:themeColor="text2"/>
        </w:rPr>
      </w:pPr>
      <w:r>
        <w:rPr>
          <w:rFonts w:cstheme="minorHAnsi"/>
          <w:b/>
          <w:color w:val="1F497D" w:themeColor="text2"/>
        </w:rPr>
        <w:t>NHS Digital</w:t>
      </w:r>
    </w:p>
    <w:p w14:paraId="0BCA0F49" w14:textId="77777777" w:rsidR="00FE4918" w:rsidRDefault="00FE4918" w:rsidP="00FE4918">
      <w:pPr>
        <w:rPr>
          <w:rFonts w:cstheme="minorHAnsi"/>
          <w:b/>
          <w:color w:val="1F497D" w:themeColor="text2"/>
        </w:rPr>
      </w:pPr>
      <w:r>
        <w:rPr>
          <w:rFonts w:cstheme="minorHAnsi"/>
          <w:b/>
          <w:color w:val="1F497D" w:themeColor="text2"/>
        </w:rPr>
        <w:t>1 Trevelyan Square, Boar Lane,</w:t>
      </w:r>
    </w:p>
    <w:p w14:paraId="61B91126" w14:textId="77777777" w:rsidR="00FE4918" w:rsidRDefault="00FE4918" w:rsidP="00FE4918">
      <w:pPr>
        <w:rPr>
          <w:rFonts w:cstheme="minorHAnsi"/>
          <w:b/>
          <w:color w:val="1F497D" w:themeColor="text2"/>
        </w:rPr>
      </w:pPr>
      <w:r>
        <w:rPr>
          <w:rFonts w:cstheme="minorHAnsi"/>
          <w:b/>
          <w:color w:val="1F497D" w:themeColor="text2"/>
        </w:rPr>
        <w:t xml:space="preserve">LEEDS </w:t>
      </w:r>
    </w:p>
    <w:p w14:paraId="13D3D066" w14:textId="77777777" w:rsidR="00FE4918" w:rsidRDefault="00FE4918" w:rsidP="00FE4918">
      <w:pPr>
        <w:rPr>
          <w:rFonts w:cstheme="minorHAnsi"/>
          <w:b/>
          <w:color w:val="1F497D" w:themeColor="text2"/>
        </w:rPr>
      </w:pPr>
      <w:r>
        <w:rPr>
          <w:rFonts w:cstheme="minorHAnsi"/>
          <w:b/>
          <w:color w:val="1F497D" w:themeColor="text2"/>
        </w:rPr>
        <w:t>LS1 6AE.</w:t>
      </w:r>
    </w:p>
    <w:p w14:paraId="3FEE9A9E" w14:textId="77777777" w:rsidR="00FE4918" w:rsidRDefault="00FE4918" w:rsidP="00FE4918">
      <w:pPr>
        <w:rPr>
          <w:rFonts w:cstheme="minorHAnsi"/>
          <w:b/>
          <w:color w:val="1F497D" w:themeColor="text2"/>
        </w:rPr>
      </w:pPr>
    </w:p>
    <w:p w14:paraId="3FAE76C4" w14:textId="77777777" w:rsidR="00FE4918" w:rsidRDefault="00FE4918" w:rsidP="00FE4918">
      <w:pPr>
        <w:rPr>
          <w:rFonts w:cstheme="minorHAnsi"/>
          <w:b/>
          <w:color w:val="1F497D" w:themeColor="text2"/>
        </w:rPr>
      </w:pPr>
      <w:r>
        <w:rPr>
          <w:rFonts w:cstheme="minorHAnsi"/>
          <w:b/>
          <w:color w:val="1F497D" w:themeColor="text2"/>
        </w:rPr>
        <w:t xml:space="preserve">Email: </w:t>
      </w:r>
      <w:hyperlink r:id="rId25" w:history="1">
        <w:r w:rsidRPr="00DE688F">
          <w:rPr>
            <w:rStyle w:val="Hyperlink"/>
            <w:rFonts w:cstheme="minorHAnsi"/>
            <w:b/>
          </w:rPr>
          <w:t>indicator.assurance@nhs.net</w:t>
        </w:r>
      </w:hyperlink>
    </w:p>
    <w:p w14:paraId="661DE9F6" w14:textId="7E142C45" w:rsidR="00FE4918" w:rsidRPr="00FE4918" w:rsidRDefault="00FE4918" w:rsidP="00211DD9">
      <w:pPr>
        <w:rPr>
          <w:rFonts w:cstheme="minorHAnsi"/>
          <w:b/>
          <w:color w:val="1F497D" w:themeColor="text2"/>
        </w:rPr>
        <w:sectPr w:rsidR="00FE4918" w:rsidRPr="00FE4918" w:rsidSect="00211DD9">
          <w:headerReference w:type="default" r:id="rId26"/>
          <w:pgSz w:w="16838" w:h="11906" w:orient="landscape"/>
          <w:pgMar w:top="851" w:right="820" w:bottom="426" w:left="1440" w:header="851" w:footer="709" w:gutter="0"/>
          <w:cols w:space="708"/>
          <w:docGrid w:linePitch="360"/>
        </w:sectPr>
      </w:pPr>
      <w:r>
        <w:rPr>
          <w:rFonts w:cstheme="minorHAnsi"/>
          <w:b/>
          <w:color w:val="1F497D" w:themeColor="text2"/>
        </w:rPr>
        <w:t xml:space="preserve">Website: </w:t>
      </w:r>
      <w:hyperlink r:id="rId27" w:history="1">
        <w:r w:rsidRPr="00195C54">
          <w:rPr>
            <w:rStyle w:val="Hyperlink"/>
            <w:rFonts w:cstheme="minorHAnsi"/>
            <w:b/>
          </w:rPr>
          <w:t>http://www.hscic.gov.uk/article/1674/Indicator-Assurance-Service</w:t>
        </w:r>
      </w:hyperlink>
    </w:p>
    <w:p w14:paraId="43D6ADE1" w14:textId="77777777" w:rsidR="00173180" w:rsidRPr="00C75B05" w:rsidRDefault="00173180" w:rsidP="00FE4918">
      <w:pPr>
        <w:rPr>
          <w:b/>
        </w:rPr>
      </w:pPr>
    </w:p>
    <w:sectPr w:rsidR="00173180" w:rsidRPr="00C75B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D2813" w14:textId="77777777" w:rsidR="00C20F5C" w:rsidRDefault="00C20F5C" w:rsidP="0098663E">
      <w:r>
        <w:separator/>
      </w:r>
    </w:p>
  </w:endnote>
  <w:endnote w:type="continuationSeparator" w:id="0">
    <w:p w14:paraId="13057848" w14:textId="77777777" w:rsidR="00C20F5C" w:rsidRDefault="00C20F5C" w:rsidP="0098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28C01" w14:textId="3D97E266" w:rsidR="00C20F5C" w:rsidRDefault="00C20F5C">
    <w:pPr>
      <w:pStyle w:val="Footer"/>
      <w:jc w:val="right"/>
    </w:pPr>
  </w:p>
  <w:sdt>
    <w:sdtPr>
      <w:rPr>
        <w:rFonts w:cs="Arial"/>
        <w:color w:val="auto"/>
        <w:sz w:val="18"/>
        <w:szCs w:val="18"/>
      </w:rPr>
      <w:id w:val="-861506761"/>
      <w:docPartObj>
        <w:docPartGallery w:val="Page Numbers (Bottom of Page)"/>
        <w:docPartUnique/>
      </w:docPartObj>
    </w:sdtPr>
    <w:sdtEndPr>
      <w:rPr>
        <w:noProof/>
      </w:rPr>
    </w:sdtEndPr>
    <w:sdtContent>
      <w:p w14:paraId="37A30228" w14:textId="30E8DF7C" w:rsidR="00C20F5C" w:rsidRPr="00C75B05" w:rsidRDefault="00C20F5C" w:rsidP="00C75B05">
        <w:pPr>
          <w:pStyle w:val="Footer"/>
          <w:tabs>
            <w:tab w:val="left" w:pos="426"/>
          </w:tabs>
          <w:rPr>
            <w:rFonts w:cs="Arial"/>
            <w:color w:val="auto"/>
            <w:sz w:val="18"/>
            <w:szCs w:val="18"/>
          </w:rPr>
        </w:pPr>
        <w:r w:rsidRPr="00C75B05">
          <w:rPr>
            <w:rFonts w:cs="Arial"/>
            <w:color w:val="auto"/>
            <w:sz w:val="18"/>
            <w:szCs w:val="18"/>
          </w:rPr>
          <w:t>IAP00440 Supporting documentation</w:t>
        </w:r>
      </w:p>
      <w:p w14:paraId="03968BC8" w14:textId="046BD622" w:rsidR="00C20F5C" w:rsidRPr="00C75B05" w:rsidRDefault="00C20F5C" w:rsidP="00C75B05">
        <w:pPr>
          <w:pStyle w:val="Footer"/>
          <w:tabs>
            <w:tab w:val="left" w:pos="426"/>
          </w:tabs>
          <w:rPr>
            <w:rFonts w:cs="Arial"/>
            <w:color w:val="auto"/>
            <w:sz w:val="18"/>
            <w:szCs w:val="18"/>
          </w:rPr>
        </w:pPr>
        <w:r w:rsidRPr="00C75B05">
          <w:rPr>
            <w:rFonts w:cs="Arial"/>
            <w:color w:val="auto"/>
            <w:sz w:val="18"/>
            <w:szCs w:val="18"/>
          </w:rPr>
          <w:t>Copyright © 2019 NHS Digital</w:t>
        </w:r>
        <w:r w:rsidRPr="00C75B05">
          <w:rPr>
            <w:rFonts w:cs="Arial"/>
            <w:color w:val="auto"/>
            <w:sz w:val="18"/>
            <w:szCs w:val="18"/>
          </w:rPr>
          <w:tab/>
        </w:r>
        <w:r w:rsidRPr="00C75B05">
          <w:rPr>
            <w:rFonts w:cs="Arial"/>
            <w:color w:val="auto"/>
            <w:sz w:val="18"/>
            <w:szCs w:val="18"/>
          </w:rPr>
          <w:fldChar w:fldCharType="begin"/>
        </w:r>
        <w:r w:rsidRPr="00C75B05">
          <w:rPr>
            <w:rFonts w:cs="Arial"/>
            <w:color w:val="auto"/>
            <w:sz w:val="18"/>
            <w:szCs w:val="18"/>
          </w:rPr>
          <w:instrText xml:space="preserve"> PAGE   \* MERGEFORMAT </w:instrText>
        </w:r>
        <w:r w:rsidRPr="00C75B05">
          <w:rPr>
            <w:rFonts w:cs="Arial"/>
            <w:color w:val="auto"/>
            <w:sz w:val="18"/>
            <w:szCs w:val="18"/>
          </w:rPr>
          <w:fldChar w:fldCharType="separate"/>
        </w:r>
        <w:r w:rsidRPr="00C75B05">
          <w:rPr>
            <w:rFonts w:cs="Arial"/>
            <w:color w:val="auto"/>
            <w:sz w:val="18"/>
            <w:szCs w:val="18"/>
          </w:rPr>
          <w:t>1</w:t>
        </w:r>
        <w:r w:rsidRPr="00C75B05">
          <w:rPr>
            <w:rFonts w:cs="Arial"/>
            <w:noProof/>
            <w:color w:val="auto"/>
            <w:sz w:val="18"/>
            <w:szCs w:val="18"/>
          </w:rPr>
          <w:fldChar w:fldCharType="end"/>
        </w:r>
      </w:p>
    </w:sdtContent>
  </w:sdt>
  <w:p w14:paraId="4B65D54B" w14:textId="11244620" w:rsidR="00C20F5C" w:rsidRDefault="00C20F5C" w:rsidP="00C75B05">
    <w:pPr>
      <w:pStyle w:val="Footer"/>
      <w:tabs>
        <w:tab w:val="left" w:pos="4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4B444268" w14:textId="77777777" w:rsidR="00C20F5C" w:rsidRDefault="0074602D">
        <w:pPr>
          <w:pStyle w:val="Footer"/>
          <w:jc w:val="right"/>
        </w:pPr>
      </w:p>
    </w:sdtContent>
  </w:sdt>
  <w:p w14:paraId="14B477B6" w14:textId="77777777" w:rsidR="00C20F5C" w:rsidRDefault="00C20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C2766" w14:textId="77777777" w:rsidR="00C20F5C" w:rsidRDefault="00C20F5C" w:rsidP="0098663E">
      <w:r>
        <w:separator/>
      </w:r>
    </w:p>
  </w:footnote>
  <w:footnote w:type="continuationSeparator" w:id="0">
    <w:p w14:paraId="66F7F2B6" w14:textId="77777777" w:rsidR="00C20F5C" w:rsidRDefault="00C20F5C" w:rsidP="0098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E070" w14:textId="77777777" w:rsidR="00C20F5C" w:rsidRPr="00C75B05" w:rsidRDefault="00C20F5C" w:rsidP="00C75B05">
    <w:pPr>
      <w:pStyle w:val="Header"/>
      <w:jc w:val="center"/>
      <w:rPr>
        <w:rFonts w:ascii="Arial" w:hAnsi="Arial" w:cs="Arial"/>
        <w:b/>
        <w:bCs/>
        <w:sz w:val="24"/>
        <w:szCs w:val="24"/>
      </w:rPr>
    </w:pPr>
    <w:r w:rsidRPr="00F37180">
      <w:rPr>
        <w:rFonts w:ascii="Arial" w:hAnsi="Arial" w:cs="Arial"/>
        <w:b/>
        <w:bCs/>
        <w:sz w:val="24"/>
        <w:szCs w:val="24"/>
      </w:rPr>
      <w:t>NICE inherited this indicator and all its supporting documentation from NHS Digital on 1 April 2020</w:t>
    </w:r>
  </w:p>
  <w:p w14:paraId="0E11FF01" w14:textId="77777777" w:rsidR="00C20F5C" w:rsidRPr="000F0772" w:rsidRDefault="00C20F5C" w:rsidP="00211DD9">
    <w:pPr>
      <w:pStyle w:val="Header"/>
      <w:rPr>
        <w:rFonts w:cstheme="minorHAnsi"/>
        <w:b/>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B3" w14:textId="77777777" w:rsidR="00C20F5C" w:rsidRPr="00574969" w:rsidRDefault="00C20F5C" w:rsidP="00211DD9">
    <w:pPr>
      <w:pStyle w:val="NormalWeb"/>
      <w:spacing w:before="0" w:beforeAutospacing="0" w:after="0" w:afterAutospacing="0"/>
      <w:rPr>
        <w:rFonts w:ascii="Arial" w:eastAsia="+mn-ea" w:hAnsi="Arial" w:cs="Arial"/>
        <w:b/>
        <w:color w:val="1F497D" w:themeColor="text2"/>
        <w:position w:val="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FF70" w14:textId="77777777" w:rsidR="00FE4918" w:rsidRPr="00C75B05" w:rsidRDefault="00FE4918" w:rsidP="00FE4918">
    <w:pPr>
      <w:pStyle w:val="Header"/>
      <w:jc w:val="center"/>
      <w:rPr>
        <w:rFonts w:ascii="Arial" w:hAnsi="Arial" w:cs="Arial"/>
        <w:b/>
        <w:bCs/>
        <w:sz w:val="24"/>
        <w:szCs w:val="24"/>
      </w:rPr>
    </w:pPr>
    <w:r w:rsidRPr="00F37180">
      <w:rPr>
        <w:rFonts w:ascii="Arial" w:hAnsi="Arial" w:cs="Arial"/>
        <w:b/>
        <w:bCs/>
        <w:sz w:val="24"/>
        <w:szCs w:val="24"/>
      </w:rPr>
      <w:t>NICE inherited this indicator and all its supporting documentation from NHS Digital on 1 April 2020</w:t>
    </w:r>
  </w:p>
  <w:p w14:paraId="679BABE0" w14:textId="1EE43AC2" w:rsidR="00C20F5C" w:rsidRDefault="00C20F5C" w:rsidP="00211DD9">
    <w:pPr>
      <w:pStyle w:val="NormalWeb"/>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5409D"/>
    <w:multiLevelType w:val="hybridMultilevel"/>
    <w:tmpl w:val="2E18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10352"/>
    <w:multiLevelType w:val="hybridMultilevel"/>
    <w:tmpl w:val="0DA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55CE8"/>
    <w:multiLevelType w:val="hybridMultilevel"/>
    <w:tmpl w:val="E442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F2138E6"/>
    <w:multiLevelType w:val="hybridMultilevel"/>
    <w:tmpl w:val="F7A0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5017F"/>
    <w:multiLevelType w:val="multilevel"/>
    <w:tmpl w:val="823223DC"/>
    <w:lvl w:ilvl="0">
      <w:start w:val="1"/>
      <w:numFmt w:val="decimal"/>
      <w:lvlText w:val="Section %1."/>
      <w:lvlJc w:val="left"/>
      <w:pPr>
        <w:ind w:left="1778"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C6535"/>
    <w:rsid w:val="00110F8F"/>
    <w:rsid w:val="00131863"/>
    <w:rsid w:val="00173180"/>
    <w:rsid w:val="001C0977"/>
    <w:rsid w:val="001F70EF"/>
    <w:rsid w:val="00211DD9"/>
    <w:rsid w:val="00230D71"/>
    <w:rsid w:val="002330DA"/>
    <w:rsid w:val="002875B7"/>
    <w:rsid w:val="003046B9"/>
    <w:rsid w:val="00364D37"/>
    <w:rsid w:val="003A5F69"/>
    <w:rsid w:val="003B58F3"/>
    <w:rsid w:val="003D111D"/>
    <w:rsid w:val="00414916"/>
    <w:rsid w:val="004C64BB"/>
    <w:rsid w:val="004D65E1"/>
    <w:rsid w:val="004D79E1"/>
    <w:rsid w:val="004F28DC"/>
    <w:rsid w:val="00557D20"/>
    <w:rsid w:val="005C588F"/>
    <w:rsid w:val="005C7AAF"/>
    <w:rsid w:val="00606204"/>
    <w:rsid w:val="006A54FE"/>
    <w:rsid w:val="006B5DCF"/>
    <w:rsid w:val="006F0E9F"/>
    <w:rsid w:val="00724B3F"/>
    <w:rsid w:val="0074602D"/>
    <w:rsid w:val="00763298"/>
    <w:rsid w:val="007701E6"/>
    <w:rsid w:val="00783927"/>
    <w:rsid w:val="007C747D"/>
    <w:rsid w:val="007D537B"/>
    <w:rsid w:val="00801899"/>
    <w:rsid w:val="00824585"/>
    <w:rsid w:val="00956028"/>
    <w:rsid w:val="00986328"/>
    <w:rsid w:val="0098663E"/>
    <w:rsid w:val="009C1CA5"/>
    <w:rsid w:val="009D0B94"/>
    <w:rsid w:val="00A302E0"/>
    <w:rsid w:val="00A77D6F"/>
    <w:rsid w:val="00A8619F"/>
    <w:rsid w:val="00B00DC7"/>
    <w:rsid w:val="00B15BCE"/>
    <w:rsid w:val="00B85A4B"/>
    <w:rsid w:val="00BD69FE"/>
    <w:rsid w:val="00C20F5C"/>
    <w:rsid w:val="00C405E9"/>
    <w:rsid w:val="00C46946"/>
    <w:rsid w:val="00C75B05"/>
    <w:rsid w:val="00CA59C3"/>
    <w:rsid w:val="00CB0755"/>
    <w:rsid w:val="00CD0F59"/>
    <w:rsid w:val="00CE7846"/>
    <w:rsid w:val="00D65BE5"/>
    <w:rsid w:val="00DC46F5"/>
    <w:rsid w:val="00E55904"/>
    <w:rsid w:val="00FA224C"/>
    <w:rsid w:val="00FA67EF"/>
    <w:rsid w:val="00FE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11DD9"/>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1Char">
    <w:name w:val="Heading 1 Char"/>
    <w:basedOn w:val="DefaultParagraphFont"/>
    <w:link w:val="Heading1"/>
    <w:rsid w:val="00211DD9"/>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211DD9"/>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211DD9"/>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C75B05"/>
    <w:pPr>
      <w:spacing w:after="140"/>
      <w:textboxTightWrap w:val="lastLineOnly"/>
    </w:pPr>
    <w:rPr>
      <w:rFonts w:eastAsia="Times New Roman"/>
      <w:b/>
      <w:i/>
      <w:iCs/>
      <w:noProof/>
      <w:sz w:val="28"/>
      <w:szCs w:val="28"/>
      <w:lang w:eastAsia="en-GB"/>
    </w:rPr>
  </w:style>
  <w:style w:type="character" w:customStyle="1" w:styleId="FrontpagesubheadChar">
    <w:name w:val="Frontpage_subhead Char"/>
    <w:basedOn w:val="DefaultParagraphFont"/>
    <w:link w:val="Frontpagesubhead"/>
    <w:rsid w:val="00C75B05"/>
    <w:rPr>
      <w:rFonts w:eastAsia="Times New Roman"/>
      <w:b/>
      <w:i/>
      <w:iCs/>
      <w:noProof/>
      <w:sz w:val="28"/>
      <w:szCs w:val="28"/>
      <w:lang w:eastAsia="en-GB"/>
    </w:rPr>
  </w:style>
  <w:style w:type="paragraph" w:styleId="Footer">
    <w:name w:val="footer"/>
    <w:basedOn w:val="Normal"/>
    <w:link w:val="FooterChar"/>
    <w:autoRedefine/>
    <w:uiPriority w:val="99"/>
    <w:unhideWhenUsed/>
    <w:qFormat/>
    <w:rsid w:val="00211DD9"/>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211DD9"/>
    <w:rPr>
      <w:rFonts w:eastAsia="Times New Roman" w:cs="Times New Roman"/>
      <w:color w:val="9BBB59" w:themeColor="accent3"/>
      <w:sz w:val="17"/>
      <w:szCs w:val="24"/>
    </w:rPr>
  </w:style>
  <w:style w:type="table" w:customStyle="1" w:styleId="TableGrid1">
    <w:name w:val="Table Grid1"/>
    <w:basedOn w:val="TableNormal"/>
    <w:next w:val="TableGrid"/>
    <w:rsid w:val="00211DD9"/>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1DD9"/>
    <w:pPr>
      <w:autoSpaceDE w:val="0"/>
      <w:autoSpaceDN w:val="0"/>
      <w:adjustRightInd w:val="0"/>
    </w:pPr>
    <w:rPr>
      <w:rFonts w:eastAsia="Times New Roman"/>
      <w:color w:val="000000"/>
      <w:sz w:val="24"/>
      <w:szCs w:val="24"/>
    </w:rPr>
  </w:style>
  <w:style w:type="character" w:styleId="PlaceholderText">
    <w:name w:val="Placeholder Text"/>
    <w:basedOn w:val="DefaultParagraphFont"/>
    <w:uiPriority w:val="99"/>
    <w:semiHidden/>
    <w:rsid w:val="00211DD9"/>
    <w:rPr>
      <w:color w:val="808080"/>
    </w:rPr>
  </w:style>
  <w:style w:type="paragraph" w:styleId="Header">
    <w:name w:val="header"/>
    <w:basedOn w:val="Normal"/>
    <w:link w:val="HeaderChar"/>
    <w:uiPriority w:val="99"/>
    <w:unhideWhenUsed/>
    <w:rsid w:val="00211DD9"/>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11DD9"/>
    <w:rPr>
      <w:rFonts w:asciiTheme="minorHAnsi" w:hAnsiTheme="minorHAnsi" w:cstheme="minorBidi"/>
    </w:rPr>
  </w:style>
  <w:style w:type="paragraph" w:styleId="NormalWeb">
    <w:name w:val="Normal (Web)"/>
    <w:basedOn w:val="Normal"/>
    <w:uiPriority w:val="99"/>
    <w:unhideWhenUsed/>
    <w:rsid w:val="00211DD9"/>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211DD9"/>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211DD9"/>
    <w:rPr>
      <w:rFonts w:asciiTheme="minorHAnsi" w:eastAsiaTheme="minorEastAsia" w:hAnsiTheme="minorHAnsi" w:cstheme="minorBidi"/>
      <w:lang w:val="en-US" w:eastAsia="ja-JP"/>
    </w:rPr>
  </w:style>
  <w:style w:type="paragraph" w:styleId="Revision">
    <w:name w:val="Revision"/>
    <w:hidden/>
    <w:uiPriority w:val="99"/>
    <w:semiHidden/>
    <w:rsid w:val="009C1CA5"/>
  </w:style>
  <w:style w:type="table" w:styleId="TableGridLight">
    <w:name w:val="Grid Table Light"/>
    <w:basedOn w:val="TableNormal"/>
    <w:uiPriority w:val="40"/>
    <w:rsid w:val="00FE49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tatistics/statistical-work-areas/cancer-waiting-times/" TargetMode="External"/><Relationship Id="rId13" Type="http://schemas.openxmlformats.org/officeDocument/2006/relationships/hyperlink" Target="https://www.statisticsauthority.gov.uk/archive/national-statistician/ns-reports--reviews-and-guidance/national-statistician-s-guidance/quality--methods-and-harmonisation.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gland.nhs.uk/statistics/statistical-work-areas/cancer-waiting-times/" TargetMode="External"/><Relationship Id="rId17" Type="http://schemas.openxmlformats.org/officeDocument/2006/relationships/hyperlink" Target="https://www.england.nhs.uk/statistics/statistical-work-areas/cancer-waiting-times/" TargetMode="External"/><Relationship Id="rId25" Type="http://schemas.openxmlformats.org/officeDocument/2006/relationships/hyperlink" Target="mailto:indicator.assurance@nhs.net"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213787/dh_123395.pdf"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604216/" TargetMode="External"/><Relationship Id="rId24" Type="http://schemas.openxmlformats.org/officeDocument/2006/relationships/hyperlink" Target="http://webarchive.nationalarchives.gov.uk/20130107105354/http:/www.dh.gov.uk/prod_consum_dh/groups/dh_digitalassets/documents/digitalasset/dh_103431.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ncbi.nlm.nih.gov/pubmed/23453935"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hh.nhs.uk/documents/_departments/cancer/nhscancerplan.pdf" TargetMode="External"/><Relationship Id="rId14" Type="http://schemas.openxmlformats.org/officeDocument/2006/relationships/hyperlink" Target="https://www.england.nhs.uk/statistics/statistical-work-areas/cancer-waiting-times/" TargetMode="External"/><Relationship Id="rId22" Type="http://schemas.openxmlformats.org/officeDocument/2006/relationships/header" Target="header2.xml"/><Relationship Id="rId27" Type="http://schemas.openxmlformats.org/officeDocument/2006/relationships/hyperlink" Target="http://www.hscic.gov.uk/article/1674/Indicator-Assurance-Service"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45E95ED0D840569F0BD47690BD6084"/>
        <w:category>
          <w:name w:val="General"/>
          <w:gallery w:val="placeholder"/>
        </w:category>
        <w:types>
          <w:type w:val="bbPlcHdr"/>
        </w:types>
        <w:behaviors>
          <w:behavior w:val="content"/>
        </w:behaviors>
        <w:guid w:val="{352CC72A-9E12-4C08-8EF8-1886C5ADA273}"/>
      </w:docPartPr>
      <w:docPartBody>
        <w:p w:rsidR="003A7ACB" w:rsidRDefault="003A7ACB" w:rsidP="003A7ACB">
          <w:pPr>
            <w:pStyle w:val="2845E95ED0D840569F0BD47690BD6084"/>
          </w:pPr>
          <w:r w:rsidRPr="00B71800">
            <w:rPr>
              <w:rStyle w:val="PlaceholderText"/>
            </w:rPr>
            <w:t>Choose an item.</w:t>
          </w:r>
        </w:p>
      </w:docPartBody>
    </w:docPart>
    <w:docPart>
      <w:docPartPr>
        <w:name w:val="83F359B9F3F849668E593A3CCDD7D21A"/>
        <w:category>
          <w:name w:val="General"/>
          <w:gallery w:val="placeholder"/>
        </w:category>
        <w:types>
          <w:type w:val="bbPlcHdr"/>
        </w:types>
        <w:behaviors>
          <w:behavior w:val="content"/>
        </w:behaviors>
        <w:guid w:val="{AF6145BD-5E79-42F8-AA2C-DC4F463AC435}"/>
      </w:docPartPr>
      <w:docPartBody>
        <w:p w:rsidR="003A7ACB" w:rsidRDefault="003A7ACB" w:rsidP="003A7ACB">
          <w:pPr>
            <w:pStyle w:val="83F359B9F3F849668E593A3CCDD7D21A"/>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72"/>
    <w:rsid w:val="00247872"/>
    <w:rsid w:val="003A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ACB"/>
    <w:rPr>
      <w:color w:val="808080"/>
    </w:rPr>
  </w:style>
  <w:style w:type="paragraph" w:customStyle="1" w:styleId="DF3C649D1BB7452DBFF7ED2EFC4877D7">
    <w:name w:val="DF3C649D1BB7452DBFF7ED2EFC4877D7"/>
    <w:rsid w:val="00247872"/>
  </w:style>
  <w:style w:type="paragraph" w:customStyle="1" w:styleId="047CC4F03E77495B85343D9AD6C020CF">
    <w:name w:val="047CC4F03E77495B85343D9AD6C020CF"/>
    <w:rsid w:val="00247872"/>
  </w:style>
  <w:style w:type="paragraph" w:customStyle="1" w:styleId="E18A15F8A93B470B935EDDC742C7CEE7">
    <w:name w:val="E18A15F8A93B470B935EDDC742C7CEE7"/>
    <w:rsid w:val="00247872"/>
  </w:style>
  <w:style w:type="paragraph" w:customStyle="1" w:styleId="E2B478813938490EBD77012CA14ACCC6">
    <w:name w:val="E2B478813938490EBD77012CA14ACCC6"/>
    <w:rsid w:val="00247872"/>
  </w:style>
  <w:style w:type="paragraph" w:customStyle="1" w:styleId="7F63267A980F4B1FA8A81C2A2DD1ADCF">
    <w:name w:val="7F63267A980F4B1FA8A81C2A2DD1ADCF"/>
    <w:rsid w:val="00247872"/>
  </w:style>
  <w:style w:type="paragraph" w:customStyle="1" w:styleId="3A9FFF6349F24065A4CD4C2E294773DD">
    <w:name w:val="3A9FFF6349F24065A4CD4C2E294773DD"/>
    <w:rsid w:val="003A7ACB"/>
  </w:style>
  <w:style w:type="paragraph" w:customStyle="1" w:styleId="2845E95ED0D840569F0BD47690BD6084">
    <w:name w:val="2845E95ED0D840569F0BD47690BD6084"/>
    <w:rsid w:val="003A7ACB"/>
  </w:style>
  <w:style w:type="paragraph" w:customStyle="1" w:styleId="83F359B9F3F849668E593A3CCDD7D21A">
    <w:name w:val="83F359B9F3F849668E593A3CCDD7D21A"/>
    <w:rsid w:val="003A7ACB"/>
  </w:style>
  <w:style w:type="paragraph" w:customStyle="1" w:styleId="30352A1E35F443849172DDF0A8F5AA79">
    <w:name w:val="30352A1E35F443849172DDF0A8F5AA79"/>
    <w:rsid w:val="003A7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A705-7B73-4898-A213-81C5D4E1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247CF3BB</Template>
  <TotalTime>0</TotalTime>
  <Pages>26</Pages>
  <Words>6195</Words>
  <Characters>35318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2020-03-06T17:05:00Z</dcterms:created>
  <dcterms:modified xsi:type="dcterms:W3CDTF">2020-03-06T17:05:00Z</dcterms:modified>
</cp:coreProperties>
</file>