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50F0A" w14:textId="77777777" w:rsidR="00431052" w:rsidRPr="00431052" w:rsidRDefault="00431052" w:rsidP="00431052">
      <w:pPr>
        <w:spacing w:after="0"/>
        <w:jc w:val="center"/>
        <w:textboxTightWrap w:val="none"/>
        <w:rPr>
          <w:rFonts w:eastAsia="Calibri" w:cs="Arial"/>
          <w:b/>
          <w:bCs/>
          <w:sz w:val="28"/>
          <w:szCs w:val="28"/>
        </w:rPr>
      </w:pPr>
      <w:r w:rsidRPr="00431052">
        <w:rPr>
          <w:rFonts w:eastAsia="Calibri" w:cs="Arial"/>
          <w:b/>
          <w:bCs/>
          <w:sz w:val="28"/>
          <w:szCs w:val="28"/>
        </w:rPr>
        <w:t>NHS Digital</w:t>
      </w:r>
    </w:p>
    <w:p w14:paraId="291ED205" w14:textId="77777777" w:rsidR="00431052" w:rsidRPr="00431052" w:rsidRDefault="00431052" w:rsidP="00431052">
      <w:pPr>
        <w:spacing w:after="0"/>
        <w:jc w:val="center"/>
        <w:textboxTightWrap w:val="none"/>
        <w:rPr>
          <w:rFonts w:eastAsia="Calibri" w:cs="Arial"/>
          <w:b/>
          <w:bCs/>
          <w:sz w:val="28"/>
          <w:szCs w:val="28"/>
        </w:rPr>
      </w:pPr>
      <w:r w:rsidRPr="00431052">
        <w:rPr>
          <w:rFonts w:eastAsia="Calibri" w:cs="Arial"/>
          <w:b/>
          <w:bCs/>
          <w:sz w:val="28"/>
          <w:szCs w:val="28"/>
        </w:rPr>
        <w:t>Indicator Supporting Documentation</w:t>
      </w:r>
    </w:p>
    <w:p w14:paraId="1E6BC610" w14:textId="30C23D64" w:rsidR="00431052" w:rsidRPr="00431052" w:rsidRDefault="00431052" w:rsidP="00431052">
      <w:pPr>
        <w:spacing w:after="0"/>
        <w:jc w:val="center"/>
        <w:textboxTightWrap w:val="none"/>
        <w:rPr>
          <w:rFonts w:eastAsia="Calibri" w:cs="Arial"/>
          <w:b/>
          <w:bCs/>
          <w:sz w:val="28"/>
          <w:szCs w:val="28"/>
        </w:rPr>
      </w:pPr>
      <w:r w:rsidRPr="00431052">
        <w:rPr>
          <w:rFonts w:eastAsia="Calibri" w:cs="Arial"/>
          <w:b/>
          <w:bCs/>
          <w:sz w:val="28"/>
          <w:szCs w:val="28"/>
        </w:rPr>
        <w:t>IAP00459 Health inequalities (area deprivation) – Life expectancy at 75</w:t>
      </w:r>
    </w:p>
    <w:p w14:paraId="76C80D4D" w14:textId="12D4D3CD" w:rsidR="00431052" w:rsidRPr="00431052" w:rsidRDefault="00431052" w:rsidP="00B77C41">
      <w:pPr>
        <w:pStyle w:val="Frontpagesubhead"/>
        <w:rPr>
          <w:rFonts w:cs="Arial"/>
          <w:noProof/>
          <w:color w:val="auto"/>
          <w:lang w:eastAsia="en-GB"/>
        </w:rPr>
      </w:pPr>
    </w:p>
    <w:p w14:paraId="09CE1E0B" w14:textId="77777777" w:rsidR="00431052" w:rsidRPr="00431052" w:rsidRDefault="00431052">
      <w:pPr>
        <w:spacing w:after="0"/>
        <w:textboxTightWrap w:val="none"/>
        <w:rPr>
          <w:rFonts w:cs="Arial"/>
          <w:b/>
          <w:noProof/>
          <w:sz w:val="35"/>
          <w:szCs w:val="42"/>
          <w:lang w:eastAsia="en-GB"/>
        </w:rPr>
      </w:pPr>
      <w:r w:rsidRPr="00431052">
        <w:rPr>
          <w:rFonts w:cs="Arial"/>
          <w:noProof/>
          <w:lang w:eastAsia="en-GB"/>
        </w:rPr>
        <w:br w:type="page"/>
      </w:r>
    </w:p>
    <w:p w14:paraId="319A9863" w14:textId="77777777" w:rsidR="002A7E9E" w:rsidRPr="00431052" w:rsidRDefault="002A7E9E" w:rsidP="00B77C41">
      <w:pPr>
        <w:pStyle w:val="Frontpagesubhead"/>
        <w:rPr>
          <w:rFonts w:cs="Arial"/>
          <w:noProof/>
          <w:color w:val="auto"/>
          <w:lang w:eastAsia="en-GB"/>
        </w:rPr>
      </w:pPr>
    </w:p>
    <w:p w14:paraId="73B34B6A" w14:textId="61F89BB2" w:rsidR="002A7E9E" w:rsidRPr="00431052" w:rsidRDefault="002A7E9E" w:rsidP="00B77C41">
      <w:pPr>
        <w:pStyle w:val="Frontpagesubhead"/>
        <w:rPr>
          <w:rFonts w:cs="Arial"/>
          <w:noProof/>
          <w:color w:val="auto"/>
          <w:lang w:eastAsia="en-GB"/>
        </w:rPr>
      </w:pPr>
    </w:p>
    <w:p w14:paraId="6C367C3A" w14:textId="0D98104C" w:rsidR="001D243C" w:rsidRPr="00431052" w:rsidRDefault="00431052" w:rsidP="00B77C41">
      <w:pPr>
        <w:pStyle w:val="Frontpagesubhead"/>
        <w:rPr>
          <w:rFonts w:cs="Arial"/>
          <w:color w:val="auto"/>
        </w:rPr>
      </w:pPr>
      <w:r w:rsidRPr="00431052">
        <w:rPr>
          <w:rFonts w:cs="Arial"/>
          <w:noProof/>
          <w:color w:val="auto"/>
          <w:lang w:eastAsia="en-GB"/>
        </w:rPr>
        <mc:AlternateContent>
          <mc:Choice Requires="wps">
            <w:drawing>
              <wp:inline distT="0" distB="0" distL="0" distR="0" wp14:anchorId="6C367D24" wp14:editId="4E2172A3">
                <wp:extent cx="6371590" cy="7053580"/>
                <wp:effectExtent l="0" t="0" r="0" b="0"/>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67D36" w14:textId="77777777" w:rsidR="00431052" w:rsidRPr="00431052" w:rsidRDefault="00431052" w:rsidP="001D243C">
                            <w:pPr>
                              <w:pStyle w:val="FrontpageTitle"/>
                              <w:rPr>
                                <w:color w:val="auto"/>
                                <w:sz w:val="32"/>
                                <w:szCs w:val="32"/>
                              </w:rPr>
                            </w:pPr>
                            <w:r w:rsidRPr="00431052">
                              <w:rPr>
                                <w:color w:val="auto"/>
                                <w:sz w:val="32"/>
                                <w:szCs w:val="32"/>
                              </w:rPr>
                              <w:t>Application Form</w:t>
                            </w:r>
                          </w:p>
                          <w:p w14:paraId="6C367D37" w14:textId="77777777" w:rsidR="00431052" w:rsidRPr="00431052" w:rsidRDefault="00431052" w:rsidP="001D243C">
                            <w:pPr>
                              <w:rPr>
                                <w:sz w:val="32"/>
                                <w:szCs w:val="32"/>
                              </w:rPr>
                            </w:pPr>
                          </w:p>
                          <w:p w14:paraId="6C367D39" w14:textId="04E99C84" w:rsidR="00431052" w:rsidRPr="00431052" w:rsidRDefault="00431052" w:rsidP="00B77C41">
                            <w:pPr>
                              <w:pStyle w:val="Frontpagesubhead"/>
                              <w:rPr>
                                <w:color w:val="auto"/>
                                <w:sz w:val="32"/>
                                <w:szCs w:val="32"/>
                              </w:rPr>
                            </w:pPr>
                            <w:r w:rsidRPr="00431052">
                              <w:rPr>
                                <w:color w:val="auto"/>
                                <w:sz w:val="32"/>
                                <w:szCs w:val="32"/>
                              </w:rPr>
                              <w:t>Indicator and Methodology Assurance Service</w:t>
                            </w:r>
                          </w:p>
                          <w:p w14:paraId="5BB6312A" w14:textId="77777777" w:rsidR="00431052" w:rsidRPr="00431052" w:rsidRDefault="00431052" w:rsidP="00110985">
                            <w:pPr>
                              <w:textboxTightWrap w:val="allLines"/>
                              <w:rPr>
                                <w:sz w:val="32"/>
                                <w:szCs w:val="32"/>
                              </w:rPr>
                            </w:pPr>
                          </w:p>
                          <w:p w14:paraId="70E82A6D" w14:textId="4FDF1026" w:rsidR="00431052" w:rsidRPr="00431052" w:rsidRDefault="00431052" w:rsidP="0015258C">
                            <w:pPr>
                              <w:spacing w:line="360" w:lineRule="auto"/>
                              <w:textboxTightWrap w:val="allLines"/>
                              <w:rPr>
                                <w:b/>
                                <w:sz w:val="32"/>
                                <w:szCs w:val="32"/>
                              </w:rPr>
                            </w:pPr>
                            <w:r w:rsidRPr="00431052">
                              <w:rPr>
                                <w:b/>
                                <w:sz w:val="32"/>
                                <w:szCs w:val="32"/>
                              </w:rPr>
                              <w:t>Title: Health inequalities (area deprivation) - Life expectancy at 75</w:t>
                            </w:r>
                          </w:p>
                          <w:p w14:paraId="3187FCA7" w14:textId="48F4543B" w:rsidR="00431052" w:rsidRPr="00431052" w:rsidRDefault="00431052" w:rsidP="0034234B">
                            <w:pPr>
                              <w:spacing w:line="360" w:lineRule="auto"/>
                              <w:textboxTightWrap w:val="allLines"/>
                              <w:rPr>
                                <w:b/>
                                <w:sz w:val="32"/>
                                <w:szCs w:val="32"/>
                              </w:rPr>
                            </w:pPr>
                            <w:r w:rsidRPr="00431052">
                              <w:rPr>
                                <w:b/>
                                <w:sz w:val="32"/>
                                <w:szCs w:val="32"/>
                              </w:rPr>
                              <w:t>Set or domain: NHS Outcomes Framework – Domain 1 – Preventing people from dying prematurely</w:t>
                            </w:r>
                          </w:p>
                          <w:p w14:paraId="13636472" w14:textId="099F0CB3" w:rsidR="00431052" w:rsidRPr="00431052" w:rsidRDefault="00431052" w:rsidP="0015258C">
                            <w:pPr>
                              <w:spacing w:line="360" w:lineRule="auto"/>
                              <w:textboxTightWrap w:val="allLines"/>
                              <w:rPr>
                                <w:b/>
                                <w:sz w:val="22"/>
                                <w:szCs w:val="22"/>
                              </w:rPr>
                            </w:pPr>
                            <w:r w:rsidRPr="00431052">
                              <w:rPr>
                                <w:b/>
                                <w:sz w:val="32"/>
                                <w:szCs w:val="32"/>
                              </w:rPr>
                              <w:t>IAS Reference Code: IAP00459</w:t>
                            </w:r>
                          </w:p>
                          <w:p w14:paraId="2E0ADB47" w14:textId="77777777" w:rsidR="00431052" w:rsidRPr="00431052" w:rsidRDefault="00431052" w:rsidP="00110985">
                            <w:pPr>
                              <w:textboxTightWrap w:val="allLines"/>
                              <w:rPr>
                                <w:sz w:val="22"/>
                                <w:szCs w:val="22"/>
                              </w:rPr>
                            </w:pPr>
                          </w:p>
                          <w:p w14:paraId="718B0F67" w14:textId="77777777" w:rsidR="00431052" w:rsidRPr="00431052" w:rsidRDefault="00431052" w:rsidP="00110985">
                            <w:pPr>
                              <w:textboxTightWrap w:val="allLines"/>
                              <w:rPr>
                                <w:sz w:val="22"/>
                                <w:szCs w:val="22"/>
                              </w:rPr>
                            </w:pPr>
                          </w:p>
                          <w:p w14:paraId="7EDACFBC" w14:textId="77777777" w:rsidR="00431052" w:rsidRPr="00431052" w:rsidRDefault="00431052" w:rsidP="00110985">
                            <w:pPr>
                              <w:textboxTightWrap w:val="allLines"/>
                              <w:rPr>
                                <w:sz w:val="22"/>
                                <w:szCs w:val="22"/>
                              </w:rPr>
                            </w:pPr>
                          </w:p>
                          <w:p w14:paraId="38C1D15A" w14:textId="77777777" w:rsidR="00431052" w:rsidRPr="00431052" w:rsidRDefault="00431052" w:rsidP="00110985">
                            <w:pPr>
                              <w:textboxTightWrap w:val="allLines"/>
                              <w:rPr>
                                <w:sz w:val="22"/>
                                <w:szCs w:val="22"/>
                              </w:rPr>
                            </w:pPr>
                          </w:p>
                          <w:p w14:paraId="7E894D1F" w14:textId="77777777" w:rsidR="00431052" w:rsidRPr="00431052" w:rsidRDefault="00431052" w:rsidP="00110985">
                            <w:pPr>
                              <w:textboxTightWrap w:val="allLines"/>
                              <w:rPr>
                                <w:sz w:val="22"/>
                                <w:szCs w:val="22"/>
                              </w:rPr>
                            </w:pPr>
                          </w:p>
                          <w:p w14:paraId="74609FE3" w14:textId="77777777" w:rsidR="00431052" w:rsidRPr="00431052" w:rsidRDefault="00431052" w:rsidP="00110985">
                            <w:pPr>
                              <w:textboxTightWrap w:val="allLines"/>
                              <w:rPr>
                                <w:sz w:val="22"/>
                                <w:szCs w:val="22"/>
                              </w:rPr>
                            </w:pPr>
                          </w:p>
                          <w:p w14:paraId="39E2AA98" w14:textId="77777777" w:rsidR="00431052" w:rsidRPr="00431052" w:rsidRDefault="00431052" w:rsidP="00110985">
                            <w:pPr>
                              <w:textboxTightWrap w:val="allLines"/>
                              <w:rPr>
                                <w:sz w:val="22"/>
                                <w:szCs w:val="22"/>
                              </w:rPr>
                            </w:pPr>
                          </w:p>
                          <w:p w14:paraId="47B76F0C" w14:textId="77777777" w:rsidR="00431052" w:rsidRPr="00431052" w:rsidRDefault="00431052" w:rsidP="00110985">
                            <w:pPr>
                              <w:textboxTightWrap w:val="allLines"/>
                              <w:rPr>
                                <w:sz w:val="22"/>
                                <w:szCs w:val="22"/>
                              </w:rPr>
                            </w:pPr>
                          </w:p>
                          <w:p w14:paraId="77890700" w14:textId="77777777" w:rsidR="00431052" w:rsidRPr="00431052" w:rsidRDefault="00431052" w:rsidP="00110985">
                            <w:pPr>
                              <w:spacing w:after="0"/>
                              <w:rPr>
                                <w:b/>
                                <w:sz w:val="22"/>
                                <w:szCs w:val="22"/>
                              </w:rPr>
                            </w:pPr>
                            <w:r w:rsidRPr="00431052">
                              <w:rPr>
                                <w:b/>
                                <w:sz w:val="22"/>
                                <w:szCs w:val="22"/>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101"/>
                              <w:gridCol w:w="991"/>
                              <w:gridCol w:w="2405"/>
                              <w:gridCol w:w="5229"/>
                            </w:tblGrid>
                            <w:tr w:rsidR="00431052" w:rsidRPr="00BF78CE" w14:paraId="69ABAD52" w14:textId="77777777" w:rsidTr="00431052">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5EDE76AC" w14:textId="77777777" w:rsidR="00431052" w:rsidRPr="00431052" w:rsidRDefault="00431052">
                                  <w:pPr>
                                    <w:spacing w:after="0"/>
                                    <w:rPr>
                                      <w:sz w:val="22"/>
                                      <w:szCs w:val="22"/>
                                    </w:rPr>
                                  </w:pPr>
                                  <w:r w:rsidRPr="00431052">
                                    <w:rPr>
                                      <w:sz w:val="22"/>
                                      <w:szCs w:val="22"/>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177B7F13" w14:textId="77777777" w:rsidR="00431052" w:rsidRPr="00431052" w:rsidRDefault="00431052">
                                  <w:pPr>
                                    <w:spacing w:after="0"/>
                                    <w:rPr>
                                      <w:sz w:val="22"/>
                                      <w:szCs w:val="22"/>
                                    </w:rPr>
                                  </w:pPr>
                                  <w:r w:rsidRPr="00431052">
                                    <w:rPr>
                                      <w:sz w:val="22"/>
                                      <w:szCs w:val="22"/>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77C6C687" w14:textId="77777777" w:rsidR="00431052" w:rsidRPr="00431052" w:rsidRDefault="00431052">
                                  <w:pPr>
                                    <w:spacing w:after="0"/>
                                    <w:rPr>
                                      <w:sz w:val="22"/>
                                      <w:szCs w:val="22"/>
                                    </w:rPr>
                                  </w:pPr>
                                  <w:r w:rsidRPr="00431052">
                                    <w:rPr>
                                      <w:sz w:val="22"/>
                                      <w:szCs w:val="22"/>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1FBB25F3" w14:textId="77777777" w:rsidR="00431052" w:rsidRPr="00431052" w:rsidRDefault="00431052">
                                  <w:pPr>
                                    <w:spacing w:after="0"/>
                                    <w:rPr>
                                      <w:sz w:val="22"/>
                                      <w:szCs w:val="22"/>
                                    </w:rPr>
                                  </w:pPr>
                                  <w:r w:rsidRPr="00431052">
                                    <w:rPr>
                                      <w:sz w:val="22"/>
                                      <w:szCs w:val="22"/>
                                    </w:rPr>
                                    <w:t>Change</w:t>
                                  </w:r>
                                </w:p>
                              </w:tc>
                            </w:tr>
                            <w:tr w:rsidR="00431052" w:rsidRPr="00BF78CE" w14:paraId="0776C546"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A251F04" w14:textId="77777777" w:rsidR="00431052" w:rsidRPr="00431052" w:rsidRDefault="00431052">
                                  <w:pPr>
                                    <w:spacing w:after="0"/>
                                    <w:rPr>
                                      <w:sz w:val="22"/>
                                      <w:szCs w:val="22"/>
                                    </w:rPr>
                                  </w:pPr>
                                  <w:r w:rsidRPr="00431052">
                                    <w:rPr>
                                      <w:sz w:val="22"/>
                                      <w:szCs w:val="22"/>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23E2CC" w14:textId="6D47D5D9" w:rsidR="00431052" w:rsidRPr="00431052" w:rsidRDefault="00431052">
                                  <w:pPr>
                                    <w:spacing w:after="0"/>
                                    <w:rPr>
                                      <w:sz w:val="22"/>
                                      <w:szCs w:val="22"/>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4C0A02C" w14:textId="68B7C685" w:rsidR="00431052" w:rsidRPr="00431052" w:rsidRDefault="00431052">
                                  <w:pPr>
                                    <w:spacing w:after="0"/>
                                    <w:rPr>
                                      <w:sz w:val="22"/>
                                      <w:szCs w:val="22"/>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CCD9FC2" w14:textId="64FD6926" w:rsidR="00431052" w:rsidRPr="00431052" w:rsidRDefault="00431052">
                                  <w:pPr>
                                    <w:spacing w:after="0"/>
                                    <w:rPr>
                                      <w:sz w:val="22"/>
                                      <w:szCs w:val="22"/>
                                    </w:rPr>
                                  </w:pPr>
                                </w:p>
                              </w:tc>
                            </w:tr>
                            <w:tr w:rsidR="00431052" w:rsidRPr="00BF78CE" w14:paraId="62A1265C"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27AC234" w14:textId="4493D7A8" w:rsidR="00431052" w:rsidRPr="00431052" w:rsidRDefault="00431052" w:rsidP="00A73E11">
                                  <w:pPr>
                                    <w:spacing w:after="0"/>
                                    <w:rPr>
                                      <w:sz w:val="22"/>
                                      <w:szCs w:val="22"/>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A79326F" w14:textId="74F67018" w:rsidR="00431052" w:rsidRPr="00431052" w:rsidRDefault="00431052">
                                  <w:pPr>
                                    <w:spacing w:after="0"/>
                                    <w:rPr>
                                      <w:sz w:val="22"/>
                                      <w:szCs w:val="22"/>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690BBBE" w14:textId="7ACF121A" w:rsidR="00431052" w:rsidRPr="00431052" w:rsidRDefault="00431052">
                                  <w:pPr>
                                    <w:spacing w:after="0"/>
                                    <w:rPr>
                                      <w:sz w:val="22"/>
                                      <w:szCs w:val="22"/>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7F45AF" w14:textId="77E3D77F" w:rsidR="00431052" w:rsidRPr="00431052" w:rsidRDefault="00431052">
                                  <w:pPr>
                                    <w:spacing w:after="0"/>
                                    <w:rPr>
                                      <w:sz w:val="22"/>
                                      <w:szCs w:val="22"/>
                                    </w:rPr>
                                  </w:pPr>
                                </w:p>
                              </w:tc>
                            </w:tr>
                            <w:tr w:rsidR="00431052" w:rsidRPr="00BF78CE" w14:paraId="07B74EC9"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4984D1" w14:textId="77777777" w:rsidR="00431052" w:rsidRPr="00431052" w:rsidRDefault="00431052">
                                  <w:pPr>
                                    <w:spacing w:after="0"/>
                                    <w:rPr>
                                      <w:color w:val="003360" w:themeColor="accent1"/>
                                      <w:sz w:val="22"/>
                                      <w:szCs w:val="22"/>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E792742" w14:textId="77777777" w:rsidR="00431052" w:rsidRPr="00431052" w:rsidRDefault="00431052">
                                  <w:pPr>
                                    <w:spacing w:after="0"/>
                                    <w:rPr>
                                      <w:color w:val="003360" w:themeColor="accent1"/>
                                      <w:sz w:val="22"/>
                                      <w:szCs w:val="22"/>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E3E6F0" w14:textId="77777777" w:rsidR="00431052" w:rsidRPr="00431052" w:rsidRDefault="00431052">
                                  <w:pPr>
                                    <w:spacing w:after="0"/>
                                    <w:rPr>
                                      <w:color w:val="003360" w:themeColor="accent1"/>
                                      <w:sz w:val="22"/>
                                      <w:szCs w:val="22"/>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1F8ED4" w14:textId="77777777" w:rsidR="00431052" w:rsidRPr="00431052" w:rsidRDefault="00431052">
                                  <w:pPr>
                                    <w:spacing w:after="0"/>
                                    <w:rPr>
                                      <w:color w:val="003360" w:themeColor="accent1"/>
                                      <w:sz w:val="22"/>
                                      <w:szCs w:val="22"/>
                                    </w:rPr>
                                  </w:pPr>
                                </w:p>
                              </w:tc>
                            </w:tr>
                            <w:tr w:rsidR="00431052" w:rsidRPr="00BF78CE" w14:paraId="6ED9256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E561A7C" w14:textId="77777777" w:rsidR="00431052" w:rsidRPr="00431052" w:rsidRDefault="00431052">
                                  <w:pPr>
                                    <w:spacing w:after="0"/>
                                    <w:rPr>
                                      <w:b/>
                                      <w:color w:val="003360" w:themeColor="accent1"/>
                                      <w:sz w:val="22"/>
                                      <w:szCs w:val="22"/>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42D9FE" w14:textId="77777777" w:rsidR="00431052" w:rsidRPr="00431052" w:rsidRDefault="00431052">
                                  <w:pPr>
                                    <w:spacing w:after="0"/>
                                    <w:rPr>
                                      <w:b/>
                                      <w:color w:val="003360" w:themeColor="accent1"/>
                                      <w:sz w:val="22"/>
                                      <w:szCs w:val="22"/>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7B1C208" w14:textId="77777777" w:rsidR="00431052" w:rsidRPr="00431052" w:rsidRDefault="00431052">
                                  <w:pPr>
                                    <w:spacing w:after="0"/>
                                    <w:rPr>
                                      <w:b/>
                                      <w:color w:val="003360" w:themeColor="accent1"/>
                                      <w:sz w:val="22"/>
                                      <w:szCs w:val="22"/>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96DA82A" w14:textId="77777777" w:rsidR="00431052" w:rsidRPr="00431052" w:rsidRDefault="00431052">
                                  <w:pPr>
                                    <w:spacing w:after="0"/>
                                    <w:rPr>
                                      <w:b/>
                                      <w:color w:val="003360" w:themeColor="accent1"/>
                                      <w:sz w:val="22"/>
                                      <w:szCs w:val="22"/>
                                    </w:rPr>
                                  </w:pPr>
                                </w:p>
                              </w:tc>
                            </w:tr>
                          </w:tbl>
                          <w:p w14:paraId="1B7BD714" w14:textId="77777777" w:rsidR="00431052" w:rsidRPr="00431052" w:rsidRDefault="00431052" w:rsidP="00110985">
                            <w:pPr>
                              <w:textboxTightWrap w:val="allLines"/>
                              <w:rPr>
                                <w:sz w:val="22"/>
                                <w:szCs w:val="22"/>
                              </w:rPr>
                            </w:pPr>
                          </w:p>
                          <w:p w14:paraId="2586DDB4" w14:textId="77777777" w:rsidR="00431052" w:rsidRPr="00431052" w:rsidRDefault="00431052" w:rsidP="002A7E9E">
                            <w:pPr>
                              <w:textboxTightWrap w:val="allLines"/>
                              <w:rPr>
                                <w:sz w:val="22"/>
                                <w:szCs w:val="22"/>
                              </w:rPr>
                            </w:pPr>
                          </w:p>
                          <w:p w14:paraId="6C367D3D" w14:textId="77777777" w:rsidR="00431052" w:rsidRPr="00431052" w:rsidRDefault="00431052">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367D24" id="_x0000_t202" coordsize="21600,21600" o:spt="202" path="m,l,21600r21600,l21600,xe">
                <v:stroke joinstyle="miter"/>
                <v:path gradientshapeok="t" o:connecttype="rect"/>
              </v:shapetype>
              <v:shape id="Text Box 2" o:spid="_x0000_s1026" type="#_x0000_t202" style="width:501.7pt;height:5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" filled="f" stroked="f" strokeweight=".5pt">
                <v:textbox>
                  <w:txbxContent>
                    <w:p w14:paraId="6C367D36" w14:textId="77777777" w:rsidR="00431052" w:rsidRPr="00431052" w:rsidRDefault="00431052" w:rsidP="001D243C">
                      <w:pPr>
                        <w:pStyle w:val="FrontpageTitle"/>
                        <w:rPr>
                          <w:color w:val="auto"/>
                          <w:sz w:val="32"/>
                          <w:szCs w:val="32"/>
                        </w:rPr>
                      </w:pPr>
                      <w:r w:rsidRPr="00431052">
                        <w:rPr>
                          <w:color w:val="auto"/>
                          <w:sz w:val="32"/>
                          <w:szCs w:val="32"/>
                        </w:rPr>
                        <w:t>Application Form</w:t>
                      </w:r>
                    </w:p>
                    <w:p w14:paraId="6C367D37" w14:textId="77777777" w:rsidR="00431052" w:rsidRPr="00431052" w:rsidRDefault="00431052" w:rsidP="001D243C">
                      <w:pPr>
                        <w:rPr>
                          <w:sz w:val="32"/>
                          <w:szCs w:val="32"/>
                        </w:rPr>
                      </w:pPr>
                    </w:p>
                    <w:p w14:paraId="6C367D39" w14:textId="04E99C84" w:rsidR="00431052" w:rsidRPr="00431052" w:rsidRDefault="00431052" w:rsidP="00B77C41">
                      <w:pPr>
                        <w:pStyle w:val="Frontpagesubhead"/>
                        <w:rPr>
                          <w:color w:val="auto"/>
                          <w:sz w:val="32"/>
                          <w:szCs w:val="32"/>
                        </w:rPr>
                      </w:pPr>
                      <w:r w:rsidRPr="00431052">
                        <w:rPr>
                          <w:color w:val="auto"/>
                          <w:sz w:val="32"/>
                          <w:szCs w:val="32"/>
                        </w:rPr>
                        <w:t>Indicator and Methodology Assurance Service</w:t>
                      </w:r>
                    </w:p>
                    <w:p w14:paraId="5BB6312A" w14:textId="77777777" w:rsidR="00431052" w:rsidRPr="00431052" w:rsidRDefault="00431052" w:rsidP="00110985">
                      <w:pPr>
                        <w:textboxTightWrap w:val="allLines"/>
                        <w:rPr>
                          <w:sz w:val="32"/>
                          <w:szCs w:val="32"/>
                        </w:rPr>
                      </w:pPr>
                    </w:p>
                    <w:p w14:paraId="70E82A6D" w14:textId="4FDF1026" w:rsidR="00431052" w:rsidRPr="00431052" w:rsidRDefault="00431052" w:rsidP="0015258C">
                      <w:pPr>
                        <w:spacing w:line="360" w:lineRule="auto"/>
                        <w:textboxTightWrap w:val="allLines"/>
                        <w:rPr>
                          <w:b/>
                          <w:sz w:val="32"/>
                          <w:szCs w:val="32"/>
                        </w:rPr>
                      </w:pPr>
                      <w:r w:rsidRPr="00431052">
                        <w:rPr>
                          <w:b/>
                          <w:sz w:val="32"/>
                          <w:szCs w:val="32"/>
                        </w:rPr>
                        <w:t>Title: Health inequalities (area deprivation) - Life expectancy at 75</w:t>
                      </w:r>
                    </w:p>
                    <w:p w14:paraId="3187FCA7" w14:textId="48F4543B" w:rsidR="00431052" w:rsidRPr="00431052" w:rsidRDefault="00431052" w:rsidP="0034234B">
                      <w:pPr>
                        <w:spacing w:line="360" w:lineRule="auto"/>
                        <w:textboxTightWrap w:val="allLines"/>
                        <w:rPr>
                          <w:b/>
                          <w:sz w:val="32"/>
                          <w:szCs w:val="32"/>
                        </w:rPr>
                      </w:pPr>
                      <w:r w:rsidRPr="00431052">
                        <w:rPr>
                          <w:b/>
                          <w:sz w:val="32"/>
                          <w:szCs w:val="32"/>
                        </w:rPr>
                        <w:t>Set or domain: NHS Outcomes Framework – Domain 1 – Preventing people from dying prematurely</w:t>
                      </w:r>
                    </w:p>
                    <w:p w14:paraId="13636472" w14:textId="099F0CB3" w:rsidR="00431052" w:rsidRPr="00431052" w:rsidRDefault="00431052" w:rsidP="0015258C">
                      <w:pPr>
                        <w:spacing w:line="360" w:lineRule="auto"/>
                        <w:textboxTightWrap w:val="allLines"/>
                        <w:rPr>
                          <w:b/>
                          <w:sz w:val="22"/>
                          <w:szCs w:val="22"/>
                        </w:rPr>
                      </w:pPr>
                      <w:r w:rsidRPr="00431052">
                        <w:rPr>
                          <w:b/>
                          <w:sz w:val="32"/>
                          <w:szCs w:val="32"/>
                        </w:rPr>
                        <w:t>IAS Reference Code: IAP00459</w:t>
                      </w:r>
                    </w:p>
                    <w:p w14:paraId="2E0ADB47" w14:textId="77777777" w:rsidR="00431052" w:rsidRPr="00431052" w:rsidRDefault="00431052" w:rsidP="00110985">
                      <w:pPr>
                        <w:textboxTightWrap w:val="allLines"/>
                        <w:rPr>
                          <w:sz w:val="22"/>
                          <w:szCs w:val="22"/>
                        </w:rPr>
                      </w:pPr>
                    </w:p>
                    <w:p w14:paraId="718B0F67" w14:textId="77777777" w:rsidR="00431052" w:rsidRPr="00431052" w:rsidRDefault="00431052" w:rsidP="00110985">
                      <w:pPr>
                        <w:textboxTightWrap w:val="allLines"/>
                        <w:rPr>
                          <w:sz w:val="22"/>
                          <w:szCs w:val="22"/>
                        </w:rPr>
                      </w:pPr>
                    </w:p>
                    <w:p w14:paraId="7EDACFBC" w14:textId="77777777" w:rsidR="00431052" w:rsidRPr="00431052" w:rsidRDefault="00431052" w:rsidP="00110985">
                      <w:pPr>
                        <w:textboxTightWrap w:val="allLines"/>
                        <w:rPr>
                          <w:sz w:val="22"/>
                          <w:szCs w:val="22"/>
                        </w:rPr>
                      </w:pPr>
                    </w:p>
                    <w:p w14:paraId="38C1D15A" w14:textId="77777777" w:rsidR="00431052" w:rsidRPr="00431052" w:rsidRDefault="00431052" w:rsidP="00110985">
                      <w:pPr>
                        <w:textboxTightWrap w:val="allLines"/>
                        <w:rPr>
                          <w:sz w:val="22"/>
                          <w:szCs w:val="22"/>
                        </w:rPr>
                      </w:pPr>
                    </w:p>
                    <w:p w14:paraId="7E894D1F" w14:textId="77777777" w:rsidR="00431052" w:rsidRPr="00431052" w:rsidRDefault="00431052" w:rsidP="00110985">
                      <w:pPr>
                        <w:textboxTightWrap w:val="allLines"/>
                        <w:rPr>
                          <w:sz w:val="22"/>
                          <w:szCs w:val="22"/>
                        </w:rPr>
                      </w:pPr>
                    </w:p>
                    <w:p w14:paraId="74609FE3" w14:textId="77777777" w:rsidR="00431052" w:rsidRPr="00431052" w:rsidRDefault="00431052" w:rsidP="00110985">
                      <w:pPr>
                        <w:textboxTightWrap w:val="allLines"/>
                        <w:rPr>
                          <w:sz w:val="22"/>
                          <w:szCs w:val="22"/>
                        </w:rPr>
                      </w:pPr>
                    </w:p>
                    <w:p w14:paraId="39E2AA98" w14:textId="77777777" w:rsidR="00431052" w:rsidRPr="00431052" w:rsidRDefault="00431052" w:rsidP="00110985">
                      <w:pPr>
                        <w:textboxTightWrap w:val="allLines"/>
                        <w:rPr>
                          <w:sz w:val="22"/>
                          <w:szCs w:val="22"/>
                        </w:rPr>
                      </w:pPr>
                    </w:p>
                    <w:p w14:paraId="47B76F0C" w14:textId="77777777" w:rsidR="00431052" w:rsidRPr="00431052" w:rsidRDefault="00431052" w:rsidP="00110985">
                      <w:pPr>
                        <w:textboxTightWrap w:val="allLines"/>
                        <w:rPr>
                          <w:sz w:val="22"/>
                          <w:szCs w:val="22"/>
                        </w:rPr>
                      </w:pPr>
                    </w:p>
                    <w:p w14:paraId="77890700" w14:textId="77777777" w:rsidR="00431052" w:rsidRPr="00431052" w:rsidRDefault="00431052" w:rsidP="00110985">
                      <w:pPr>
                        <w:spacing w:after="0"/>
                        <w:rPr>
                          <w:b/>
                          <w:sz w:val="22"/>
                          <w:szCs w:val="22"/>
                        </w:rPr>
                      </w:pPr>
                      <w:r w:rsidRPr="00431052">
                        <w:rPr>
                          <w:b/>
                          <w:sz w:val="22"/>
                          <w:szCs w:val="22"/>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101"/>
                        <w:gridCol w:w="991"/>
                        <w:gridCol w:w="2405"/>
                        <w:gridCol w:w="5229"/>
                      </w:tblGrid>
                      <w:tr w:rsidR="00431052" w:rsidRPr="00BF78CE" w14:paraId="69ABAD52" w14:textId="77777777" w:rsidTr="00431052">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5EDE76AC" w14:textId="77777777" w:rsidR="00431052" w:rsidRPr="00431052" w:rsidRDefault="00431052">
                            <w:pPr>
                              <w:spacing w:after="0"/>
                              <w:rPr>
                                <w:sz w:val="22"/>
                                <w:szCs w:val="22"/>
                              </w:rPr>
                            </w:pPr>
                            <w:r w:rsidRPr="00431052">
                              <w:rPr>
                                <w:sz w:val="22"/>
                                <w:szCs w:val="22"/>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177B7F13" w14:textId="77777777" w:rsidR="00431052" w:rsidRPr="00431052" w:rsidRDefault="00431052">
                            <w:pPr>
                              <w:spacing w:after="0"/>
                              <w:rPr>
                                <w:sz w:val="22"/>
                                <w:szCs w:val="22"/>
                              </w:rPr>
                            </w:pPr>
                            <w:r w:rsidRPr="00431052">
                              <w:rPr>
                                <w:sz w:val="22"/>
                                <w:szCs w:val="22"/>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77C6C687" w14:textId="77777777" w:rsidR="00431052" w:rsidRPr="00431052" w:rsidRDefault="00431052">
                            <w:pPr>
                              <w:spacing w:after="0"/>
                              <w:rPr>
                                <w:sz w:val="22"/>
                                <w:szCs w:val="22"/>
                              </w:rPr>
                            </w:pPr>
                            <w:r w:rsidRPr="00431052">
                              <w:rPr>
                                <w:sz w:val="22"/>
                                <w:szCs w:val="22"/>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1FBB25F3" w14:textId="77777777" w:rsidR="00431052" w:rsidRPr="00431052" w:rsidRDefault="00431052">
                            <w:pPr>
                              <w:spacing w:after="0"/>
                              <w:rPr>
                                <w:sz w:val="22"/>
                                <w:szCs w:val="22"/>
                              </w:rPr>
                            </w:pPr>
                            <w:r w:rsidRPr="00431052">
                              <w:rPr>
                                <w:sz w:val="22"/>
                                <w:szCs w:val="22"/>
                              </w:rPr>
                              <w:t>Change</w:t>
                            </w:r>
                          </w:p>
                        </w:tc>
                      </w:tr>
                      <w:tr w:rsidR="00431052" w:rsidRPr="00BF78CE" w14:paraId="0776C546"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A251F04" w14:textId="77777777" w:rsidR="00431052" w:rsidRPr="00431052" w:rsidRDefault="00431052">
                            <w:pPr>
                              <w:spacing w:after="0"/>
                              <w:rPr>
                                <w:sz w:val="22"/>
                                <w:szCs w:val="22"/>
                              </w:rPr>
                            </w:pPr>
                            <w:r w:rsidRPr="00431052">
                              <w:rPr>
                                <w:sz w:val="22"/>
                                <w:szCs w:val="22"/>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23E2CC" w14:textId="6D47D5D9" w:rsidR="00431052" w:rsidRPr="00431052" w:rsidRDefault="00431052">
                            <w:pPr>
                              <w:spacing w:after="0"/>
                              <w:rPr>
                                <w:sz w:val="22"/>
                                <w:szCs w:val="22"/>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4C0A02C" w14:textId="68B7C685" w:rsidR="00431052" w:rsidRPr="00431052" w:rsidRDefault="00431052">
                            <w:pPr>
                              <w:spacing w:after="0"/>
                              <w:rPr>
                                <w:sz w:val="22"/>
                                <w:szCs w:val="22"/>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CCD9FC2" w14:textId="64FD6926" w:rsidR="00431052" w:rsidRPr="00431052" w:rsidRDefault="00431052">
                            <w:pPr>
                              <w:spacing w:after="0"/>
                              <w:rPr>
                                <w:sz w:val="22"/>
                                <w:szCs w:val="22"/>
                              </w:rPr>
                            </w:pPr>
                          </w:p>
                        </w:tc>
                      </w:tr>
                      <w:tr w:rsidR="00431052" w:rsidRPr="00BF78CE" w14:paraId="62A1265C"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27AC234" w14:textId="4493D7A8" w:rsidR="00431052" w:rsidRPr="00431052" w:rsidRDefault="00431052" w:rsidP="00A73E11">
                            <w:pPr>
                              <w:spacing w:after="0"/>
                              <w:rPr>
                                <w:sz w:val="22"/>
                                <w:szCs w:val="22"/>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A79326F" w14:textId="74F67018" w:rsidR="00431052" w:rsidRPr="00431052" w:rsidRDefault="00431052">
                            <w:pPr>
                              <w:spacing w:after="0"/>
                              <w:rPr>
                                <w:sz w:val="22"/>
                                <w:szCs w:val="22"/>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690BBBE" w14:textId="7ACF121A" w:rsidR="00431052" w:rsidRPr="00431052" w:rsidRDefault="00431052">
                            <w:pPr>
                              <w:spacing w:after="0"/>
                              <w:rPr>
                                <w:sz w:val="22"/>
                                <w:szCs w:val="22"/>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7F45AF" w14:textId="77E3D77F" w:rsidR="00431052" w:rsidRPr="00431052" w:rsidRDefault="00431052">
                            <w:pPr>
                              <w:spacing w:after="0"/>
                              <w:rPr>
                                <w:sz w:val="22"/>
                                <w:szCs w:val="22"/>
                              </w:rPr>
                            </w:pPr>
                          </w:p>
                        </w:tc>
                      </w:tr>
                      <w:tr w:rsidR="00431052" w:rsidRPr="00BF78CE" w14:paraId="07B74EC9"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4984D1" w14:textId="77777777" w:rsidR="00431052" w:rsidRPr="00431052" w:rsidRDefault="00431052">
                            <w:pPr>
                              <w:spacing w:after="0"/>
                              <w:rPr>
                                <w:color w:val="003360" w:themeColor="accent1"/>
                                <w:sz w:val="22"/>
                                <w:szCs w:val="22"/>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E792742" w14:textId="77777777" w:rsidR="00431052" w:rsidRPr="00431052" w:rsidRDefault="00431052">
                            <w:pPr>
                              <w:spacing w:after="0"/>
                              <w:rPr>
                                <w:color w:val="003360" w:themeColor="accent1"/>
                                <w:sz w:val="22"/>
                                <w:szCs w:val="22"/>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E3E6F0" w14:textId="77777777" w:rsidR="00431052" w:rsidRPr="00431052" w:rsidRDefault="00431052">
                            <w:pPr>
                              <w:spacing w:after="0"/>
                              <w:rPr>
                                <w:color w:val="003360" w:themeColor="accent1"/>
                                <w:sz w:val="22"/>
                                <w:szCs w:val="22"/>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1F8ED4" w14:textId="77777777" w:rsidR="00431052" w:rsidRPr="00431052" w:rsidRDefault="00431052">
                            <w:pPr>
                              <w:spacing w:after="0"/>
                              <w:rPr>
                                <w:color w:val="003360" w:themeColor="accent1"/>
                                <w:sz w:val="22"/>
                                <w:szCs w:val="22"/>
                              </w:rPr>
                            </w:pPr>
                          </w:p>
                        </w:tc>
                      </w:tr>
                      <w:tr w:rsidR="00431052" w:rsidRPr="00BF78CE" w14:paraId="6ED9256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E561A7C" w14:textId="77777777" w:rsidR="00431052" w:rsidRPr="00431052" w:rsidRDefault="00431052">
                            <w:pPr>
                              <w:spacing w:after="0"/>
                              <w:rPr>
                                <w:b/>
                                <w:color w:val="003360" w:themeColor="accent1"/>
                                <w:sz w:val="22"/>
                                <w:szCs w:val="22"/>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42D9FE" w14:textId="77777777" w:rsidR="00431052" w:rsidRPr="00431052" w:rsidRDefault="00431052">
                            <w:pPr>
                              <w:spacing w:after="0"/>
                              <w:rPr>
                                <w:b/>
                                <w:color w:val="003360" w:themeColor="accent1"/>
                                <w:sz w:val="22"/>
                                <w:szCs w:val="22"/>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7B1C208" w14:textId="77777777" w:rsidR="00431052" w:rsidRPr="00431052" w:rsidRDefault="00431052">
                            <w:pPr>
                              <w:spacing w:after="0"/>
                              <w:rPr>
                                <w:b/>
                                <w:color w:val="003360" w:themeColor="accent1"/>
                                <w:sz w:val="22"/>
                                <w:szCs w:val="22"/>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96DA82A" w14:textId="77777777" w:rsidR="00431052" w:rsidRPr="00431052" w:rsidRDefault="00431052">
                            <w:pPr>
                              <w:spacing w:after="0"/>
                              <w:rPr>
                                <w:b/>
                                <w:color w:val="003360" w:themeColor="accent1"/>
                                <w:sz w:val="22"/>
                                <w:szCs w:val="22"/>
                              </w:rPr>
                            </w:pPr>
                          </w:p>
                        </w:tc>
                      </w:tr>
                    </w:tbl>
                    <w:p w14:paraId="1B7BD714" w14:textId="77777777" w:rsidR="00431052" w:rsidRPr="00431052" w:rsidRDefault="00431052" w:rsidP="00110985">
                      <w:pPr>
                        <w:textboxTightWrap w:val="allLines"/>
                        <w:rPr>
                          <w:sz w:val="22"/>
                          <w:szCs w:val="22"/>
                        </w:rPr>
                      </w:pPr>
                    </w:p>
                    <w:p w14:paraId="2586DDB4" w14:textId="77777777" w:rsidR="00431052" w:rsidRPr="00431052" w:rsidRDefault="00431052" w:rsidP="002A7E9E">
                      <w:pPr>
                        <w:textboxTightWrap w:val="allLines"/>
                        <w:rPr>
                          <w:sz w:val="22"/>
                          <w:szCs w:val="22"/>
                        </w:rPr>
                      </w:pPr>
                    </w:p>
                    <w:p w14:paraId="6C367D3D" w14:textId="77777777" w:rsidR="00431052" w:rsidRPr="00431052" w:rsidRDefault="00431052">
                      <w:pPr>
                        <w:rPr>
                          <w:sz w:val="22"/>
                          <w:szCs w:val="22"/>
                        </w:rPr>
                      </w:pPr>
                    </w:p>
                  </w:txbxContent>
                </v:textbox>
                <w10:anchorlock/>
              </v:shape>
            </w:pict>
          </mc:Fallback>
        </mc:AlternateContent>
      </w:r>
    </w:p>
    <w:p w14:paraId="6C367C3B" w14:textId="77777777" w:rsidR="001D243C" w:rsidRPr="00431052" w:rsidRDefault="001D243C" w:rsidP="00B77C41">
      <w:pPr>
        <w:pStyle w:val="Frontpagesubhead"/>
        <w:rPr>
          <w:rFonts w:cs="Arial"/>
          <w:color w:val="auto"/>
        </w:rPr>
        <w:sectPr w:rsidR="001D243C" w:rsidRPr="00431052" w:rsidSect="00431052">
          <w:headerReference w:type="default" r:id="rId8"/>
          <w:footerReference w:type="default" r:id="rId9"/>
          <w:pgSz w:w="16838" w:h="11906" w:orient="landscape"/>
          <w:pgMar w:top="1021" w:right="1021" w:bottom="1021" w:left="1021" w:header="454" w:footer="680" w:gutter="0"/>
          <w:cols w:space="708"/>
          <w:docGrid w:linePitch="360"/>
        </w:sectPr>
      </w:pPr>
    </w:p>
    <w:p w14:paraId="74BFD9C1" w14:textId="0932F696" w:rsidR="009B1752" w:rsidRDefault="009B1752">
      <w:r>
        <w:lastRenderedPageBreak/>
        <w:t>Section 1 Introduction / Overview</w:t>
      </w:r>
    </w:p>
    <w:tbl>
      <w:tblPr>
        <w:tblStyle w:val="TableGrid1"/>
        <w:tblW w:w="12154" w:type="dxa"/>
        <w:tblInd w:w="108" w:type="dxa"/>
        <w:tblLayout w:type="fixed"/>
        <w:tblLook w:val="04A0" w:firstRow="1" w:lastRow="0" w:firstColumn="1" w:lastColumn="0" w:noHBand="0" w:noVBand="1"/>
      </w:tblPr>
      <w:tblGrid>
        <w:gridCol w:w="2266"/>
        <w:gridCol w:w="9888"/>
      </w:tblGrid>
      <w:tr w:rsidR="009B1752" w:rsidRPr="00431052" w14:paraId="6C367C42" w14:textId="77777777" w:rsidTr="009B1752">
        <w:tc>
          <w:tcPr>
            <w:tcW w:w="2266" w:type="dxa"/>
          </w:tcPr>
          <w:p w14:paraId="6C367C40" w14:textId="4D93C259" w:rsidR="009B1752" w:rsidRPr="00431052" w:rsidRDefault="009B1752" w:rsidP="00772A5C">
            <w:pPr>
              <w:spacing w:before="240"/>
              <w:rPr>
                <w:b/>
                <w:sz w:val="22"/>
                <w:szCs w:val="22"/>
              </w:rPr>
            </w:pPr>
            <w:permStart w:id="319383352" w:edGrp="everyone" w:colFirst="1" w:colLast="1"/>
            <w:r>
              <w:rPr>
                <w:b/>
                <w:sz w:val="22"/>
                <w:szCs w:val="22"/>
              </w:rPr>
              <w:t xml:space="preserve">1.1 </w:t>
            </w:r>
            <w:r w:rsidRPr="00431052">
              <w:rPr>
                <w:b/>
                <w:sz w:val="22"/>
                <w:szCs w:val="22"/>
              </w:rPr>
              <w:t>Title</w:t>
            </w:r>
          </w:p>
        </w:tc>
        <w:tc>
          <w:tcPr>
            <w:tcW w:w="9888" w:type="dxa"/>
          </w:tcPr>
          <w:p w14:paraId="6C367C41" w14:textId="07DF0174" w:rsidR="009B1752" w:rsidRPr="00431052" w:rsidRDefault="009B1752" w:rsidP="00A73E11">
            <w:pPr>
              <w:spacing w:before="240"/>
              <w:rPr>
                <w:sz w:val="22"/>
                <w:szCs w:val="22"/>
              </w:rPr>
            </w:pPr>
            <w:r w:rsidRPr="00431052">
              <w:rPr>
                <w:sz w:val="22"/>
                <w:szCs w:val="22"/>
              </w:rPr>
              <w:t>Health inequalities (area deprivation) - Life expectancy at 75</w:t>
            </w:r>
          </w:p>
        </w:tc>
      </w:tr>
      <w:tr w:rsidR="009B1752" w:rsidRPr="00431052" w14:paraId="6C367C46" w14:textId="77777777" w:rsidTr="009B1752">
        <w:tc>
          <w:tcPr>
            <w:tcW w:w="2266" w:type="dxa"/>
          </w:tcPr>
          <w:p w14:paraId="6C367C44" w14:textId="6170C1F1" w:rsidR="009B1752" w:rsidRPr="00431052" w:rsidRDefault="009B1752" w:rsidP="00772A5C">
            <w:pPr>
              <w:spacing w:before="240"/>
              <w:rPr>
                <w:b/>
                <w:sz w:val="22"/>
                <w:szCs w:val="22"/>
              </w:rPr>
            </w:pPr>
            <w:permStart w:id="67990115" w:edGrp="everyone" w:colFirst="1" w:colLast="1"/>
            <w:permEnd w:id="319383352"/>
            <w:r>
              <w:rPr>
                <w:b/>
                <w:sz w:val="22"/>
                <w:szCs w:val="22"/>
              </w:rPr>
              <w:t xml:space="preserve">1.2 </w:t>
            </w:r>
            <w:r w:rsidRPr="00431052">
              <w:rPr>
                <w:b/>
                <w:sz w:val="22"/>
                <w:szCs w:val="22"/>
              </w:rPr>
              <w:t>Set or domain</w:t>
            </w:r>
          </w:p>
        </w:tc>
        <w:tc>
          <w:tcPr>
            <w:tcW w:w="9888" w:type="dxa"/>
          </w:tcPr>
          <w:p w14:paraId="6C367C45" w14:textId="4FAEFA0F" w:rsidR="009B1752" w:rsidRPr="00431052" w:rsidRDefault="009B1752" w:rsidP="003B7858">
            <w:pPr>
              <w:spacing w:before="240"/>
              <w:rPr>
                <w:sz w:val="22"/>
                <w:szCs w:val="22"/>
              </w:rPr>
            </w:pPr>
            <w:r w:rsidRPr="00431052">
              <w:rPr>
                <w:sz w:val="22"/>
                <w:szCs w:val="22"/>
              </w:rPr>
              <w:t>1b NHS Outcomes Framework – Domain 1 – Preventing people from dying prematurely</w:t>
            </w:r>
          </w:p>
        </w:tc>
      </w:tr>
      <w:tr w:rsidR="009B1752" w:rsidRPr="00431052" w14:paraId="6C367C4A" w14:textId="77777777" w:rsidTr="009B1752">
        <w:tc>
          <w:tcPr>
            <w:tcW w:w="2266" w:type="dxa"/>
          </w:tcPr>
          <w:p w14:paraId="6C367C48" w14:textId="04943CC4" w:rsidR="009B1752" w:rsidRPr="00431052" w:rsidRDefault="009B1752" w:rsidP="00772A5C">
            <w:pPr>
              <w:spacing w:before="240"/>
              <w:rPr>
                <w:b/>
                <w:sz w:val="22"/>
                <w:szCs w:val="22"/>
              </w:rPr>
            </w:pPr>
            <w:permStart w:id="807733022" w:edGrp="everyone" w:colFirst="1" w:colLast="1"/>
            <w:permEnd w:id="67990115"/>
            <w:r>
              <w:rPr>
                <w:b/>
                <w:sz w:val="22"/>
                <w:szCs w:val="22"/>
              </w:rPr>
              <w:t xml:space="preserve">1.3 </w:t>
            </w:r>
            <w:r w:rsidRPr="00431052">
              <w:rPr>
                <w:b/>
                <w:sz w:val="22"/>
                <w:szCs w:val="22"/>
              </w:rPr>
              <w:t>Topic area</w:t>
            </w:r>
          </w:p>
        </w:tc>
        <w:tc>
          <w:tcPr>
            <w:tcW w:w="9888" w:type="dxa"/>
          </w:tcPr>
          <w:p w14:paraId="6C367C49" w14:textId="38612869" w:rsidR="009B1752" w:rsidRPr="00431052" w:rsidRDefault="009B1752" w:rsidP="00772A5C">
            <w:pPr>
              <w:spacing w:before="240"/>
              <w:rPr>
                <w:sz w:val="22"/>
                <w:szCs w:val="22"/>
              </w:rPr>
            </w:pPr>
            <w:r w:rsidRPr="00431052">
              <w:rPr>
                <w:sz w:val="22"/>
                <w:szCs w:val="22"/>
              </w:rPr>
              <w:t>Premature mortality, health inequalities</w:t>
            </w:r>
          </w:p>
        </w:tc>
      </w:tr>
      <w:tr w:rsidR="009B1752" w:rsidRPr="00431052" w14:paraId="6C367C4E" w14:textId="77777777" w:rsidTr="009B1752">
        <w:tc>
          <w:tcPr>
            <w:tcW w:w="2266" w:type="dxa"/>
          </w:tcPr>
          <w:p w14:paraId="6C367C4C" w14:textId="27F6E59F" w:rsidR="009B1752" w:rsidRPr="00431052" w:rsidRDefault="009B1752" w:rsidP="00772A5C">
            <w:pPr>
              <w:spacing w:before="240"/>
              <w:rPr>
                <w:b/>
                <w:sz w:val="22"/>
                <w:szCs w:val="22"/>
              </w:rPr>
            </w:pPr>
            <w:permStart w:id="1632713430" w:edGrp="everyone" w:colFirst="1" w:colLast="1"/>
            <w:permEnd w:id="807733022"/>
            <w:r>
              <w:rPr>
                <w:b/>
                <w:sz w:val="22"/>
                <w:szCs w:val="22"/>
              </w:rPr>
              <w:t xml:space="preserve">1.4 </w:t>
            </w:r>
            <w:r w:rsidRPr="00431052">
              <w:rPr>
                <w:b/>
                <w:sz w:val="22"/>
                <w:szCs w:val="22"/>
              </w:rPr>
              <w:t>Definition</w:t>
            </w:r>
          </w:p>
        </w:tc>
        <w:tc>
          <w:tcPr>
            <w:tcW w:w="9888" w:type="dxa"/>
          </w:tcPr>
          <w:p w14:paraId="3ED270A5" w14:textId="5B2AE1DF" w:rsidR="009B1752" w:rsidRPr="00431052" w:rsidRDefault="009B1752" w:rsidP="0034234B">
            <w:pPr>
              <w:rPr>
                <w:sz w:val="22"/>
                <w:szCs w:val="22"/>
              </w:rPr>
            </w:pPr>
            <w:r w:rsidRPr="00431052">
              <w:rPr>
                <w:sz w:val="22"/>
                <w:szCs w:val="22"/>
              </w:rPr>
              <w:t>This indicator measures inequalities in life expectancy at 75 for men and women in England, based on area deprivation.</w:t>
            </w:r>
          </w:p>
          <w:p w14:paraId="2A383D90" w14:textId="77777777" w:rsidR="009B1752" w:rsidRPr="00431052" w:rsidRDefault="009B1752" w:rsidP="0034234B">
            <w:pPr>
              <w:rPr>
                <w:sz w:val="22"/>
                <w:szCs w:val="22"/>
              </w:rPr>
            </w:pPr>
            <w:r w:rsidRPr="00431052">
              <w:rPr>
                <w:sz w:val="22"/>
                <w:szCs w:val="22"/>
              </w:rPr>
              <w:t>Life expectancy is supplied by ONS for each deprivation decile. The slope index of inequality (SII) is then calculated based on these figures. The SII is a measure of the social gradient in life expectancy, i.e. how much it varies with deprivation. It takes account of health inequalities across the range of deprivation and summarises this in a single number. This represents the range in life expectancy across the social gradient from most to least deprived, based on a statistical analysis of the relationship between life expectancy and deprivation across all deprivation deciles.</w:t>
            </w:r>
          </w:p>
          <w:p w14:paraId="4A9E8C10" w14:textId="77777777" w:rsidR="009B1752" w:rsidRPr="00431052" w:rsidRDefault="009B1752" w:rsidP="0034234B">
            <w:pPr>
              <w:spacing w:before="240"/>
              <w:rPr>
                <w:sz w:val="22"/>
                <w:szCs w:val="22"/>
              </w:rPr>
            </w:pPr>
            <w:r w:rsidRPr="00431052">
              <w:rPr>
                <w:sz w:val="22"/>
                <w:szCs w:val="22"/>
              </w:rPr>
              <w:t>The SII is calculated using population-weighted linear regression. To allow for differences in population size between deciles, each is given a rank score based on the midpoint of its range in the cumulative distribution of the population. The deciles are first ordered from most deprived to least deprived. If decile 1 contains 12% of the population, its rank score would be 12/2=6. If decile 2 includes 10% of the population, its rank score would be 12+(10/2)=17. The life expectancy is plotted against this rank score and a population-weighted regression line is fitted to the data by the least squares method. The SII is the gradient of the resulting fitted line.</w:t>
            </w:r>
          </w:p>
          <w:p w14:paraId="6C367C4D" w14:textId="0841185B" w:rsidR="009B1752" w:rsidRPr="00431052" w:rsidRDefault="009B1752" w:rsidP="0034234B">
            <w:pPr>
              <w:spacing w:before="240"/>
              <w:rPr>
                <w:sz w:val="22"/>
                <w:szCs w:val="22"/>
              </w:rPr>
            </w:pPr>
            <w:r w:rsidRPr="00431052">
              <w:rPr>
                <w:sz w:val="22"/>
                <w:szCs w:val="22"/>
                <w:lang w:eastAsia="en-GB"/>
              </w:rPr>
              <w:t>The SII is calculated only for the Deprivation Decile breakdown for Female and Male for pooled year periods, e.g. 2012-14</w:t>
            </w:r>
          </w:p>
        </w:tc>
      </w:tr>
      <w:tr w:rsidR="009B1752" w:rsidRPr="00431052" w14:paraId="6C367C52" w14:textId="77777777" w:rsidTr="009B1752">
        <w:tc>
          <w:tcPr>
            <w:tcW w:w="2266" w:type="dxa"/>
          </w:tcPr>
          <w:p w14:paraId="6C367C50" w14:textId="6EDEDD70" w:rsidR="009B1752" w:rsidRPr="00431052" w:rsidRDefault="009B1752" w:rsidP="00772A5C">
            <w:pPr>
              <w:spacing w:before="240"/>
              <w:rPr>
                <w:b/>
                <w:sz w:val="22"/>
                <w:szCs w:val="22"/>
              </w:rPr>
            </w:pPr>
            <w:permStart w:id="652289934" w:edGrp="everyone" w:colFirst="1" w:colLast="1"/>
            <w:permEnd w:id="1632713430"/>
            <w:r>
              <w:rPr>
                <w:b/>
                <w:sz w:val="22"/>
                <w:szCs w:val="22"/>
              </w:rPr>
              <w:t xml:space="preserve">1.5 </w:t>
            </w:r>
            <w:r w:rsidRPr="00431052">
              <w:rPr>
                <w:b/>
                <w:sz w:val="22"/>
                <w:szCs w:val="22"/>
              </w:rPr>
              <w:t>Indicator owner &amp; contact details</w:t>
            </w:r>
          </w:p>
        </w:tc>
        <w:tc>
          <w:tcPr>
            <w:tcW w:w="9888" w:type="dxa"/>
          </w:tcPr>
          <w:p w14:paraId="5BEA724B" w14:textId="77777777" w:rsidR="009B1752" w:rsidRPr="00431052" w:rsidRDefault="009B1752" w:rsidP="0034234B">
            <w:pPr>
              <w:spacing w:after="0"/>
              <w:rPr>
                <w:rStyle w:val="Hyperlink"/>
                <w:rFonts w:ascii="Arial" w:hAnsi="Arial"/>
                <w:b/>
                <w:color w:val="auto"/>
                <w:sz w:val="22"/>
                <w:szCs w:val="22"/>
                <w:u w:val="single"/>
              </w:rPr>
            </w:pPr>
            <w:r w:rsidRPr="00431052">
              <w:rPr>
                <w:rStyle w:val="Hyperlink"/>
                <w:rFonts w:ascii="Arial" w:hAnsi="Arial"/>
                <w:b/>
                <w:color w:val="auto"/>
                <w:sz w:val="22"/>
                <w:szCs w:val="22"/>
                <w:u w:val="single"/>
              </w:rPr>
              <w:t>Department of Health</w:t>
            </w:r>
          </w:p>
          <w:p w14:paraId="4C2F9697" w14:textId="77777777" w:rsidR="009B1752" w:rsidRPr="00431052" w:rsidRDefault="009B1752" w:rsidP="0034234B">
            <w:pPr>
              <w:spacing w:after="0"/>
              <w:rPr>
                <w:rStyle w:val="Hyperlink"/>
                <w:rFonts w:ascii="Arial" w:hAnsi="Arial"/>
                <w:color w:val="auto"/>
                <w:sz w:val="22"/>
                <w:szCs w:val="22"/>
              </w:rPr>
            </w:pPr>
            <w:r w:rsidRPr="00431052">
              <w:rPr>
                <w:rStyle w:val="Hyperlink"/>
                <w:rFonts w:ascii="Arial" w:hAnsi="Arial"/>
                <w:color w:val="auto"/>
                <w:sz w:val="22"/>
                <w:szCs w:val="22"/>
              </w:rPr>
              <w:t>Andrew Parker</w:t>
            </w:r>
          </w:p>
          <w:p w14:paraId="58B0F58C" w14:textId="77777777" w:rsidR="009B1752" w:rsidRPr="00431052" w:rsidRDefault="009B1752" w:rsidP="0034234B">
            <w:pPr>
              <w:spacing w:after="0"/>
              <w:rPr>
                <w:sz w:val="22"/>
                <w:szCs w:val="22"/>
              </w:rPr>
            </w:pPr>
            <w:r w:rsidRPr="00431052">
              <w:rPr>
                <w:sz w:val="22"/>
                <w:szCs w:val="22"/>
              </w:rPr>
              <w:t>Principal Operational Research Analyst</w:t>
            </w:r>
          </w:p>
          <w:p w14:paraId="17C8DBC5" w14:textId="77777777" w:rsidR="009B1752" w:rsidRPr="00431052" w:rsidRDefault="009B1752" w:rsidP="0034234B">
            <w:pPr>
              <w:spacing w:after="0"/>
              <w:rPr>
                <w:sz w:val="22"/>
                <w:szCs w:val="22"/>
              </w:rPr>
            </w:pPr>
            <w:r w:rsidRPr="00431052">
              <w:rPr>
                <w:sz w:val="22"/>
                <w:szCs w:val="22"/>
              </w:rPr>
              <w:t>Outcomes Analysis Team</w:t>
            </w:r>
          </w:p>
          <w:p w14:paraId="0FA3DB3A" w14:textId="77777777" w:rsidR="009B1752" w:rsidRPr="00431052" w:rsidRDefault="009B1752" w:rsidP="0034234B">
            <w:pPr>
              <w:spacing w:after="0"/>
              <w:rPr>
                <w:sz w:val="22"/>
                <w:szCs w:val="22"/>
              </w:rPr>
            </w:pPr>
            <w:r w:rsidRPr="00431052">
              <w:rPr>
                <w:sz w:val="22"/>
                <w:szCs w:val="22"/>
              </w:rPr>
              <w:t>Department of Health</w:t>
            </w:r>
          </w:p>
          <w:p w14:paraId="6C367C51" w14:textId="1C1DFE90" w:rsidR="009B1752" w:rsidRPr="00431052" w:rsidRDefault="009B1752" w:rsidP="0034234B">
            <w:pPr>
              <w:spacing w:before="240"/>
              <w:rPr>
                <w:sz w:val="22"/>
                <w:szCs w:val="22"/>
              </w:rPr>
            </w:pPr>
            <w:hyperlink r:id="rId10" w:history="1">
              <w:r w:rsidRPr="00431052">
                <w:rPr>
                  <w:rStyle w:val="Hyperlink"/>
                  <w:rFonts w:ascii="Arial" w:hAnsi="Arial"/>
                  <w:color w:val="auto"/>
                  <w:sz w:val="22"/>
                  <w:szCs w:val="22"/>
                </w:rPr>
                <w:t>Andrew.Parker@dh.gsi.gov.uk</w:t>
              </w:r>
            </w:hyperlink>
          </w:p>
        </w:tc>
      </w:tr>
      <w:tr w:rsidR="009B1752" w:rsidRPr="00431052" w14:paraId="6C367C56" w14:textId="77777777" w:rsidTr="009B1752">
        <w:tc>
          <w:tcPr>
            <w:tcW w:w="2266" w:type="dxa"/>
          </w:tcPr>
          <w:p w14:paraId="20EFCDD5" w14:textId="1EC9AA46" w:rsidR="009B1752" w:rsidRPr="00431052" w:rsidRDefault="009B1752" w:rsidP="00772A5C">
            <w:pPr>
              <w:spacing w:before="240"/>
              <w:rPr>
                <w:b/>
                <w:sz w:val="22"/>
                <w:szCs w:val="22"/>
              </w:rPr>
            </w:pPr>
            <w:permStart w:id="2123710781" w:edGrp="everyone" w:colFirst="1" w:colLast="1"/>
            <w:permEnd w:id="652289934"/>
            <w:r>
              <w:rPr>
                <w:b/>
                <w:sz w:val="22"/>
                <w:szCs w:val="22"/>
              </w:rPr>
              <w:t xml:space="preserve">1.6 </w:t>
            </w:r>
            <w:r w:rsidRPr="00431052">
              <w:rPr>
                <w:b/>
                <w:sz w:val="22"/>
                <w:szCs w:val="22"/>
              </w:rPr>
              <w:t>Publication status</w:t>
            </w:r>
          </w:p>
          <w:p w14:paraId="6C367C54" w14:textId="06A5C7D4" w:rsidR="009B1752" w:rsidRPr="00431052" w:rsidRDefault="009B1752" w:rsidP="00772A5C">
            <w:pPr>
              <w:spacing w:before="240"/>
              <w:rPr>
                <w:b/>
                <w:sz w:val="22"/>
                <w:szCs w:val="22"/>
              </w:rPr>
            </w:pPr>
          </w:p>
        </w:tc>
        <w:sdt>
          <w:sdtPr>
            <w:rPr>
              <w:sz w:val="22"/>
              <w:szCs w:val="22"/>
            </w:rPr>
            <w:alias w:val="Publication status"/>
            <w:tag w:val="Publication status"/>
            <w:id w:val="-694159432"/>
            <w:placeholder>
              <w:docPart w:val="356FC5A27E1E471894AA79B03E36FDE4"/>
            </w:placeholder>
            <w:comboBox>
              <w:listItem w:value="Choose an item."/>
              <w:listItem w:displayText="Currently in publication" w:value="Currently in publication"/>
              <w:listItem w:displayText="Not currently in publication" w:value="Not currently in publication"/>
            </w:comboBox>
          </w:sdtPr>
          <w:sdtContent>
            <w:tc>
              <w:tcPr>
                <w:tcW w:w="9888" w:type="dxa"/>
              </w:tcPr>
              <w:p w14:paraId="6C367C55" w14:textId="0547E7A0" w:rsidR="009B1752" w:rsidRPr="00431052" w:rsidRDefault="009B1752" w:rsidP="00772A5C">
                <w:pPr>
                  <w:spacing w:before="240"/>
                  <w:rPr>
                    <w:sz w:val="22"/>
                    <w:szCs w:val="22"/>
                  </w:rPr>
                </w:pPr>
                <w:r w:rsidRPr="00431052">
                  <w:rPr>
                    <w:sz w:val="22"/>
                    <w:szCs w:val="22"/>
                  </w:rPr>
                  <w:t>Not currently in publication</w:t>
                </w:r>
              </w:p>
            </w:tc>
          </w:sdtContent>
        </w:sdt>
      </w:tr>
    </w:tbl>
    <w:permEnd w:id="2123710781"/>
    <w:p w14:paraId="356FE36A" w14:textId="443D6C12" w:rsidR="009B1752" w:rsidRDefault="009B1752">
      <w:r>
        <w:t>Section 2 Rationale</w:t>
      </w:r>
    </w:p>
    <w:tbl>
      <w:tblPr>
        <w:tblStyle w:val="TableGrid1"/>
        <w:tblW w:w="12154" w:type="dxa"/>
        <w:tblInd w:w="108" w:type="dxa"/>
        <w:tblLayout w:type="fixed"/>
        <w:tblLook w:val="04A0" w:firstRow="1" w:lastRow="0" w:firstColumn="1" w:lastColumn="0" w:noHBand="0" w:noVBand="1"/>
      </w:tblPr>
      <w:tblGrid>
        <w:gridCol w:w="2266"/>
        <w:gridCol w:w="9888"/>
      </w:tblGrid>
      <w:tr w:rsidR="009B1752" w:rsidRPr="00431052" w14:paraId="6C367C5C" w14:textId="77777777" w:rsidTr="009B1752">
        <w:tc>
          <w:tcPr>
            <w:tcW w:w="2266" w:type="dxa"/>
          </w:tcPr>
          <w:p w14:paraId="6C367C5A" w14:textId="6D8B14EE" w:rsidR="009B1752" w:rsidRPr="00431052" w:rsidRDefault="009B1752" w:rsidP="00772A5C">
            <w:pPr>
              <w:spacing w:before="240"/>
              <w:rPr>
                <w:b/>
                <w:sz w:val="22"/>
                <w:szCs w:val="22"/>
              </w:rPr>
            </w:pPr>
            <w:permStart w:id="1566207409" w:edGrp="everyone" w:colFirst="1" w:colLast="1"/>
            <w:r>
              <w:rPr>
                <w:b/>
                <w:sz w:val="22"/>
                <w:szCs w:val="22"/>
              </w:rPr>
              <w:t xml:space="preserve">2.1 </w:t>
            </w:r>
            <w:r w:rsidRPr="00431052">
              <w:rPr>
                <w:b/>
                <w:sz w:val="22"/>
                <w:szCs w:val="22"/>
              </w:rPr>
              <w:t>Purpose</w:t>
            </w:r>
          </w:p>
        </w:tc>
        <w:tc>
          <w:tcPr>
            <w:tcW w:w="9888" w:type="dxa"/>
          </w:tcPr>
          <w:p w14:paraId="0B1A91B6" w14:textId="77777777" w:rsidR="009B1752" w:rsidRPr="00431052" w:rsidRDefault="009B1752" w:rsidP="0034234B">
            <w:pPr>
              <w:spacing w:before="240"/>
              <w:rPr>
                <w:sz w:val="22"/>
                <w:szCs w:val="22"/>
              </w:rPr>
            </w:pPr>
            <w:r w:rsidRPr="00431052">
              <w:rPr>
                <w:sz w:val="22"/>
                <w:szCs w:val="22"/>
              </w:rPr>
              <w:t>The purpose of the indicator is to provide a measure of the inequality related to area deprivation in relation to life expectancy. This can be tracked over time to assess progress in reducing this inequality.</w:t>
            </w:r>
          </w:p>
          <w:p w14:paraId="1554BA3A" w14:textId="77777777" w:rsidR="009B1752" w:rsidRPr="00431052" w:rsidRDefault="009B1752" w:rsidP="0034234B">
            <w:pPr>
              <w:spacing w:before="240"/>
              <w:rPr>
                <w:sz w:val="22"/>
                <w:szCs w:val="22"/>
              </w:rPr>
            </w:pPr>
            <w:r w:rsidRPr="00431052">
              <w:rPr>
                <w:sz w:val="22"/>
                <w:szCs w:val="22"/>
              </w:rPr>
              <w:t>A number of indicators within the NHS Outcomes Framework have been selected for health inequality assessment</w:t>
            </w:r>
            <w:r w:rsidRPr="00431052">
              <w:rPr>
                <w:sz w:val="22"/>
                <w:szCs w:val="22"/>
                <w:vertAlign w:val="superscript"/>
              </w:rPr>
              <w:footnoteReference w:id="1"/>
            </w:r>
            <w:r w:rsidRPr="00431052">
              <w:rPr>
                <w:sz w:val="22"/>
                <w:szCs w:val="22"/>
              </w:rPr>
              <w:t xml:space="preserve">. </w:t>
            </w:r>
          </w:p>
          <w:p w14:paraId="6E790501" w14:textId="2033D295" w:rsidR="009B1752" w:rsidRPr="00431052" w:rsidDel="009F732E" w:rsidRDefault="009B1752" w:rsidP="0034234B">
            <w:pPr>
              <w:spacing w:before="240"/>
              <w:rPr>
                <w:sz w:val="22"/>
                <w:szCs w:val="22"/>
              </w:rPr>
            </w:pPr>
            <w:r w:rsidRPr="00431052">
              <w:rPr>
                <w:sz w:val="22"/>
                <w:szCs w:val="22"/>
              </w:rPr>
              <w:t>The indicator on which this indicator is based, 1b Life expectancy at 75, hereafter referred to as the ‘underlying indicator’ is an indicator in domain 1 – Preventing people from dying prematurely. This indicator is measured to ensure that the NHS is held to account for doing all that it can to prevent avoidable deaths in older people. This indicator captures all deaths at ages 75 and over.</w:t>
            </w:r>
            <w:r w:rsidRPr="00431052">
              <w:rPr>
                <w:rStyle w:val="FootnoteReference"/>
                <w:sz w:val="23"/>
                <w:szCs w:val="23"/>
              </w:rPr>
              <w:footnoteReference w:id="2"/>
            </w:r>
            <w:r w:rsidRPr="00431052">
              <w:rPr>
                <w:sz w:val="22"/>
                <w:szCs w:val="22"/>
              </w:rPr>
              <w:t xml:space="preserve"> The health inequality indicator is an indicator which captures high level health inequalities and ensures that the NHS can be held to account for doing all that it can to reduce inequalities in avoidable deaths in older people. </w:t>
            </w:r>
          </w:p>
          <w:p w14:paraId="6C367C5B" w14:textId="25160107" w:rsidR="009B1752" w:rsidRPr="00431052" w:rsidRDefault="009B1752" w:rsidP="003B7858">
            <w:pPr>
              <w:pStyle w:val="CM13"/>
              <w:ind w:right="102"/>
              <w:rPr>
                <w:rFonts w:ascii="Arial" w:hAnsi="Arial"/>
                <w:sz w:val="22"/>
                <w:szCs w:val="22"/>
              </w:rPr>
            </w:pPr>
            <w:r w:rsidRPr="00431052">
              <w:rPr>
                <w:rFonts w:ascii="Arial" w:hAnsi="Arial"/>
                <w:sz w:val="22"/>
                <w:szCs w:val="22"/>
              </w:rPr>
              <w:t>Because of the linear relationship between the underlying indicator value and deprivation the Slope Index of Inequality (SII) has been selected to measure how much life expectancy varies with deprivation. The Relative Index of Inequality (RII) has been selected as this gives context to the SII, indicating whether a change observed in the SII represents an increase or decrease in the extent of inequality relative to overall performance in the indicator, i.e. the SII as proportion of the England indicator value</w:t>
            </w:r>
          </w:p>
        </w:tc>
      </w:tr>
      <w:tr w:rsidR="009B1752" w:rsidRPr="00431052" w14:paraId="6C367C60" w14:textId="77777777" w:rsidTr="009B1752">
        <w:tc>
          <w:tcPr>
            <w:tcW w:w="2266" w:type="dxa"/>
          </w:tcPr>
          <w:p w14:paraId="6C367C5E" w14:textId="71D3A06E" w:rsidR="009B1752" w:rsidRPr="00431052" w:rsidRDefault="009B1752" w:rsidP="00772A5C">
            <w:pPr>
              <w:spacing w:before="240"/>
              <w:rPr>
                <w:b/>
                <w:sz w:val="22"/>
                <w:szCs w:val="22"/>
              </w:rPr>
            </w:pPr>
            <w:permStart w:id="679152017" w:edGrp="everyone" w:colFirst="1" w:colLast="1"/>
            <w:permEnd w:id="1566207409"/>
            <w:r>
              <w:rPr>
                <w:b/>
                <w:sz w:val="22"/>
                <w:szCs w:val="22"/>
              </w:rPr>
              <w:t xml:space="preserve">2.2 </w:t>
            </w:r>
            <w:r w:rsidRPr="00431052">
              <w:rPr>
                <w:b/>
                <w:sz w:val="22"/>
                <w:szCs w:val="22"/>
              </w:rPr>
              <w:t>Sponsor</w:t>
            </w:r>
          </w:p>
        </w:tc>
        <w:tc>
          <w:tcPr>
            <w:tcW w:w="9888" w:type="dxa"/>
          </w:tcPr>
          <w:p w14:paraId="046C9878" w14:textId="77777777" w:rsidR="009B1752" w:rsidRPr="00431052" w:rsidRDefault="009B1752" w:rsidP="0034234B">
            <w:pPr>
              <w:spacing w:before="240"/>
              <w:rPr>
                <w:sz w:val="22"/>
                <w:szCs w:val="22"/>
              </w:rPr>
            </w:pPr>
            <w:r w:rsidRPr="00431052">
              <w:rPr>
                <w:sz w:val="22"/>
                <w:szCs w:val="22"/>
              </w:rPr>
              <w:t>Anne Griffin (DH - Health inequalities unit)</w:t>
            </w:r>
          </w:p>
          <w:p w14:paraId="5521E62B" w14:textId="77777777" w:rsidR="009B1752" w:rsidRPr="00431052" w:rsidRDefault="009B1752" w:rsidP="0034234B">
            <w:pPr>
              <w:spacing w:before="240"/>
              <w:rPr>
                <w:rStyle w:val="Hyperlink"/>
                <w:rFonts w:ascii="Arial" w:hAnsi="Arial"/>
                <w:color w:val="auto"/>
                <w:sz w:val="22"/>
                <w:szCs w:val="22"/>
              </w:rPr>
            </w:pPr>
            <w:hyperlink r:id="rId11" w:history="1"/>
            <w:hyperlink r:id="rId12" w:history="1">
              <w:r w:rsidRPr="00431052">
                <w:rPr>
                  <w:rStyle w:val="Hyperlink"/>
                  <w:rFonts w:ascii="Arial" w:eastAsia="Times New Roman" w:hAnsi="Arial"/>
                  <w:color w:val="auto"/>
                  <w:sz w:val="22"/>
                  <w:szCs w:val="22"/>
                </w:rPr>
                <w:t>anne.griffin@dh.gsi.gov.uk</w:t>
              </w:r>
            </w:hyperlink>
            <w:r w:rsidRPr="00431052">
              <w:rPr>
                <w:rStyle w:val="Hyperlink"/>
                <w:rFonts w:ascii="Arial" w:eastAsia="Times New Roman" w:hAnsi="Arial"/>
                <w:color w:val="auto"/>
                <w:sz w:val="22"/>
                <w:szCs w:val="22"/>
              </w:rPr>
              <w:t xml:space="preserve"> </w:t>
            </w:r>
          </w:p>
          <w:p w14:paraId="1087F0C4" w14:textId="77777777" w:rsidR="009B1752" w:rsidRPr="00431052" w:rsidRDefault="009B1752" w:rsidP="0034234B">
            <w:pPr>
              <w:spacing w:before="240"/>
              <w:rPr>
                <w:sz w:val="22"/>
                <w:szCs w:val="22"/>
              </w:rPr>
            </w:pPr>
            <w:r w:rsidRPr="00431052">
              <w:rPr>
                <w:rStyle w:val="Hyperlink"/>
                <w:rFonts w:ascii="Arial" w:hAnsi="Arial"/>
                <w:color w:val="auto"/>
                <w:sz w:val="22"/>
                <w:szCs w:val="22"/>
              </w:rPr>
              <w:t xml:space="preserve">Underlying indicator: </w:t>
            </w:r>
            <w:r w:rsidRPr="00431052">
              <w:rPr>
                <w:sz w:val="22"/>
                <w:szCs w:val="22"/>
              </w:rPr>
              <w:t>Heather White, NHS Services Team, Department of Health</w:t>
            </w:r>
          </w:p>
          <w:p w14:paraId="4A2C4D52" w14:textId="77777777" w:rsidR="009B1752" w:rsidRPr="00431052" w:rsidRDefault="009B1752" w:rsidP="0034234B">
            <w:pPr>
              <w:spacing w:after="0"/>
              <w:rPr>
                <w:sz w:val="22"/>
                <w:szCs w:val="22"/>
              </w:rPr>
            </w:pPr>
            <w:r w:rsidRPr="00431052">
              <w:rPr>
                <w:sz w:val="22"/>
                <w:szCs w:val="22"/>
              </w:rPr>
              <w:t>Tel: 020 7210 5811</w:t>
            </w:r>
          </w:p>
          <w:p w14:paraId="6C367C5F" w14:textId="209F0C85" w:rsidR="009B1752" w:rsidRPr="00431052" w:rsidRDefault="009B1752" w:rsidP="0034234B">
            <w:pPr>
              <w:spacing w:before="240"/>
              <w:rPr>
                <w:sz w:val="22"/>
                <w:szCs w:val="22"/>
              </w:rPr>
            </w:pPr>
            <w:r w:rsidRPr="00431052">
              <w:rPr>
                <w:sz w:val="22"/>
                <w:szCs w:val="22"/>
              </w:rPr>
              <w:t xml:space="preserve">e-mail: </w:t>
            </w:r>
            <w:hyperlink r:id="rId13" w:history="1">
              <w:r w:rsidRPr="00431052">
                <w:rPr>
                  <w:rStyle w:val="Hyperlink"/>
                  <w:rFonts w:ascii="Arial" w:hAnsi="Arial"/>
                  <w:color w:val="auto"/>
                  <w:sz w:val="22"/>
                  <w:szCs w:val="22"/>
                </w:rPr>
                <w:t>Heather.White@dh.gsi.gov.uk</w:t>
              </w:r>
            </w:hyperlink>
          </w:p>
        </w:tc>
      </w:tr>
      <w:tr w:rsidR="009B1752" w:rsidRPr="00431052" w14:paraId="6C367C64" w14:textId="77777777" w:rsidTr="009B1752">
        <w:tc>
          <w:tcPr>
            <w:tcW w:w="2266" w:type="dxa"/>
          </w:tcPr>
          <w:p w14:paraId="6C367C62" w14:textId="1F1518FC" w:rsidR="009B1752" w:rsidRPr="00431052" w:rsidRDefault="009B1752" w:rsidP="00772A5C">
            <w:pPr>
              <w:spacing w:before="240"/>
              <w:rPr>
                <w:b/>
                <w:sz w:val="22"/>
                <w:szCs w:val="22"/>
              </w:rPr>
            </w:pPr>
            <w:permStart w:id="1004150500" w:edGrp="everyone" w:colFirst="1" w:colLast="1"/>
            <w:permEnd w:id="679152017"/>
            <w:r>
              <w:rPr>
                <w:b/>
                <w:sz w:val="22"/>
                <w:szCs w:val="22"/>
              </w:rPr>
              <w:t xml:space="preserve">2.3 </w:t>
            </w:r>
            <w:r w:rsidRPr="00431052">
              <w:rPr>
                <w:b/>
                <w:sz w:val="22"/>
                <w:szCs w:val="22"/>
              </w:rPr>
              <w:t>Endorsement</w:t>
            </w:r>
          </w:p>
        </w:tc>
        <w:tc>
          <w:tcPr>
            <w:tcW w:w="9888" w:type="dxa"/>
          </w:tcPr>
          <w:p w14:paraId="1CF82E01" w14:textId="77777777" w:rsidR="009B1752" w:rsidRPr="00431052" w:rsidRDefault="009B1752" w:rsidP="0034234B">
            <w:pPr>
              <w:spacing w:before="240"/>
              <w:rPr>
                <w:sz w:val="22"/>
                <w:szCs w:val="22"/>
              </w:rPr>
            </w:pPr>
            <w:r w:rsidRPr="00431052">
              <w:rPr>
                <w:sz w:val="22"/>
                <w:szCs w:val="22"/>
              </w:rPr>
              <w:t>The Outcomes Framework Technical Advisory Group (OFTAG) has endorsed that summary measures of health inequality should be used to permit the measurement and monitoring of the extent of health inequality in the context of the NHS Outcomes Framework.</w:t>
            </w:r>
          </w:p>
          <w:p w14:paraId="7809AB2F" w14:textId="556ECCB4" w:rsidR="009B1752" w:rsidRPr="00431052" w:rsidRDefault="009B1752" w:rsidP="0034234B">
            <w:pPr>
              <w:spacing w:before="240"/>
              <w:rPr>
                <w:sz w:val="22"/>
                <w:szCs w:val="22"/>
              </w:rPr>
            </w:pPr>
            <w:r w:rsidRPr="00431052">
              <w:rPr>
                <w:sz w:val="22"/>
                <w:szCs w:val="22"/>
              </w:rPr>
              <w:t>OFTAG have endorsed the use of SII as a measure of health inequality related to area deprivation on indicators and inequality dimensions for which it is judged appropriate. OFTAG have reviewed information on this specific indicator and judged that the SII (based on a linear model) is appropriate to use for life expectancy at 75, based on the observed relationship with deprivation.</w:t>
            </w:r>
          </w:p>
          <w:p w14:paraId="6C367C63" w14:textId="18E055A8" w:rsidR="009B1752" w:rsidRPr="00431052" w:rsidRDefault="009B1752" w:rsidP="00080621">
            <w:pPr>
              <w:spacing w:before="240"/>
              <w:rPr>
                <w:sz w:val="22"/>
                <w:szCs w:val="22"/>
              </w:rPr>
            </w:pPr>
            <w:r w:rsidRPr="00431052">
              <w:rPr>
                <w:sz w:val="22"/>
                <w:szCs w:val="22"/>
              </w:rPr>
              <w:t>A comparison between the linear model and an exponential model was performed for this indicator. The results showed that both models were a reasonable fit, with the exponential model similar to or slightly worse than the linear model</w:t>
            </w:r>
            <w:r w:rsidRPr="00431052">
              <w:rPr>
                <w:rStyle w:val="FootnoteReference"/>
                <w:sz w:val="22"/>
                <w:szCs w:val="22"/>
              </w:rPr>
              <w:footnoteReference w:id="3"/>
            </w:r>
            <w:r w:rsidRPr="00431052">
              <w:rPr>
                <w:sz w:val="22"/>
                <w:szCs w:val="22"/>
              </w:rPr>
              <w:t>. SII and RII estimates based on different models track each other closely over time.</w:t>
            </w:r>
          </w:p>
        </w:tc>
      </w:tr>
      <w:tr w:rsidR="009B1752" w:rsidRPr="00431052" w14:paraId="6C367C68" w14:textId="77777777" w:rsidTr="009B1752">
        <w:tc>
          <w:tcPr>
            <w:tcW w:w="2266" w:type="dxa"/>
          </w:tcPr>
          <w:p w14:paraId="3139D48C" w14:textId="4253F0BF" w:rsidR="009B1752" w:rsidRPr="00431052" w:rsidRDefault="009B1752" w:rsidP="00772A5C">
            <w:pPr>
              <w:spacing w:before="240"/>
              <w:rPr>
                <w:b/>
                <w:sz w:val="22"/>
                <w:szCs w:val="22"/>
              </w:rPr>
            </w:pPr>
            <w:permStart w:id="1456490525" w:edGrp="everyone" w:colFirst="1" w:colLast="1"/>
            <w:permEnd w:id="1004150500"/>
            <w:r>
              <w:rPr>
                <w:b/>
                <w:sz w:val="22"/>
                <w:szCs w:val="22"/>
              </w:rPr>
              <w:t xml:space="preserve">2.4 </w:t>
            </w:r>
            <w:r w:rsidRPr="00431052">
              <w:rPr>
                <w:b/>
                <w:sz w:val="22"/>
                <w:szCs w:val="22"/>
              </w:rPr>
              <w:t>Evidence and Policy base</w:t>
            </w:r>
          </w:p>
          <w:p w14:paraId="6C367C66" w14:textId="326E2297" w:rsidR="009B1752" w:rsidRPr="00431052" w:rsidRDefault="009B1752" w:rsidP="002C446A">
            <w:pPr>
              <w:rPr>
                <w:sz w:val="22"/>
                <w:szCs w:val="22"/>
              </w:rPr>
            </w:pPr>
            <w:r w:rsidRPr="00431052">
              <w:rPr>
                <w:sz w:val="22"/>
                <w:szCs w:val="22"/>
              </w:rPr>
              <w:t>Including related national incentives, critical business question, NICE quality standard and set or domain rationale, if appropriate</w:t>
            </w:r>
          </w:p>
        </w:tc>
        <w:tc>
          <w:tcPr>
            <w:tcW w:w="9888" w:type="dxa"/>
          </w:tcPr>
          <w:p w14:paraId="46284ECA" w14:textId="77777777" w:rsidR="009B1752" w:rsidRPr="00431052" w:rsidRDefault="009B1752" w:rsidP="0034234B">
            <w:pPr>
              <w:spacing w:before="240"/>
              <w:rPr>
                <w:sz w:val="22"/>
                <w:szCs w:val="22"/>
              </w:rPr>
            </w:pPr>
            <w:r w:rsidRPr="00431052">
              <w:rPr>
                <w:sz w:val="22"/>
                <w:szCs w:val="22"/>
              </w:rPr>
              <w:t>The WHO has stated that "Avoidable health inequalities arise because of inequalities in society and in the conditions in which we are born, grow, live work and age, and the systems put in place to deal with illness.  The conditions in which people live and die are, in turn, shaped by political social and economic forces.”   For the purposes of this paper, we will use “health inequality” to refer to variation in health outcomes by any demographic, cultural, social or socio-economic factor (which fits with the WHO approach).  This would include socio-economic group or deprivation, as well as other social or demographic characteristics.</w:t>
            </w:r>
          </w:p>
          <w:p w14:paraId="33E71BDD" w14:textId="4A0B1F30" w:rsidR="009B1752" w:rsidRPr="00431052" w:rsidRDefault="009B1752" w:rsidP="0034234B">
            <w:pPr>
              <w:spacing w:before="240"/>
              <w:rPr>
                <w:sz w:val="22"/>
                <w:szCs w:val="22"/>
              </w:rPr>
            </w:pPr>
            <w:r w:rsidRPr="00431052">
              <w:rPr>
                <w:sz w:val="22"/>
                <w:szCs w:val="22"/>
              </w:rPr>
              <w:t>On entering office as Prime Minister in July 2016, Theresa May made reference to health inequalities in life expectancy in her inaugural speech, to ‘fight the burning injustice that, if you’re born poor, you will die on average 9 years earlier than others’.</w:t>
            </w:r>
          </w:p>
          <w:p w14:paraId="27B85DB7" w14:textId="588B8034" w:rsidR="009B1752" w:rsidRPr="00431052" w:rsidRDefault="009B1752" w:rsidP="0034234B">
            <w:pPr>
              <w:spacing w:before="240"/>
              <w:rPr>
                <w:sz w:val="22"/>
                <w:szCs w:val="22"/>
              </w:rPr>
            </w:pPr>
            <w:r w:rsidRPr="00431052">
              <w:rPr>
                <w:sz w:val="22"/>
                <w:szCs w:val="22"/>
              </w:rPr>
              <w:t>The Government’s commitment to reduce health inequalities is set out in the Department of Health’s Shared Delivery Plan: 2015-2020</w:t>
            </w:r>
            <w:r w:rsidRPr="00431052">
              <w:rPr>
                <w:rStyle w:val="FootnoteReference"/>
                <w:sz w:val="22"/>
                <w:szCs w:val="22"/>
              </w:rPr>
              <w:footnoteReference w:id="4"/>
            </w:r>
            <w:r w:rsidRPr="00431052">
              <w:rPr>
                <w:sz w:val="22"/>
                <w:szCs w:val="22"/>
              </w:rPr>
              <w:t>, which includes an objective to achieve measurable and sustained reductions in health inequalities by 2020, particularly in life expectancy and healthy life expectancy. This indicator will clearly be beneficial in monitoring change at older ages in inequalities in life expectancy.</w:t>
            </w:r>
          </w:p>
          <w:p w14:paraId="13636EB5" w14:textId="0A07BB04" w:rsidR="009B1752" w:rsidRPr="00431052" w:rsidRDefault="009B1752" w:rsidP="0034234B">
            <w:pPr>
              <w:rPr>
                <w:sz w:val="22"/>
                <w:szCs w:val="22"/>
              </w:rPr>
            </w:pPr>
            <w:r w:rsidRPr="00431052">
              <w:rPr>
                <w:sz w:val="22"/>
                <w:szCs w:val="22"/>
              </w:rPr>
              <w:t>Health inequalities have become a significant topic in the NHS in recent years. The NHS England annual report 2015-16</w:t>
            </w:r>
            <w:r w:rsidRPr="00431052">
              <w:rPr>
                <w:rStyle w:val="FootnoteReference"/>
                <w:sz w:val="22"/>
                <w:szCs w:val="22"/>
              </w:rPr>
              <w:footnoteReference w:id="5"/>
            </w:r>
            <w:r w:rsidRPr="00431052">
              <w:rPr>
                <w:sz w:val="22"/>
                <w:szCs w:val="22"/>
              </w:rPr>
              <w:t xml:space="preserve"> describes work undertaken to reduce health inequalities and includes the following criterion “Systematic focused action to reduce inequalities in access, outcomes and experience based on a defined and evolving set of metrics.“ under which it includes the development of this indicator.</w:t>
            </w:r>
          </w:p>
          <w:p w14:paraId="689AC8A1" w14:textId="659E47D7" w:rsidR="009B1752" w:rsidRPr="00431052" w:rsidRDefault="009B1752" w:rsidP="0034234B">
            <w:pPr>
              <w:spacing w:before="240"/>
              <w:rPr>
                <w:sz w:val="22"/>
                <w:szCs w:val="22"/>
              </w:rPr>
            </w:pPr>
            <w:r w:rsidRPr="00431052">
              <w:rPr>
                <w:sz w:val="22"/>
                <w:szCs w:val="22"/>
              </w:rPr>
              <w:t>The Government’s mandate to NHS England for 2016-17</w:t>
            </w:r>
            <w:r w:rsidRPr="00431052">
              <w:rPr>
                <w:rStyle w:val="FootnoteReference"/>
                <w:sz w:val="22"/>
                <w:szCs w:val="22"/>
              </w:rPr>
              <w:footnoteReference w:id="6"/>
            </w:r>
            <w:r w:rsidRPr="00431052">
              <w:rPr>
                <w:sz w:val="22"/>
                <w:szCs w:val="22"/>
              </w:rPr>
              <w:t xml:space="preserve"> sets out a clear imperative to reduce health inequalities as part of Objective 1:</w:t>
            </w:r>
          </w:p>
          <w:p w14:paraId="150FAF25" w14:textId="77777777" w:rsidR="009B1752" w:rsidRPr="00431052" w:rsidRDefault="009B1752" w:rsidP="0034234B">
            <w:pPr>
              <w:pStyle w:val="Default"/>
              <w:rPr>
                <w:color w:val="auto"/>
                <w:sz w:val="22"/>
                <w:szCs w:val="22"/>
                <w:u w:val="single"/>
              </w:rPr>
            </w:pPr>
            <w:r w:rsidRPr="00431052">
              <w:rPr>
                <w:bCs/>
                <w:color w:val="auto"/>
                <w:sz w:val="22"/>
                <w:szCs w:val="22"/>
                <w:u w:val="single"/>
              </w:rPr>
              <w:t xml:space="preserve">Through better commissioning, improve local and national health outcomes, particularly by addressing poor outcomes and inequalities. </w:t>
            </w:r>
          </w:p>
          <w:p w14:paraId="15BECC13" w14:textId="591CD1F1" w:rsidR="009B1752" w:rsidRPr="00431052" w:rsidRDefault="009B1752" w:rsidP="0034234B">
            <w:pPr>
              <w:spacing w:before="240"/>
              <w:rPr>
                <w:sz w:val="22"/>
                <w:szCs w:val="22"/>
              </w:rPr>
            </w:pPr>
            <w:r w:rsidRPr="00431052">
              <w:rPr>
                <w:sz w:val="22"/>
                <w:szCs w:val="22"/>
              </w:rPr>
              <w:t>It also  states that:</w:t>
            </w:r>
          </w:p>
          <w:p w14:paraId="53A7C021" w14:textId="77777777" w:rsidR="009B1752" w:rsidRPr="00431052" w:rsidRDefault="009B1752" w:rsidP="0034234B">
            <w:pPr>
              <w:pStyle w:val="Default"/>
              <w:rPr>
                <w:color w:val="auto"/>
                <w:sz w:val="22"/>
                <w:szCs w:val="22"/>
              </w:rPr>
            </w:pPr>
            <w:r w:rsidRPr="00431052">
              <w:rPr>
                <w:color w:val="auto"/>
                <w:sz w:val="22"/>
                <w:szCs w:val="22"/>
              </w:rPr>
              <w:t xml:space="preserve">“We expect NHS England to demonstrate improvements against the NHS Outcomes Framework, and work with CCGs to reduce variations in quality of care and outcomes at a local level. NHS England must secure measurable reductions in inequalities in access to health services, in people’s experience of the health system, and across a specified range of health outcomes.” </w:t>
            </w:r>
          </w:p>
          <w:p w14:paraId="7AED3F04" w14:textId="77777777" w:rsidR="009B1752" w:rsidRPr="00431052" w:rsidRDefault="009B1752" w:rsidP="003B7858">
            <w:pPr>
              <w:spacing w:before="240"/>
              <w:rPr>
                <w:sz w:val="22"/>
                <w:szCs w:val="22"/>
              </w:rPr>
            </w:pPr>
            <w:r w:rsidRPr="00431052">
              <w:rPr>
                <w:sz w:val="22"/>
                <w:szCs w:val="22"/>
              </w:rPr>
              <w:t>The Secretary of State for health sent a letter</w:t>
            </w:r>
            <w:r w:rsidRPr="00431052">
              <w:rPr>
                <w:rStyle w:val="FootnoteReference"/>
                <w:sz w:val="22"/>
                <w:szCs w:val="22"/>
              </w:rPr>
              <w:footnoteReference w:id="7"/>
            </w:r>
            <w:r w:rsidRPr="00431052">
              <w:rPr>
                <w:sz w:val="22"/>
                <w:szCs w:val="22"/>
              </w:rPr>
              <w:t xml:space="preserve"> to leaders of the health system, including NHS England, in February 2016, setting out specific inequalities metrics which would be used for assurance for 2015-16 to 2020, and this included this indicator.</w:t>
            </w:r>
          </w:p>
          <w:p w14:paraId="1CF4BF96" w14:textId="77777777" w:rsidR="009B1752" w:rsidRPr="00431052" w:rsidRDefault="009B1752" w:rsidP="003B7858">
            <w:pPr>
              <w:spacing w:before="240"/>
              <w:rPr>
                <w:sz w:val="22"/>
                <w:szCs w:val="22"/>
              </w:rPr>
            </w:pPr>
          </w:p>
          <w:p w14:paraId="1E782465" w14:textId="77777777" w:rsidR="009B1752" w:rsidRPr="00431052" w:rsidRDefault="009B1752" w:rsidP="003B7858">
            <w:pPr>
              <w:spacing w:before="240"/>
              <w:rPr>
                <w:sz w:val="22"/>
                <w:szCs w:val="22"/>
              </w:rPr>
            </w:pPr>
          </w:p>
          <w:p w14:paraId="15D88BE0" w14:textId="77777777" w:rsidR="009B1752" w:rsidRPr="00431052" w:rsidRDefault="009B1752" w:rsidP="003B7858">
            <w:pPr>
              <w:spacing w:before="240"/>
              <w:rPr>
                <w:sz w:val="22"/>
                <w:szCs w:val="22"/>
              </w:rPr>
            </w:pPr>
          </w:p>
          <w:p w14:paraId="15679779" w14:textId="77777777" w:rsidR="009B1752" w:rsidRPr="00431052" w:rsidRDefault="009B1752" w:rsidP="003B7858">
            <w:pPr>
              <w:spacing w:before="240"/>
              <w:rPr>
                <w:sz w:val="22"/>
                <w:szCs w:val="22"/>
              </w:rPr>
            </w:pPr>
          </w:p>
          <w:p w14:paraId="7E6B59B4" w14:textId="77777777" w:rsidR="009B1752" w:rsidRPr="00431052" w:rsidRDefault="009B1752" w:rsidP="003B7858">
            <w:pPr>
              <w:spacing w:before="240"/>
              <w:rPr>
                <w:sz w:val="22"/>
                <w:szCs w:val="22"/>
              </w:rPr>
            </w:pPr>
          </w:p>
          <w:p w14:paraId="50D0D812" w14:textId="77777777" w:rsidR="009B1752" w:rsidRPr="00431052" w:rsidRDefault="009B1752" w:rsidP="003B7858">
            <w:pPr>
              <w:spacing w:before="240"/>
              <w:rPr>
                <w:sz w:val="22"/>
                <w:szCs w:val="22"/>
              </w:rPr>
            </w:pPr>
          </w:p>
          <w:p w14:paraId="0D87260C" w14:textId="77777777" w:rsidR="009B1752" w:rsidRPr="00431052" w:rsidRDefault="009B1752" w:rsidP="003B7858">
            <w:pPr>
              <w:spacing w:before="240"/>
              <w:rPr>
                <w:sz w:val="22"/>
                <w:szCs w:val="22"/>
              </w:rPr>
            </w:pPr>
          </w:p>
          <w:p w14:paraId="56BAD94F" w14:textId="77777777" w:rsidR="009B1752" w:rsidRPr="00431052" w:rsidRDefault="009B1752" w:rsidP="003B7858">
            <w:pPr>
              <w:spacing w:before="240"/>
              <w:rPr>
                <w:sz w:val="22"/>
                <w:szCs w:val="22"/>
              </w:rPr>
            </w:pPr>
          </w:p>
          <w:p w14:paraId="6C367C67" w14:textId="14CB4FA3" w:rsidR="009B1752" w:rsidRPr="00431052" w:rsidRDefault="009B1752" w:rsidP="003B7858">
            <w:pPr>
              <w:spacing w:before="240"/>
              <w:rPr>
                <w:sz w:val="22"/>
                <w:szCs w:val="22"/>
              </w:rPr>
            </w:pPr>
          </w:p>
        </w:tc>
      </w:tr>
    </w:tbl>
    <w:permEnd w:id="1456490525"/>
    <w:p w14:paraId="2EA4EC4D" w14:textId="1488ABAF" w:rsidR="009B1752" w:rsidRDefault="009B1752">
      <w:r>
        <w:t>Section 3 Data</w:t>
      </w:r>
    </w:p>
    <w:tbl>
      <w:tblPr>
        <w:tblStyle w:val="TableGrid1"/>
        <w:tblW w:w="12154" w:type="dxa"/>
        <w:tblInd w:w="108" w:type="dxa"/>
        <w:tblLayout w:type="fixed"/>
        <w:tblLook w:val="04A0" w:firstRow="1" w:lastRow="0" w:firstColumn="1" w:lastColumn="0" w:noHBand="0" w:noVBand="1"/>
      </w:tblPr>
      <w:tblGrid>
        <w:gridCol w:w="1993"/>
        <w:gridCol w:w="10161"/>
      </w:tblGrid>
      <w:tr w:rsidR="009B1752" w:rsidRPr="00431052" w14:paraId="6C367C77" w14:textId="77777777" w:rsidTr="009B1752">
        <w:tc>
          <w:tcPr>
            <w:tcW w:w="1993" w:type="dxa"/>
          </w:tcPr>
          <w:p w14:paraId="6C367C75" w14:textId="0082CCC3" w:rsidR="009B1752" w:rsidRPr="00431052" w:rsidRDefault="009B1752" w:rsidP="00772A5C">
            <w:pPr>
              <w:spacing w:before="240"/>
              <w:ind w:left="34"/>
              <w:rPr>
                <w:b/>
                <w:sz w:val="22"/>
                <w:szCs w:val="22"/>
              </w:rPr>
            </w:pPr>
            <w:permStart w:id="1803708902" w:edGrp="everyone" w:colFirst="2" w:colLast="2"/>
            <w:r>
              <w:rPr>
                <w:b/>
                <w:sz w:val="22"/>
                <w:szCs w:val="22"/>
              </w:rPr>
              <w:t xml:space="preserve">3.1 </w:t>
            </w:r>
            <w:r w:rsidRPr="00431052">
              <w:rPr>
                <w:b/>
                <w:sz w:val="22"/>
                <w:szCs w:val="22"/>
              </w:rPr>
              <w:t>Data source</w:t>
            </w:r>
          </w:p>
        </w:tc>
        <w:tc>
          <w:tcPr>
            <w:tcW w:w="10161" w:type="dxa"/>
          </w:tcPr>
          <w:p w14:paraId="543F5AD6" w14:textId="35A789DF" w:rsidR="009B1752" w:rsidRPr="00431052" w:rsidRDefault="009B1752" w:rsidP="003B2744">
            <w:pPr>
              <w:rPr>
                <w:sz w:val="22"/>
                <w:szCs w:val="22"/>
              </w:rPr>
            </w:pPr>
            <w:r w:rsidRPr="00431052">
              <w:rPr>
                <w:sz w:val="22"/>
                <w:szCs w:val="22"/>
              </w:rPr>
              <w:t>The output of the NHS Outcomes Framework indicator 1b – Life expectancy at 75 (the underlying indicator). This is taken from ONS fully calculated, ONS use:</w:t>
            </w:r>
          </w:p>
          <w:p w14:paraId="306F1564" w14:textId="56A93FFC" w:rsidR="009B1752" w:rsidRPr="00431052" w:rsidRDefault="009B1752" w:rsidP="003B2744">
            <w:pPr>
              <w:spacing w:before="240"/>
              <w:rPr>
                <w:sz w:val="22"/>
                <w:szCs w:val="22"/>
              </w:rPr>
            </w:pPr>
            <w:r w:rsidRPr="00431052">
              <w:rPr>
                <w:sz w:val="22"/>
                <w:szCs w:val="22"/>
              </w:rPr>
              <w:t>Lower super output areas (LSOAs) are grouped into deprivation deciles according to the 2015 Index of Multiple Deprivation (IMD). Abridged life tables are then calculated for each deprivation decile to arrive at the life expectancy data presented.</w:t>
            </w:r>
          </w:p>
          <w:p w14:paraId="6C367C76" w14:textId="7D2174FB" w:rsidR="009B1752" w:rsidRPr="00431052" w:rsidRDefault="009B1752" w:rsidP="003529C9">
            <w:pPr>
              <w:spacing w:before="240"/>
              <w:rPr>
                <w:sz w:val="22"/>
                <w:szCs w:val="22"/>
              </w:rPr>
            </w:pPr>
            <w:r w:rsidRPr="00431052">
              <w:rPr>
                <w:sz w:val="22"/>
                <w:szCs w:val="22"/>
              </w:rPr>
              <w:t>NHS Digital download mid-year population estimates from the ONS website and make the data available to internal analytical teams through a centralised database. The Clinical Indicators team query this database to produce population estimates for those aged 75 and over by gender and lower super output area; these are aggregated over three year period to produce population estimates by deprivation decile</w:t>
            </w:r>
          </w:p>
        </w:tc>
      </w:tr>
      <w:tr w:rsidR="009B1752" w:rsidRPr="00431052" w14:paraId="6C367C7B" w14:textId="77777777" w:rsidTr="009B1752">
        <w:tc>
          <w:tcPr>
            <w:tcW w:w="1993" w:type="dxa"/>
          </w:tcPr>
          <w:p w14:paraId="6C367C79" w14:textId="7ED7F644" w:rsidR="009B1752" w:rsidRPr="00431052" w:rsidRDefault="009B1752" w:rsidP="00772A5C">
            <w:pPr>
              <w:spacing w:before="240"/>
              <w:ind w:left="34"/>
              <w:rPr>
                <w:b/>
                <w:sz w:val="22"/>
                <w:szCs w:val="22"/>
              </w:rPr>
            </w:pPr>
            <w:permStart w:id="746271794" w:edGrp="everyone" w:colFirst="1" w:colLast="1"/>
            <w:permEnd w:id="1803708902"/>
            <w:r>
              <w:rPr>
                <w:b/>
                <w:sz w:val="22"/>
                <w:szCs w:val="22"/>
              </w:rPr>
              <w:t xml:space="preserve">3.2 </w:t>
            </w:r>
            <w:r w:rsidRPr="00431052">
              <w:rPr>
                <w:b/>
                <w:sz w:val="22"/>
                <w:szCs w:val="22"/>
              </w:rPr>
              <w:t>Justification of source and others considered</w:t>
            </w:r>
          </w:p>
        </w:tc>
        <w:tc>
          <w:tcPr>
            <w:tcW w:w="10161" w:type="dxa"/>
          </w:tcPr>
          <w:p w14:paraId="584F3AF3" w14:textId="53D68F23" w:rsidR="009B1752" w:rsidRPr="00431052" w:rsidRDefault="009B1752" w:rsidP="003B2744">
            <w:pPr>
              <w:spacing w:before="240"/>
              <w:rPr>
                <w:sz w:val="22"/>
                <w:szCs w:val="22"/>
              </w:rPr>
            </w:pPr>
            <w:r w:rsidRPr="00431052">
              <w:rPr>
                <w:sz w:val="22"/>
                <w:szCs w:val="22"/>
              </w:rPr>
              <w:t>This indicator is a measure of the range of deprivation in life expectancy at 75 for men and women in England; therefore the underlying indicator is the data source.</w:t>
            </w:r>
          </w:p>
          <w:p w14:paraId="72954F98" w14:textId="77777777" w:rsidR="009B1752" w:rsidRPr="00431052" w:rsidRDefault="009B1752" w:rsidP="003B2744">
            <w:pPr>
              <w:spacing w:before="240"/>
              <w:rPr>
                <w:sz w:val="22"/>
                <w:szCs w:val="22"/>
              </w:rPr>
            </w:pPr>
            <w:r w:rsidRPr="00431052">
              <w:rPr>
                <w:sz w:val="22"/>
                <w:szCs w:val="22"/>
              </w:rPr>
              <w:t>It is proposed that IMD 2015 is used for the calculation of the area deprivation health inequality for all years.</w:t>
            </w:r>
          </w:p>
          <w:p w14:paraId="493A41BD" w14:textId="0791C24A" w:rsidR="009B1752" w:rsidRPr="00431052" w:rsidRDefault="009B1752" w:rsidP="00DC1428">
            <w:pPr>
              <w:spacing w:before="240"/>
              <w:rPr>
                <w:sz w:val="22"/>
                <w:szCs w:val="22"/>
              </w:rPr>
            </w:pPr>
            <w:r w:rsidRPr="00431052">
              <w:rPr>
                <w:sz w:val="22"/>
                <w:szCs w:val="22"/>
              </w:rPr>
              <w:t>The Outcomes Analysis Team provided analysis to consider whether single IMD allocation should be used for all years, or whether to use the IMD closest to the year of indicator data in question. The former approach answers the question, what improvement has been achieved in  inequalities between those areas that were the most and least deprived at a fixed baseline? The latter approach answers the question, what is the health inequality across the contemporary deprivation distribution and how has this changed over time? The risk of using a fixed IMD is that the inequality measure may not reflect the true level of inequality between the most and least deprived areas in later periods, because the ranking no longer reflects the true deprivation ranking . The risk of changing IMD is that there will be step changes in the value of inequalities indicator that reflect a new version of the IMD with a revised definition, rather than a step change in practise. The analysis identified that the choice of the IMD definition has a relatively small impact on the inequality measure. In view of this, it was decided to use fixed IMD so that changes in the measure reflect changes in the relative health status of communities over time, not changes in our measurement of deprivation.</w:t>
            </w:r>
          </w:p>
          <w:p w14:paraId="6C367C7A" w14:textId="5B06A6F7" w:rsidR="009B1752" w:rsidRPr="00431052" w:rsidRDefault="009B1752" w:rsidP="00643443">
            <w:pPr>
              <w:spacing w:before="240"/>
              <w:rPr>
                <w:sz w:val="22"/>
                <w:szCs w:val="22"/>
              </w:rPr>
            </w:pPr>
            <w:r w:rsidRPr="00431052">
              <w:rPr>
                <w:sz w:val="22"/>
                <w:szCs w:val="22"/>
              </w:rPr>
              <w:t xml:space="preserve">This application has been revised such that populations for all those aged 75 and over are used in the SII calculation instead of the population aged 75 to 79 that was previously used. This is in order to reflect the population who are described by the indicator value. It will bring the calculation in line with ONS and Public Health England (PHE) calculations of SII at birth which use the whole population rather than the new-born population. The effect of this change has been analysed and the difference to SIIs is never more than 0.02 in values that originally ranged  from 1.79 to 2.87. </w:t>
            </w:r>
          </w:p>
        </w:tc>
      </w:tr>
      <w:tr w:rsidR="009B1752" w:rsidRPr="00431052" w14:paraId="6C367C7F" w14:textId="77777777" w:rsidTr="009B1752">
        <w:tc>
          <w:tcPr>
            <w:tcW w:w="1993" w:type="dxa"/>
          </w:tcPr>
          <w:p w14:paraId="6C367C7D" w14:textId="37A9964B" w:rsidR="009B1752" w:rsidRPr="00431052" w:rsidRDefault="009B1752" w:rsidP="00772A5C">
            <w:pPr>
              <w:spacing w:before="240"/>
              <w:ind w:left="34"/>
              <w:rPr>
                <w:b/>
                <w:sz w:val="22"/>
                <w:szCs w:val="22"/>
              </w:rPr>
            </w:pPr>
            <w:permStart w:id="165033436" w:edGrp="everyone" w:colFirst="1" w:colLast="1"/>
            <w:permEnd w:id="746271794"/>
            <w:r>
              <w:rPr>
                <w:b/>
                <w:sz w:val="22"/>
                <w:szCs w:val="22"/>
              </w:rPr>
              <w:t xml:space="preserve">3.3 </w:t>
            </w:r>
            <w:r w:rsidRPr="00431052">
              <w:rPr>
                <w:b/>
                <w:sz w:val="22"/>
                <w:szCs w:val="22"/>
              </w:rPr>
              <w:t>Data availability</w:t>
            </w:r>
          </w:p>
        </w:tc>
        <w:tc>
          <w:tcPr>
            <w:tcW w:w="10161" w:type="dxa"/>
          </w:tcPr>
          <w:p w14:paraId="1C91410F" w14:textId="1BAC1738" w:rsidR="009B1752" w:rsidRPr="00431052" w:rsidRDefault="009B1752" w:rsidP="003B2744">
            <w:pPr>
              <w:spacing w:before="240"/>
              <w:rPr>
                <w:sz w:val="22"/>
                <w:szCs w:val="22"/>
              </w:rPr>
            </w:pPr>
            <w:r w:rsidRPr="00431052">
              <w:rPr>
                <w:sz w:val="22"/>
                <w:szCs w:val="22"/>
              </w:rPr>
              <w:t>The data required for the health inequality measure is generated by ONS and published by NHS Digital, usually in February each year.</w:t>
            </w:r>
          </w:p>
          <w:p w14:paraId="6C367C7E" w14:textId="3CFFDA4A" w:rsidR="009B1752" w:rsidRPr="00431052" w:rsidRDefault="009B1752" w:rsidP="003B2744">
            <w:pPr>
              <w:spacing w:before="240"/>
              <w:rPr>
                <w:sz w:val="22"/>
                <w:szCs w:val="22"/>
              </w:rPr>
            </w:pPr>
            <w:r w:rsidRPr="00431052">
              <w:rPr>
                <w:sz w:val="22"/>
                <w:szCs w:val="22"/>
              </w:rPr>
              <w:t>The underlying indicator is made available to all users, free of charge, on the indicator portal</w:t>
            </w:r>
            <w:r w:rsidRPr="00431052">
              <w:rPr>
                <w:rStyle w:val="FootnoteReference"/>
                <w:sz w:val="22"/>
                <w:szCs w:val="22"/>
              </w:rPr>
              <w:footnoteReference w:id="8"/>
            </w:r>
            <w:r w:rsidRPr="00431052">
              <w:rPr>
                <w:sz w:val="22"/>
                <w:szCs w:val="22"/>
              </w:rPr>
              <w:t>, on the NHS Digital website and on data.gov.</w:t>
            </w:r>
          </w:p>
        </w:tc>
      </w:tr>
      <w:tr w:rsidR="009B1752" w:rsidRPr="00431052" w14:paraId="6C367C83" w14:textId="77777777" w:rsidTr="009B1752">
        <w:tc>
          <w:tcPr>
            <w:tcW w:w="1993" w:type="dxa"/>
          </w:tcPr>
          <w:p w14:paraId="6C367C81" w14:textId="022CCABF" w:rsidR="009B1752" w:rsidRPr="00431052" w:rsidRDefault="009B1752" w:rsidP="000277F8">
            <w:pPr>
              <w:spacing w:before="240"/>
              <w:ind w:left="34"/>
              <w:rPr>
                <w:b/>
                <w:sz w:val="22"/>
                <w:szCs w:val="22"/>
              </w:rPr>
            </w:pPr>
            <w:permStart w:id="1889671719" w:edGrp="everyone" w:colFirst="1" w:colLast="1"/>
            <w:permEnd w:id="165033436"/>
            <w:r>
              <w:rPr>
                <w:b/>
                <w:sz w:val="22"/>
                <w:szCs w:val="22"/>
              </w:rPr>
              <w:t xml:space="preserve">3.4 </w:t>
            </w:r>
            <w:r w:rsidRPr="00431052">
              <w:rPr>
                <w:b/>
                <w:sz w:val="22"/>
                <w:szCs w:val="22"/>
              </w:rPr>
              <w:t>Data quality</w:t>
            </w:r>
          </w:p>
        </w:tc>
        <w:tc>
          <w:tcPr>
            <w:tcW w:w="10161" w:type="dxa"/>
          </w:tcPr>
          <w:p w14:paraId="73967F24" w14:textId="77777777" w:rsidR="009B1752" w:rsidRPr="00431052" w:rsidRDefault="009B1752" w:rsidP="003B2744">
            <w:pPr>
              <w:spacing w:before="240"/>
              <w:rPr>
                <w:sz w:val="22"/>
                <w:szCs w:val="22"/>
              </w:rPr>
            </w:pPr>
            <w:r w:rsidRPr="00431052">
              <w:rPr>
                <w:sz w:val="22"/>
                <w:szCs w:val="22"/>
              </w:rPr>
              <w:t>The underlying indicator generates all required inputs, these are complete. The health inequality indicators are generated from the results of the underlying indicator.</w:t>
            </w:r>
          </w:p>
          <w:p w14:paraId="487F594A" w14:textId="323E101F" w:rsidR="009B1752" w:rsidRPr="00431052" w:rsidRDefault="009B1752" w:rsidP="003B2744">
            <w:pPr>
              <w:spacing w:before="240"/>
              <w:rPr>
                <w:sz w:val="22"/>
                <w:szCs w:val="22"/>
              </w:rPr>
            </w:pPr>
            <w:r w:rsidRPr="00431052">
              <w:rPr>
                <w:sz w:val="22"/>
                <w:szCs w:val="22"/>
              </w:rPr>
              <w:t>The data quality and assurance processes for the underlying indicator are described in the IMAS application form for life expectancy at 75.</w:t>
            </w:r>
          </w:p>
          <w:p w14:paraId="6C367C82" w14:textId="120C6E64" w:rsidR="009B1752" w:rsidRPr="00431052" w:rsidRDefault="009B1752" w:rsidP="003B2744">
            <w:pPr>
              <w:spacing w:before="240"/>
              <w:rPr>
                <w:sz w:val="22"/>
                <w:szCs w:val="22"/>
              </w:rPr>
            </w:pPr>
            <w:r w:rsidRPr="00431052">
              <w:rPr>
                <w:sz w:val="22"/>
                <w:szCs w:val="22"/>
              </w:rPr>
              <w:t>The underlying indicator is published in February each year, from data supplied by the ONS the previous autumn.</w:t>
            </w:r>
          </w:p>
        </w:tc>
      </w:tr>
      <w:tr w:rsidR="009B1752" w:rsidRPr="00431052" w14:paraId="13ECAB06" w14:textId="77777777" w:rsidTr="009B1752">
        <w:tc>
          <w:tcPr>
            <w:tcW w:w="1993" w:type="dxa"/>
          </w:tcPr>
          <w:p w14:paraId="6D1C5779" w14:textId="4A336E5C" w:rsidR="009B1752" w:rsidRPr="00431052" w:rsidRDefault="009B1752" w:rsidP="00193831">
            <w:pPr>
              <w:spacing w:before="240"/>
              <w:ind w:left="34"/>
              <w:rPr>
                <w:b/>
                <w:sz w:val="22"/>
                <w:szCs w:val="22"/>
              </w:rPr>
            </w:pPr>
            <w:permStart w:id="1222522855" w:edGrp="everyone" w:colFirst="2" w:colLast="2"/>
            <w:permStart w:id="2091779328" w:edGrp="everyone" w:colFirst="1" w:colLast="1"/>
            <w:permEnd w:id="1889671719"/>
            <w:r>
              <w:rPr>
                <w:b/>
                <w:sz w:val="22"/>
                <w:szCs w:val="22"/>
              </w:rPr>
              <w:t xml:space="preserve">3.5 </w:t>
            </w:r>
            <w:r w:rsidRPr="00431052">
              <w:rPr>
                <w:b/>
                <w:sz w:val="22"/>
                <w:szCs w:val="22"/>
              </w:rPr>
              <w:t>Quality assurance</w:t>
            </w:r>
          </w:p>
        </w:tc>
        <w:tc>
          <w:tcPr>
            <w:tcW w:w="10161" w:type="dxa"/>
          </w:tcPr>
          <w:p w14:paraId="7354B690" w14:textId="31347027" w:rsidR="009B1752" w:rsidRPr="00431052" w:rsidRDefault="009B1752" w:rsidP="00193831">
            <w:pPr>
              <w:spacing w:before="240"/>
              <w:rPr>
                <w:sz w:val="22"/>
                <w:szCs w:val="22"/>
              </w:rPr>
            </w:pPr>
            <w:r w:rsidRPr="00431052">
              <w:rPr>
                <w:sz w:val="22"/>
                <w:szCs w:val="22"/>
              </w:rPr>
              <w:t>At the point of data supply from the ONS, NHS digital are able to calculate the health inequality measures and review inputs and outputs for consistency with previously supplied data.</w:t>
            </w:r>
          </w:p>
        </w:tc>
      </w:tr>
      <w:permEnd w:id="2091779328"/>
      <w:tr w:rsidR="009B1752" w:rsidRPr="00431052" w14:paraId="6C367C89" w14:textId="77777777" w:rsidTr="009B1752">
        <w:tc>
          <w:tcPr>
            <w:tcW w:w="1993" w:type="dxa"/>
          </w:tcPr>
          <w:p w14:paraId="2121D869" w14:textId="63584E24" w:rsidR="009B1752" w:rsidRPr="00431052" w:rsidRDefault="009B1752" w:rsidP="00772A5C">
            <w:pPr>
              <w:spacing w:before="240"/>
              <w:ind w:left="34"/>
              <w:rPr>
                <w:b/>
                <w:sz w:val="22"/>
                <w:szCs w:val="22"/>
              </w:rPr>
            </w:pPr>
            <w:r>
              <w:rPr>
                <w:b/>
                <w:sz w:val="22"/>
                <w:szCs w:val="22"/>
              </w:rPr>
              <w:t xml:space="preserve">3.6 </w:t>
            </w:r>
            <w:r w:rsidRPr="00431052">
              <w:rPr>
                <w:b/>
                <w:sz w:val="22"/>
                <w:szCs w:val="22"/>
              </w:rPr>
              <w:t xml:space="preserve">Quality improvement plan </w:t>
            </w:r>
          </w:p>
          <w:p w14:paraId="6C367C85" w14:textId="608D8EC2" w:rsidR="009B1752" w:rsidRPr="00431052" w:rsidRDefault="009B1752" w:rsidP="002C446A">
            <w:pPr>
              <w:ind w:left="34"/>
              <w:rPr>
                <w:sz w:val="22"/>
                <w:szCs w:val="22"/>
              </w:rPr>
            </w:pPr>
            <w:r w:rsidRPr="00431052">
              <w:rPr>
                <w:sz w:val="22"/>
                <w:szCs w:val="22"/>
              </w:rPr>
              <w:t>If appropriate</w:t>
            </w:r>
          </w:p>
        </w:tc>
        <w:tc>
          <w:tcPr>
            <w:tcW w:w="10161" w:type="dxa"/>
          </w:tcPr>
          <w:p w14:paraId="6C367C88" w14:textId="43BF635B" w:rsidR="009B1752" w:rsidRPr="00431052" w:rsidRDefault="009B1752" w:rsidP="007D6E37">
            <w:pPr>
              <w:spacing w:before="240"/>
              <w:rPr>
                <w:sz w:val="22"/>
                <w:szCs w:val="22"/>
              </w:rPr>
            </w:pPr>
            <w:r w:rsidRPr="00431052">
              <w:rPr>
                <w:sz w:val="22"/>
                <w:szCs w:val="22"/>
              </w:rPr>
              <w:t>N/A</w:t>
            </w:r>
          </w:p>
        </w:tc>
      </w:tr>
      <w:tr w:rsidR="009B1752" w:rsidRPr="00431052" w14:paraId="6C367C91" w14:textId="77777777" w:rsidTr="009B1752">
        <w:tc>
          <w:tcPr>
            <w:tcW w:w="1993" w:type="dxa"/>
          </w:tcPr>
          <w:p w14:paraId="6C367C8F" w14:textId="1B6CEF45" w:rsidR="009B1752" w:rsidRPr="00431052" w:rsidRDefault="009B1752" w:rsidP="00772A5C">
            <w:pPr>
              <w:spacing w:before="240"/>
              <w:ind w:left="34"/>
              <w:rPr>
                <w:b/>
                <w:sz w:val="22"/>
                <w:szCs w:val="22"/>
              </w:rPr>
            </w:pPr>
            <w:permStart w:id="975381200" w:edGrp="everyone" w:colFirst="1" w:colLast="1"/>
            <w:permEnd w:id="1222522855"/>
            <w:r>
              <w:rPr>
                <w:b/>
                <w:sz w:val="22"/>
                <w:szCs w:val="22"/>
              </w:rPr>
              <w:t xml:space="preserve">3.7 </w:t>
            </w:r>
            <w:r w:rsidRPr="00431052">
              <w:rPr>
                <w:b/>
                <w:sz w:val="22"/>
                <w:szCs w:val="22"/>
              </w:rPr>
              <w:t>Data linkage</w:t>
            </w:r>
          </w:p>
        </w:tc>
        <w:tc>
          <w:tcPr>
            <w:tcW w:w="10161" w:type="dxa"/>
          </w:tcPr>
          <w:p w14:paraId="6C367C90" w14:textId="20537613" w:rsidR="009B1752" w:rsidRPr="00431052" w:rsidRDefault="009B1752" w:rsidP="00772A5C">
            <w:pPr>
              <w:spacing w:before="240"/>
              <w:rPr>
                <w:sz w:val="22"/>
                <w:szCs w:val="22"/>
              </w:rPr>
            </w:pPr>
            <w:r w:rsidRPr="00431052">
              <w:rPr>
                <w:sz w:val="22"/>
                <w:szCs w:val="22"/>
              </w:rPr>
              <w:t>None</w:t>
            </w:r>
          </w:p>
        </w:tc>
      </w:tr>
      <w:tr w:rsidR="009B1752" w:rsidRPr="00431052" w14:paraId="6C367C95" w14:textId="77777777" w:rsidTr="009B1752">
        <w:tc>
          <w:tcPr>
            <w:tcW w:w="1993" w:type="dxa"/>
          </w:tcPr>
          <w:p w14:paraId="6C367C93" w14:textId="204AC562" w:rsidR="009B1752" w:rsidRPr="00431052" w:rsidRDefault="009B1752" w:rsidP="00772A5C">
            <w:pPr>
              <w:spacing w:before="240"/>
              <w:ind w:left="34"/>
              <w:rPr>
                <w:b/>
                <w:sz w:val="22"/>
                <w:szCs w:val="22"/>
              </w:rPr>
            </w:pPr>
            <w:permStart w:id="1515922109" w:edGrp="everyone" w:colFirst="1" w:colLast="1"/>
            <w:permEnd w:id="975381200"/>
            <w:r>
              <w:rPr>
                <w:b/>
                <w:sz w:val="22"/>
                <w:szCs w:val="22"/>
              </w:rPr>
              <w:t xml:space="preserve">3.8 </w:t>
            </w:r>
            <w:r w:rsidRPr="00431052">
              <w:rPr>
                <w:b/>
                <w:sz w:val="22"/>
                <w:szCs w:val="22"/>
              </w:rPr>
              <w:t>Quality of data linkage</w:t>
            </w:r>
          </w:p>
        </w:tc>
        <w:tc>
          <w:tcPr>
            <w:tcW w:w="10161" w:type="dxa"/>
          </w:tcPr>
          <w:p w14:paraId="6C367C94" w14:textId="3CE56C7A" w:rsidR="009B1752" w:rsidRPr="00431052" w:rsidRDefault="009B1752" w:rsidP="00772A5C">
            <w:pPr>
              <w:spacing w:before="240"/>
              <w:rPr>
                <w:sz w:val="22"/>
                <w:szCs w:val="22"/>
              </w:rPr>
            </w:pPr>
            <w:r w:rsidRPr="00431052">
              <w:rPr>
                <w:sz w:val="22"/>
                <w:szCs w:val="22"/>
              </w:rPr>
              <w:t>N/A</w:t>
            </w:r>
          </w:p>
        </w:tc>
      </w:tr>
      <w:tr w:rsidR="009B1752" w:rsidRPr="00431052" w14:paraId="6C367C99" w14:textId="77777777" w:rsidTr="009B1752">
        <w:tc>
          <w:tcPr>
            <w:tcW w:w="1993" w:type="dxa"/>
          </w:tcPr>
          <w:p w14:paraId="6C367C97" w14:textId="5A552E13" w:rsidR="009B1752" w:rsidRPr="00431052" w:rsidRDefault="009B1752" w:rsidP="00772A5C">
            <w:pPr>
              <w:spacing w:before="240"/>
              <w:ind w:left="34"/>
              <w:rPr>
                <w:b/>
                <w:sz w:val="22"/>
                <w:szCs w:val="22"/>
              </w:rPr>
            </w:pPr>
            <w:permStart w:id="521414752" w:edGrp="everyone" w:colFirst="1" w:colLast="1"/>
            <w:permEnd w:id="1515922109"/>
            <w:r>
              <w:rPr>
                <w:b/>
                <w:sz w:val="22"/>
                <w:szCs w:val="22"/>
              </w:rPr>
              <w:t xml:space="preserve">3.9 </w:t>
            </w:r>
            <w:r w:rsidRPr="00431052">
              <w:rPr>
                <w:b/>
                <w:sz w:val="22"/>
                <w:szCs w:val="22"/>
              </w:rPr>
              <w:t>Data fields</w:t>
            </w:r>
          </w:p>
        </w:tc>
        <w:tc>
          <w:tcPr>
            <w:tcW w:w="10161" w:type="dxa"/>
          </w:tcPr>
          <w:p w14:paraId="6C367C98" w14:textId="317E6606" w:rsidR="009B1752" w:rsidRPr="00431052" w:rsidRDefault="009B1752" w:rsidP="00772A5C">
            <w:pPr>
              <w:spacing w:before="240"/>
              <w:rPr>
                <w:sz w:val="22"/>
                <w:szCs w:val="22"/>
              </w:rPr>
            </w:pPr>
            <w:r w:rsidRPr="00431052">
              <w:rPr>
                <w:sz w:val="22"/>
                <w:szCs w:val="22"/>
              </w:rPr>
              <w:t>The data are selected from the output of the underlying indicator. Columns required are: Indicator value (life expectancy at 75), deprivation decile, gender, population.</w:t>
            </w:r>
          </w:p>
        </w:tc>
      </w:tr>
      <w:tr w:rsidR="009B1752" w:rsidRPr="00431052" w14:paraId="6C367C9D" w14:textId="77777777" w:rsidTr="009B1752">
        <w:tc>
          <w:tcPr>
            <w:tcW w:w="1993" w:type="dxa"/>
          </w:tcPr>
          <w:p w14:paraId="6C367C9B" w14:textId="7D71A508" w:rsidR="009B1752" w:rsidRPr="00431052" w:rsidRDefault="009B1752" w:rsidP="00772A5C">
            <w:pPr>
              <w:spacing w:before="240"/>
              <w:ind w:left="34"/>
              <w:rPr>
                <w:b/>
                <w:sz w:val="22"/>
                <w:szCs w:val="22"/>
              </w:rPr>
            </w:pPr>
            <w:permStart w:id="1976923413" w:edGrp="everyone" w:colFirst="1" w:colLast="1"/>
            <w:permEnd w:id="521414752"/>
            <w:r>
              <w:rPr>
                <w:b/>
                <w:sz w:val="22"/>
                <w:szCs w:val="22"/>
              </w:rPr>
              <w:t xml:space="preserve">3.10 </w:t>
            </w:r>
            <w:r w:rsidRPr="00431052">
              <w:rPr>
                <w:b/>
                <w:sz w:val="22"/>
                <w:szCs w:val="22"/>
              </w:rPr>
              <w:t>Data filters</w:t>
            </w:r>
          </w:p>
        </w:tc>
        <w:tc>
          <w:tcPr>
            <w:tcW w:w="10161" w:type="dxa"/>
          </w:tcPr>
          <w:p w14:paraId="6C367C9C" w14:textId="591CC600" w:rsidR="009B1752" w:rsidRPr="00431052" w:rsidRDefault="009B1752" w:rsidP="00772A5C">
            <w:pPr>
              <w:spacing w:before="240"/>
              <w:rPr>
                <w:sz w:val="22"/>
                <w:szCs w:val="22"/>
              </w:rPr>
            </w:pPr>
            <w:r w:rsidRPr="00431052">
              <w:rPr>
                <w:sz w:val="22"/>
                <w:szCs w:val="22"/>
              </w:rPr>
              <w:t>None</w:t>
            </w:r>
          </w:p>
        </w:tc>
      </w:tr>
      <w:tr w:rsidR="009B1752" w:rsidRPr="00431052" w14:paraId="6C367CA1" w14:textId="77777777" w:rsidTr="009B1752">
        <w:tc>
          <w:tcPr>
            <w:tcW w:w="1993" w:type="dxa"/>
          </w:tcPr>
          <w:p w14:paraId="41054902" w14:textId="0C34FC5F" w:rsidR="009B1752" w:rsidRPr="00431052" w:rsidRDefault="009B1752" w:rsidP="002C446A">
            <w:pPr>
              <w:spacing w:before="240"/>
              <w:ind w:left="34"/>
              <w:rPr>
                <w:b/>
                <w:sz w:val="22"/>
                <w:szCs w:val="22"/>
              </w:rPr>
            </w:pPr>
            <w:permStart w:id="874462850" w:edGrp="everyone" w:colFirst="1" w:colLast="1"/>
            <w:permEnd w:id="1976923413"/>
            <w:r>
              <w:rPr>
                <w:b/>
                <w:sz w:val="22"/>
                <w:szCs w:val="22"/>
              </w:rPr>
              <w:t xml:space="preserve">3.11 </w:t>
            </w:r>
            <w:r w:rsidRPr="00431052">
              <w:rPr>
                <w:b/>
                <w:sz w:val="22"/>
                <w:szCs w:val="22"/>
              </w:rPr>
              <w:t xml:space="preserve">Justifications of inclusions and exclusions </w:t>
            </w:r>
          </w:p>
          <w:p w14:paraId="6C367C9F" w14:textId="1755BE51" w:rsidR="009B1752" w:rsidRPr="00431052" w:rsidRDefault="009B1752" w:rsidP="002C446A">
            <w:pPr>
              <w:ind w:left="34"/>
              <w:rPr>
                <w:sz w:val="22"/>
                <w:szCs w:val="22"/>
              </w:rPr>
            </w:pPr>
            <w:r w:rsidRPr="00431052">
              <w:rPr>
                <w:sz w:val="22"/>
                <w:szCs w:val="22"/>
              </w:rPr>
              <w:t>and how these adhere to standard definitions</w:t>
            </w:r>
          </w:p>
        </w:tc>
        <w:tc>
          <w:tcPr>
            <w:tcW w:w="10161" w:type="dxa"/>
          </w:tcPr>
          <w:p w14:paraId="6C367CA0" w14:textId="4CE6BE87" w:rsidR="009B1752" w:rsidRPr="00431052" w:rsidRDefault="009B1752" w:rsidP="00772A5C">
            <w:pPr>
              <w:spacing w:before="240"/>
              <w:rPr>
                <w:sz w:val="22"/>
                <w:szCs w:val="22"/>
              </w:rPr>
            </w:pPr>
            <w:r w:rsidRPr="00431052">
              <w:rPr>
                <w:sz w:val="22"/>
                <w:szCs w:val="22"/>
              </w:rPr>
              <w:t>There are none, the data required is selected from the output of the underlying indicator.</w:t>
            </w:r>
          </w:p>
        </w:tc>
      </w:tr>
      <w:tr w:rsidR="009B1752" w:rsidRPr="00431052" w14:paraId="6C367CA5" w14:textId="77777777" w:rsidTr="009B1752">
        <w:tc>
          <w:tcPr>
            <w:tcW w:w="1993" w:type="dxa"/>
          </w:tcPr>
          <w:p w14:paraId="6C367CA3" w14:textId="66A1B0B9" w:rsidR="009B1752" w:rsidRPr="00431052" w:rsidRDefault="009B1752" w:rsidP="00772A5C">
            <w:pPr>
              <w:spacing w:before="240"/>
              <w:ind w:left="34"/>
              <w:rPr>
                <w:b/>
                <w:sz w:val="22"/>
                <w:szCs w:val="22"/>
              </w:rPr>
            </w:pPr>
            <w:permStart w:id="1370898771" w:edGrp="everyone" w:colFirst="1" w:colLast="1"/>
            <w:permEnd w:id="874462850"/>
            <w:r>
              <w:rPr>
                <w:b/>
                <w:sz w:val="22"/>
                <w:szCs w:val="22"/>
              </w:rPr>
              <w:t xml:space="preserve">3.12 </w:t>
            </w:r>
            <w:r w:rsidRPr="00431052">
              <w:rPr>
                <w:b/>
                <w:sz w:val="22"/>
                <w:szCs w:val="22"/>
              </w:rPr>
              <w:t>Data processing</w:t>
            </w:r>
          </w:p>
        </w:tc>
        <w:tc>
          <w:tcPr>
            <w:tcW w:w="10161" w:type="dxa"/>
          </w:tcPr>
          <w:p w14:paraId="061AD032" w14:textId="77777777" w:rsidR="009B1752" w:rsidRPr="00431052" w:rsidRDefault="009B1752" w:rsidP="00172B0F">
            <w:pPr>
              <w:spacing w:before="240"/>
              <w:rPr>
                <w:sz w:val="22"/>
                <w:szCs w:val="22"/>
              </w:rPr>
            </w:pPr>
            <w:r w:rsidRPr="00431052">
              <w:rPr>
                <w:sz w:val="22"/>
                <w:szCs w:val="22"/>
              </w:rPr>
              <w:t>The generation of health inequality measures is performed by NHS Digital.</w:t>
            </w:r>
          </w:p>
          <w:p w14:paraId="0E7454D1" w14:textId="77777777" w:rsidR="009B1752" w:rsidRPr="00431052" w:rsidRDefault="009B1752" w:rsidP="00172B0F">
            <w:pPr>
              <w:spacing w:before="240"/>
              <w:rPr>
                <w:sz w:val="22"/>
                <w:szCs w:val="22"/>
              </w:rPr>
            </w:pPr>
          </w:p>
          <w:p w14:paraId="6C73CC18" w14:textId="77777777" w:rsidR="009B1752" w:rsidRPr="00431052" w:rsidRDefault="009B1752" w:rsidP="00172B0F">
            <w:pPr>
              <w:spacing w:before="240"/>
              <w:rPr>
                <w:sz w:val="22"/>
                <w:szCs w:val="22"/>
              </w:rPr>
            </w:pPr>
          </w:p>
          <w:p w14:paraId="3BD65B85" w14:textId="77777777" w:rsidR="009B1752" w:rsidRPr="00431052" w:rsidRDefault="009B1752" w:rsidP="00172B0F">
            <w:pPr>
              <w:spacing w:before="240"/>
              <w:rPr>
                <w:sz w:val="22"/>
                <w:szCs w:val="22"/>
              </w:rPr>
            </w:pPr>
          </w:p>
          <w:p w14:paraId="728A2955" w14:textId="77777777" w:rsidR="009B1752" w:rsidRPr="00431052" w:rsidRDefault="009B1752" w:rsidP="00172B0F">
            <w:pPr>
              <w:spacing w:before="240"/>
              <w:rPr>
                <w:sz w:val="22"/>
                <w:szCs w:val="22"/>
              </w:rPr>
            </w:pPr>
          </w:p>
          <w:p w14:paraId="4B50B023" w14:textId="77777777" w:rsidR="009B1752" w:rsidRPr="00431052" w:rsidRDefault="009B1752" w:rsidP="00172B0F">
            <w:pPr>
              <w:spacing w:before="240"/>
              <w:rPr>
                <w:sz w:val="22"/>
                <w:szCs w:val="22"/>
              </w:rPr>
            </w:pPr>
          </w:p>
          <w:p w14:paraId="24AE9FD6" w14:textId="77777777" w:rsidR="009B1752" w:rsidRPr="00431052" w:rsidRDefault="009B1752" w:rsidP="00172B0F">
            <w:pPr>
              <w:spacing w:before="240"/>
              <w:rPr>
                <w:sz w:val="22"/>
                <w:szCs w:val="22"/>
              </w:rPr>
            </w:pPr>
          </w:p>
          <w:p w14:paraId="7DBAA879" w14:textId="77777777" w:rsidR="009B1752" w:rsidRPr="00431052" w:rsidRDefault="009B1752" w:rsidP="00172B0F">
            <w:pPr>
              <w:spacing w:before="240"/>
              <w:rPr>
                <w:sz w:val="22"/>
                <w:szCs w:val="22"/>
              </w:rPr>
            </w:pPr>
          </w:p>
          <w:p w14:paraId="6F3B58B6" w14:textId="77777777" w:rsidR="009B1752" w:rsidRPr="00431052" w:rsidRDefault="009B1752" w:rsidP="00172B0F">
            <w:pPr>
              <w:spacing w:before="240"/>
              <w:rPr>
                <w:sz w:val="22"/>
                <w:szCs w:val="22"/>
              </w:rPr>
            </w:pPr>
          </w:p>
          <w:p w14:paraId="3F9AADF4" w14:textId="77777777" w:rsidR="009B1752" w:rsidRPr="00431052" w:rsidRDefault="009B1752" w:rsidP="00172B0F">
            <w:pPr>
              <w:spacing w:before="240"/>
              <w:rPr>
                <w:sz w:val="22"/>
                <w:szCs w:val="22"/>
              </w:rPr>
            </w:pPr>
          </w:p>
          <w:p w14:paraId="03FFD9A1" w14:textId="77777777" w:rsidR="009B1752" w:rsidRPr="00431052" w:rsidRDefault="009B1752" w:rsidP="00172B0F">
            <w:pPr>
              <w:spacing w:before="240"/>
              <w:rPr>
                <w:sz w:val="22"/>
                <w:szCs w:val="22"/>
              </w:rPr>
            </w:pPr>
          </w:p>
          <w:p w14:paraId="5F989F45" w14:textId="77777777" w:rsidR="009B1752" w:rsidRPr="00431052" w:rsidRDefault="009B1752" w:rsidP="00172B0F">
            <w:pPr>
              <w:spacing w:before="240"/>
              <w:rPr>
                <w:sz w:val="22"/>
                <w:szCs w:val="22"/>
              </w:rPr>
            </w:pPr>
          </w:p>
          <w:p w14:paraId="40B77FAB" w14:textId="77777777" w:rsidR="009B1752" w:rsidRPr="00431052" w:rsidRDefault="009B1752" w:rsidP="00172B0F">
            <w:pPr>
              <w:spacing w:before="240"/>
              <w:rPr>
                <w:sz w:val="22"/>
                <w:szCs w:val="22"/>
              </w:rPr>
            </w:pPr>
          </w:p>
          <w:p w14:paraId="39618ABF" w14:textId="77777777" w:rsidR="009B1752" w:rsidRPr="00431052" w:rsidRDefault="009B1752" w:rsidP="00172B0F">
            <w:pPr>
              <w:spacing w:before="240"/>
              <w:rPr>
                <w:sz w:val="22"/>
                <w:szCs w:val="22"/>
              </w:rPr>
            </w:pPr>
          </w:p>
          <w:p w14:paraId="246EF5F5" w14:textId="77777777" w:rsidR="009B1752" w:rsidRPr="00431052" w:rsidRDefault="009B1752" w:rsidP="00172B0F">
            <w:pPr>
              <w:spacing w:before="240"/>
              <w:rPr>
                <w:sz w:val="22"/>
                <w:szCs w:val="22"/>
              </w:rPr>
            </w:pPr>
          </w:p>
          <w:p w14:paraId="23359AB4" w14:textId="77777777" w:rsidR="009B1752" w:rsidRPr="00431052" w:rsidRDefault="009B1752" w:rsidP="00172B0F">
            <w:pPr>
              <w:spacing w:before="240"/>
              <w:rPr>
                <w:sz w:val="22"/>
                <w:szCs w:val="22"/>
              </w:rPr>
            </w:pPr>
          </w:p>
          <w:p w14:paraId="7A99B44C" w14:textId="77777777" w:rsidR="009B1752" w:rsidRPr="00431052" w:rsidRDefault="009B1752" w:rsidP="00172B0F">
            <w:pPr>
              <w:spacing w:before="240"/>
              <w:rPr>
                <w:sz w:val="22"/>
                <w:szCs w:val="22"/>
              </w:rPr>
            </w:pPr>
          </w:p>
          <w:p w14:paraId="1C2F3296" w14:textId="77777777" w:rsidR="009B1752" w:rsidRPr="00431052" w:rsidRDefault="009B1752" w:rsidP="00172B0F">
            <w:pPr>
              <w:spacing w:before="240"/>
              <w:rPr>
                <w:sz w:val="22"/>
                <w:szCs w:val="22"/>
              </w:rPr>
            </w:pPr>
          </w:p>
          <w:p w14:paraId="77578E7C" w14:textId="77777777" w:rsidR="009B1752" w:rsidRPr="00431052" w:rsidRDefault="009B1752" w:rsidP="00172B0F">
            <w:pPr>
              <w:spacing w:before="240"/>
              <w:rPr>
                <w:sz w:val="22"/>
                <w:szCs w:val="22"/>
              </w:rPr>
            </w:pPr>
          </w:p>
          <w:p w14:paraId="6C367CA4" w14:textId="59B45CC3" w:rsidR="009B1752" w:rsidRPr="00431052" w:rsidRDefault="009B1752" w:rsidP="00172B0F">
            <w:pPr>
              <w:spacing w:before="240"/>
              <w:rPr>
                <w:sz w:val="22"/>
                <w:szCs w:val="22"/>
              </w:rPr>
            </w:pPr>
          </w:p>
        </w:tc>
      </w:tr>
    </w:tbl>
    <w:permEnd w:id="1370898771"/>
    <w:p w14:paraId="4041A329" w14:textId="7C1A758F" w:rsidR="009B1752" w:rsidRDefault="009B1752">
      <w:r>
        <w:t>Section 4 Construction</w:t>
      </w:r>
    </w:p>
    <w:tbl>
      <w:tblPr>
        <w:tblStyle w:val="TableGrid1"/>
        <w:tblW w:w="12710" w:type="dxa"/>
        <w:tblInd w:w="108" w:type="dxa"/>
        <w:tblLayout w:type="fixed"/>
        <w:tblLook w:val="04A0" w:firstRow="1" w:lastRow="0" w:firstColumn="1" w:lastColumn="0" w:noHBand="0" w:noVBand="1"/>
      </w:tblPr>
      <w:tblGrid>
        <w:gridCol w:w="2079"/>
        <w:gridCol w:w="10631"/>
      </w:tblGrid>
      <w:tr w:rsidR="009B1752" w:rsidRPr="00431052" w14:paraId="6C367CAC" w14:textId="77777777" w:rsidTr="009B1752">
        <w:tc>
          <w:tcPr>
            <w:tcW w:w="2079" w:type="dxa"/>
          </w:tcPr>
          <w:p w14:paraId="6C367CAA" w14:textId="6760CDBA" w:rsidR="009B1752" w:rsidRPr="00431052" w:rsidRDefault="009B1752" w:rsidP="00772A5C">
            <w:pPr>
              <w:spacing w:before="240"/>
              <w:ind w:left="34"/>
              <w:rPr>
                <w:b/>
                <w:sz w:val="22"/>
                <w:szCs w:val="22"/>
              </w:rPr>
            </w:pPr>
            <w:permStart w:id="2138581871" w:edGrp="everyone" w:colFirst="1" w:colLast="1"/>
            <w:r>
              <w:rPr>
                <w:b/>
                <w:sz w:val="22"/>
                <w:szCs w:val="22"/>
              </w:rPr>
              <w:t xml:space="preserve">4.1 </w:t>
            </w:r>
            <w:r w:rsidRPr="00431052">
              <w:rPr>
                <w:b/>
                <w:sz w:val="22"/>
                <w:szCs w:val="22"/>
              </w:rPr>
              <w:t>Numerator</w:t>
            </w:r>
          </w:p>
        </w:tc>
        <w:tc>
          <w:tcPr>
            <w:tcW w:w="10631" w:type="dxa"/>
          </w:tcPr>
          <w:p w14:paraId="6C367CAB" w14:textId="1DA3F064" w:rsidR="009B1752" w:rsidRPr="00431052" w:rsidRDefault="009B1752" w:rsidP="00772A5C">
            <w:pPr>
              <w:spacing w:before="240"/>
              <w:rPr>
                <w:sz w:val="22"/>
                <w:szCs w:val="22"/>
              </w:rPr>
            </w:pPr>
            <w:r w:rsidRPr="00431052">
              <w:rPr>
                <w:sz w:val="22"/>
                <w:szCs w:val="22"/>
              </w:rPr>
              <w:t>The gradient of the linear regression line of best fit for the values of the life expectancy at 75 plotted against the cumulative proportion of the population for each deprivation group in rank order (where a cumulative proportion of zero represents maximum deprivation and one represents minimum deprivation)</w:t>
            </w:r>
          </w:p>
        </w:tc>
      </w:tr>
      <w:tr w:rsidR="009B1752" w:rsidRPr="00431052" w14:paraId="6C367CB0" w14:textId="77777777" w:rsidTr="009B1752">
        <w:tc>
          <w:tcPr>
            <w:tcW w:w="2079" w:type="dxa"/>
          </w:tcPr>
          <w:p w14:paraId="6C367CAE" w14:textId="4C332D17" w:rsidR="009B1752" w:rsidRPr="00431052" w:rsidRDefault="009B1752" w:rsidP="00772A5C">
            <w:pPr>
              <w:spacing w:before="240"/>
              <w:ind w:left="34"/>
              <w:rPr>
                <w:b/>
                <w:sz w:val="22"/>
                <w:szCs w:val="22"/>
              </w:rPr>
            </w:pPr>
            <w:permStart w:id="1194818586" w:edGrp="everyone" w:colFirst="1" w:colLast="1"/>
            <w:permEnd w:id="2138581871"/>
            <w:r>
              <w:rPr>
                <w:b/>
                <w:sz w:val="22"/>
                <w:szCs w:val="22"/>
              </w:rPr>
              <w:t xml:space="preserve">4.2 </w:t>
            </w:r>
            <w:r w:rsidRPr="00431052">
              <w:rPr>
                <w:b/>
                <w:sz w:val="22"/>
                <w:szCs w:val="22"/>
              </w:rPr>
              <w:t>Denominator</w:t>
            </w:r>
          </w:p>
        </w:tc>
        <w:tc>
          <w:tcPr>
            <w:tcW w:w="10631" w:type="dxa"/>
          </w:tcPr>
          <w:p w14:paraId="6C367CAF" w14:textId="3549E008" w:rsidR="009B1752" w:rsidRPr="00431052" w:rsidRDefault="009B1752" w:rsidP="00772A5C">
            <w:pPr>
              <w:spacing w:before="240"/>
              <w:rPr>
                <w:sz w:val="22"/>
                <w:szCs w:val="22"/>
              </w:rPr>
            </w:pPr>
            <w:r w:rsidRPr="00431052">
              <w:rPr>
                <w:sz w:val="22"/>
                <w:szCs w:val="22"/>
              </w:rPr>
              <w:t>N/A</w:t>
            </w:r>
          </w:p>
        </w:tc>
      </w:tr>
      <w:tr w:rsidR="009B1752" w:rsidRPr="00431052" w14:paraId="6C367CB4" w14:textId="77777777" w:rsidTr="009B1752">
        <w:tc>
          <w:tcPr>
            <w:tcW w:w="2079" w:type="dxa"/>
          </w:tcPr>
          <w:p w14:paraId="6C367CB2" w14:textId="786562B7" w:rsidR="009B1752" w:rsidRPr="00431052" w:rsidRDefault="009B1752" w:rsidP="00772A5C">
            <w:pPr>
              <w:spacing w:before="240"/>
              <w:ind w:left="34"/>
              <w:rPr>
                <w:b/>
                <w:sz w:val="22"/>
                <w:szCs w:val="22"/>
              </w:rPr>
            </w:pPr>
            <w:permStart w:id="514874648" w:edGrp="everyone" w:colFirst="1" w:colLast="1"/>
            <w:r>
              <w:rPr>
                <w:b/>
                <w:sz w:val="22"/>
                <w:szCs w:val="22"/>
              </w:rPr>
              <w:t xml:space="preserve">4.3 </w:t>
            </w:r>
            <w:r w:rsidRPr="00431052">
              <w:rPr>
                <w:b/>
                <w:sz w:val="22"/>
                <w:szCs w:val="22"/>
              </w:rPr>
              <w:t>Computation</w:t>
            </w:r>
          </w:p>
        </w:tc>
        <w:tc>
          <w:tcPr>
            <w:tcW w:w="10631" w:type="dxa"/>
          </w:tcPr>
          <w:p w14:paraId="203D7722" w14:textId="36088C13" w:rsidR="009B1752" w:rsidRPr="00431052" w:rsidRDefault="009B1752" w:rsidP="003B2744">
            <w:pPr>
              <w:spacing w:before="240"/>
              <w:rPr>
                <w:sz w:val="22"/>
                <w:szCs w:val="22"/>
              </w:rPr>
            </w:pPr>
            <w:r w:rsidRPr="00431052">
              <w:rPr>
                <w:sz w:val="22"/>
                <w:szCs w:val="22"/>
              </w:rPr>
              <w:t>Lower super output areas (LSOAs) are grouped into deprivation deciles according to the 2015 Index of Multiple Deprivation (IMD). Abridged life tables are then calculated for each deprivation decile. These values are supplied by the ONS and are presented as part of the underlying indicator, NHS OF indicator 1b – life expectancy at 75</w:t>
            </w:r>
            <w:r w:rsidRPr="00431052">
              <w:rPr>
                <w:rStyle w:val="FootnoteReference"/>
                <w:sz w:val="22"/>
                <w:szCs w:val="22"/>
              </w:rPr>
              <w:footnoteReference w:id="9"/>
            </w:r>
            <w:r w:rsidRPr="00431052">
              <w:rPr>
                <w:sz w:val="22"/>
                <w:szCs w:val="22"/>
              </w:rPr>
              <w:t>The x value is the cumulative proportion of the population at the mid-point of each deprivation decile.</w:t>
            </w:r>
          </w:p>
          <w:p w14:paraId="711003C1" w14:textId="77777777" w:rsidR="009B1752" w:rsidRPr="00431052" w:rsidRDefault="009B1752" w:rsidP="003B2744">
            <w:pPr>
              <w:spacing w:before="240"/>
              <w:rPr>
                <w:sz w:val="22"/>
                <w:szCs w:val="22"/>
              </w:rPr>
            </w:pPr>
            <m:oMathPara>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i-1</m:t>
                        </m:r>
                      </m:sup>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j</m:t>
                            </m:r>
                          </m:sub>
                        </m:sSub>
                      </m:e>
                    </m:nary>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num>
                      <m:den>
                        <m:r>
                          <w:rPr>
                            <w:rFonts w:ascii="Cambria Math" w:hAnsi="Cambria Math"/>
                            <w:sz w:val="22"/>
                            <w:szCs w:val="22"/>
                          </w:rPr>
                          <m:t>2</m:t>
                        </m:r>
                      </m:den>
                    </m:f>
                  </m:num>
                  <m:den>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10</m:t>
                        </m:r>
                      </m:sup>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j</m:t>
                            </m:r>
                          </m:sub>
                        </m:sSub>
                      </m:e>
                    </m:nary>
                  </m:den>
                </m:f>
              </m:oMath>
            </m:oMathPara>
          </w:p>
          <w:p w14:paraId="0E6D00FF" w14:textId="77777777" w:rsidR="009B1752" w:rsidRPr="00431052" w:rsidRDefault="009B1752" w:rsidP="003B2744">
            <w:pPr>
              <w:spacing w:before="240"/>
              <w:rPr>
                <w:sz w:val="22"/>
                <w:szCs w:val="22"/>
                <w:vertAlign w:val="subscript"/>
              </w:rPr>
            </w:pPr>
            <w:r w:rsidRPr="00431052">
              <w:rPr>
                <w:sz w:val="22"/>
                <w:szCs w:val="22"/>
              </w:rPr>
              <w:t>Where P</w:t>
            </w:r>
            <w:r w:rsidRPr="00431052">
              <w:rPr>
                <w:sz w:val="22"/>
                <w:szCs w:val="22"/>
                <w:vertAlign w:val="subscript"/>
              </w:rPr>
              <w:t xml:space="preserve">i </w:t>
            </w:r>
            <w:r w:rsidRPr="00431052">
              <w:rPr>
                <w:sz w:val="22"/>
                <w:szCs w:val="22"/>
              </w:rPr>
              <w:t xml:space="preserve">Indicates the population of the </w:t>
            </w:r>
            <w:r w:rsidRPr="00431052">
              <w:rPr>
                <w:i/>
                <w:sz w:val="22"/>
                <w:szCs w:val="22"/>
              </w:rPr>
              <w:t>i</w:t>
            </w:r>
            <w:r w:rsidRPr="00431052">
              <w:rPr>
                <w:sz w:val="22"/>
                <w:szCs w:val="22"/>
              </w:rPr>
              <w:t xml:space="preserve">th decile. </w:t>
            </w:r>
          </w:p>
          <w:permEnd w:id="1194818586"/>
          <w:p w14:paraId="6C367CB3" w14:textId="6C983097" w:rsidR="009B1752" w:rsidRPr="00431052" w:rsidRDefault="009B1752" w:rsidP="003B2744">
            <w:pPr>
              <w:spacing w:before="240"/>
              <w:rPr>
                <w:sz w:val="22"/>
                <w:szCs w:val="22"/>
              </w:rPr>
            </w:pPr>
          </w:p>
        </w:tc>
      </w:tr>
      <w:permEnd w:id="514874648"/>
    </w:tbl>
    <w:p w14:paraId="0C680165" w14:textId="258CF483" w:rsidR="009B1752" w:rsidRDefault="009B1752"/>
    <w:p w14:paraId="282B6DAD" w14:textId="77777777" w:rsidR="009B1752" w:rsidRPr="00431052" w:rsidRDefault="009B1752" w:rsidP="009B1752">
      <w:pPr>
        <w:spacing w:before="240"/>
        <w:rPr>
          <w:sz w:val="22"/>
          <w:szCs w:val="22"/>
        </w:rPr>
      </w:pPr>
      <w:r w:rsidRPr="00431052">
        <w:rPr>
          <w:sz w:val="22"/>
          <w:szCs w:val="22"/>
        </w:rPr>
        <w:t>The table below illustrates the calculation for the female aged 75+ population using England mid-year population estimates for 2012-14:</w:t>
      </w:r>
    </w:p>
    <w:tbl>
      <w:tblPr>
        <w:tblStyle w:val="TableGrid"/>
        <w:tblW w:w="6520" w:type="dxa"/>
        <w:tblLayout w:type="fixed"/>
        <w:tblLook w:val="04A0" w:firstRow="1" w:lastRow="0" w:firstColumn="1" w:lastColumn="0" w:noHBand="0" w:noVBand="1"/>
      </w:tblPr>
      <w:tblGrid>
        <w:gridCol w:w="2000"/>
        <w:gridCol w:w="1120"/>
        <w:gridCol w:w="1220"/>
        <w:gridCol w:w="1220"/>
        <w:gridCol w:w="960"/>
      </w:tblGrid>
      <w:tr w:rsidR="009B1752" w:rsidRPr="00431052" w14:paraId="4A0AD6E0" w14:textId="77777777" w:rsidTr="00201CDA">
        <w:trPr>
          <w:trHeight w:val="2100"/>
        </w:trPr>
        <w:tc>
          <w:tcPr>
            <w:tcW w:w="2000" w:type="dxa"/>
            <w:hideMark/>
          </w:tcPr>
          <w:p w14:paraId="251B5965"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Deprivation</w:t>
            </w:r>
          </w:p>
        </w:tc>
        <w:tc>
          <w:tcPr>
            <w:tcW w:w="1120" w:type="dxa"/>
            <w:hideMark/>
          </w:tcPr>
          <w:p w14:paraId="25413F7A" w14:textId="77777777" w:rsidR="009B1752" w:rsidRPr="00431052" w:rsidRDefault="009B1752" w:rsidP="00201CDA">
            <w:pPr>
              <w:spacing w:after="0"/>
              <w:jc w:val="center"/>
              <w:textboxTightWrap w:val="none"/>
              <w:rPr>
                <w:rFonts w:cs="Arial"/>
                <w:sz w:val="22"/>
                <w:szCs w:val="22"/>
                <w:lang w:eastAsia="en-GB"/>
              </w:rPr>
            </w:pPr>
            <w:r w:rsidRPr="00431052">
              <w:rPr>
                <w:rFonts w:cs="Arial"/>
                <w:sz w:val="22"/>
                <w:szCs w:val="22"/>
                <w:lang w:eastAsia="en-GB"/>
              </w:rPr>
              <w:t xml:space="preserve"> Female population (75+, summed over three years) </w:t>
            </w:r>
          </w:p>
        </w:tc>
        <w:tc>
          <w:tcPr>
            <w:tcW w:w="1220" w:type="dxa"/>
            <w:hideMark/>
          </w:tcPr>
          <w:p w14:paraId="532CDF3F" w14:textId="77777777" w:rsidR="009B1752" w:rsidRPr="00431052" w:rsidRDefault="009B1752" w:rsidP="00201CDA">
            <w:pPr>
              <w:spacing w:after="0"/>
              <w:jc w:val="right"/>
              <w:textboxTightWrap w:val="none"/>
              <w:rPr>
                <w:rFonts w:cs="Arial"/>
                <w:sz w:val="22"/>
                <w:szCs w:val="22"/>
                <w:lang w:eastAsia="en-GB"/>
              </w:rPr>
            </w:pPr>
            <w:r w:rsidRPr="00431052">
              <w:rPr>
                <w:rFonts w:cs="Arial"/>
                <w:sz w:val="22"/>
                <w:szCs w:val="22"/>
                <w:lang w:eastAsia="en-GB"/>
              </w:rPr>
              <w:t xml:space="preserve"> cumulative population to start of band </w:t>
            </w:r>
          </w:p>
        </w:tc>
        <w:tc>
          <w:tcPr>
            <w:tcW w:w="1220" w:type="dxa"/>
            <w:hideMark/>
          </w:tcPr>
          <w:p w14:paraId="7B7D4901" w14:textId="77777777" w:rsidR="009B1752" w:rsidRPr="00431052" w:rsidRDefault="009B1752" w:rsidP="00201CDA">
            <w:pPr>
              <w:spacing w:after="0"/>
              <w:jc w:val="right"/>
              <w:textboxTightWrap w:val="none"/>
              <w:rPr>
                <w:rFonts w:cs="Arial"/>
                <w:sz w:val="22"/>
                <w:szCs w:val="22"/>
                <w:lang w:eastAsia="en-GB"/>
              </w:rPr>
            </w:pPr>
            <w:r w:rsidRPr="00431052">
              <w:rPr>
                <w:rFonts w:cs="Arial"/>
                <w:sz w:val="22"/>
                <w:szCs w:val="22"/>
                <w:lang w:eastAsia="en-GB"/>
              </w:rPr>
              <w:t xml:space="preserve"> cumulative population to mid-point of band </w:t>
            </w:r>
          </w:p>
        </w:tc>
        <w:tc>
          <w:tcPr>
            <w:tcW w:w="960" w:type="dxa"/>
            <w:hideMark/>
          </w:tcPr>
          <w:p w14:paraId="10669265" w14:textId="77777777" w:rsidR="009B1752" w:rsidRPr="00431052" w:rsidRDefault="009B1752" w:rsidP="00201CDA">
            <w:pPr>
              <w:spacing w:after="0"/>
              <w:jc w:val="right"/>
              <w:textboxTightWrap w:val="none"/>
              <w:rPr>
                <w:rFonts w:cs="Arial"/>
                <w:sz w:val="22"/>
                <w:szCs w:val="22"/>
                <w:lang w:eastAsia="en-GB"/>
              </w:rPr>
            </w:pPr>
            <w:r w:rsidRPr="00431052">
              <w:rPr>
                <w:rFonts w:cs="Arial"/>
                <w:sz w:val="22"/>
                <w:szCs w:val="22"/>
                <w:lang w:eastAsia="en-GB"/>
              </w:rPr>
              <w:t xml:space="preserve"> x </w:t>
            </w:r>
          </w:p>
        </w:tc>
      </w:tr>
      <w:tr w:rsidR="009B1752" w:rsidRPr="00431052" w14:paraId="5952A929" w14:textId="77777777" w:rsidTr="00201CDA">
        <w:trPr>
          <w:trHeight w:val="300"/>
        </w:trPr>
        <w:tc>
          <w:tcPr>
            <w:tcW w:w="2000" w:type="dxa"/>
            <w:noWrap/>
            <w:hideMark/>
          </w:tcPr>
          <w:p w14:paraId="1CE23355"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1 - Most deprived</w:t>
            </w:r>
          </w:p>
        </w:tc>
        <w:tc>
          <w:tcPr>
            <w:tcW w:w="1120" w:type="dxa"/>
            <w:noWrap/>
            <w:hideMark/>
          </w:tcPr>
          <w:p w14:paraId="2CD80332"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569,541  </w:t>
            </w:r>
          </w:p>
        </w:tc>
        <w:tc>
          <w:tcPr>
            <w:tcW w:w="1220" w:type="dxa"/>
            <w:noWrap/>
            <w:hideMark/>
          </w:tcPr>
          <w:p w14:paraId="75FF5B4B"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   </w:t>
            </w:r>
          </w:p>
        </w:tc>
        <w:tc>
          <w:tcPr>
            <w:tcW w:w="1220" w:type="dxa"/>
            <w:noWrap/>
            <w:hideMark/>
          </w:tcPr>
          <w:p w14:paraId="605E4D0C"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284,771 </w:t>
            </w:r>
          </w:p>
        </w:tc>
        <w:tc>
          <w:tcPr>
            <w:tcW w:w="960" w:type="dxa"/>
            <w:noWrap/>
            <w:hideMark/>
          </w:tcPr>
          <w:p w14:paraId="1CBEA87E"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0.038 </w:t>
            </w:r>
          </w:p>
        </w:tc>
      </w:tr>
      <w:tr w:rsidR="009B1752" w:rsidRPr="00431052" w14:paraId="28CBBC0E" w14:textId="77777777" w:rsidTr="00201CDA">
        <w:trPr>
          <w:trHeight w:val="300"/>
        </w:trPr>
        <w:tc>
          <w:tcPr>
            <w:tcW w:w="2000" w:type="dxa"/>
            <w:noWrap/>
            <w:hideMark/>
          </w:tcPr>
          <w:p w14:paraId="53307D5C"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2</w:t>
            </w:r>
          </w:p>
        </w:tc>
        <w:tc>
          <w:tcPr>
            <w:tcW w:w="1120" w:type="dxa"/>
            <w:noWrap/>
            <w:hideMark/>
          </w:tcPr>
          <w:p w14:paraId="064608BE"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613,692 </w:t>
            </w:r>
          </w:p>
        </w:tc>
        <w:tc>
          <w:tcPr>
            <w:tcW w:w="1220" w:type="dxa"/>
            <w:noWrap/>
            <w:hideMark/>
          </w:tcPr>
          <w:p w14:paraId="47CA1E17"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569,541 </w:t>
            </w:r>
          </w:p>
        </w:tc>
        <w:tc>
          <w:tcPr>
            <w:tcW w:w="1220" w:type="dxa"/>
            <w:noWrap/>
            <w:hideMark/>
          </w:tcPr>
          <w:p w14:paraId="2FF1339F"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876,387 </w:t>
            </w:r>
          </w:p>
        </w:tc>
        <w:tc>
          <w:tcPr>
            <w:tcW w:w="960" w:type="dxa"/>
            <w:noWrap/>
            <w:hideMark/>
          </w:tcPr>
          <w:p w14:paraId="53561761"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0.116 </w:t>
            </w:r>
          </w:p>
        </w:tc>
      </w:tr>
      <w:tr w:rsidR="009B1752" w:rsidRPr="00431052" w14:paraId="675C9407" w14:textId="77777777" w:rsidTr="00201CDA">
        <w:trPr>
          <w:trHeight w:val="300"/>
        </w:trPr>
        <w:tc>
          <w:tcPr>
            <w:tcW w:w="2000" w:type="dxa"/>
            <w:noWrap/>
            <w:hideMark/>
          </w:tcPr>
          <w:p w14:paraId="2AFA3A6E"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3</w:t>
            </w:r>
          </w:p>
        </w:tc>
        <w:tc>
          <w:tcPr>
            <w:tcW w:w="1120" w:type="dxa"/>
            <w:noWrap/>
            <w:hideMark/>
          </w:tcPr>
          <w:p w14:paraId="5CA06387"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667,266 </w:t>
            </w:r>
          </w:p>
        </w:tc>
        <w:tc>
          <w:tcPr>
            <w:tcW w:w="1220" w:type="dxa"/>
            <w:noWrap/>
            <w:hideMark/>
          </w:tcPr>
          <w:p w14:paraId="10171C85"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1,183,233 </w:t>
            </w:r>
          </w:p>
        </w:tc>
        <w:tc>
          <w:tcPr>
            <w:tcW w:w="1220" w:type="dxa"/>
            <w:noWrap/>
            <w:hideMark/>
          </w:tcPr>
          <w:p w14:paraId="61ADD210"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1,516,866 </w:t>
            </w:r>
          </w:p>
        </w:tc>
        <w:tc>
          <w:tcPr>
            <w:tcW w:w="960" w:type="dxa"/>
            <w:noWrap/>
            <w:hideMark/>
          </w:tcPr>
          <w:p w14:paraId="64608F0B"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0.201 </w:t>
            </w:r>
          </w:p>
        </w:tc>
      </w:tr>
      <w:tr w:rsidR="009B1752" w:rsidRPr="00431052" w14:paraId="7D87ED54" w14:textId="77777777" w:rsidTr="00201CDA">
        <w:trPr>
          <w:trHeight w:val="300"/>
        </w:trPr>
        <w:tc>
          <w:tcPr>
            <w:tcW w:w="2000" w:type="dxa"/>
            <w:noWrap/>
            <w:hideMark/>
          </w:tcPr>
          <w:p w14:paraId="65A7B41F"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4</w:t>
            </w:r>
          </w:p>
        </w:tc>
        <w:tc>
          <w:tcPr>
            <w:tcW w:w="1120" w:type="dxa"/>
            <w:noWrap/>
            <w:hideMark/>
          </w:tcPr>
          <w:p w14:paraId="6DB5F275"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724,959 </w:t>
            </w:r>
          </w:p>
        </w:tc>
        <w:tc>
          <w:tcPr>
            <w:tcW w:w="1220" w:type="dxa"/>
            <w:noWrap/>
            <w:hideMark/>
          </w:tcPr>
          <w:p w14:paraId="7823739A"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1,850,499  </w:t>
            </w:r>
          </w:p>
        </w:tc>
        <w:tc>
          <w:tcPr>
            <w:tcW w:w="1220" w:type="dxa"/>
            <w:noWrap/>
            <w:hideMark/>
          </w:tcPr>
          <w:p w14:paraId="0316D9F4"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2,212,979 </w:t>
            </w:r>
          </w:p>
        </w:tc>
        <w:tc>
          <w:tcPr>
            <w:tcW w:w="960" w:type="dxa"/>
            <w:noWrap/>
            <w:hideMark/>
          </w:tcPr>
          <w:p w14:paraId="1EB4149F"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0.293 </w:t>
            </w:r>
          </w:p>
        </w:tc>
      </w:tr>
      <w:tr w:rsidR="009B1752" w:rsidRPr="00431052" w14:paraId="7AA3143E" w14:textId="77777777" w:rsidTr="00201CDA">
        <w:trPr>
          <w:trHeight w:val="300"/>
        </w:trPr>
        <w:tc>
          <w:tcPr>
            <w:tcW w:w="2000" w:type="dxa"/>
            <w:noWrap/>
            <w:hideMark/>
          </w:tcPr>
          <w:p w14:paraId="62A8B0FD"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5</w:t>
            </w:r>
          </w:p>
        </w:tc>
        <w:tc>
          <w:tcPr>
            <w:tcW w:w="1120" w:type="dxa"/>
            <w:noWrap/>
            <w:hideMark/>
          </w:tcPr>
          <w:p w14:paraId="7C9AD550" w14:textId="77777777" w:rsidR="009B1752" w:rsidRPr="00431052" w:rsidRDefault="009B1752" w:rsidP="00201CDA">
            <w:pPr>
              <w:spacing w:after="0"/>
              <w:textboxTightWrap w:val="none"/>
              <w:rPr>
                <w:rFonts w:cs="Arial"/>
                <w:sz w:val="22"/>
                <w:szCs w:val="22"/>
                <w:lang w:eastAsia="en-GB"/>
              </w:rPr>
            </w:pPr>
          </w:p>
          <w:p w14:paraId="5AF6647C"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786,278</w:t>
            </w:r>
          </w:p>
        </w:tc>
        <w:tc>
          <w:tcPr>
            <w:tcW w:w="1220" w:type="dxa"/>
            <w:noWrap/>
            <w:hideMark/>
          </w:tcPr>
          <w:p w14:paraId="3979BDCB"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2,575,458 </w:t>
            </w:r>
          </w:p>
        </w:tc>
        <w:tc>
          <w:tcPr>
            <w:tcW w:w="1220" w:type="dxa"/>
            <w:noWrap/>
            <w:hideMark/>
          </w:tcPr>
          <w:p w14:paraId="0E72D8EF"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2,968,597 </w:t>
            </w:r>
          </w:p>
        </w:tc>
        <w:tc>
          <w:tcPr>
            <w:tcW w:w="960" w:type="dxa"/>
            <w:noWrap/>
            <w:hideMark/>
          </w:tcPr>
          <w:p w14:paraId="66F9078A"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0.393 </w:t>
            </w:r>
          </w:p>
        </w:tc>
      </w:tr>
      <w:tr w:rsidR="009B1752" w:rsidRPr="00431052" w14:paraId="1F88CC8F" w14:textId="77777777" w:rsidTr="00201CDA">
        <w:trPr>
          <w:trHeight w:val="300"/>
        </w:trPr>
        <w:tc>
          <w:tcPr>
            <w:tcW w:w="2000" w:type="dxa"/>
            <w:noWrap/>
            <w:hideMark/>
          </w:tcPr>
          <w:p w14:paraId="5D4C89EE"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6</w:t>
            </w:r>
          </w:p>
        </w:tc>
        <w:tc>
          <w:tcPr>
            <w:tcW w:w="1120" w:type="dxa"/>
            <w:noWrap/>
            <w:hideMark/>
          </w:tcPr>
          <w:p w14:paraId="5C544F98"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826,640 </w:t>
            </w:r>
          </w:p>
        </w:tc>
        <w:tc>
          <w:tcPr>
            <w:tcW w:w="1220" w:type="dxa"/>
            <w:noWrap/>
            <w:hideMark/>
          </w:tcPr>
          <w:p w14:paraId="297E55C8"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3,361,736</w:t>
            </w:r>
          </w:p>
        </w:tc>
        <w:tc>
          <w:tcPr>
            <w:tcW w:w="1220" w:type="dxa"/>
            <w:noWrap/>
            <w:hideMark/>
          </w:tcPr>
          <w:p w14:paraId="6EADB225"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3,775,056 </w:t>
            </w:r>
          </w:p>
        </w:tc>
        <w:tc>
          <w:tcPr>
            <w:tcW w:w="960" w:type="dxa"/>
            <w:noWrap/>
            <w:hideMark/>
          </w:tcPr>
          <w:p w14:paraId="18982324"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0.499 </w:t>
            </w:r>
          </w:p>
        </w:tc>
      </w:tr>
      <w:tr w:rsidR="009B1752" w:rsidRPr="00431052" w14:paraId="2A5AA6F0" w14:textId="77777777" w:rsidTr="00201CDA">
        <w:trPr>
          <w:trHeight w:val="300"/>
        </w:trPr>
        <w:tc>
          <w:tcPr>
            <w:tcW w:w="2000" w:type="dxa"/>
            <w:noWrap/>
            <w:hideMark/>
          </w:tcPr>
          <w:p w14:paraId="5E1C516E"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7</w:t>
            </w:r>
          </w:p>
        </w:tc>
        <w:tc>
          <w:tcPr>
            <w:tcW w:w="1120" w:type="dxa"/>
            <w:noWrap/>
            <w:hideMark/>
          </w:tcPr>
          <w:p w14:paraId="7F6CCDBC"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838,854  </w:t>
            </w:r>
          </w:p>
        </w:tc>
        <w:tc>
          <w:tcPr>
            <w:tcW w:w="1220" w:type="dxa"/>
            <w:noWrap/>
            <w:hideMark/>
          </w:tcPr>
          <w:p w14:paraId="0C1DB144"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4,188,376 </w:t>
            </w:r>
          </w:p>
        </w:tc>
        <w:tc>
          <w:tcPr>
            <w:tcW w:w="1220" w:type="dxa"/>
            <w:noWrap/>
            <w:hideMark/>
          </w:tcPr>
          <w:p w14:paraId="6A263CDE"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4,607,803 </w:t>
            </w:r>
          </w:p>
        </w:tc>
        <w:tc>
          <w:tcPr>
            <w:tcW w:w="960" w:type="dxa"/>
            <w:noWrap/>
            <w:hideMark/>
          </w:tcPr>
          <w:p w14:paraId="57F9EF35"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0.610 </w:t>
            </w:r>
          </w:p>
        </w:tc>
      </w:tr>
      <w:tr w:rsidR="009B1752" w:rsidRPr="00431052" w14:paraId="7074DB04" w14:textId="77777777" w:rsidTr="00201CDA">
        <w:trPr>
          <w:trHeight w:val="300"/>
        </w:trPr>
        <w:tc>
          <w:tcPr>
            <w:tcW w:w="2000" w:type="dxa"/>
            <w:noWrap/>
            <w:hideMark/>
          </w:tcPr>
          <w:p w14:paraId="72C30121"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8</w:t>
            </w:r>
          </w:p>
        </w:tc>
        <w:tc>
          <w:tcPr>
            <w:tcW w:w="1120" w:type="dxa"/>
            <w:noWrap/>
            <w:hideMark/>
          </w:tcPr>
          <w:p w14:paraId="3E0F34D1"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840,663</w:t>
            </w:r>
          </w:p>
        </w:tc>
        <w:tc>
          <w:tcPr>
            <w:tcW w:w="1220" w:type="dxa"/>
            <w:noWrap/>
            <w:hideMark/>
          </w:tcPr>
          <w:p w14:paraId="686A0A11"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5,027,230 </w:t>
            </w:r>
          </w:p>
        </w:tc>
        <w:tc>
          <w:tcPr>
            <w:tcW w:w="1220" w:type="dxa"/>
            <w:noWrap/>
            <w:hideMark/>
          </w:tcPr>
          <w:p w14:paraId="47112DB4"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5,447,562</w:t>
            </w:r>
          </w:p>
        </w:tc>
        <w:tc>
          <w:tcPr>
            <w:tcW w:w="960" w:type="dxa"/>
            <w:noWrap/>
            <w:hideMark/>
          </w:tcPr>
          <w:p w14:paraId="79133212"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0.721 </w:t>
            </w:r>
          </w:p>
        </w:tc>
      </w:tr>
      <w:tr w:rsidR="009B1752" w:rsidRPr="00431052" w14:paraId="29108A9E" w14:textId="77777777" w:rsidTr="00201CDA">
        <w:trPr>
          <w:trHeight w:val="300"/>
        </w:trPr>
        <w:tc>
          <w:tcPr>
            <w:tcW w:w="2000" w:type="dxa"/>
            <w:noWrap/>
            <w:hideMark/>
          </w:tcPr>
          <w:p w14:paraId="4E0319AB"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9</w:t>
            </w:r>
          </w:p>
        </w:tc>
        <w:tc>
          <w:tcPr>
            <w:tcW w:w="1120" w:type="dxa"/>
            <w:noWrap/>
            <w:hideMark/>
          </w:tcPr>
          <w:p w14:paraId="67FCA0A4"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849,024 </w:t>
            </w:r>
          </w:p>
        </w:tc>
        <w:tc>
          <w:tcPr>
            <w:tcW w:w="1220" w:type="dxa"/>
            <w:noWrap/>
            <w:hideMark/>
          </w:tcPr>
          <w:p w14:paraId="61ABA684"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5,867,893 </w:t>
            </w:r>
          </w:p>
        </w:tc>
        <w:tc>
          <w:tcPr>
            <w:tcW w:w="1220" w:type="dxa"/>
            <w:noWrap/>
            <w:hideMark/>
          </w:tcPr>
          <w:p w14:paraId="11200839"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6,292,405 </w:t>
            </w:r>
          </w:p>
        </w:tc>
        <w:tc>
          <w:tcPr>
            <w:tcW w:w="960" w:type="dxa"/>
            <w:noWrap/>
            <w:hideMark/>
          </w:tcPr>
          <w:p w14:paraId="14E82643"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0.832 </w:t>
            </w:r>
          </w:p>
        </w:tc>
      </w:tr>
      <w:tr w:rsidR="009B1752" w:rsidRPr="00431052" w14:paraId="219FCD64" w14:textId="77777777" w:rsidTr="00201CDA">
        <w:trPr>
          <w:trHeight w:val="300"/>
        </w:trPr>
        <w:tc>
          <w:tcPr>
            <w:tcW w:w="2000" w:type="dxa"/>
            <w:noWrap/>
            <w:hideMark/>
          </w:tcPr>
          <w:p w14:paraId="7AA2A4AA"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10 - Least deprived</w:t>
            </w:r>
          </w:p>
        </w:tc>
        <w:tc>
          <w:tcPr>
            <w:tcW w:w="1120" w:type="dxa"/>
            <w:noWrap/>
            <w:hideMark/>
          </w:tcPr>
          <w:p w14:paraId="4C9402B8"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842,767  </w:t>
            </w:r>
          </w:p>
        </w:tc>
        <w:tc>
          <w:tcPr>
            <w:tcW w:w="1220" w:type="dxa"/>
            <w:noWrap/>
            <w:hideMark/>
          </w:tcPr>
          <w:p w14:paraId="65393B83"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6,716,917 </w:t>
            </w:r>
          </w:p>
        </w:tc>
        <w:tc>
          <w:tcPr>
            <w:tcW w:w="1220" w:type="dxa"/>
            <w:noWrap/>
            <w:hideMark/>
          </w:tcPr>
          <w:p w14:paraId="5FACF54B"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7,138,301 </w:t>
            </w:r>
          </w:p>
        </w:tc>
        <w:tc>
          <w:tcPr>
            <w:tcW w:w="960" w:type="dxa"/>
            <w:noWrap/>
            <w:hideMark/>
          </w:tcPr>
          <w:p w14:paraId="094B1CE2" w14:textId="77777777" w:rsidR="009B1752" w:rsidRPr="00431052" w:rsidRDefault="009B1752" w:rsidP="00201CDA">
            <w:pPr>
              <w:spacing w:after="0"/>
              <w:textboxTightWrap w:val="none"/>
              <w:rPr>
                <w:rFonts w:cs="Arial"/>
                <w:sz w:val="22"/>
                <w:szCs w:val="22"/>
                <w:lang w:eastAsia="en-GB"/>
              </w:rPr>
            </w:pPr>
            <w:r w:rsidRPr="00431052">
              <w:rPr>
                <w:rFonts w:cs="Arial"/>
                <w:sz w:val="22"/>
                <w:szCs w:val="22"/>
                <w:lang w:eastAsia="en-GB"/>
              </w:rPr>
              <w:t xml:space="preserve"> 0.944 </w:t>
            </w:r>
          </w:p>
        </w:tc>
      </w:tr>
    </w:tbl>
    <w:p w14:paraId="0A972D27" w14:textId="77777777" w:rsidR="009B1752" w:rsidRPr="00431052" w:rsidRDefault="009B1752" w:rsidP="009B1752">
      <w:pPr>
        <w:spacing w:before="240"/>
        <w:rPr>
          <w:sz w:val="22"/>
          <w:szCs w:val="22"/>
        </w:rPr>
      </w:pPr>
      <w:r w:rsidRPr="00431052">
        <w:rPr>
          <w:sz w:val="22"/>
          <w:szCs w:val="22"/>
        </w:rPr>
        <w:t xml:space="preserve">The graphs below </w:t>
      </w:r>
      <w:proofErr w:type="gramStart"/>
      <w:r w:rsidRPr="00431052">
        <w:rPr>
          <w:sz w:val="22"/>
          <w:szCs w:val="22"/>
        </w:rPr>
        <w:t>shows</w:t>
      </w:r>
      <w:proofErr w:type="gramEnd"/>
      <w:r w:rsidRPr="00431052">
        <w:rPr>
          <w:sz w:val="22"/>
          <w:szCs w:val="22"/>
        </w:rPr>
        <w:t xml:space="preserve"> the indicator value plotted against the cumulative population proportion for the years 2012-14 for both Females and Males.</w:t>
      </w:r>
    </w:p>
    <w:p w14:paraId="64ABF101" w14:textId="261169B1" w:rsidR="009B1752" w:rsidRPr="00431052" w:rsidRDefault="000A29D4" w:rsidP="009B1752">
      <w:pPr>
        <w:spacing w:before="240"/>
        <w:rPr>
          <w:i/>
          <w:sz w:val="22"/>
          <w:szCs w:val="22"/>
        </w:rPr>
      </w:pPr>
      <w:r w:rsidRPr="00431052">
        <w:object w:dxaOrig="11865" w:dyaOrig="6390" w14:anchorId="44F45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4" type="#_x0000_t75" alt="Graph showing slope index of inequality for life expectancy at 75" style="width:343.5pt;height:184.35pt" o:ole="">
            <v:imagedata r:id="rId14" o:title=""/>
          </v:shape>
          <o:OLEObject Type="Embed" ProgID="PBrush" ShapeID="_x0000_i1324" DrawAspect="Content" ObjectID="_1646116771" r:id="rId15"/>
        </w:object>
      </w:r>
    </w:p>
    <w:p w14:paraId="3349AA47" w14:textId="1BAB3C5A" w:rsidR="009B1752" w:rsidRPr="00431052" w:rsidRDefault="000A29D4" w:rsidP="009B1752">
      <w:pPr>
        <w:spacing w:before="240"/>
        <w:rPr>
          <w:sz w:val="22"/>
          <w:szCs w:val="22"/>
        </w:rPr>
      </w:pPr>
      <w:r w:rsidRPr="00431052">
        <w:object w:dxaOrig="11775" w:dyaOrig="6300" w14:anchorId="6DBDDF46">
          <v:shape id="_x0000_i1325" type="#_x0000_t75" alt="graph showing slope index of inequality for life expectancy at 75" style="width:343.25pt;height:183.35pt" o:ole="">
            <v:imagedata r:id="rId16" o:title=""/>
          </v:shape>
          <o:OLEObject Type="Embed" ProgID="PBrush" ShapeID="_x0000_i1325" DrawAspect="Content" ObjectID="_1646116772" r:id="rId17"/>
        </w:object>
      </w:r>
    </w:p>
    <w:p w14:paraId="2C162363" w14:textId="77777777" w:rsidR="009B1752" w:rsidRPr="00431052" w:rsidRDefault="009B1752" w:rsidP="009B1752">
      <w:pPr>
        <w:spacing w:before="240"/>
        <w:rPr>
          <w:sz w:val="22"/>
          <w:szCs w:val="22"/>
        </w:rPr>
      </w:pPr>
      <w:r w:rsidRPr="00431052">
        <w:rPr>
          <w:sz w:val="22"/>
          <w:szCs w:val="22"/>
        </w:rPr>
        <w:t xml:space="preserve">The data points are the underlying indicator values plotted against the cumulative population proportion for each deprivation decile. The line of the graph is a weighted linear regression line of best fit for the data, calculated by the least </w:t>
      </w:r>
      <w:proofErr w:type="gramStart"/>
      <w:r w:rsidRPr="00431052">
        <w:rPr>
          <w:sz w:val="22"/>
          <w:szCs w:val="22"/>
        </w:rPr>
        <w:t>squares</w:t>
      </w:r>
      <w:proofErr w:type="gramEnd"/>
      <w:r w:rsidRPr="00431052">
        <w:rPr>
          <w:sz w:val="22"/>
          <w:szCs w:val="22"/>
        </w:rPr>
        <w:t xml:space="preserve"> method. The SII is the gradient of the line. </w:t>
      </w:r>
    </w:p>
    <w:p w14:paraId="68584C47" w14:textId="77777777" w:rsidR="009B1752" w:rsidRPr="00431052" w:rsidRDefault="009B1752" w:rsidP="009B1752">
      <w:pPr>
        <w:spacing w:before="240"/>
        <w:rPr>
          <w:sz w:val="22"/>
          <w:szCs w:val="22"/>
        </w:rPr>
      </w:pPr>
      <m:oMathPara>
        <m:oMath>
          <m:r>
            <w:rPr>
              <w:rFonts w:ascii="Cambria Math" w:hAnsi="Cambria Math"/>
              <w:sz w:val="22"/>
              <w:szCs w:val="22"/>
            </w:rPr>
            <m:t>SII =</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wxy-(</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wx.</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wy</m:t>
                          </m:r>
                        </m:e>
                      </m:nary>
                      <m:r>
                        <w:rPr>
                          <w:rFonts w:ascii="Cambria Math" w:hAnsi="Cambria Math"/>
                          <w:sz w:val="22"/>
                          <w:szCs w:val="22"/>
                        </w:rPr>
                        <m:t>)</m:t>
                      </m:r>
                    </m:e>
                  </m:nary>
                </m:e>
              </m:nary>
            </m:num>
            <m:den>
              <m:nary>
                <m:naryPr>
                  <m:chr m:val="∑"/>
                  <m:limLoc m:val="undOvr"/>
                  <m:subHide m:val="1"/>
                  <m:supHide m:val="1"/>
                  <m:ctrlPr>
                    <w:rPr>
                      <w:rFonts w:ascii="Cambria Math" w:hAnsi="Cambria Math"/>
                      <w:i/>
                      <w:sz w:val="22"/>
                      <w:szCs w:val="22"/>
                    </w:rPr>
                  </m:ctrlPr>
                </m:naryPr>
                <m:sub/>
                <m:sup/>
                <m:e>
                  <m:r>
                    <w:rPr>
                      <w:rFonts w:ascii="Cambria Math" w:hAnsi="Cambria Math"/>
                      <w:sz w:val="22"/>
                      <w:szCs w:val="22"/>
                    </w:rPr>
                    <m:t>w</m:t>
                  </m:r>
                  <m:sSup>
                    <m:sSupPr>
                      <m:ctrlPr>
                        <w:rPr>
                          <w:rFonts w:ascii="Cambria Math" w:hAnsi="Cambria Math"/>
                          <w:i/>
                          <w:sz w:val="22"/>
                          <w:szCs w:val="22"/>
                        </w:rPr>
                      </m:ctrlPr>
                    </m:sSupPr>
                    <m:e>
                      <m:r>
                        <w:rPr>
                          <w:rFonts w:ascii="Cambria Math" w:hAnsi="Cambria Math"/>
                        </w:rPr>
                        <m:t>x</m:t>
                      </m:r>
                    </m:e>
                    <m:sup>
                      <m:r>
                        <w:rPr>
                          <w:rFonts w:ascii="Cambria Math" w:hAnsi="Cambria Math"/>
                        </w:rPr>
                        <m:t>2</m:t>
                      </m:r>
                    </m:sup>
                  </m:sSup>
                  <m:r>
                    <w:rPr>
                      <w:rFonts w:ascii="Cambria Math" w:hAnsi="Cambria Math"/>
                      <w:sz w:val="22"/>
                      <w:szCs w:val="22"/>
                    </w:rPr>
                    <m:t>-(</m:t>
                  </m:r>
                  <m:sSup>
                    <m:sSupPr>
                      <m:ctrlPr>
                        <w:rPr>
                          <w:rFonts w:ascii="Cambria Math" w:hAnsi="Cambria Math"/>
                          <w:i/>
                          <w:sz w:val="22"/>
                          <w:szCs w:val="22"/>
                        </w:rPr>
                      </m:ctrlPr>
                    </m:sSupPr>
                    <m:e>
                      <m:nary>
                        <m:naryPr>
                          <m:chr m:val="∑"/>
                          <m:limLoc m:val="undOvr"/>
                          <m:subHide m:val="1"/>
                          <m:supHide m:val="1"/>
                          <m:ctrlPr>
                            <w:rPr>
                              <w:rFonts w:ascii="Cambria Math" w:hAnsi="Cambria Math"/>
                              <w:i/>
                            </w:rPr>
                          </m:ctrlPr>
                        </m:naryPr>
                        <m:sub/>
                        <m:sup/>
                        <m:e>
                          <m:r>
                            <w:rPr>
                              <w:rFonts w:ascii="Cambria Math" w:hAnsi="Cambria Math"/>
                            </w:rPr>
                            <m:t>wx)</m:t>
                          </m:r>
                        </m:e>
                      </m:nary>
                    </m:e>
                    <m:sup>
                      <m:r>
                        <w:rPr>
                          <w:rFonts w:ascii="Cambria Math" w:hAnsi="Cambria Math"/>
                        </w:rPr>
                        <m:t>2</m:t>
                      </m:r>
                    </m:sup>
                  </m:sSup>
                </m:e>
              </m:nary>
            </m:den>
          </m:f>
        </m:oMath>
      </m:oMathPara>
    </w:p>
    <w:p w14:paraId="1E732C4B" w14:textId="77777777" w:rsidR="009B1752" w:rsidRPr="00431052" w:rsidRDefault="009B1752" w:rsidP="009B1752">
      <w:pPr>
        <w:tabs>
          <w:tab w:val="left" w:pos="2263"/>
        </w:tabs>
        <w:spacing w:before="240"/>
        <w:rPr>
          <w:sz w:val="22"/>
          <w:szCs w:val="22"/>
        </w:rPr>
      </w:pPr>
      <w:r w:rsidRPr="00431052">
        <w:rPr>
          <w:sz w:val="22"/>
          <w:szCs w:val="22"/>
        </w:rPr>
        <w:t>Where:</w:t>
      </w:r>
      <w:r w:rsidRPr="00431052">
        <w:rPr>
          <w:sz w:val="22"/>
          <w:szCs w:val="22"/>
        </w:rPr>
        <w:tab/>
      </w:r>
    </w:p>
    <w:p w14:paraId="4376ED52" w14:textId="77777777" w:rsidR="009B1752" w:rsidRPr="00431052" w:rsidRDefault="009B1752" w:rsidP="009B1752">
      <w:pPr>
        <w:spacing w:before="240"/>
        <w:rPr>
          <w:sz w:val="22"/>
          <w:szCs w:val="22"/>
        </w:rPr>
      </w:pPr>
      <w:r w:rsidRPr="00431052">
        <w:rPr>
          <w:sz w:val="22"/>
          <w:szCs w:val="22"/>
        </w:rPr>
        <w:t>w is the percentage of the population in the deprivation group</w:t>
      </w:r>
    </w:p>
    <w:p w14:paraId="447B45D8" w14:textId="77777777" w:rsidR="009B1752" w:rsidRPr="00431052" w:rsidRDefault="009B1752" w:rsidP="009B1752">
      <w:pPr>
        <w:spacing w:before="240"/>
        <w:rPr>
          <w:sz w:val="22"/>
          <w:szCs w:val="22"/>
        </w:rPr>
      </w:pPr>
      <w:r w:rsidRPr="00431052">
        <w:rPr>
          <w:sz w:val="22"/>
          <w:szCs w:val="22"/>
        </w:rPr>
        <w:t>x is the cumulative proportion of the population at the mid-point of the deprivation group</w:t>
      </w:r>
    </w:p>
    <w:p w14:paraId="2B8D0F8C" w14:textId="48334E41" w:rsidR="009B1752" w:rsidRDefault="009B1752" w:rsidP="009B1752">
      <w:r w:rsidRPr="00431052">
        <w:rPr>
          <w:sz w:val="22"/>
          <w:szCs w:val="22"/>
        </w:rPr>
        <w:t>y is the indicator value</w:t>
      </w:r>
    </w:p>
    <w:p w14:paraId="5024D037" w14:textId="19D2B58A" w:rsidR="009B1752" w:rsidRDefault="009B1752"/>
    <w:p w14:paraId="438B2621" w14:textId="4C42A644" w:rsidR="009B1752" w:rsidRDefault="009B1752"/>
    <w:p w14:paraId="33F15638" w14:textId="4C85822D" w:rsidR="009B1752" w:rsidRDefault="009B1752"/>
    <w:p w14:paraId="38DFDE67" w14:textId="7F63D807" w:rsidR="009B1752" w:rsidRDefault="009B1752"/>
    <w:p w14:paraId="346370BE" w14:textId="65E8E796" w:rsidR="009B1752" w:rsidRDefault="009B1752"/>
    <w:p w14:paraId="33095908" w14:textId="08A96532" w:rsidR="009B1752" w:rsidRDefault="009B1752"/>
    <w:p w14:paraId="659BE81C" w14:textId="292455D0" w:rsidR="009B1752" w:rsidRDefault="009B1752"/>
    <w:p w14:paraId="71FCC5A8" w14:textId="0937A79C" w:rsidR="009B1752" w:rsidRDefault="009B1752"/>
    <w:p w14:paraId="3725BC9A" w14:textId="77777777" w:rsidR="009B1752" w:rsidRDefault="009B1752"/>
    <w:p w14:paraId="5C344076" w14:textId="77287319" w:rsidR="009B1752" w:rsidRDefault="009B1752"/>
    <w:p w14:paraId="65D48CCD" w14:textId="17CCFD04" w:rsidR="009B1752" w:rsidRDefault="009B1752"/>
    <w:p w14:paraId="2E134298" w14:textId="318133F0" w:rsidR="009B1752" w:rsidRDefault="009B1752"/>
    <w:p w14:paraId="44B249F1" w14:textId="76FEFB53" w:rsidR="009B1752" w:rsidRDefault="009B1752"/>
    <w:p w14:paraId="2EFC970A" w14:textId="77777777" w:rsidR="009B1752" w:rsidRDefault="009B1752"/>
    <w:tbl>
      <w:tblPr>
        <w:tblStyle w:val="TableGrid1"/>
        <w:tblW w:w="12710" w:type="dxa"/>
        <w:tblInd w:w="108" w:type="dxa"/>
        <w:tblLayout w:type="fixed"/>
        <w:tblLook w:val="04A0" w:firstRow="1" w:lastRow="0" w:firstColumn="1" w:lastColumn="0" w:noHBand="0" w:noVBand="1"/>
      </w:tblPr>
      <w:tblGrid>
        <w:gridCol w:w="2079"/>
        <w:gridCol w:w="10631"/>
      </w:tblGrid>
      <w:tr w:rsidR="009B1752" w:rsidRPr="00431052" w14:paraId="6C367CB8" w14:textId="77777777" w:rsidTr="009B1752">
        <w:tc>
          <w:tcPr>
            <w:tcW w:w="2079" w:type="dxa"/>
          </w:tcPr>
          <w:p w14:paraId="6C367CB6" w14:textId="20D210E8" w:rsidR="009B1752" w:rsidRPr="00431052" w:rsidRDefault="009B1752" w:rsidP="00772A5C">
            <w:pPr>
              <w:spacing w:before="240"/>
              <w:ind w:left="34"/>
              <w:rPr>
                <w:b/>
                <w:sz w:val="22"/>
                <w:szCs w:val="22"/>
              </w:rPr>
            </w:pPr>
            <w:permStart w:id="1374841464" w:edGrp="everyone" w:colFirst="2" w:colLast="2"/>
            <w:r>
              <w:rPr>
                <w:b/>
                <w:sz w:val="22"/>
                <w:szCs w:val="22"/>
              </w:rPr>
              <w:t xml:space="preserve">4.4 </w:t>
            </w:r>
            <w:r w:rsidRPr="00431052">
              <w:rPr>
                <w:b/>
                <w:sz w:val="22"/>
                <w:szCs w:val="22"/>
              </w:rPr>
              <w:t>Risk adjustment or standardisation type and methodology</w:t>
            </w:r>
          </w:p>
        </w:tc>
        <w:tc>
          <w:tcPr>
            <w:tcW w:w="10631" w:type="dxa"/>
          </w:tcPr>
          <w:sdt>
            <w:sdtPr>
              <w:rPr>
                <w:b/>
                <w:sz w:val="22"/>
                <w:szCs w:val="22"/>
              </w:rPr>
              <w:alias w:val="Risk adjustment type"/>
              <w:tag w:val="Risk adjustment type"/>
              <w:id w:val="1214319314"/>
              <w:placeholder>
                <w:docPart w:val="EC4E9524124E4544991CA240A796F1D4"/>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6C367CB7" w14:textId="1919A68C" w:rsidR="009B1752" w:rsidRPr="00431052" w:rsidRDefault="009B1752" w:rsidP="00CC2574">
                <w:pPr>
                  <w:spacing w:before="240"/>
                  <w:rPr>
                    <w:sz w:val="22"/>
                    <w:szCs w:val="22"/>
                  </w:rPr>
                </w:pPr>
                <w:r w:rsidRPr="00431052">
                  <w:rPr>
                    <w:b/>
                    <w:sz w:val="22"/>
                    <w:szCs w:val="22"/>
                  </w:rPr>
                  <w:t>None</w:t>
                </w:r>
              </w:p>
            </w:sdtContent>
          </w:sdt>
        </w:tc>
      </w:tr>
      <w:tr w:rsidR="009B1752" w:rsidRPr="00431052" w14:paraId="6C367CBC" w14:textId="77777777" w:rsidTr="009B1752">
        <w:tc>
          <w:tcPr>
            <w:tcW w:w="2079" w:type="dxa"/>
          </w:tcPr>
          <w:p w14:paraId="31FC0C36" w14:textId="16779AE4" w:rsidR="009B1752" w:rsidRPr="00431052" w:rsidRDefault="009B1752" w:rsidP="002C446A">
            <w:pPr>
              <w:spacing w:before="240"/>
              <w:ind w:left="34"/>
              <w:rPr>
                <w:b/>
                <w:sz w:val="22"/>
                <w:szCs w:val="22"/>
              </w:rPr>
            </w:pPr>
            <w:permStart w:id="1451064730" w:edGrp="everyone" w:colFirst="2" w:colLast="2"/>
            <w:r>
              <w:rPr>
                <w:b/>
                <w:sz w:val="22"/>
                <w:szCs w:val="22"/>
              </w:rPr>
              <w:t xml:space="preserve">4.5 </w:t>
            </w:r>
            <w:r w:rsidRPr="00431052">
              <w:rPr>
                <w:b/>
                <w:sz w:val="22"/>
                <w:szCs w:val="22"/>
              </w:rPr>
              <w:t>J</w:t>
            </w:r>
            <w:permEnd w:id="1374841464"/>
            <w:r w:rsidRPr="00431052">
              <w:rPr>
                <w:b/>
                <w:sz w:val="22"/>
                <w:szCs w:val="22"/>
              </w:rPr>
              <w:t>ustification of risk adjustment type and variables</w:t>
            </w:r>
          </w:p>
          <w:p w14:paraId="6C367CBA" w14:textId="1308B97D" w:rsidR="009B1752" w:rsidRPr="00431052" w:rsidRDefault="009B1752" w:rsidP="002C446A">
            <w:pPr>
              <w:ind w:left="34"/>
              <w:rPr>
                <w:sz w:val="22"/>
                <w:szCs w:val="22"/>
              </w:rPr>
            </w:pPr>
            <w:r w:rsidRPr="00431052">
              <w:rPr>
                <w:sz w:val="22"/>
                <w:szCs w:val="22"/>
              </w:rPr>
              <w:t>or why risk adjustment is not used</w:t>
            </w:r>
          </w:p>
        </w:tc>
        <w:tc>
          <w:tcPr>
            <w:tcW w:w="10631" w:type="dxa"/>
          </w:tcPr>
          <w:p w14:paraId="6C367CBB" w14:textId="77777777" w:rsidR="009B1752" w:rsidRPr="00431052" w:rsidRDefault="009B1752" w:rsidP="00772A5C">
            <w:pPr>
              <w:spacing w:before="240"/>
              <w:rPr>
                <w:sz w:val="22"/>
                <w:szCs w:val="22"/>
              </w:rPr>
            </w:pPr>
          </w:p>
        </w:tc>
      </w:tr>
      <w:tr w:rsidR="009B1752" w:rsidRPr="00431052" w14:paraId="6C367CC8" w14:textId="77777777" w:rsidTr="009B1752">
        <w:tc>
          <w:tcPr>
            <w:tcW w:w="2079" w:type="dxa"/>
          </w:tcPr>
          <w:p w14:paraId="6C367CC6" w14:textId="4621F02A" w:rsidR="009B1752" w:rsidRPr="00431052" w:rsidRDefault="009B1752" w:rsidP="00772A5C">
            <w:pPr>
              <w:spacing w:before="240"/>
              <w:ind w:left="34"/>
              <w:rPr>
                <w:b/>
                <w:sz w:val="22"/>
                <w:szCs w:val="22"/>
              </w:rPr>
            </w:pPr>
            <w:permStart w:id="607138019" w:edGrp="everyone" w:colFirst="2" w:colLast="2"/>
            <w:r>
              <w:rPr>
                <w:b/>
                <w:sz w:val="22"/>
                <w:szCs w:val="22"/>
              </w:rPr>
              <w:t xml:space="preserve">4.6 </w:t>
            </w:r>
            <w:r w:rsidRPr="00431052">
              <w:rPr>
                <w:b/>
                <w:sz w:val="22"/>
                <w:szCs w:val="22"/>
              </w:rPr>
              <w:t>C</w:t>
            </w:r>
            <w:permEnd w:id="1451064730"/>
            <w:r w:rsidRPr="00431052">
              <w:rPr>
                <w:b/>
                <w:sz w:val="22"/>
                <w:szCs w:val="22"/>
              </w:rPr>
              <w:t>onfidence interval / control limit use and methodology</w:t>
            </w:r>
          </w:p>
        </w:tc>
        <w:tc>
          <w:tcPr>
            <w:tcW w:w="10631" w:type="dxa"/>
          </w:tcPr>
          <w:sdt>
            <w:sdtPr>
              <w:rPr>
                <w:sz w:val="22"/>
                <w:szCs w:val="22"/>
              </w:rPr>
              <w:alias w:val="Confidence Interval/control limit use"/>
              <w:tag w:val="Confidence Interval/control limit use"/>
              <w:id w:val="1287858884"/>
              <w:placeholder>
                <w:docPart w:val="4E380C4F3A0E43E3876FEC7EF8FA0687"/>
              </w:placeholder>
              <w:dropDownList>
                <w:listItem w:value="Choose an item."/>
                <w:listItem w:displayText="Confidence Intervals" w:value="Confidence Intervals"/>
                <w:listItem w:displayText="Control Limits" w:value="Control Limits"/>
                <w:listItem w:displayText="None" w:value="None"/>
              </w:dropDownList>
            </w:sdtPr>
            <w:sdtContent>
              <w:p w14:paraId="5C8CB2CA" w14:textId="3E3D9482" w:rsidR="009B1752" w:rsidRPr="00431052" w:rsidRDefault="009B1752" w:rsidP="00772A5C">
                <w:pPr>
                  <w:spacing w:before="240"/>
                  <w:rPr>
                    <w:sz w:val="22"/>
                    <w:szCs w:val="22"/>
                  </w:rPr>
                </w:pPr>
                <w:r w:rsidRPr="00431052">
                  <w:rPr>
                    <w:sz w:val="22"/>
                    <w:szCs w:val="22"/>
                  </w:rPr>
                  <w:t>Confidence Intervals</w:t>
                </w:r>
              </w:p>
            </w:sdtContent>
          </w:sdt>
          <w:p w14:paraId="281CAD95" w14:textId="696370F6" w:rsidR="009B1752" w:rsidRPr="00431052" w:rsidRDefault="009B1752" w:rsidP="00772A5C">
            <w:pPr>
              <w:spacing w:before="240"/>
            </w:pPr>
            <w:r w:rsidRPr="00431052">
              <w:rPr>
                <w:sz w:val="22"/>
                <w:szCs w:val="22"/>
              </w:rPr>
              <w:t>Confidence intervals for the slope index values are calculated by a simulation method (please see the attached excel sheet for an example based on life expectancies at birth with test populations).</w:t>
            </w:r>
            <w:r w:rsidRPr="00431052">
              <w:t xml:space="preserve"> </w:t>
            </w:r>
          </w:p>
          <w:p w14:paraId="2A2D79AB" w14:textId="5D3788EA" w:rsidR="009B1752" w:rsidRPr="00431052" w:rsidRDefault="009B1752" w:rsidP="00772A5C">
            <w:pPr>
              <w:spacing w:before="240"/>
              <w:rPr>
                <w:sz w:val="22"/>
                <w:szCs w:val="22"/>
              </w:rPr>
            </w:pPr>
            <w:r w:rsidRPr="00431052">
              <w:rPr>
                <w:rFonts w:eastAsia="Times New Roman"/>
              </w:rPr>
              <w:t xml:space="preserve">Document available on request by email to </w:t>
            </w:r>
            <w:hyperlink r:id="rId18" w:history="1">
              <w:r w:rsidRPr="00431052">
                <w:rPr>
                  <w:rStyle w:val="Hyperlink"/>
                  <w:rFonts w:ascii="Arial" w:eastAsia="Times New Roman" w:hAnsi="Arial"/>
                  <w:color w:val="auto"/>
                </w:rPr>
                <w:t>indicators@nice.org.uk</w:t>
              </w:r>
            </w:hyperlink>
          </w:p>
          <w:p w14:paraId="2F5C7B4F" w14:textId="6FF61105" w:rsidR="009B1752" w:rsidRPr="00431052" w:rsidRDefault="009B1752" w:rsidP="00772A5C">
            <w:pPr>
              <w:spacing w:before="240"/>
              <w:rPr>
                <w:sz w:val="22"/>
                <w:szCs w:val="22"/>
              </w:rPr>
            </w:pPr>
            <w:r w:rsidRPr="00431052">
              <w:rPr>
                <w:sz w:val="22"/>
                <w:szCs w:val="22"/>
              </w:rPr>
              <w:t>The slope index value is calculated many times, and the confidence intervals are selected from the resulting distribution of SII values. The life expectancies for each deprivation decile for each time period and gender are generated 1,000,000 times. SIIs are then calculated for each of these simulations giving 1,000,000 SII values for each time period and gender combination. These are ranked and the 25,000</w:t>
            </w:r>
            <w:r w:rsidRPr="00431052">
              <w:rPr>
                <w:sz w:val="22"/>
                <w:szCs w:val="22"/>
                <w:vertAlign w:val="superscript"/>
              </w:rPr>
              <w:t>th</w:t>
            </w:r>
            <w:r w:rsidRPr="00431052">
              <w:rPr>
                <w:sz w:val="22"/>
                <w:szCs w:val="22"/>
              </w:rPr>
              <w:t xml:space="preserve"> and 975,000</w:t>
            </w:r>
            <w:r w:rsidRPr="00431052">
              <w:rPr>
                <w:sz w:val="22"/>
                <w:szCs w:val="22"/>
                <w:vertAlign w:val="superscript"/>
              </w:rPr>
              <w:t>th</w:t>
            </w:r>
            <w:r w:rsidRPr="00431052">
              <w:rPr>
                <w:sz w:val="22"/>
                <w:szCs w:val="22"/>
              </w:rPr>
              <w:t xml:space="preserve"> values are selected as the 95% lower and upper confidence intervals for the SII respectively.   </w:t>
            </w:r>
          </w:p>
          <w:p w14:paraId="32404DB8" w14:textId="1CA1E6AF" w:rsidR="009B1752" w:rsidRPr="00431052" w:rsidRDefault="009B1752" w:rsidP="00772A5C">
            <w:pPr>
              <w:spacing w:before="240"/>
              <w:rPr>
                <w:sz w:val="22"/>
                <w:szCs w:val="22"/>
              </w:rPr>
            </w:pPr>
            <w:r w:rsidRPr="00431052">
              <w:rPr>
                <w:sz w:val="22"/>
                <w:szCs w:val="22"/>
              </w:rPr>
              <w:t xml:space="preserve">In order to generate the life expectancies on which the SII are based, the standard error of each life expectancy indicator value is calculated as follows:  </w:t>
            </w:r>
          </w:p>
          <w:p w14:paraId="45381A1D" w14:textId="4E717B64" w:rsidR="009B1752" w:rsidRPr="00431052" w:rsidRDefault="009B1752" w:rsidP="00772A5C">
            <w:pPr>
              <w:spacing w:before="240"/>
              <w:rPr>
                <w:sz w:val="22"/>
                <w:szCs w:val="22"/>
              </w:rPr>
            </w:pPr>
            <m:oMathPara>
              <m:oMath>
                <m:r>
                  <w:rPr>
                    <w:rFonts w:ascii="Cambria Math" w:hAnsi="Cambria Math"/>
                    <w:sz w:val="22"/>
                    <w:szCs w:val="22"/>
                  </w:rPr>
                  <m:t>SE=</m:t>
                </m:r>
                <m:f>
                  <m:fPr>
                    <m:ctrlPr>
                      <w:rPr>
                        <w:rFonts w:ascii="Cambria Math" w:hAnsi="Cambria Math"/>
                        <w:i/>
                        <w:sz w:val="22"/>
                        <w:szCs w:val="22"/>
                      </w:rPr>
                    </m:ctrlPr>
                  </m:fPr>
                  <m:num>
                    <m:r>
                      <w:rPr>
                        <w:rFonts w:ascii="Cambria Math" w:hAnsi="Cambria Math"/>
                        <w:sz w:val="22"/>
                        <w:szCs w:val="22"/>
                      </w:rPr>
                      <m:t>UCI-LCI</m:t>
                    </m:r>
                  </m:num>
                  <m:den>
                    <m:f>
                      <m:fPr>
                        <m:ctrlPr>
                          <w:rPr>
                            <w:rFonts w:ascii="Cambria Math" w:hAnsi="Cambria Math"/>
                            <w:i/>
                            <w:sz w:val="22"/>
                            <w:szCs w:val="22"/>
                          </w:rPr>
                        </m:ctrlPr>
                      </m:fPr>
                      <m:num>
                        <m:r>
                          <w:rPr>
                            <w:rFonts w:ascii="Cambria Math" w:hAnsi="Cambria Math"/>
                            <w:sz w:val="22"/>
                            <w:szCs w:val="22"/>
                          </w:rPr>
                          <m:t>z</m:t>
                        </m:r>
                      </m:num>
                      <m:den>
                        <m:r>
                          <w:rPr>
                            <w:rFonts w:ascii="Cambria Math" w:hAnsi="Cambria Math"/>
                            <w:sz w:val="22"/>
                            <w:szCs w:val="22"/>
                          </w:rPr>
                          <m:t>2</m:t>
                        </m:r>
                      </m:den>
                    </m:f>
                  </m:den>
                </m:f>
              </m:oMath>
            </m:oMathPara>
          </w:p>
          <w:p w14:paraId="1021C9DA" w14:textId="77777777" w:rsidR="009B1752" w:rsidRPr="00431052" w:rsidRDefault="009B1752" w:rsidP="00772A5C">
            <w:pPr>
              <w:spacing w:before="240"/>
              <w:rPr>
                <w:sz w:val="22"/>
                <w:szCs w:val="22"/>
              </w:rPr>
            </w:pPr>
          </w:p>
          <w:p w14:paraId="72978517" w14:textId="7FC3A870" w:rsidR="009B1752" w:rsidRPr="00431052" w:rsidRDefault="009B1752" w:rsidP="00772A5C">
            <w:pPr>
              <w:spacing w:before="240"/>
              <w:rPr>
                <w:sz w:val="22"/>
                <w:szCs w:val="22"/>
              </w:rPr>
            </w:pPr>
            <w:r w:rsidRPr="00431052">
              <w:rPr>
                <w:sz w:val="22"/>
                <w:szCs w:val="22"/>
              </w:rPr>
              <w:t>Where</w:t>
            </w:r>
          </w:p>
          <w:p w14:paraId="3653FD1C" w14:textId="4F537950" w:rsidR="009B1752" w:rsidRPr="00431052" w:rsidRDefault="009B1752" w:rsidP="00772A5C">
            <w:pPr>
              <w:spacing w:before="240"/>
              <w:rPr>
                <w:sz w:val="22"/>
                <w:szCs w:val="22"/>
              </w:rPr>
            </w:pPr>
            <w:r w:rsidRPr="00431052">
              <w:rPr>
                <w:sz w:val="22"/>
                <w:szCs w:val="22"/>
              </w:rPr>
              <w:t>UCI and LCI are the 95% upper and lower confidence intervals of the life expectancy indicator value respectively</w:t>
            </w:r>
          </w:p>
          <w:p w14:paraId="114C05B2" w14:textId="4DF7D857" w:rsidR="009B1752" w:rsidRPr="00431052" w:rsidRDefault="009B1752" w:rsidP="00772A5C">
            <w:pPr>
              <w:spacing w:before="240"/>
              <w:rPr>
                <w:sz w:val="22"/>
                <w:szCs w:val="22"/>
              </w:rPr>
            </w:pPr>
            <w:r w:rsidRPr="00431052">
              <w:rPr>
                <w:sz w:val="22"/>
                <w:szCs w:val="22"/>
              </w:rPr>
              <w:t xml:space="preserve">z is the 97.5 percentile point of the normal distributionA random number generator is then used to generate 1,000,000 random values from a normal distribution with mean 0 and standard deviation 1. These values </w:t>
            </w:r>
            <w:r w:rsidRPr="00431052">
              <w:rPr>
                <w:i/>
                <w:sz w:val="22"/>
                <w:szCs w:val="22"/>
              </w:rPr>
              <w:t xml:space="preserve">b </w:t>
            </w:r>
            <w:r w:rsidRPr="00431052">
              <w:rPr>
                <w:sz w:val="22"/>
                <w:szCs w:val="22"/>
              </w:rPr>
              <w:t xml:space="preserve">are then used to calculate 1,000,000 life expectancies </w:t>
            </w:r>
            <w:r w:rsidRPr="00431052">
              <w:rPr>
                <w:i/>
                <w:sz w:val="22"/>
                <w:szCs w:val="22"/>
              </w:rPr>
              <w:t>LEsim</w:t>
            </w:r>
            <w:r w:rsidRPr="00431052">
              <w:rPr>
                <w:sz w:val="22"/>
                <w:szCs w:val="22"/>
              </w:rPr>
              <w:t xml:space="preserve"> for each deprivation decile as follows:</w:t>
            </w:r>
          </w:p>
          <w:p w14:paraId="2B943923" w14:textId="2919E786" w:rsidR="009B1752" w:rsidRPr="00431052" w:rsidRDefault="009B1752" w:rsidP="00772A5C">
            <w:pPr>
              <w:spacing w:before="240"/>
              <w:rPr>
                <w:sz w:val="22"/>
                <w:szCs w:val="22"/>
              </w:rPr>
            </w:pPr>
            <m:oMathPara>
              <m:oMath>
                <m:sSub>
                  <m:sSubPr>
                    <m:ctrlPr>
                      <w:rPr>
                        <w:rFonts w:ascii="Cambria Math" w:hAnsi="Cambria Math"/>
                        <w:i/>
                        <w:sz w:val="22"/>
                        <w:szCs w:val="22"/>
                      </w:rPr>
                    </m:ctrlPr>
                  </m:sSubPr>
                  <m:e>
                    <m:r>
                      <w:rPr>
                        <w:rFonts w:ascii="Cambria Math" w:hAnsi="Cambria Math"/>
                        <w:sz w:val="22"/>
                        <w:szCs w:val="22"/>
                      </w:rPr>
                      <m:t>LEsim</m:t>
                    </m:r>
                  </m:e>
                  <m:sub>
                    <m:r>
                      <w:rPr>
                        <w:rFonts w:ascii="Cambria Math" w:hAnsi="Cambria Math"/>
                        <w:sz w:val="22"/>
                        <w:szCs w:val="22"/>
                      </w:rPr>
                      <m:t>1…1,000,000</m:t>
                    </m:r>
                  </m:sub>
                </m:sSub>
                <m:r>
                  <w:rPr>
                    <w:rFonts w:ascii="Cambria Math" w:hAnsi="Cambria Math"/>
                    <w:sz w:val="22"/>
                    <w:szCs w:val="22"/>
                  </w:rPr>
                  <m:t>=LE+SE*</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1...1,000,000</m:t>
                    </m:r>
                  </m:sub>
                </m:sSub>
              </m:oMath>
            </m:oMathPara>
          </w:p>
          <w:p w14:paraId="1217163D" w14:textId="7505847C" w:rsidR="009B1752" w:rsidRPr="00431052" w:rsidRDefault="009B1752" w:rsidP="00772A5C">
            <w:pPr>
              <w:spacing w:before="240"/>
              <w:rPr>
                <w:sz w:val="22"/>
                <w:szCs w:val="22"/>
              </w:rPr>
            </w:pPr>
            <w:r w:rsidRPr="00431052">
              <w:rPr>
                <w:sz w:val="22"/>
                <w:szCs w:val="22"/>
              </w:rPr>
              <w:t>Where</w:t>
            </w:r>
          </w:p>
          <w:p w14:paraId="6FB88008" w14:textId="167DE0B1" w:rsidR="009B1752" w:rsidRPr="00431052" w:rsidRDefault="009B1752" w:rsidP="00772A5C">
            <w:pPr>
              <w:spacing w:before="240"/>
              <w:rPr>
                <w:sz w:val="22"/>
                <w:szCs w:val="22"/>
              </w:rPr>
            </w:pPr>
            <w:r w:rsidRPr="00431052">
              <w:rPr>
                <w:sz w:val="22"/>
                <w:szCs w:val="22"/>
              </w:rPr>
              <w:t>LE is the life expectancy indicator value for the respective deprivation decile</w:t>
            </w:r>
          </w:p>
          <w:p w14:paraId="009D3692" w14:textId="77777777" w:rsidR="009B1752" w:rsidRPr="00431052" w:rsidRDefault="009B1752" w:rsidP="00772A5C">
            <w:pPr>
              <w:spacing w:before="240"/>
              <w:rPr>
                <w:sz w:val="22"/>
                <w:szCs w:val="22"/>
              </w:rPr>
            </w:pPr>
            <w:r w:rsidRPr="00431052">
              <w:rPr>
                <w:sz w:val="22"/>
                <w:szCs w:val="22"/>
              </w:rPr>
              <w:t>SE is the standard error for the life expectancy value</w:t>
            </w:r>
          </w:p>
          <w:p w14:paraId="5B573551" w14:textId="3600CAC2" w:rsidR="009B1752" w:rsidRPr="00431052" w:rsidRDefault="009B1752" w:rsidP="00772A5C">
            <w:pPr>
              <w:spacing w:before="240"/>
              <w:rPr>
                <w:sz w:val="22"/>
                <w:szCs w:val="22"/>
              </w:rPr>
            </w:pPr>
            <w:r w:rsidRPr="00431052">
              <w:rPr>
                <w:sz w:val="22"/>
                <w:szCs w:val="22"/>
              </w:rPr>
              <w:t>An SII is then calculated for each life expectancy set using the method described in section 4.3</w:t>
            </w:r>
          </w:p>
          <w:p w14:paraId="6C367CC7" w14:textId="3A08DA57" w:rsidR="009B1752" w:rsidRPr="00431052" w:rsidRDefault="009B1752" w:rsidP="00404D4E">
            <w:pPr>
              <w:spacing w:before="240"/>
              <w:rPr>
                <w:i/>
                <w:sz w:val="22"/>
                <w:szCs w:val="22"/>
              </w:rPr>
            </w:pPr>
          </w:p>
        </w:tc>
      </w:tr>
      <w:tr w:rsidR="009B1752" w:rsidRPr="00431052" w14:paraId="6C367CCC" w14:textId="77777777" w:rsidTr="009B1752">
        <w:tc>
          <w:tcPr>
            <w:tcW w:w="2079" w:type="dxa"/>
          </w:tcPr>
          <w:p w14:paraId="6C367CCA" w14:textId="2EC1C7EE" w:rsidR="009B1752" w:rsidRPr="00431052" w:rsidRDefault="009B1752" w:rsidP="00772A5C">
            <w:pPr>
              <w:spacing w:before="240"/>
              <w:ind w:left="34"/>
              <w:rPr>
                <w:b/>
                <w:sz w:val="22"/>
                <w:szCs w:val="22"/>
              </w:rPr>
            </w:pPr>
            <w:permStart w:id="734557973" w:edGrp="everyone" w:colFirst="1" w:colLast="1"/>
            <w:r>
              <w:rPr>
                <w:b/>
                <w:sz w:val="22"/>
                <w:szCs w:val="22"/>
              </w:rPr>
              <w:t xml:space="preserve">4.7 </w:t>
            </w:r>
            <w:r w:rsidRPr="00431052">
              <w:rPr>
                <w:b/>
                <w:sz w:val="22"/>
                <w:szCs w:val="22"/>
              </w:rPr>
              <w:t>Justification of confidence intervals / control limits used</w:t>
            </w:r>
          </w:p>
        </w:tc>
        <w:permEnd w:id="607138019"/>
        <w:tc>
          <w:tcPr>
            <w:tcW w:w="10631" w:type="dxa"/>
          </w:tcPr>
          <w:p w14:paraId="1B12A19F" w14:textId="77777777" w:rsidR="009B1752" w:rsidRPr="00431052" w:rsidRDefault="009B1752" w:rsidP="00924D42">
            <w:pPr>
              <w:spacing w:before="240"/>
              <w:rPr>
                <w:sz w:val="22"/>
                <w:szCs w:val="22"/>
              </w:rPr>
            </w:pPr>
            <w:r w:rsidRPr="00431052">
              <w:rPr>
                <w:sz w:val="22"/>
                <w:szCs w:val="22"/>
              </w:rPr>
              <w:t xml:space="preserve">The previous method for calculating SII confidence intervals involved multiplying the standard error of the SII by values from the t-distribution. This method produces relatively wide confidence intervals because the relationship between life expectancy and deprivation is only approximately linear. This means that the previous method produces a slight model mismatch as the residual between the regression line and the actual life expectancy values contributes to the confidence interval for each of the ten deprivation decile points. So the previous method for confidence intervals measured the variability of the SII and the degree of non-linearity of the model. </w:t>
            </w:r>
          </w:p>
          <w:p w14:paraId="6C367CCB" w14:textId="44A8AE96" w:rsidR="009B1752" w:rsidRPr="00431052" w:rsidRDefault="009B1752" w:rsidP="00924D42">
            <w:pPr>
              <w:spacing w:before="240"/>
              <w:rPr>
                <w:sz w:val="22"/>
                <w:szCs w:val="22"/>
              </w:rPr>
            </w:pPr>
            <w:r w:rsidRPr="00431052">
              <w:rPr>
                <w:sz w:val="22"/>
                <w:szCs w:val="22"/>
              </w:rPr>
              <w:t xml:space="preserve">The new simulation method has been developed by Public Health England (PHE) as a solution to this. The method minimises the model mismatch as the confidence intervals are a function of the size of the pool of values drawn. A larger pool yields more precise confidence intervals. 1,000,000 simulations have been tested and this number gives consistent results across several runs. </w:t>
            </w:r>
          </w:p>
        </w:tc>
      </w:tr>
      <w:permEnd w:id="734557973"/>
    </w:tbl>
    <w:p w14:paraId="675EC760" w14:textId="77777777" w:rsidR="009B1752" w:rsidRDefault="009B1752"/>
    <w:p w14:paraId="68343628" w14:textId="54D66731" w:rsidR="009B1752" w:rsidRDefault="009B1752">
      <w:r>
        <w:br w:type="column"/>
        <w:t>Section 5 Presentation and Interpretation</w:t>
      </w:r>
    </w:p>
    <w:p w14:paraId="4DE171F3" w14:textId="2AA071A3" w:rsidR="009B1752" w:rsidRDefault="009B1752">
      <w:r>
        <w:t>Presentation</w:t>
      </w:r>
    </w:p>
    <w:tbl>
      <w:tblPr>
        <w:tblStyle w:val="TableGrid1"/>
        <w:tblW w:w="13183" w:type="dxa"/>
        <w:tblInd w:w="108" w:type="dxa"/>
        <w:tblLayout w:type="fixed"/>
        <w:tblLook w:val="04A0" w:firstRow="1" w:lastRow="0" w:firstColumn="1" w:lastColumn="0" w:noHBand="0" w:noVBand="1"/>
      </w:tblPr>
      <w:tblGrid>
        <w:gridCol w:w="2552"/>
        <w:gridCol w:w="10631"/>
      </w:tblGrid>
      <w:tr w:rsidR="009B1752" w:rsidRPr="00431052" w14:paraId="55CFEE27" w14:textId="77777777" w:rsidTr="009B1752">
        <w:tc>
          <w:tcPr>
            <w:tcW w:w="2552" w:type="dxa"/>
          </w:tcPr>
          <w:p w14:paraId="6E7AAE7F" w14:textId="744F30F3" w:rsidR="009B1752" w:rsidRPr="00431052" w:rsidRDefault="009B1752" w:rsidP="00193831">
            <w:pPr>
              <w:spacing w:before="240"/>
              <w:ind w:left="34"/>
              <w:rPr>
                <w:b/>
                <w:sz w:val="22"/>
                <w:szCs w:val="22"/>
              </w:rPr>
            </w:pPr>
            <w:permStart w:id="2014075562" w:edGrp="everyone" w:colFirst="2" w:colLast="2"/>
            <w:permStart w:id="1293574011" w:edGrp="everyone" w:colFirst="1" w:colLast="1"/>
            <w:r>
              <w:rPr>
                <w:b/>
                <w:sz w:val="22"/>
                <w:szCs w:val="22"/>
              </w:rPr>
              <w:t xml:space="preserve">5.1 </w:t>
            </w:r>
            <w:r w:rsidRPr="00431052">
              <w:rPr>
                <w:b/>
                <w:sz w:val="22"/>
                <w:szCs w:val="22"/>
              </w:rPr>
              <w:t>Presentation of indicator</w:t>
            </w:r>
          </w:p>
        </w:tc>
        <w:tc>
          <w:tcPr>
            <w:tcW w:w="10631" w:type="dxa"/>
          </w:tcPr>
          <w:p w14:paraId="2260059D" w14:textId="77777777" w:rsidR="009B1752" w:rsidRPr="00431052" w:rsidRDefault="009B1752" w:rsidP="00CC2574">
            <w:pPr>
              <w:spacing w:before="240"/>
              <w:rPr>
                <w:sz w:val="22"/>
                <w:szCs w:val="22"/>
              </w:rPr>
            </w:pPr>
            <w:r w:rsidRPr="00431052">
              <w:rPr>
                <w:sz w:val="22"/>
                <w:szCs w:val="22"/>
              </w:rPr>
              <w:t>The health inequality measures will be presented alongside the England level indicator value for the year.</w:t>
            </w:r>
          </w:p>
          <w:p w14:paraId="58C41F71" w14:textId="77777777" w:rsidR="009B1752" w:rsidRPr="00431052" w:rsidRDefault="009B1752" w:rsidP="00CC2574">
            <w:pPr>
              <w:spacing w:before="240"/>
              <w:rPr>
                <w:sz w:val="22"/>
                <w:szCs w:val="22"/>
              </w:rPr>
            </w:pPr>
            <w:r w:rsidRPr="00431052">
              <w:rPr>
                <w:sz w:val="22"/>
                <w:szCs w:val="22"/>
              </w:rPr>
              <w:t>There will be columns for:</w:t>
            </w:r>
          </w:p>
          <w:p w14:paraId="76F70FDC" w14:textId="77777777" w:rsidR="009B1752" w:rsidRPr="00431052" w:rsidRDefault="009B1752" w:rsidP="00CC2574">
            <w:pPr>
              <w:spacing w:after="0"/>
              <w:rPr>
                <w:sz w:val="22"/>
                <w:szCs w:val="22"/>
              </w:rPr>
            </w:pPr>
            <w:r w:rsidRPr="00431052">
              <w:rPr>
                <w:sz w:val="22"/>
                <w:szCs w:val="22"/>
              </w:rPr>
              <w:t>Slope index of inequality.</w:t>
            </w:r>
          </w:p>
          <w:p w14:paraId="7F2854A4" w14:textId="77777777" w:rsidR="009B1752" w:rsidRPr="00431052" w:rsidRDefault="009B1752" w:rsidP="00CC2574">
            <w:pPr>
              <w:spacing w:after="0"/>
              <w:rPr>
                <w:sz w:val="22"/>
                <w:szCs w:val="22"/>
              </w:rPr>
            </w:pPr>
            <w:r w:rsidRPr="00431052">
              <w:rPr>
                <w:sz w:val="22"/>
                <w:szCs w:val="22"/>
              </w:rPr>
              <w:t xml:space="preserve"> Lower CI.</w:t>
            </w:r>
          </w:p>
          <w:p w14:paraId="4944232B" w14:textId="77777777" w:rsidR="009B1752" w:rsidRPr="00431052" w:rsidRDefault="009B1752" w:rsidP="00CC2574">
            <w:pPr>
              <w:spacing w:after="0"/>
              <w:rPr>
                <w:sz w:val="22"/>
                <w:szCs w:val="22"/>
              </w:rPr>
            </w:pPr>
            <w:r w:rsidRPr="00431052">
              <w:rPr>
                <w:sz w:val="22"/>
                <w:szCs w:val="22"/>
              </w:rPr>
              <w:t xml:space="preserve"> Upper CI.</w:t>
            </w:r>
          </w:p>
          <w:p w14:paraId="560611BF" w14:textId="77777777" w:rsidR="009B1752" w:rsidRPr="00431052" w:rsidRDefault="009B1752" w:rsidP="00CC2574">
            <w:pPr>
              <w:spacing w:after="0"/>
              <w:rPr>
                <w:sz w:val="22"/>
                <w:szCs w:val="22"/>
              </w:rPr>
            </w:pPr>
            <w:r w:rsidRPr="00431052">
              <w:rPr>
                <w:sz w:val="22"/>
                <w:szCs w:val="22"/>
              </w:rPr>
              <w:t>Relative index of inequality.</w:t>
            </w:r>
          </w:p>
          <w:p w14:paraId="41E3A028" w14:textId="77777777" w:rsidR="009B1752" w:rsidRPr="00431052" w:rsidRDefault="009B1752" w:rsidP="00CC2574">
            <w:pPr>
              <w:spacing w:after="0"/>
              <w:rPr>
                <w:sz w:val="22"/>
                <w:szCs w:val="22"/>
              </w:rPr>
            </w:pPr>
            <w:r w:rsidRPr="00431052">
              <w:rPr>
                <w:sz w:val="22"/>
                <w:szCs w:val="22"/>
              </w:rPr>
              <w:t xml:space="preserve"> Lower CI</w:t>
            </w:r>
          </w:p>
          <w:p w14:paraId="73852456" w14:textId="5483FB37" w:rsidR="009B1752" w:rsidRPr="00431052" w:rsidRDefault="009B1752" w:rsidP="00CC2574">
            <w:pPr>
              <w:spacing w:before="240"/>
              <w:rPr>
                <w:sz w:val="22"/>
                <w:szCs w:val="22"/>
              </w:rPr>
            </w:pPr>
            <w:r w:rsidRPr="00431052">
              <w:rPr>
                <w:sz w:val="22"/>
                <w:szCs w:val="22"/>
              </w:rPr>
              <w:t xml:space="preserve"> Upper CI</w:t>
            </w:r>
          </w:p>
        </w:tc>
      </w:tr>
      <w:permEnd w:id="1293574011"/>
      <w:tr w:rsidR="009B1752" w:rsidRPr="00431052" w14:paraId="6C367CD3" w14:textId="77777777" w:rsidTr="009B1752">
        <w:tc>
          <w:tcPr>
            <w:tcW w:w="2552" w:type="dxa"/>
          </w:tcPr>
          <w:p w14:paraId="24F03233" w14:textId="5BC496B7" w:rsidR="009B1752" w:rsidRPr="00431052" w:rsidRDefault="009B1752" w:rsidP="00772A5C">
            <w:pPr>
              <w:spacing w:before="240"/>
              <w:ind w:left="34"/>
              <w:rPr>
                <w:b/>
                <w:sz w:val="22"/>
                <w:szCs w:val="22"/>
              </w:rPr>
            </w:pPr>
            <w:r>
              <w:rPr>
                <w:b/>
                <w:sz w:val="22"/>
                <w:szCs w:val="22"/>
              </w:rPr>
              <w:t xml:space="preserve">5.2 </w:t>
            </w:r>
            <w:r w:rsidRPr="00431052">
              <w:rPr>
                <w:b/>
                <w:sz w:val="22"/>
                <w:szCs w:val="22"/>
              </w:rPr>
              <w:t>Contextual information provided alongside indicator</w:t>
            </w:r>
          </w:p>
          <w:p w14:paraId="6C367CD1" w14:textId="7A29AEFA" w:rsidR="009B1752" w:rsidRPr="00431052" w:rsidRDefault="009B1752" w:rsidP="00E60E30">
            <w:pPr>
              <w:ind w:left="34"/>
              <w:rPr>
                <w:sz w:val="22"/>
                <w:szCs w:val="22"/>
              </w:rPr>
            </w:pPr>
            <w:r w:rsidRPr="00431052">
              <w:rPr>
                <w:sz w:val="22"/>
                <w:szCs w:val="22"/>
              </w:rPr>
              <w:t>with justification</w:t>
            </w:r>
          </w:p>
        </w:tc>
        <w:tc>
          <w:tcPr>
            <w:tcW w:w="10631" w:type="dxa"/>
          </w:tcPr>
          <w:p w14:paraId="7BF7D2F8" w14:textId="77777777" w:rsidR="009B1752" w:rsidRPr="00431052" w:rsidRDefault="009B1752" w:rsidP="00CC2574">
            <w:pPr>
              <w:spacing w:before="240"/>
              <w:rPr>
                <w:sz w:val="22"/>
                <w:szCs w:val="22"/>
              </w:rPr>
            </w:pPr>
            <w:r w:rsidRPr="00431052">
              <w:rPr>
                <w:sz w:val="22"/>
                <w:szCs w:val="22"/>
              </w:rPr>
              <w:t>The inequality measures are themselves additional intelligence relating to the indicator values presented. The inequality measures summarise the extent of inequality, the individual indicator values for each deprivation decile are presented in the indicator files.</w:t>
            </w:r>
          </w:p>
          <w:p w14:paraId="6D65677B" w14:textId="77777777" w:rsidR="009B1752" w:rsidRPr="00431052" w:rsidRDefault="009B1752" w:rsidP="00CC2574">
            <w:pPr>
              <w:spacing w:before="240"/>
              <w:rPr>
                <w:sz w:val="22"/>
                <w:szCs w:val="22"/>
              </w:rPr>
            </w:pPr>
            <w:r w:rsidRPr="00431052">
              <w:rPr>
                <w:sz w:val="22"/>
                <w:szCs w:val="22"/>
              </w:rPr>
              <w:t>In addition to the SII describing the extent of health inequality in relation to deprivation, the Relative Index of Inequality (RII) will be presented as a contextual measure.</w:t>
            </w:r>
          </w:p>
          <w:p w14:paraId="663FCF65" w14:textId="77777777" w:rsidR="009B1752" w:rsidRPr="00431052" w:rsidRDefault="009B1752" w:rsidP="00CC2574">
            <w:pPr>
              <w:spacing w:before="240"/>
              <w:rPr>
                <w:sz w:val="22"/>
                <w:szCs w:val="22"/>
              </w:rPr>
            </w:pPr>
            <w:r w:rsidRPr="00431052">
              <w:rPr>
                <w:sz w:val="22"/>
                <w:szCs w:val="22"/>
              </w:rPr>
              <w:t xml:space="preserve">The RII provides a different perspective on the level of health inequality by considering how the level of health inequality compares with the overall level of the indicator. </w:t>
            </w:r>
          </w:p>
          <w:p w14:paraId="39043D51" w14:textId="7CEA86B0" w:rsidR="009B1752" w:rsidRPr="00431052" w:rsidRDefault="009B1752" w:rsidP="00CC2574">
            <w:pPr>
              <w:spacing w:before="240"/>
              <w:rPr>
                <w:sz w:val="22"/>
                <w:szCs w:val="22"/>
              </w:rPr>
            </w:pPr>
            <w:r w:rsidRPr="00431052">
              <w:rPr>
                <w:sz w:val="22"/>
                <w:szCs w:val="22"/>
              </w:rPr>
              <w:t>The Marmot Review</w:t>
            </w:r>
            <w:r w:rsidRPr="00431052">
              <w:rPr>
                <w:rStyle w:val="FootnoteReference"/>
                <w:sz w:val="22"/>
                <w:szCs w:val="22"/>
              </w:rPr>
              <w:footnoteReference w:id="10"/>
            </w:r>
            <w:r w:rsidRPr="00431052">
              <w:rPr>
                <w:sz w:val="22"/>
                <w:szCs w:val="22"/>
              </w:rPr>
              <w:t xml:space="preserve"> lists both the SII and RII as potential measures of health inequality, and advocates the use of more than one indicator. “Using only a relative and absolute index on its own tends to create perverse incentives for those tasked with implementation... Therefore, both need to be used in measuring progress, using separate metrics for each.” (section 3.7.3);  and “To avoid misleading conclusions and creating perverse incentives, indicators need to reflect both absolute and relative reductions made to inequalities, based on the measures described in this report.”</w:t>
            </w:r>
          </w:p>
          <w:p w14:paraId="6C367CD2" w14:textId="602B60A5" w:rsidR="009B1752" w:rsidRPr="00431052" w:rsidRDefault="009B1752" w:rsidP="007B5BEC">
            <w:pPr>
              <w:spacing w:before="240"/>
              <w:rPr>
                <w:sz w:val="22"/>
                <w:szCs w:val="22"/>
              </w:rPr>
            </w:pPr>
            <w:r w:rsidRPr="00431052">
              <w:rPr>
                <w:sz w:val="22"/>
                <w:szCs w:val="22"/>
              </w:rPr>
              <w:t xml:space="preserve"> </w:t>
            </w:r>
          </w:p>
        </w:tc>
      </w:tr>
      <w:permEnd w:id="2014075562"/>
    </w:tbl>
    <w:p w14:paraId="4C024E3B" w14:textId="0F7FFE36" w:rsidR="009B1752" w:rsidRDefault="009B1752"/>
    <w:p w14:paraId="7B278B62" w14:textId="77777777" w:rsidR="009B1752" w:rsidRPr="00431052" w:rsidRDefault="009B1752" w:rsidP="009B1752">
      <w:pPr>
        <w:spacing w:before="240"/>
        <w:rPr>
          <w:sz w:val="22"/>
          <w:szCs w:val="22"/>
        </w:rPr>
      </w:pPr>
      <w:r w:rsidRPr="00431052">
        <w:rPr>
          <w:sz w:val="22"/>
          <w:szCs w:val="22"/>
        </w:rPr>
        <w:t>The table below shows the SII and RII for indicator 1b.</w:t>
      </w:r>
    </w:p>
    <w:tbl>
      <w:tblPr>
        <w:tblStyle w:val="TableGrid"/>
        <w:tblW w:w="8633" w:type="dxa"/>
        <w:tblLayout w:type="fixed"/>
        <w:tblLook w:val="04A0" w:firstRow="1" w:lastRow="0" w:firstColumn="1" w:lastColumn="0" w:noHBand="0" w:noVBand="1"/>
      </w:tblPr>
      <w:tblGrid>
        <w:gridCol w:w="1022"/>
        <w:gridCol w:w="963"/>
        <w:gridCol w:w="831"/>
        <w:gridCol w:w="831"/>
        <w:gridCol w:w="831"/>
        <w:gridCol w:w="831"/>
        <w:gridCol w:w="831"/>
        <w:gridCol w:w="831"/>
        <w:gridCol w:w="831"/>
        <w:gridCol w:w="831"/>
      </w:tblGrid>
      <w:tr w:rsidR="009B1752" w:rsidRPr="00431052" w14:paraId="3E41EB87" w14:textId="77777777" w:rsidTr="00201CDA">
        <w:trPr>
          <w:trHeight w:val="297"/>
        </w:trPr>
        <w:tc>
          <w:tcPr>
            <w:tcW w:w="1022" w:type="dxa"/>
            <w:noWrap/>
            <w:hideMark/>
          </w:tcPr>
          <w:p w14:paraId="371B1F98"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Period</w:t>
            </w:r>
          </w:p>
        </w:tc>
        <w:tc>
          <w:tcPr>
            <w:tcW w:w="963" w:type="dxa"/>
            <w:noWrap/>
            <w:hideMark/>
          </w:tcPr>
          <w:p w14:paraId="2697E0C3" w14:textId="77777777" w:rsidR="009B1752" w:rsidRPr="00431052" w:rsidRDefault="009B1752" w:rsidP="00201CDA">
            <w:pPr>
              <w:spacing w:after="0"/>
              <w:jc w:val="right"/>
              <w:textboxTightWrap w:val="none"/>
              <w:rPr>
                <w:rFonts w:cs="Arial"/>
                <w:sz w:val="16"/>
                <w:szCs w:val="22"/>
                <w:lang w:eastAsia="en-GB"/>
              </w:rPr>
            </w:pPr>
            <w:r w:rsidRPr="00431052">
              <w:rPr>
                <w:rFonts w:cs="Arial"/>
                <w:sz w:val="16"/>
                <w:szCs w:val="22"/>
                <w:lang w:eastAsia="en-GB"/>
              </w:rPr>
              <w:t>2009/11</w:t>
            </w:r>
          </w:p>
        </w:tc>
        <w:tc>
          <w:tcPr>
            <w:tcW w:w="831" w:type="dxa"/>
            <w:noWrap/>
            <w:hideMark/>
          </w:tcPr>
          <w:p w14:paraId="2B966AD0" w14:textId="77777777" w:rsidR="009B1752" w:rsidRPr="00431052" w:rsidRDefault="009B1752" w:rsidP="00201CDA">
            <w:pPr>
              <w:spacing w:after="0"/>
              <w:jc w:val="right"/>
              <w:textboxTightWrap w:val="none"/>
              <w:rPr>
                <w:rFonts w:cs="Arial"/>
                <w:sz w:val="16"/>
                <w:szCs w:val="22"/>
                <w:highlight w:val="darkBlue"/>
                <w:lang w:eastAsia="en-GB"/>
              </w:rPr>
            </w:pPr>
            <w:r w:rsidRPr="00431052">
              <w:rPr>
                <w:rFonts w:cs="Arial"/>
                <w:sz w:val="16"/>
                <w:szCs w:val="22"/>
                <w:highlight w:val="yellow"/>
                <w:lang w:eastAsia="en-GB"/>
              </w:rPr>
              <w:t>2009/11</w:t>
            </w:r>
          </w:p>
        </w:tc>
        <w:tc>
          <w:tcPr>
            <w:tcW w:w="831" w:type="dxa"/>
            <w:noWrap/>
            <w:hideMark/>
          </w:tcPr>
          <w:p w14:paraId="448C7C76" w14:textId="77777777" w:rsidR="009B1752" w:rsidRPr="00431052" w:rsidRDefault="009B1752" w:rsidP="00201CDA">
            <w:pPr>
              <w:spacing w:after="0"/>
              <w:jc w:val="right"/>
              <w:textboxTightWrap w:val="none"/>
              <w:rPr>
                <w:rFonts w:cs="Arial"/>
                <w:sz w:val="16"/>
                <w:szCs w:val="22"/>
                <w:lang w:eastAsia="en-GB"/>
              </w:rPr>
            </w:pPr>
            <w:r w:rsidRPr="00431052">
              <w:rPr>
                <w:rFonts w:cs="Arial"/>
                <w:sz w:val="16"/>
                <w:szCs w:val="22"/>
                <w:lang w:eastAsia="en-GB"/>
              </w:rPr>
              <w:t>2010/12</w:t>
            </w:r>
          </w:p>
        </w:tc>
        <w:tc>
          <w:tcPr>
            <w:tcW w:w="831" w:type="dxa"/>
            <w:noWrap/>
            <w:hideMark/>
          </w:tcPr>
          <w:p w14:paraId="5C8F9EF8" w14:textId="77777777" w:rsidR="009B1752" w:rsidRPr="00431052" w:rsidRDefault="009B1752" w:rsidP="00201CDA">
            <w:pPr>
              <w:spacing w:after="0"/>
              <w:jc w:val="right"/>
              <w:textboxTightWrap w:val="none"/>
              <w:rPr>
                <w:rFonts w:cs="Arial"/>
                <w:sz w:val="16"/>
                <w:szCs w:val="22"/>
                <w:lang w:eastAsia="en-GB"/>
              </w:rPr>
            </w:pPr>
            <w:r w:rsidRPr="00431052">
              <w:rPr>
                <w:rFonts w:cs="Arial"/>
                <w:sz w:val="16"/>
                <w:szCs w:val="22"/>
                <w:lang w:eastAsia="en-GB"/>
              </w:rPr>
              <w:t>2010/12</w:t>
            </w:r>
          </w:p>
        </w:tc>
        <w:tc>
          <w:tcPr>
            <w:tcW w:w="831" w:type="dxa"/>
            <w:noWrap/>
            <w:hideMark/>
          </w:tcPr>
          <w:p w14:paraId="0CD283B6" w14:textId="77777777" w:rsidR="009B1752" w:rsidRPr="00431052" w:rsidRDefault="009B1752" w:rsidP="00201CDA">
            <w:pPr>
              <w:spacing w:after="0"/>
              <w:jc w:val="right"/>
              <w:textboxTightWrap w:val="none"/>
              <w:rPr>
                <w:rFonts w:cs="Arial"/>
                <w:sz w:val="16"/>
                <w:szCs w:val="22"/>
                <w:lang w:eastAsia="en-GB"/>
              </w:rPr>
            </w:pPr>
            <w:r w:rsidRPr="00431052">
              <w:rPr>
                <w:rFonts w:cs="Arial"/>
                <w:sz w:val="16"/>
                <w:szCs w:val="22"/>
                <w:lang w:eastAsia="en-GB"/>
              </w:rPr>
              <w:t>2011/13</w:t>
            </w:r>
          </w:p>
        </w:tc>
        <w:tc>
          <w:tcPr>
            <w:tcW w:w="831" w:type="dxa"/>
            <w:noWrap/>
            <w:hideMark/>
          </w:tcPr>
          <w:p w14:paraId="03139B03" w14:textId="77777777" w:rsidR="009B1752" w:rsidRPr="00431052" w:rsidRDefault="009B1752" w:rsidP="00201CDA">
            <w:pPr>
              <w:spacing w:after="0"/>
              <w:jc w:val="right"/>
              <w:textboxTightWrap w:val="none"/>
              <w:rPr>
                <w:rFonts w:cs="Arial"/>
                <w:sz w:val="16"/>
                <w:szCs w:val="22"/>
                <w:lang w:eastAsia="en-GB"/>
              </w:rPr>
            </w:pPr>
            <w:r w:rsidRPr="00431052">
              <w:rPr>
                <w:rFonts w:cs="Arial"/>
                <w:sz w:val="16"/>
                <w:szCs w:val="22"/>
                <w:lang w:eastAsia="en-GB"/>
              </w:rPr>
              <w:t>2011/13</w:t>
            </w:r>
          </w:p>
        </w:tc>
        <w:tc>
          <w:tcPr>
            <w:tcW w:w="831" w:type="dxa"/>
            <w:noWrap/>
            <w:hideMark/>
          </w:tcPr>
          <w:p w14:paraId="222E76EB" w14:textId="77777777" w:rsidR="009B1752" w:rsidRPr="00431052" w:rsidRDefault="009B1752" w:rsidP="00201CDA">
            <w:pPr>
              <w:spacing w:after="0"/>
              <w:jc w:val="right"/>
              <w:textboxTightWrap w:val="none"/>
              <w:rPr>
                <w:rFonts w:cs="Arial"/>
                <w:sz w:val="16"/>
                <w:szCs w:val="22"/>
                <w:lang w:eastAsia="en-GB"/>
              </w:rPr>
            </w:pPr>
            <w:r w:rsidRPr="00431052">
              <w:rPr>
                <w:rFonts w:cs="Arial"/>
                <w:sz w:val="16"/>
                <w:szCs w:val="22"/>
                <w:lang w:eastAsia="en-GB"/>
              </w:rPr>
              <w:t>2012/14</w:t>
            </w:r>
          </w:p>
        </w:tc>
        <w:tc>
          <w:tcPr>
            <w:tcW w:w="831" w:type="dxa"/>
          </w:tcPr>
          <w:p w14:paraId="6B94CB05" w14:textId="77777777" w:rsidR="009B1752" w:rsidRPr="00431052" w:rsidRDefault="009B1752" w:rsidP="00201CDA">
            <w:pPr>
              <w:spacing w:after="0"/>
              <w:jc w:val="right"/>
              <w:textboxTightWrap w:val="none"/>
              <w:rPr>
                <w:rFonts w:cs="Arial"/>
                <w:sz w:val="16"/>
                <w:szCs w:val="22"/>
                <w:lang w:eastAsia="en-GB"/>
              </w:rPr>
            </w:pPr>
          </w:p>
        </w:tc>
        <w:tc>
          <w:tcPr>
            <w:tcW w:w="831" w:type="dxa"/>
            <w:noWrap/>
            <w:hideMark/>
          </w:tcPr>
          <w:p w14:paraId="463D71C2" w14:textId="77777777" w:rsidR="009B1752" w:rsidRPr="00431052" w:rsidRDefault="009B1752" w:rsidP="00201CDA">
            <w:pPr>
              <w:spacing w:after="0"/>
              <w:jc w:val="right"/>
              <w:textboxTightWrap w:val="none"/>
              <w:rPr>
                <w:rFonts w:cs="Arial"/>
                <w:sz w:val="16"/>
                <w:szCs w:val="22"/>
                <w:lang w:eastAsia="en-GB"/>
              </w:rPr>
            </w:pPr>
            <w:r w:rsidRPr="00431052">
              <w:rPr>
                <w:rFonts w:cs="Arial"/>
                <w:sz w:val="16"/>
                <w:szCs w:val="22"/>
                <w:lang w:eastAsia="en-GB"/>
              </w:rPr>
              <w:t>2012/14</w:t>
            </w:r>
          </w:p>
        </w:tc>
      </w:tr>
      <w:tr w:rsidR="009B1752" w:rsidRPr="00431052" w14:paraId="5F9DA3A6" w14:textId="77777777" w:rsidTr="00201CDA">
        <w:trPr>
          <w:trHeight w:val="297"/>
        </w:trPr>
        <w:tc>
          <w:tcPr>
            <w:tcW w:w="1022" w:type="dxa"/>
            <w:noWrap/>
            <w:hideMark/>
          </w:tcPr>
          <w:p w14:paraId="01F581E6"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w:t>
            </w:r>
          </w:p>
        </w:tc>
        <w:tc>
          <w:tcPr>
            <w:tcW w:w="963" w:type="dxa"/>
            <w:noWrap/>
            <w:hideMark/>
          </w:tcPr>
          <w:p w14:paraId="4284FE97"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Female</w:t>
            </w:r>
          </w:p>
        </w:tc>
        <w:tc>
          <w:tcPr>
            <w:tcW w:w="831" w:type="dxa"/>
            <w:noWrap/>
            <w:hideMark/>
          </w:tcPr>
          <w:p w14:paraId="0327BCE1" w14:textId="77777777" w:rsidR="009B1752" w:rsidRPr="00431052" w:rsidRDefault="009B1752" w:rsidP="00201CDA">
            <w:pPr>
              <w:spacing w:after="0"/>
              <w:textboxTightWrap w:val="none"/>
              <w:rPr>
                <w:rFonts w:cs="Arial"/>
                <w:sz w:val="18"/>
                <w:szCs w:val="22"/>
                <w:highlight w:val="darkBlue"/>
                <w:lang w:eastAsia="en-GB"/>
              </w:rPr>
            </w:pPr>
            <w:r w:rsidRPr="00C5594F">
              <w:rPr>
                <w:rFonts w:cs="Arial"/>
                <w:sz w:val="18"/>
                <w:szCs w:val="22"/>
                <w:highlight w:val="yellow"/>
                <w:lang w:eastAsia="en-GB"/>
              </w:rPr>
              <w:t>Male</w:t>
            </w:r>
          </w:p>
        </w:tc>
        <w:tc>
          <w:tcPr>
            <w:tcW w:w="831" w:type="dxa"/>
            <w:noWrap/>
            <w:hideMark/>
          </w:tcPr>
          <w:p w14:paraId="2685BBF0"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Female</w:t>
            </w:r>
          </w:p>
        </w:tc>
        <w:tc>
          <w:tcPr>
            <w:tcW w:w="831" w:type="dxa"/>
            <w:noWrap/>
            <w:hideMark/>
          </w:tcPr>
          <w:p w14:paraId="7387A281"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Male</w:t>
            </w:r>
          </w:p>
        </w:tc>
        <w:tc>
          <w:tcPr>
            <w:tcW w:w="831" w:type="dxa"/>
            <w:noWrap/>
            <w:hideMark/>
          </w:tcPr>
          <w:p w14:paraId="3572282C"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Female</w:t>
            </w:r>
          </w:p>
        </w:tc>
        <w:tc>
          <w:tcPr>
            <w:tcW w:w="831" w:type="dxa"/>
            <w:noWrap/>
            <w:hideMark/>
          </w:tcPr>
          <w:p w14:paraId="777BFCD1"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Male</w:t>
            </w:r>
          </w:p>
        </w:tc>
        <w:tc>
          <w:tcPr>
            <w:tcW w:w="831" w:type="dxa"/>
            <w:noWrap/>
            <w:hideMark/>
          </w:tcPr>
          <w:p w14:paraId="6A9EE026"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Female</w:t>
            </w:r>
          </w:p>
        </w:tc>
        <w:tc>
          <w:tcPr>
            <w:tcW w:w="831" w:type="dxa"/>
          </w:tcPr>
          <w:p w14:paraId="6C0A0651" w14:textId="77777777" w:rsidR="009B1752" w:rsidRPr="00431052" w:rsidRDefault="009B1752" w:rsidP="00201CDA">
            <w:pPr>
              <w:spacing w:after="0"/>
              <w:textboxTightWrap w:val="none"/>
              <w:rPr>
                <w:rFonts w:cs="Arial"/>
                <w:sz w:val="18"/>
                <w:szCs w:val="22"/>
                <w:lang w:eastAsia="en-GB"/>
              </w:rPr>
            </w:pPr>
          </w:p>
        </w:tc>
        <w:tc>
          <w:tcPr>
            <w:tcW w:w="831" w:type="dxa"/>
            <w:noWrap/>
            <w:hideMark/>
          </w:tcPr>
          <w:p w14:paraId="57A13C92"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Male</w:t>
            </w:r>
          </w:p>
        </w:tc>
      </w:tr>
      <w:tr w:rsidR="009B1752" w:rsidRPr="00431052" w14:paraId="7042ADCB" w14:textId="77777777" w:rsidTr="00201CDA">
        <w:trPr>
          <w:trHeight w:val="297"/>
        </w:trPr>
        <w:tc>
          <w:tcPr>
            <w:tcW w:w="1022" w:type="dxa"/>
            <w:noWrap/>
            <w:hideMark/>
          </w:tcPr>
          <w:p w14:paraId="3D9C05C0"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Slope index of inequality </w:t>
            </w:r>
          </w:p>
        </w:tc>
        <w:tc>
          <w:tcPr>
            <w:tcW w:w="963" w:type="dxa"/>
            <w:noWrap/>
            <w:hideMark/>
          </w:tcPr>
          <w:p w14:paraId="2595668D"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2.39</w:t>
            </w:r>
          </w:p>
        </w:tc>
        <w:tc>
          <w:tcPr>
            <w:tcW w:w="831" w:type="dxa"/>
            <w:noWrap/>
            <w:hideMark/>
          </w:tcPr>
          <w:p w14:paraId="6F8BF3DB"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2.62</w:t>
            </w:r>
          </w:p>
        </w:tc>
        <w:tc>
          <w:tcPr>
            <w:tcW w:w="831" w:type="dxa"/>
            <w:noWrap/>
            <w:hideMark/>
          </w:tcPr>
          <w:p w14:paraId="67170115"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2.47</w:t>
            </w:r>
          </w:p>
        </w:tc>
        <w:tc>
          <w:tcPr>
            <w:tcW w:w="831" w:type="dxa"/>
            <w:noWrap/>
            <w:hideMark/>
          </w:tcPr>
          <w:p w14:paraId="78916B73"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2.65</w:t>
            </w:r>
          </w:p>
        </w:tc>
        <w:tc>
          <w:tcPr>
            <w:tcW w:w="831" w:type="dxa"/>
            <w:noWrap/>
            <w:hideMark/>
          </w:tcPr>
          <w:p w14:paraId="7DD41F66"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2.60</w:t>
            </w:r>
          </w:p>
        </w:tc>
        <w:tc>
          <w:tcPr>
            <w:tcW w:w="831" w:type="dxa"/>
            <w:noWrap/>
            <w:hideMark/>
          </w:tcPr>
          <w:p w14:paraId="4DC57960"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2.74</w:t>
            </w:r>
          </w:p>
        </w:tc>
        <w:tc>
          <w:tcPr>
            <w:tcW w:w="831" w:type="dxa"/>
            <w:noWrap/>
            <w:hideMark/>
          </w:tcPr>
          <w:p w14:paraId="2BCE3251"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2.68</w:t>
            </w:r>
          </w:p>
        </w:tc>
        <w:tc>
          <w:tcPr>
            <w:tcW w:w="831" w:type="dxa"/>
          </w:tcPr>
          <w:p w14:paraId="206D0A1F" w14:textId="77777777" w:rsidR="009B1752" w:rsidRPr="00431052" w:rsidRDefault="009B1752" w:rsidP="00201CDA">
            <w:pPr>
              <w:spacing w:after="0"/>
              <w:jc w:val="right"/>
              <w:textboxTightWrap w:val="none"/>
              <w:rPr>
                <w:rFonts w:cs="Arial"/>
                <w:sz w:val="18"/>
                <w:szCs w:val="22"/>
                <w:lang w:eastAsia="en-GB"/>
              </w:rPr>
            </w:pPr>
          </w:p>
        </w:tc>
        <w:tc>
          <w:tcPr>
            <w:tcW w:w="831" w:type="dxa"/>
            <w:noWrap/>
            <w:hideMark/>
          </w:tcPr>
          <w:p w14:paraId="1229FFB0"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3.07</w:t>
            </w:r>
          </w:p>
        </w:tc>
      </w:tr>
      <w:tr w:rsidR="009B1752" w:rsidRPr="00431052" w14:paraId="7A5EB3D0" w14:textId="77777777" w:rsidTr="00201CDA">
        <w:trPr>
          <w:trHeight w:val="297"/>
        </w:trPr>
        <w:tc>
          <w:tcPr>
            <w:tcW w:w="1022" w:type="dxa"/>
            <w:noWrap/>
            <w:hideMark/>
          </w:tcPr>
          <w:p w14:paraId="4912410D"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CI lower </w:t>
            </w:r>
          </w:p>
        </w:tc>
        <w:tc>
          <w:tcPr>
            <w:tcW w:w="963" w:type="dxa"/>
            <w:noWrap/>
            <w:hideMark/>
          </w:tcPr>
          <w:p w14:paraId="5C5676BF"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2.33</w:t>
            </w:r>
          </w:p>
        </w:tc>
        <w:tc>
          <w:tcPr>
            <w:tcW w:w="831" w:type="dxa"/>
            <w:noWrap/>
            <w:hideMark/>
          </w:tcPr>
          <w:p w14:paraId="7C167438"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2.55</w:t>
            </w:r>
          </w:p>
        </w:tc>
        <w:tc>
          <w:tcPr>
            <w:tcW w:w="831" w:type="dxa"/>
            <w:noWrap/>
            <w:hideMark/>
          </w:tcPr>
          <w:p w14:paraId="04758BB2"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2.41</w:t>
            </w:r>
          </w:p>
        </w:tc>
        <w:tc>
          <w:tcPr>
            <w:tcW w:w="831" w:type="dxa"/>
            <w:noWrap/>
            <w:hideMark/>
          </w:tcPr>
          <w:p w14:paraId="2C7CEF2D"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2.58</w:t>
            </w:r>
          </w:p>
        </w:tc>
        <w:tc>
          <w:tcPr>
            <w:tcW w:w="831" w:type="dxa"/>
            <w:noWrap/>
            <w:hideMark/>
          </w:tcPr>
          <w:p w14:paraId="4FF05E13"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2.54</w:t>
            </w:r>
          </w:p>
        </w:tc>
        <w:tc>
          <w:tcPr>
            <w:tcW w:w="831" w:type="dxa"/>
            <w:noWrap/>
            <w:hideMark/>
          </w:tcPr>
          <w:p w14:paraId="5355D8BE"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2.68</w:t>
            </w:r>
          </w:p>
        </w:tc>
        <w:tc>
          <w:tcPr>
            <w:tcW w:w="831" w:type="dxa"/>
            <w:noWrap/>
            <w:hideMark/>
          </w:tcPr>
          <w:p w14:paraId="1F68C2B3"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2.61</w:t>
            </w:r>
          </w:p>
        </w:tc>
        <w:tc>
          <w:tcPr>
            <w:tcW w:w="831" w:type="dxa"/>
          </w:tcPr>
          <w:p w14:paraId="1102000F" w14:textId="77777777" w:rsidR="009B1752" w:rsidRPr="00431052" w:rsidRDefault="009B1752" w:rsidP="00201CDA">
            <w:pPr>
              <w:spacing w:after="0"/>
              <w:jc w:val="right"/>
              <w:textboxTightWrap w:val="none"/>
              <w:rPr>
                <w:rFonts w:cs="Arial"/>
                <w:sz w:val="18"/>
                <w:szCs w:val="22"/>
                <w:lang w:eastAsia="en-GB"/>
              </w:rPr>
            </w:pPr>
          </w:p>
        </w:tc>
        <w:tc>
          <w:tcPr>
            <w:tcW w:w="831" w:type="dxa"/>
            <w:noWrap/>
            <w:hideMark/>
          </w:tcPr>
          <w:p w14:paraId="14C8E750"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2.58</w:t>
            </w:r>
          </w:p>
        </w:tc>
      </w:tr>
      <w:tr w:rsidR="009B1752" w:rsidRPr="00431052" w14:paraId="6ED2DCFE" w14:textId="77777777" w:rsidTr="00201CDA">
        <w:trPr>
          <w:trHeight w:val="297"/>
        </w:trPr>
        <w:tc>
          <w:tcPr>
            <w:tcW w:w="1022" w:type="dxa"/>
            <w:noWrap/>
            <w:hideMark/>
          </w:tcPr>
          <w:p w14:paraId="1E2524E8"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CI upper </w:t>
            </w:r>
          </w:p>
        </w:tc>
        <w:tc>
          <w:tcPr>
            <w:tcW w:w="963" w:type="dxa"/>
            <w:noWrap/>
            <w:hideMark/>
          </w:tcPr>
          <w:p w14:paraId="120592F4"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2.46</w:t>
            </w:r>
          </w:p>
        </w:tc>
        <w:tc>
          <w:tcPr>
            <w:tcW w:w="831" w:type="dxa"/>
            <w:noWrap/>
            <w:hideMark/>
          </w:tcPr>
          <w:p w14:paraId="7AE356BB"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2.69</w:t>
            </w:r>
          </w:p>
        </w:tc>
        <w:tc>
          <w:tcPr>
            <w:tcW w:w="831" w:type="dxa"/>
            <w:noWrap/>
            <w:hideMark/>
          </w:tcPr>
          <w:p w14:paraId="7E8337B2"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2.54</w:t>
            </w:r>
          </w:p>
        </w:tc>
        <w:tc>
          <w:tcPr>
            <w:tcW w:w="831" w:type="dxa"/>
            <w:noWrap/>
            <w:hideMark/>
          </w:tcPr>
          <w:p w14:paraId="0AFC99EF"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2.72</w:t>
            </w:r>
          </w:p>
        </w:tc>
        <w:tc>
          <w:tcPr>
            <w:tcW w:w="831" w:type="dxa"/>
            <w:noWrap/>
            <w:hideMark/>
          </w:tcPr>
          <w:p w14:paraId="17AA1974"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2.67</w:t>
            </w:r>
          </w:p>
        </w:tc>
        <w:tc>
          <w:tcPr>
            <w:tcW w:w="831" w:type="dxa"/>
            <w:noWrap/>
            <w:hideMark/>
          </w:tcPr>
          <w:p w14:paraId="739F3062"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2.81</w:t>
            </w:r>
          </w:p>
        </w:tc>
        <w:tc>
          <w:tcPr>
            <w:tcW w:w="831" w:type="dxa"/>
            <w:noWrap/>
            <w:hideMark/>
          </w:tcPr>
          <w:p w14:paraId="3D10171D"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2.74</w:t>
            </w:r>
          </w:p>
        </w:tc>
        <w:tc>
          <w:tcPr>
            <w:tcW w:w="831" w:type="dxa"/>
          </w:tcPr>
          <w:p w14:paraId="2D538296" w14:textId="77777777" w:rsidR="009B1752" w:rsidRPr="00431052" w:rsidRDefault="009B1752" w:rsidP="00201CDA">
            <w:pPr>
              <w:spacing w:after="0"/>
              <w:jc w:val="right"/>
              <w:textboxTightWrap w:val="none"/>
              <w:rPr>
                <w:rFonts w:cs="Arial"/>
                <w:sz w:val="18"/>
                <w:szCs w:val="22"/>
                <w:lang w:eastAsia="en-GB"/>
              </w:rPr>
            </w:pPr>
          </w:p>
        </w:tc>
        <w:tc>
          <w:tcPr>
            <w:tcW w:w="831" w:type="dxa"/>
            <w:noWrap/>
            <w:hideMark/>
          </w:tcPr>
          <w:p w14:paraId="77C5802B"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3.55</w:t>
            </w:r>
          </w:p>
        </w:tc>
      </w:tr>
      <w:tr w:rsidR="009B1752" w:rsidRPr="00431052" w14:paraId="143D0105" w14:textId="77777777" w:rsidTr="00201CDA">
        <w:trPr>
          <w:trHeight w:val="297"/>
        </w:trPr>
        <w:tc>
          <w:tcPr>
            <w:tcW w:w="1022" w:type="dxa"/>
            <w:noWrap/>
            <w:hideMark/>
          </w:tcPr>
          <w:p w14:paraId="2A74E15A"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Relative index of inequality </w:t>
            </w:r>
          </w:p>
        </w:tc>
        <w:tc>
          <w:tcPr>
            <w:tcW w:w="963" w:type="dxa"/>
            <w:noWrap/>
            <w:hideMark/>
          </w:tcPr>
          <w:p w14:paraId="60F614E2"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0.18</w:t>
            </w:r>
          </w:p>
        </w:tc>
        <w:tc>
          <w:tcPr>
            <w:tcW w:w="831" w:type="dxa"/>
            <w:noWrap/>
            <w:hideMark/>
          </w:tcPr>
          <w:p w14:paraId="5B8BFE1D"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0.23</w:t>
            </w:r>
          </w:p>
        </w:tc>
        <w:tc>
          <w:tcPr>
            <w:tcW w:w="831" w:type="dxa"/>
            <w:noWrap/>
            <w:hideMark/>
          </w:tcPr>
          <w:p w14:paraId="24A07A79"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0.19</w:t>
            </w:r>
          </w:p>
        </w:tc>
        <w:tc>
          <w:tcPr>
            <w:tcW w:w="831" w:type="dxa"/>
            <w:noWrap/>
            <w:hideMark/>
          </w:tcPr>
          <w:p w14:paraId="3B8748ED"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0.23</w:t>
            </w:r>
          </w:p>
        </w:tc>
        <w:tc>
          <w:tcPr>
            <w:tcW w:w="831" w:type="dxa"/>
            <w:noWrap/>
            <w:hideMark/>
          </w:tcPr>
          <w:p w14:paraId="50058530"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0.20</w:t>
            </w:r>
          </w:p>
        </w:tc>
        <w:tc>
          <w:tcPr>
            <w:tcW w:w="831" w:type="dxa"/>
            <w:noWrap/>
            <w:hideMark/>
          </w:tcPr>
          <w:p w14:paraId="7ED35B26"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0.24</w:t>
            </w:r>
          </w:p>
        </w:tc>
        <w:tc>
          <w:tcPr>
            <w:tcW w:w="831" w:type="dxa"/>
            <w:noWrap/>
            <w:hideMark/>
          </w:tcPr>
          <w:p w14:paraId="0D5CC368"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0.20</w:t>
            </w:r>
          </w:p>
        </w:tc>
        <w:tc>
          <w:tcPr>
            <w:tcW w:w="831" w:type="dxa"/>
          </w:tcPr>
          <w:p w14:paraId="3AC13756" w14:textId="77777777" w:rsidR="009B1752" w:rsidRPr="00431052" w:rsidRDefault="009B1752" w:rsidP="00201CDA">
            <w:pPr>
              <w:spacing w:after="0"/>
              <w:jc w:val="right"/>
              <w:textboxTightWrap w:val="none"/>
              <w:rPr>
                <w:rFonts w:cs="Arial"/>
                <w:sz w:val="18"/>
                <w:szCs w:val="22"/>
                <w:lang w:eastAsia="en-GB"/>
              </w:rPr>
            </w:pPr>
          </w:p>
        </w:tc>
        <w:tc>
          <w:tcPr>
            <w:tcW w:w="831" w:type="dxa"/>
            <w:noWrap/>
            <w:hideMark/>
          </w:tcPr>
          <w:p w14:paraId="2174ADD1"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0.26</w:t>
            </w:r>
          </w:p>
        </w:tc>
      </w:tr>
      <w:tr w:rsidR="009B1752" w:rsidRPr="00431052" w14:paraId="56A2D7B4" w14:textId="77777777" w:rsidTr="00201CDA">
        <w:trPr>
          <w:trHeight w:val="297"/>
        </w:trPr>
        <w:tc>
          <w:tcPr>
            <w:tcW w:w="1022" w:type="dxa"/>
            <w:noWrap/>
            <w:hideMark/>
          </w:tcPr>
          <w:p w14:paraId="035CEB58"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CI lower </w:t>
            </w:r>
          </w:p>
        </w:tc>
        <w:tc>
          <w:tcPr>
            <w:tcW w:w="963" w:type="dxa"/>
            <w:noWrap/>
            <w:hideMark/>
          </w:tcPr>
          <w:p w14:paraId="1EBD503C"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0.18</w:t>
            </w:r>
          </w:p>
        </w:tc>
        <w:tc>
          <w:tcPr>
            <w:tcW w:w="831" w:type="dxa"/>
            <w:noWrap/>
            <w:hideMark/>
          </w:tcPr>
          <w:p w14:paraId="5FBBC94A"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0.23</w:t>
            </w:r>
          </w:p>
        </w:tc>
        <w:tc>
          <w:tcPr>
            <w:tcW w:w="831" w:type="dxa"/>
            <w:noWrap/>
            <w:hideMark/>
          </w:tcPr>
          <w:p w14:paraId="4225FE44"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0.18</w:t>
            </w:r>
          </w:p>
        </w:tc>
        <w:tc>
          <w:tcPr>
            <w:tcW w:w="831" w:type="dxa"/>
            <w:noWrap/>
            <w:hideMark/>
          </w:tcPr>
          <w:p w14:paraId="46983D23"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0.23</w:t>
            </w:r>
          </w:p>
        </w:tc>
        <w:tc>
          <w:tcPr>
            <w:tcW w:w="831" w:type="dxa"/>
            <w:noWrap/>
            <w:hideMark/>
          </w:tcPr>
          <w:p w14:paraId="596E37A9"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0.19</w:t>
            </w:r>
          </w:p>
        </w:tc>
        <w:tc>
          <w:tcPr>
            <w:tcW w:w="831" w:type="dxa"/>
            <w:noWrap/>
            <w:hideMark/>
          </w:tcPr>
          <w:p w14:paraId="745A4753"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0.23</w:t>
            </w:r>
          </w:p>
        </w:tc>
        <w:tc>
          <w:tcPr>
            <w:tcW w:w="831" w:type="dxa"/>
            <w:noWrap/>
            <w:hideMark/>
          </w:tcPr>
          <w:p w14:paraId="466F41CC"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0.20</w:t>
            </w:r>
          </w:p>
        </w:tc>
        <w:tc>
          <w:tcPr>
            <w:tcW w:w="831" w:type="dxa"/>
          </w:tcPr>
          <w:p w14:paraId="353C18AF" w14:textId="77777777" w:rsidR="009B1752" w:rsidRPr="00431052" w:rsidRDefault="009B1752" w:rsidP="00201CDA">
            <w:pPr>
              <w:spacing w:after="0"/>
              <w:jc w:val="right"/>
              <w:textboxTightWrap w:val="none"/>
              <w:rPr>
                <w:rFonts w:cs="Arial"/>
                <w:sz w:val="18"/>
                <w:szCs w:val="22"/>
                <w:lang w:eastAsia="en-GB"/>
              </w:rPr>
            </w:pPr>
          </w:p>
        </w:tc>
        <w:tc>
          <w:tcPr>
            <w:tcW w:w="831" w:type="dxa"/>
            <w:noWrap/>
            <w:hideMark/>
          </w:tcPr>
          <w:p w14:paraId="5D8BC8CA"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0.22</w:t>
            </w:r>
          </w:p>
        </w:tc>
      </w:tr>
      <w:tr w:rsidR="009B1752" w:rsidRPr="00431052" w14:paraId="65A89547" w14:textId="77777777" w:rsidTr="00201CDA">
        <w:trPr>
          <w:trHeight w:val="297"/>
        </w:trPr>
        <w:tc>
          <w:tcPr>
            <w:tcW w:w="1022" w:type="dxa"/>
            <w:noWrap/>
            <w:hideMark/>
          </w:tcPr>
          <w:p w14:paraId="403A0AED"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CI upper </w:t>
            </w:r>
          </w:p>
        </w:tc>
        <w:tc>
          <w:tcPr>
            <w:tcW w:w="963" w:type="dxa"/>
            <w:noWrap/>
            <w:hideMark/>
          </w:tcPr>
          <w:p w14:paraId="0DC20D94"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0.19</w:t>
            </w:r>
          </w:p>
        </w:tc>
        <w:tc>
          <w:tcPr>
            <w:tcW w:w="831" w:type="dxa"/>
            <w:noWrap/>
            <w:hideMark/>
          </w:tcPr>
          <w:p w14:paraId="688F9452"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0.24</w:t>
            </w:r>
          </w:p>
        </w:tc>
        <w:tc>
          <w:tcPr>
            <w:tcW w:w="831" w:type="dxa"/>
            <w:noWrap/>
            <w:hideMark/>
          </w:tcPr>
          <w:p w14:paraId="6739F869"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0.19</w:t>
            </w:r>
          </w:p>
        </w:tc>
        <w:tc>
          <w:tcPr>
            <w:tcW w:w="831" w:type="dxa"/>
            <w:noWrap/>
            <w:hideMark/>
          </w:tcPr>
          <w:p w14:paraId="35FBC031"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0.24</w:t>
            </w:r>
          </w:p>
        </w:tc>
        <w:tc>
          <w:tcPr>
            <w:tcW w:w="831" w:type="dxa"/>
            <w:noWrap/>
            <w:hideMark/>
          </w:tcPr>
          <w:p w14:paraId="1608EECC"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0.20</w:t>
            </w:r>
          </w:p>
        </w:tc>
        <w:tc>
          <w:tcPr>
            <w:tcW w:w="831" w:type="dxa"/>
            <w:noWrap/>
            <w:hideMark/>
          </w:tcPr>
          <w:p w14:paraId="6FBDB729"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0.25</w:t>
            </w:r>
          </w:p>
        </w:tc>
        <w:tc>
          <w:tcPr>
            <w:tcW w:w="831" w:type="dxa"/>
            <w:noWrap/>
            <w:hideMark/>
          </w:tcPr>
          <w:p w14:paraId="5C28A2CB"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0.21</w:t>
            </w:r>
          </w:p>
        </w:tc>
        <w:tc>
          <w:tcPr>
            <w:tcW w:w="831" w:type="dxa"/>
          </w:tcPr>
          <w:p w14:paraId="1DFA2C2D" w14:textId="77777777" w:rsidR="009B1752" w:rsidRPr="00431052" w:rsidRDefault="009B1752" w:rsidP="00201CDA">
            <w:pPr>
              <w:spacing w:after="0"/>
              <w:jc w:val="right"/>
              <w:textboxTightWrap w:val="none"/>
              <w:rPr>
                <w:rFonts w:cs="Arial"/>
                <w:sz w:val="18"/>
                <w:szCs w:val="22"/>
                <w:lang w:eastAsia="en-GB"/>
              </w:rPr>
            </w:pPr>
          </w:p>
        </w:tc>
        <w:tc>
          <w:tcPr>
            <w:tcW w:w="831" w:type="dxa"/>
            <w:noWrap/>
            <w:hideMark/>
          </w:tcPr>
          <w:p w14:paraId="217D7971"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0.31</w:t>
            </w:r>
          </w:p>
        </w:tc>
      </w:tr>
    </w:tbl>
    <w:p w14:paraId="7EE21399" w14:textId="77777777" w:rsidR="004B760F" w:rsidRDefault="004B760F"/>
    <w:tbl>
      <w:tblPr>
        <w:tblStyle w:val="TableGrid"/>
        <w:tblW w:w="3647" w:type="dxa"/>
        <w:tblLayout w:type="fixed"/>
        <w:tblLook w:val="04A0" w:firstRow="1" w:lastRow="0" w:firstColumn="1" w:lastColumn="0" w:noHBand="0" w:noVBand="1"/>
      </w:tblPr>
      <w:tblGrid>
        <w:gridCol w:w="1022"/>
        <w:gridCol w:w="963"/>
        <w:gridCol w:w="831"/>
        <w:gridCol w:w="831"/>
      </w:tblGrid>
      <w:tr w:rsidR="009B1752" w:rsidRPr="00431052" w14:paraId="127D89CC" w14:textId="77777777" w:rsidTr="004B760F">
        <w:trPr>
          <w:trHeight w:val="297"/>
        </w:trPr>
        <w:tc>
          <w:tcPr>
            <w:tcW w:w="1022" w:type="dxa"/>
            <w:noWrap/>
            <w:hideMark/>
          </w:tcPr>
          <w:p w14:paraId="0F73AB99"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Period</w:t>
            </w:r>
          </w:p>
        </w:tc>
        <w:tc>
          <w:tcPr>
            <w:tcW w:w="963" w:type="dxa"/>
            <w:noWrap/>
            <w:hideMark/>
          </w:tcPr>
          <w:p w14:paraId="638AC826" w14:textId="77777777" w:rsidR="009B1752" w:rsidRPr="00431052" w:rsidRDefault="009B1752" w:rsidP="00201CDA">
            <w:pPr>
              <w:spacing w:after="0"/>
              <w:jc w:val="right"/>
              <w:textboxTightWrap w:val="none"/>
              <w:rPr>
                <w:rFonts w:cs="Arial"/>
                <w:sz w:val="16"/>
                <w:szCs w:val="22"/>
                <w:lang w:eastAsia="en-GB"/>
              </w:rPr>
            </w:pPr>
            <w:r w:rsidRPr="00431052">
              <w:rPr>
                <w:rFonts w:cs="Arial"/>
                <w:sz w:val="16"/>
                <w:szCs w:val="22"/>
                <w:lang w:eastAsia="en-GB"/>
              </w:rPr>
              <w:t>2012/14</w:t>
            </w:r>
          </w:p>
        </w:tc>
        <w:tc>
          <w:tcPr>
            <w:tcW w:w="831" w:type="dxa"/>
            <w:noWrap/>
            <w:hideMark/>
          </w:tcPr>
          <w:p w14:paraId="5E2D4327" w14:textId="77777777" w:rsidR="009B1752" w:rsidRPr="00431052" w:rsidRDefault="009B1752" w:rsidP="00201CDA">
            <w:pPr>
              <w:spacing w:after="0"/>
              <w:jc w:val="right"/>
              <w:textboxTightWrap w:val="none"/>
              <w:rPr>
                <w:rFonts w:cs="Arial"/>
                <w:sz w:val="16"/>
                <w:szCs w:val="22"/>
                <w:highlight w:val="darkBlue"/>
                <w:lang w:eastAsia="en-GB"/>
              </w:rPr>
            </w:pPr>
            <w:r w:rsidRPr="00C5594F">
              <w:rPr>
                <w:rFonts w:cs="Arial"/>
                <w:sz w:val="16"/>
                <w:szCs w:val="22"/>
                <w:highlight w:val="yellow"/>
                <w:lang w:eastAsia="en-GB"/>
              </w:rPr>
              <w:t>2013/15</w:t>
            </w:r>
          </w:p>
        </w:tc>
        <w:tc>
          <w:tcPr>
            <w:tcW w:w="831" w:type="dxa"/>
            <w:noWrap/>
            <w:hideMark/>
          </w:tcPr>
          <w:p w14:paraId="097617D9" w14:textId="77777777" w:rsidR="009B1752" w:rsidRPr="00431052" w:rsidRDefault="009B1752" w:rsidP="00201CDA">
            <w:pPr>
              <w:spacing w:after="0"/>
              <w:jc w:val="right"/>
              <w:textboxTightWrap w:val="none"/>
              <w:rPr>
                <w:rFonts w:cs="Arial"/>
                <w:sz w:val="16"/>
                <w:szCs w:val="22"/>
                <w:lang w:eastAsia="en-GB"/>
              </w:rPr>
            </w:pPr>
            <w:r w:rsidRPr="00431052">
              <w:rPr>
                <w:rFonts w:cs="Arial"/>
                <w:sz w:val="16"/>
                <w:szCs w:val="22"/>
                <w:lang w:eastAsia="en-GB"/>
              </w:rPr>
              <w:t>2013/15</w:t>
            </w:r>
          </w:p>
        </w:tc>
      </w:tr>
      <w:tr w:rsidR="009B1752" w:rsidRPr="00431052" w14:paraId="544EFBCE" w14:textId="77777777" w:rsidTr="004B760F">
        <w:trPr>
          <w:trHeight w:val="297"/>
        </w:trPr>
        <w:tc>
          <w:tcPr>
            <w:tcW w:w="1022" w:type="dxa"/>
            <w:noWrap/>
            <w:hideMark/>
          </w:tcPr>
          <w:p w14:paraId="751BFFCB"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w:t>
            </w:r>
          </w:p>
        </w:tc>
        <w:tc>
          <w:tcPr>
            <w:tcW w:w="963" w:type="dxa"/>
            <w:noWrap/>
            <w:hideMark/>
          </w:tcPr>
          <w:p w14:paraId="4E3100C9"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Male</w:t>
            </w:r>
          </w:p>
        </w:tc>
        <w:tc>
          <w:tcPr>
            <w:tcW w:w="831" w:type="dxa"/>
            <w:noWrap/>
            <w:hideMark/>
          </w:tcPr>
          <w:p w14:paraId="48F80A8B" w14:textId="77777777" w:rsidR="009B1752" w:rsidRPr="00431052" w:rsidRDefault="009B1752" w:rsidP="00201CDA">
            <w:pPr>
              <w:spacing w:after="0"/>
              <w:textboxTightWrap w:val="none"/>
              <w:rPr>
                <w:rFonts w:cs="Arial"/>
                <w:sz w:val="18"/>
                <w:szCs w:val="22"/>
                <w:highlight w:val="darkBlue"/>
                <w:lang w:eastAsia="en-GB"/>
              </w:rPr>
            </w:pPr>
            <w:r w:rsidRPr="00C5594F">
              <w:rPr>
                <w:rFonts w:cs="Arial"/>
                <w:sz w:val="18"/>
                <w:szCs w:val="22"/>
                <w:highlight w:val="yellow"/>
                <w:lang w:eastAsia="en-GB"/>
              </w:rPr>
              <w:t>Female</w:t>
            </w:r>
          </w:p>
        </w:tc>
        <w:tc>
          <w:tcPr>
            <w:tcW w:w="831" w:type="dxa"/>
            <w:noWrap/>
            <w:hideMark/>
          </w:tcPr>
          <w:p w14:paraId="6EB94312"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Male</w:t>
            </w:r>
          </w:p>
        </w:tc>
      </w:tr>
      <w:tr w:rsidR="009B1752" w:rsidRPr="00431052" w14:paraId="3F27BCAD" w14:textId="77777777" w:rsidTr="004B760F">
        <w:trPr>
          <w:trHeight w:val="297"/>
        </w:trPr>
        <w:tc>
          <w:tcPr>
            <w:tcW w:w="1022" w:type="dxa"/>
            <w:noWrap/>
            <w:hideMark/>
          </w:tcPr>
          <w:p w14:paraId="751EE7D2"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Slope index of inequality </w:t>
            </w:r>
          </w:p>
        </w:tc>
        <w:tc>
          <w:tcPr>
            <w:tcW w:w="963" w:type="dxa"/>
            <w:noWrap/>
            <w:hideMark/>
          </w:tcPr>
          <w:p w14:paraId="3DB06943"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2.79</w:t>
            </w:r>
          </w:p>
        </w:tc>
        <w:tc>
          <w:tcPr>
            <w:tcW w:w="831" w:type="dxa"/>
            <w:noWrap/>
            <w:hideMark/>
          </w:tcPr>
          <w:p w14:paraId="33C3007D"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2.78</w:t>
            </w:r>
          </w:p>
        </w:tc>
        <w:tc>
          <w:tcPr>
            <w:tcW w:w="831" w:type="dxa"/>
            <w:noWrap/>
            <w:hideMark/>
          </w:tcPr>
          <w:p w14:paraId="5AF68A62"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2.86</w:t>
            </w:r>
          </w:p>
        </w:tc>
      </w:tr>
      <w:tr w:rsidR="009B1752" w:rsidRPr="00431052" w14:paraId="28F12EFE" w14:textId="77777777" w:rsidTr="004B760F">
        <w:trPr>
          <w:trHeight w:val="297"/>
        </w:trPr>
        <w:tc>
          <w:tcPr>
            <w:tcW w:w="1022" w:type="dxa"/>
            <w:noWrap/>
            <w:hideMark/>
          </w:tcPr>
          <w:p w14:paraId="727E01FA"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CI lower </w:t>
            </w:r>
          </w:p>
        </w:tc>
        <w:tc>
          <w:tcPr>
            <w:tcW w:w="963" w:type="dxa"/>
            <w:noWrap/>
            <w:hideMark/>
          </w:tcPr>
          <w:p w14:paraId="671EB872"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2.73</w:t>
            </w:r>
          </w:p>
        </w:tc>
        <w:tc>
          <w:tcPr>
            <w:tcW w:w="831" w:type="dxa"/>
            <w:noWrap/>
            <w:hideMark/>
          </w:tcPr>
          <w:p w14:paraId="2096EB85"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2.72</w:t>
            </w:r>
          </w:p>
        </w:tc>
        <w:tc>
          <w:tcPr>
            <w:tcW w:w="831" w:type="dxa"/>
            <w:noWrap/>
            <w:hideMark/>
          </w:tcPr>
          <w:p w14:paraId="58D61BB1"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2.80</w:t>
            </w:r>
          </w:p>
        </w:tc>
      </w:tr>
      <w:tr w:rsidR="009B1752" w:rsidRPr="00431052" w14:paraId="00EE8386" w14:textId="77777777" w:rsidTr="004B760F">
        <w:trPr>
          <w:trHeight w:val="297"/>
        </w:trPr>
        <w:tc>
          <w:tcPr>
            <w:tcW w:w="1022" w:type="dxa"/>
            <w:noWrap/>
            <w:hideMark/>
          </w:tcPr>
          <w:p w14:paraId="47A48A02"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CI upper </w:t>
            </w:r>
          </w:p>
        </w:tc>
        <w:tc>
          <w:tcPr>
            <w:tcW w:w="963" w:type="dxa"/>
            <w:noWrap/>
            <w:hideMark/>
          </w:tcPr>
          <w:p w14:paraId="0E4F505D"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2.86</w:t>
            </w:r>
          </w:p>
        </w:tc>
        <w:tc>
          <w:tcPr>
            <w:tcW w:w="831" w:type="dxa"/>
            <w:noWrap/>
            <w:hideMark/>
          </w:tcPr>
          <w:p w14:paraId="13CAA6E7"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2.85</w:t>
            </w:r>
          </w:p>
        </w:tc>
        <w:tc>
          <w:tcPr>
            <w:tcW w:w="831" w:type="dxa"/>
            <w:noWrap/>
            <w:hideMark/>
          </w:tcPr>
          <w:p w14:paraId="60719859"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2.93</w:t>
            </w:r>
          </w:p>
        </w:tc>
      </w:tr>
      <w:tr w:rsidR="009B1752" w:rsidRPr="00431052" w14:paraId="6A5D63DC" w14:textId="77777777" w:rsidTr="004B760F">
        <w:trPr>
          <w:trHeight w:val="297"/>
        </w:trPr>
        <w:tc>
          <w:tcPr>
            <w:tcW w:w="1022" w:type="dxa"/>
            <w:noWrap/>
            <w:hideMark/>
          </w:tcPr>
          <w:p w14:paraId="59386273"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Relative index of inequality </w:t>
            </w:r>
          </w:p>
        </w:tc>
        <w:tc>
          <w:tcPr>
            <w:tcW w:w="963" w:type="dxa"/>
            <w:noWrap/>
            <w:hideMark/>
          </w:tcPr>
          <w:p w14:paraId="6325CD83"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0.24</w:t>
            </w:r>
          </w:p>
        </w:tc>
        <w:tc>
          <w:tcPr>
            <w:tcW w:w="831" w:type="dxa"/>
            <w:noWrap/>
            <w:hideMark/>
          </w:tcPr>
          <w:p w14:paraId="3C4A09EF"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0.21</w:t>
            </w:r>
          </w:p>
        </w:tc>
        <w:tc>
          <w:tcPr>
            <w:tcW w:w="831" w:type="dxa"/>
            <w:noWrap/>
            <w:hideMark/>
          </w:tcPr>
          <w:p w14:paraId="7F6BEC83"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0.25</w:t>
            </w:r>
          </w:p>
        </w:tc>
      </w:tr>
      <w:tr w:rsidR="009B1752" w:rsidRPr="00431052" w14:paraId="1A02095D" w14:textId="77777777" w:rsidTr="004B760F">
        <w:trPr>
          <w:trHeight w:val="297"/>
        </w:trPr>
        <w:tc>
          <w:tcPr>
            <w:tcW w:w="1022" w:type="dxa"/>
            <w:noWrap/>
            <w:hideMark/>
          </w:tcPr>
          <w:p w14:paraId="1BCCDBF2"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CI lower </w:t>
            </w:r>
          </w:p>
        </w:tc>
        <w:tc>
          <w:tcPr>
            <w:tcW w:w="963" w:type="dxa"/>
            <w:noWrap/>
            <w:hideMark/>
          </w:tcPr>
          <w:p w14:paraId="1D1E9168"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0.24</w:t>
            </w:r>
          </w:p>
        </w:tc>
        <w:tc>
          <w:tcPr>
            <w:tcW w:w="831" w:type="dxa"/>
            <w:noWrap/>
            <w:hideMark/>
          </w:tcPr>
          <w:p w14:paraId="38BD08FD"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0.21</w:t>
            </w:r>
          </w:p>
        </w:tc>
        <w:tc>
          <w:tcPr>
            <w:tcW w:w="831" w:type="dxa"/>
            <w:noWrap/>
            <w:hideMark/>
          </w:tcPr>
          <w:p w14:paraId="470EB351"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0.24</w:t>
            </w:r>
          </w:p>
        </w:tc>
      </w:tr>
      <w:tr w:rsidR="009B1752" w:rsidRPr="00431052" w14:paraId="51BD9DAB" w14:textId="77777777" w:rsidTr="004B760F">
        <w:trPr>
          <w:trHeight w:val="297"/>
        </w:trPr>
        <w:tc>
          <w:tcPr>
            <w:tcW w:w="1022" w:type="dxa"/>
            <w:noWrap/>
            <w:hideMark/>
          </w:tcPr>
          <w:p w14:paraId="5B2DED94" w14:textId="77777777" w:rsidR="009B1752" w:rsidRPr="00431052" w:rsidRDefault="009B1752" w:rsidP="00201CDA">
            <w:pPr>
              <w:spacing w:after="0"/>
              <w:textboxTightWrap w:val="none"/>
              <w:rPr>
                <w:rFonts w:cs="Arial"/>
                <w:sz w:val="18"/>
                <w:szCs w:val="22"/>
                <w:lang w:eastAsia="en-GB"/>
              </w:rPr>
            </w:pPr>
            <w:r w:rsidRPr="00431052">
              <w:rPr>
                <w:rFonts w:cs="Arial"/>
                <w:sz w:val="18"/>
                <w:szCs w:val="22"/>
                <w:lang w:eastAsia="en-GB"/>
              </w:rPr>
              <w:t xml:space="preserve"> CI upper </w:t>
            </w:r>
          </w:p>
        </w:tc>
        <w:tc>
          <w:tcPr>
            <w:tcW w:w="963" w:type="dxa"/>
            <w:noWrap/>
            <w:hideMark/>
          </w:tcPr>
          <w:p w14:paraId="0C003AD5"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0.25</w:t>
            </w:r>
          </w:p>
        </w:tc>
        <w:tc>
          <w:tcPr>
            <w:tcW w:w="831" w:type="dxa"/>
            <w:noWrap/>
            <w:hideMark/>
          </w:tcPr>
          <w:p w14:paraId="7FDDBEB6" w14:textId="77777777" w:rsidR="009B1752" w:rsidRPr="00431052" w:rsidRDefault="009B1752" w:rsidP="00201CDA">
            <w:pPr>
              <w:spacing w:after="0"/>
              <w:jc w:val="right"/>
              <w:textboxTightWrap w:val="none"/>
              <w:rPr>
                <w:rFonts w:cs="Arial"/>
                <w:sz w:val="18"/>
                <w:szCs w:val="22"/>
                <w:highlight w:val="darkBlue"/>
                <w:lang w:eastAsia="en-GB"/>
              </w:rPr>
            </w:pPr>
            <w:r w:rsidRPr="00C5594F">
              <w:rPr>
                <w:rFonts w:cs="Arial"/>
                <w:sz w:val="18"/>
                <w:szCs w:val="22"/>
                <w:highlight w:val="yellow"/>
                <w:lang w:eastAsia="en-GB"/>
              </w:rPr>
              <w:t>0.22</w:t>
            </w:r>
          </w:p>
        </w:tc>
        <w:tc>
          <w:tcPr>
            <w:tcW w:w="831" w:type="dxa"/>
            <w:noWrap/>
            <w:hideMark/>
          </w:tcPr>
          <w:p w14:paraId="78EA5B4D" w14:textId="77777777" w:rsidR="009B1752" w:rsidRPr="00431052" w:rsidRDefault="009B1752" w:rsidP="00201CDA">
            <w:pPr>
              <w:spacing w:after="0"/>
              <w:jc w:val="right"/>
              <w:textboxTightWrap w:val="none"/>
              <w:rPr>
                <w:rFonts w:cs="Arial"/>
                <w:sz w:val="18"/>
                <w:szCs w:val="22"/>
                <w:lang w:eastAsia="en-GB"/>
              </w:rPr>
            </w:pPr>
            <w:r w:rsidRPr="00431052">
              <w:rPr>
                <w:rFonts w:cs="Arial"/>
                <w:sz w:val="18"/>
                <w:szCs w:val="22"/>
                <w:lang w:eastAsia="en-GB"/>
              </w:rPr>
              <w:t>0.26</w:t>
            </w:r>
          </w:p>
        </w:tc>
      </w:tr>
    </w:tbl>
    <w:p w14:paraId="72569D55" w14:textId="77777777" w:rsidR="009B1752" w:rsidRPr="00431052" w:rsidRDefault="009B1752" w:rsidP="009B1752">
      <w:pPr>
        <w:spacing w:before="240"/>
        <w:rPr>
          <w:sz w:val="18"/>
          <w:szCs w:val="18"/>
        </w:rPr>
      </w:pPr>
      <w:r w:rsidRPr="00431052">
        <w:rPr>
          <w:sz w:val="18"/>
          <w:szCs w:val="18"/>
        </w:rPr>
        <w:t xml:space="preserve">Note: The change in the values from the previous version of this documentation is due to two factors. ONS changed the methodology of life expectancy estimates in November 2016 which had a substantial impact on life expectancies at deprivation level; this has been responsible for the majority of the change. NHS Digital is also proposing to update its methodology to use populations for ages 75+ instead of age 75 to 79 in its SII calculation. This is also responsible for some of the change although this never affects an SII value by more than 0.02. </w:t>
      </w:r>
    </w:p>
    <w:p w14:paraId="3C4809C0" w14:textId="7FDEBB83" w:rsidR="009B1752" w:rsidRDefault="009B1752" w:rsidP="009B1752">
      <w:r w:rsidRPr="00431052">
        <w:rPr>
          <w:sz w:val="22"/>
          <w:szCs w:val="22"/>
        </w:rPr>
        <w:t xml:space="preserve">Both males and females have seen </w:t>
      </w:r>
      <w:proofErr w:type="gramStart"/>
      <w:r w:rsidRPr="00431052">
        <w:rPr>
          <w:sz w:val="22"/>
          <w:szCs w:val="22"/>
        </w:rPr>
        <w:t>significant  increases</w:t>
      </w:r>
      <w:proofErr w:type="gramEnd"/>
      <w:r w:rsidRPr="00431052">
        <w:rPr>
          <w:sz w:val="22"/>
          <w:szCs w:val="22"/>
        </w:rPr>
        <w:t xml:space="preserve"> in the absolute level of inequality observed between 2009/11 and 2013/15. The relative stability of the RII in males indicates that the health inequality is changing in a way that is consistent with changes to the underlying indicator. The RII has shown a significant increase for females, however, suggesting a genuine increase in inequality.</w:t>
      </w:r>
    </w:p>
    <w:p w14:paraId="3B787921" w14:textId="311FC9E9" w:rsidR="009B1752" w:rsidRDefault="009B1752"/>
    <w:p w14:paraId="2B91CC55" w14:textId="28C65DBC" w:rsidR="009B1752" w:rsidRDefault="009B1752"/>
    <w:p w14:paraId="5D06CFE2" w14:textId="77F6C14F" w:rsidR="009B1752" w:rsidRDefault="009B1752"/>
    <w:p w14:paraId="5062E91C" w14:textId="2566C3F5" w:rsidR="009B1752" w:rsidRDefault="009B1752"/>
    <w:p w14:paraId="72784A2B" w14:textId="40A9B244" w:rsidR="009B1752" w:rsidRDefault="009B1752"/>
    <w:p w14:paraId="4928ABB3" w14:textId="5E696263" w:rsidR="009B1752" w:rsidRDefault="009B1752"/>
    <w:p w14:paraId="0BF05BA4" w14:textId="59442CE1" w:rsidR="009B1752" w:rsidRDefault="009B1752"/>
    <w:p w14:paraId="277AABB3" w14:textId="28FF9101" w:rsidR="009B1752" w:rsidRDefault="009B1752"/>
    <w:p w14:paraId="6F6AA302" w14:textId="77777777" w:rsidR="009B1752" w:rsidRDefault="009B1752"/>
    <w:tbl>
      <w:tblPr>
        <w:tblStyle w:val="TableGrid1"/>
        <w:tblW w:w="13183" w:type="dxa"/>
        <w:tblInd w:w="108" w:type="dxa"/>
        <w:tblLayout w:type="fixed"/>
        <w:tblLook w:val="04A0" w:firstRow="1" w:lastRow="0" w:firstColumn="1" w:lastColumn="0" w:noHBand="0" w:noVBand="1"/>
      </w:tblPr>
      <w:tblGrid>
        <w:gridCol w:w="2552"/>
        <w:gridCol w:w="10631"/>
      </w:tblGrid>
      <w:tr w:rsidR="009B1752" w:rsidRPr="00431052" w14:paraId="6C367CDB" w14:textId="77777777" w:rsidTr="009B1752">
        <w:tc>
          <w:tcPr>
            <w:tcW w:w="2552" w:type="dxa"/>
          </w:tcPr>
          <w:p w14:paraId="6C367CD9" w14:textId="1094FBEF" w:rsidR="009B1752" w:rsidRPr="00431052" w:rsidRDefault="009B1752" w:rsidP="00772A5C">
            <w:pPr>
              <w:spacing w:before="240"/>
              <w:ind w:left="34"/>
              <w:rPr>
                <w:b/>
                <w:sz w:val="22"/>
                <w:szCs w:val="22"/>
              </w:rPr>
            </w:pPr>
            <w:permStart w:id="1775924861" w:edGrp="everyone" w:colFirst="1" w:colLast="1"/>
            <w:r>
              <w:rPr>
                <w:b/>
                <w:sz w:val="22"/>
                <w:szCs w:val="22"/>
              </w:rPr>
              <w:t xml:space="preserve">5.3 </w:t>
            </w:r>
            <w:r w:rsidRPr="00431052">
              <w:rPr>
                <w:b/>
                <w:sz w:val="22"/>
                <w:szCs w:val="22"/>
              </w:rPr>
              <w:t>Calculation and data source of contextual information</w:t>
            </w:r>
          </w:p>
        </w:tc>
        <w:tc>
          <w:tcPr>
            <w:tcW w:w="10631" w:type="dxa"/>
          </w:tcPr>
          <w:p w14:paraId="6BABCBAB" w14:textId="77777777" w:rsidR="009B1752" w:rsidRPr="00431052" w:rsidRDefault="009B1752" w:rsidP="00CC2574">
            <w:pPr>
              <w:spacing w:before="240"/>
              <w:rPr>
                <w:sz w:val="22"/>
                <w:szCs w:val="22"/>
              </w:rPr>
            </w:pPr>
            <w:r w:rsidRPr="00431052">
              <w:rPr>
                <w:sz w:val="22"/>
                <w:szCs w:val="22"/>
              </w:rPr>
              <w:t>RII calculation</w:t>
            </w:r>
          </w:p>
          <w:p w14:paraId="38B14F70" w14:textId="5972A09F" w:rsidR="009B1752" w:rsidRPr="00431052" w:rsidRDefault="009B1752" w:rsidP="00CC2574">
            <w:pPr>
              <w:spacing w:after="0"/>
              <w:rPr>
                <w:sz w:val="22"/>
                <w:szCs w:val="22"/>
              </w:rPr>
            </w:pPr>
            <w:r w:rsidRPr="00431052">
              <w:rPr>
                <w:sz w:val="22"/>
                <w:szCs w:val="22"/>
              </w:rPr>
              <w:t>The relative index is calculated as the slope index divided by the mean weighted indicator value (</w:t>
            </w:r>
            <m:oMath>
              <m:bar>
                <m:barPr>
                  <m:pos m:val="top"/>
                  <m:ctrlPr>
                    <w:rPr>
                      <w:rFonts w:ascii="Cambria Math" w:hAnsi="Cambria Math"/>
                      <w:i/>
                      <w:sz w:val="22"/>
                      <w:szCs w:val="22"/>
                    </w:rPr>
                  </m:ctrlPr>
                </m:barPr>
                <m:e>
                  <m:r>
                    <w:rPr>
                      <w:rFonts w:ascii="Cambria Math" w:hAnsi="Cambria Math"/>
                      <w:sz w:val="22"/>
                      <w:szCs w:val="22"/>
                    </w:rPr>
                    <m:t>Y</m:t>
                  </m:r>
                </m:e>
              </m:bar>
            </m:oMath>
            <w:r w:rsidRPr="00431052">
              <w:rPr>
                <w:sz w:val="22"/>
                <w:szCs w:val="22"/>
              </w:rPr>
              <w:t>):</w:t>
            </w:r>
            <w:r w:rsidRPr="00431052">
              <w:rPr>
                <w:sz w:val="22"/>
                <w:szCs w:val="22"/>
              </w:rPr>
              <w:br/>
            </w:r>
            <m:oMathPara>
              <m:oMath>
                <m:r>
                  <m:rPr>
                    <m:sty m:val="p"/>
                  </m:rPr>
                  <w:rPr>
                    <w:rFonts w:ascii="Cambria Math" w:hAnsi="Cambria Math"/>
                    <w:sz w:val="22"/>
                    <w:szCs w:val="22"/>
                  </w:rPr>
                  <m:t>RII=</m:t>
                </m:r>
                <m:f>
                  <m:fPr>
                    <m:ctrlPr>
                      <w:rPr>
                        <w:rFonts w:ascii="Cambria Math" w:hAnsi="Cambria Math"/>
                        <w:sz w:val="22"/>
                        <w:szCs w:val="22"/>
                      </w:rPr>
                    </m:ctrlPr>
                  </m:fPr>
                  <m:num>
                    <m:r>
                      <m:rPr>
                        <m:sty m:val="p"/>
                      </m:rPr>
                      <w:rPr>
                        <w:rFonts w:ascii="Cambria Math" w:hAnsi="Cambria Math"/>
                        <w:sz w:val="22"/>
                        <w:szCs w:val="22"/>
                      </w:rPr>
                      <m:t>SII</m:t>
                    </m:r>
                  </m:num>
                  <m:den>
                    <m:acc>
                      <m:accPr>
                        <m:chr m:val="̅"/>
                        <m:ctrlPr>
                          <w:rPr>
                            <w:rFonts w:ascii="Cambria Math" w:hAnsi="Cambria Math"/>
                            <w:i/>
                            <w:sz w:val="22"/>
                            <w:szCs w:val="22"/>
                          </w:rPr>
                        </m:ctrlPr>
                      </m:accPr>
                      <m:e>
                        <m:r>
                          <w:rPr>
                            <w:rFonts w:ascii="Cambria Math" w:hAnsi="Cambria Math"/>
                            <w:sz w:val="22"/>
                            <w:szCs w:val="22"/>
                          </w:rPr>
                          <m:t>wY</m:t>
                        </m:r>
                      </m:e>
                    </m:acc>
                  </m:den>
                </m:f>
              </m:oMath>
            </m:oMathPara>
          </w:p>
          <w:p w14:paraId="2C10AE59" w14:textId="68205901" w:rsidR="009B1752" w:rsidRPr="00431052" w:rsidRDefault="009B1752" w:rsidP="0076061B">
            <w:pPr>
              <w:pStyle w:val="Default"/>
              <w:rPr>
                <w:color w:val="auto"/>
                <w:sz w:val="23"/>
                <w:szCs w:val="23"/>
              </w:rPr>
            </w:pPr>
            <w:r w:rsidRPr="00431052">
              <w:rPr>
                <w:color w:val="auto"/>
                <w:sz w:val="23"/>
                <w:szCs w:val="23"/>
              </w:rPr>
              <w:t>Where:</w:t>
            </w:r>
          </w:p>
          <w:p w14:paraId="3ED3EDF9" w14:textId="4842219F" w:rsidR="009B1752" w:rsidRPr="00431052" w:rsidRDefault="009B1752" w:rsidP="0076061B">
            <w:pPr>
              <w:pStyle w:val="Default"/>
              <w:rPr>
                <w:color w:val="auto"/>
                <w:sz w:val="23"/>
                <w:szCs w:val="23"/>
              </w:rPr>
            </w:pPr>
            <w:r w:rsidRPr="00431052">
              <w:rPr>
                <w:color w:val="auto"/>
                <w:sz w:val="23"/>
                <w:szCs w:val="23"/>
              </w:rPr>
              <w:t xml:space="preserve">w is the percentage of the population in the deprivation group </w:t>
            </w:r>
          </w:p>
          <w:p w14:paraId="05416052" w14:textId="635D3E93" w:rsidR="009B1752" w:rsidRPr="00431052" w:rsidRDefault="009B1752" w:rsidP="0076061B">
            <w:pPr>
              <w:rPr>
                <w:sz w:val="22"/>
                <w:szCs w:val="22"/>
              </w:rPr>
            </w:pPr>
            <w:r w:rsidRPr="00431052">
              <w:rPr>
                <w:sz w:val="23"/>
                <w:szCs w:val="23"/>
              </w:rPr>
              <w:t>y is the indicator value</w:t>
            </w:r>
          </w:p>
          <w:p w14:paraId="3818DB18" w14:textId="6C26E12A" w:rsidR="009B1752" w:rsidRPr="00431052" w:rsidRDefault="009B1752" w:rsidP="00CC2574">
            <w:pPr>
              <w:rPr>
                <w:sz w:val="22"/>
                <w:szCs w:val="22"/>
              </w:rPr>
            </w:pPr>
            <w:r w:rsidRPr="00431052">
              <w:rPr>
                <w:sz w:val="22"/>
                <w:szCs w:val="22"/>
              </w:rPr>
              <w:t>The confidence intervals of the RII are calculated from the confidence intervals of the SII as:</w:t>
            </w:r>
          </w:p>
          <w:p w14:paraId="2C99EF20" w14:textId="77777777" w:rsidR="009B1752" w:rsidRPr="00431052" w:rsidRDefault="009B1752" w:rsidP="00CC2574">
            <w:pPr>
              <w:rPr>
                <w:sz w:val="22"/>
                <w:szCs w:val="22"/>
              </w:rPr>
            </w:pPr>
            <m:oMathPara>
              <m:oMath>
                <m:r>
                  <w:rPr>
                    <w:rFonts w:ascii="Cambria Math" w:hAnsi="Cambria Math"/>
                    <w:sz w:val="22"/>
                    <w:szCs w:val="22"/>
                  </w:rPr>
                  <m:t>RII CI lower</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CI lower</m:t>
                    </m:r>
                  </m:num>
                  <m:den>
                    <m:bar>
                      <m:barPr>
                        <m:pos m:val="top"/>
                        <m:ctrlPr>
                          <w:rPr>
                            <w:rFonts w:ascii="Cambria Math" w:hAnsi="Cambria Math"/>
                            <w:i/>
                            <w:sz w:val="22"/>
                            <w:szCs w:val="22"/>
                          </w:rPr>
                        </m:ctrlPr>
                      </m:barPr>
                      <m:e>
                        <m:r>
                          <w:rPr>
                            <w:rFonts w:ascii="Cambria Math" w:hAnsi="Cambria Math"/>
                            <w:sz w:val="22"/>
                            <w:szCs w:val="22"/>
                          </w:rPr>
                          <m:t>wY</m:t>
                        </m:r>
                      </m:e>
                    </m:bar>
                  </m:den>
                </m:f>
              </m:oMath>
            </m:oMathPara>
          </w:p>
          <w:p w14:paraId="28777C70" w14:textId="77777777" w:rsidR="009B1752" w:rsidRPr="00431052" w:rsidRDefault="009B1752" w:rsidP="00CC2574">
            <w:pPr>
              <w:spacing w:before="240"/>
              <w:rPr>
                <w:sz w:val="22"/>
                <w:szCs w:val="22"/>
              </w:rPr>
            </w:pPr>
            <m:oMathPara>
              <m:oMath>
                <m:r>
                  <w:rPr>
                    <w:rFonts w:ascii="Cambria Math" w:hAnsi="Cambria Math"/>
                    <w:sz w:val="22"/>
                    <w:szCs w:val="22"/>
                  </w:rPr>
                  <m:t>RII CI upper</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CI upper</m:t>
                    </m:r>
                  </m:num>
                  <m:den>
                    <m:bar>
                      <m:barPr>
                        <m:pos m:val="top"/>
                        <m:ctrlPr>
                          <w:rPr>
                            <w:rFonts w:ascii="Cambria Math" w:hAnsi="Cambria Math"/>
                            <w:i/>
                            <w:sz w:val="22"/>
                            <w:szCs w:val="22"/>
                          </w:rPr>
                        </m:ctrlPr>
                      </m:barPr>
                      <m:e>
                        <m:r>
                          <w:rPr>
                            <w:rFonts w:ascii="Cambria Math" w:hAnsi="Cambria Math"/>
                            <w:sz w:val="22"/>
                            <w:szCs w:val="22"/>
                          </w:rPr>
                          <m:t>wY</m:t>
                        </m:r>
                      </m:e>
                    </m:bar>
                  </m:den>
                </m:f>
              </m:oMath>
            </m:oMathPara>
          </w:p>
          <w:p w14:paraId="6C367CDA" w14:textId="0AED980D" w:rsidR="009B1752" w:rsidRPr="00431052" w:rsidRDefault="009B1752" w:rsidP="00CC2574">
            <w:pPr>
              <w:spacing w:before="240"/>
              <w:rPr>
                <w:sz w:val="22"/>
                <w:szCs w:val="22"/>
              </w:rPr>
            </w:pPr>
            <w:r w:rsidRPr="00431052">
              <w:rPr>
                <w:sz w:val="22"/>
                <w:szCs w:val="22"/>
              </w:rPr>
              <w:t>RII data source – as indicator.</w:t>
            </w:r>
          </w:p>
        </w:tc>
      </w:tr>
      <w:permEnd w:id="1775924861"/>
      <w:tr w:rsidR="000A29D4" w:rsidRPr="00431052" w14:paraId="4E098115" w14:textId="77777777" w:rsidTr="009B1752">
        <w:tc>
          <w:tcPr>
            <w:tcW w:w="2552" w:type="dxa"/>
          </w:tcPr>
          <w:p w14:paraId="24923172" w14:textId="77777777" w:rsidR="000A29D4" w:rsidRPr="00431052" w:rsidRDefault="000A29D4" w:rsidP="000A29D4">
            <w:pPr>
              <w:spacing w:before="240"/>
              <w:ind w:left="34"/>
              <w:rPr>
                <w:b/>
                <w:sz w:val="22"/>
                <w:szCs w:val="22"/>
              </w:rPr>
            </w:pPr>
            <w:r>
              <w:rPr>
                <w:b/>
                <w:sz w:val="22"/>
                <w:szCs w:val="22"/>
              </w:rPr>
              <w:t xml:space="preserve">5.4 </w:t>
            </w:r>
            <w:r w:rsidRPr="00431052">
              <w:rPr>
                <w:b/>
                <w:sz w:val="22"/>
                <w:szCs w:val="22"/>
              </w:rPr>
              <w:t>Use of bandings, benchmarks or targets</w:t>
            </w:r>
          </w:p>
          <w:p w14:paraId="6F0A47BB" w14:textId="177FB4FD" w:rsidR="000A29D4" w:rsidRDefault="000A29D4" w:rsidP="000A29D4">
            <w:pPr>
              <w:spacing w:before="240"/>
              <w:ind w:left="34"/>
              <w:rPr>
                <w:b/>
                <w:sz w:val="22"/>
                <w:szCs w:val="22"/>
              </w:rPr>
            </w:pPr>
            <w:r w:rsidRPr="00431052">
              <w:rPr>
                <w:sz w:val="22"/>
                <w:szCs w:val="22"/>
              </w:rPr>
              <w:t>with justification</w:t>
            </w:r>
          </w:p>
        </w:tc>
        <w:tc>
          <w:tcPr>
            <w:tcW w:w="10631" w:type="dxa"/>
          </w:tcPr>
          <w:p w14:paraId="786ECF09" w14:textId="06E61C97" w:rsidR="000A29D4" w:rsidRPr="00431052" w:rsidRDefault="000A29D4" w:rsidP="00CC2574">
            <w:pPr>
              <w:spacing w:before="240"/>
              <w:rPr>
                <w:sz w:val="22"/>
                <w:szCs w:val="22"/>
              </w:rPr>
            </w:pPr>
            <w:r w:rsidRPr="00431052">
              <w:rPr>
                <w:sz w:val="22"/>
                <w:szCs w:val="22"/>
              </w:rPr>
              <w:t>None</w:t>
            </w:r>
          </w:p>
        </w:tc>
      </w:tr>
      <w:tr w:rsidR="009B1752" w:rsidRPr="00431052" w14:paraId="6C367CE7" w14:textId="77777777" w:rsidTr="009B1752">
        <w:tc>
          <w:tcPr>
            <w:tcW w:w="2552" w:type="dxa"/>
          </w:tcPr>
          <w:p w14:paraId="0B675C8F" w14:textId="62F63E52" w:rsidR="009B1752" w:rsidRPr="00431052" w:rsidRDefault="009B1752" w:rsidP="008022CE">
            <w:pPr>
              <w:spacing w:before="240"/>
              <w:ind w:left="34"/>
              <w:rPr>
                <w:b/>
                <w:sz w:val="22"/>
                <w:szCs w:val="22"/>
              </w:rPr>
            </w:pPr>
            <w:permStart w:id="623772071" w:edGrp="everyone" w:colFirst="1" w:colLast="1"/>
            <w:r>
              <w:rPr>
                <w:b/>
                <w:sz w:val="22"/>
                <w:szCs w:val="22"/>
              </w:rPr>
              <w:t xml:space="preserve">5.5 </w:t>
            </w:r>
            <w:r w:rsidRPr="00431052">
              <w:rPr>
                <w:b/>
                <w:sz w:val="22"/>
                <w:szCs w:val="22"/>
              </w:rPr>
              <w:t>Banding, benchmark or target methodology</w:t>
            </w:r>
          </w:p>
          <w:p w14:paraId="6C367CE5" w14:textId="6D1DB00B" w:rsidR="009B1752" w:rsidRPr="00431052" w:rsidRDefault="009B1752" w:rsidP="008022CE">
            <w:pPr>
              <w:spacing w:before="240"/>
              <w:ind w:left="34"/>
              <w:rPr>
                <w:sz w:val="22"/>
                <w:szCs w:val="22"/>
              </w:rPr>
            </w:pPr>
            <w:r w:rsidRPr="00431052">
              <w:rPr>
                <w:sz w:val="22"/>
                <w:szCs w:val="22"/>
              </w:rPr>
              <w:t>if appropriate</w:t>
            </w:r>
          </w:p>
        </w:tc>
        <w:tc>
          <w:tcPr>
            <w:tcW w:w="10631" w:type="dxa"/>
          </w:tcPr>
          <w:p w14:paraId="6C367CE6" w14:textId="038128AD" w:rsidR="009B1752" w:rsidRPr="00431052" w:rsidRDefault="009B1752" w:rsidP="00772A5C">
            <w:pPr>
              <w:spacing w:before="240"/>
              <w:rPr>
                <w:sz w:val="22"/>
                <w:szCs w:val="22"/>
              </w:rPr>
            </w:pPr>
            <w:r w:rsidRPr="00431052">
              <w:rPr>
                <w:sz w:val="22"/>
                <w:szCs w:val="22"/>
              </w:rPr>
              <w:t>N/A</w:t>
            </w:r>
          </w:p>
        </w:tc>
      </w:tr>
    </w:tbl>
    <w:permEnd w:id="623772071"/>
    <w:p w14:paraId="695E9416" w14:textId="41F5C3D9" w:rsidR="009B1752" w:rsidRDefault="009B1752">
      <w:r>
        <w:t>Interpretation</w:t>
      </w:r>
    </w:p>
    <w:tbl>
      <w:tblPr>
        <w:tblStyle w:val="TableGrid1"/>
        <w:tblW w:w="13183" w:type="dxa"/>
        <w:tblInd w:w="108" w:type="dxa"/>
        <w:tblLayout w:type="fixed"/>
        <w:tblLook w:val="04A0" w:firstRow="1" w:lastRow="0" w:firstColumn="1" w:lastColumn="0" w:noHBand="0" w:noVBand="1"/>
      </w:tblPr>
      <w:tblGrid>
        <w:gridCol w:w="2552"/>
        <w:gridCol w:w="10631"/>
      </w:tblGrid>
      <w:tr w:rsidR="009B1752" w:rsidRPr="00431052" w14:paraId="136186C3" w14:textId="77777777" w:rsidTr="009B1752">
        <w:tc>
          <w:tcPr>
            <w:tcW w:w="2552" w:type="dxa"/>
          </w:tcPr>
          <w:p w14:paraId="1E71E41D" w14:textId="557E87BA" w:rsidR="009B1752" w:rsidRPr="00431052" w:rsidRDefault="009B1752" w:rsidP="00193831">
            <w:pPr>
              <w:spacing w:before="240"/>
              <w:ind w:left="34"/>
              <w:rPr>
                <w:b/>
                <w:sz w:val="22"/>
                <w:szCs w:val="22"/>
              </w:rPr>
            </w:pPr>
            <w:permStart w:id="1678319560" w:edGrp="everyone" w:colFirst="2" w:colLast="2"/>
            <w:permStart w:id="211357650" w:edGrp="everyone" w:colFirst="1" w:colLast="1"/>
            <w:r>
              <w:rPr>
                <w:b/>
                <w:sz w:val="22"/>
                <w:szCs w:val="22"/>
              </w:rPr>
              <w:t xml:space="preserve">5.6 </w:t>
            </w:r>
            <w:r w:rsidRPr="00431052">
              <w:rPr>
                <w:b/>
                <w:sz w:val="22"/>
                <w:szCs w:val="22"/>
              </w:rPr>
              <w:t>Interpretation guidelines</w:t>
            </w:r>
          </w:p>
        </w:tc>
        <w:tc>
          <w:tcPr>
            <w:tcW w:w="10631" w:type="dxa"/>
          </w:tcPr>
          <w:p w14:paraId="51D923FA" w14:textId="77777777" w:rsidR="009B1752" w:rsidRPr="00431052" w:rsidRDefault="009B1752" w:rsidP="00CC2574">
            <w:pPr>
              <w:spacing w:before="240"/>
              <w:rPr>
                <w:sz w:val="22"/>
                <w:szCs w:val="22"/>
              </w:rPr>
            </w:pPr>
            <w:r w:rsidRPr="00431052">
              <w:rPr>
                <w:sz w:val="22"/>
                <w:szCs w:val="22"/>
              </w:rPr>
              <w:t>The SII presents the absolute extent of health inequality, the RII presents the inequality as a proportion of the average life expectancy. The SII and RII are intended to provide a summary measure of the extent of inequality. They do not give a full picture of how health inequalities are changing, and should be read in conjunction with the indicator values presented by decile of area deprivation to obtain a fuller understanding.</w:t>
            </w:r>
          </w:p>
          <w:p w14:paraId="124615F9" w14:textId="40F2382F" w:rsidR="009B1752" w:rsidRPr="00431052" w:rsidRDefault="009B1752" w:rsidP="00CC2574">
            <w:pPr>
              <w:spacing w:before="240"/>
              <w:rPr>
                <w:sz w:val="22"/>
                <w:szCs w:val="22"/>
              </w:rPr>
            </w:pPr>
            <w:r w:rsidRPr="00431052">
              <w:rPr>
                <w:sz w:val="22"/>
                <w:szCs w:val="22"/>
              </w:rPr>
              <w:t xml:space="preserve">A positive SII value indicates that those in the least deprived areas live longer than those in the most deprived areas. An increase in the SII value indicates that the absolute extent of inequality is increasing, therefore a reduction in the SII is desirable. </w:t>
            </w:r>
          </w:p>
          <w:p w14:paraId="25C5B75E" w14:textId="77777777" w:rsidR="009B1752" w:rsidRPr="00431052" w:rsidRDefault="009B1752" w:rsidP="00CC2574">
            <w:pPr>
              <w:spacing w:before="240"/>
              <w:rPr>
                <w:sz w:val="22"/>
                <w:szCs w:val="22"/>
              </w:rPr>
            </w:pPr>
            <w:r w:rsidRPr="00431052">
              <w:rPr>
                <w:sz w:val="22"/>
                <w:szCs w:val="22"/>
              </w:rPr>
              <w:t>The RII contextualises the SII, for example, a 5% increase in every average life expectancy would lead to an increase in the SII, i.e. if every value increased by 5%, the gradient of the slope would increase by 5% and the average life expectancy would increase by 5%. However, since the RII is the SII divided by the average life expectancy, the RII would show that the inequality remains constant when compared to the average life expectancy. An increase in the RII value indicates that the extent of the inequality is increasing as a proportion of the overall indicator value.</w:t>
            </w:r>
          </w:p>
          <w:p w14:paraId="1248F166" w14:textId="5112ED5A" w:rsidR="009B1752" w:rsidRPr="00431052" w:rsidRDefault="009B1752" w:rsidP="00CC2574">
            <w:pPr>
              <w:spacing w:before="240"/>
              <w:rPr>
                <w:sz w:val="22"/>
                <w:szCs w:val="22"/>
              </w:rPr>
            </w:pPr>
          </w:p>
        </w:tc>
      </w:tr>
      <w:tr w:rsidR="009B1752" w:rsidRPr="00431052" w14:paraId="2A057252" w14:textId="77777777" w:rsidTr="009B1752">
        <w:tc>
          <w:tcPr>
            <w:tcW w:w="2552" w:type="dxa"/>
          </w:tcPr>
          <w:p w14:paraId="614442C0" w14:textId="13FC6A2C" w:rsidR="009B1752" w:rsidRPr="00431052" w:rsidRDefault="009B1752" w:rsidP="00193831">
            <w:pPr>
              <w:spacing w:before="240"/>
              <w:ind w:left="34"/>
              <w:rPr>
                <w:b/>
                <w:sz w:val="22"/>
                <w:szCs w:val="22"/>
              </w:rPr>
            </w:pPr>
            <w:permStart w:id="1615012604" w:edGrp="everyone" w:colFirst="1" w:colLast="1"/>
            <w:permEnd w:id="211357650"/>
            <w:r>
              <w:rPr>
                <w:b/>
                <w:sz w:val="22"/>
                <w:szCs w:val="22"/>
              </w:rPr>
              <w:t xml:space="preserve">5.7 </w:t>
            </w:r>
            <w:r w:rsidRPr="00431052">
              <w:rPr>
                <w:b/>
                <w:sz w:val="22"/>
                <w:szCs w:val="22"/>
              </w:rPr>
              <w:t>Limitations and potential bias</w:t>
            </w:r>
          </w:p>
        </w:tc>
        <w:tc>
          <w:tcPr>
            <w:tcW w:w="10631" w:type="dxa"/>
          </w:tcPr>
          <w:p w14:paraId="7468E659" w14:textId="77777777" w:rsidR="009B1752" w:rsidRPr="00431052" w:rsidRDefault="009B1752" w:rsidP="0076061B">
            <w:pPr>
              <w:spacing w:before="240"/>
              <w:rPr>
                <w:sz w:val="22"/>
                <w:szCs w:val="22"/>
              </w:rPr>
            </w:pPr>
            <w:r w:rsidRPr="00431052">
              <w:rPr>
                <w:sz w:val="22"/>
                <w:szCs w:val="22"/>
              </w:rPr>
              <w:t>The summary inequality measures themselves show whether inequality is growing or diminishing, and what the change is relative to the indicator average.</w:t>
            </w:r>
          </w:p>
          <w:p w14:paraId="7759D2A0" w14:textId="1941CD00" w:rsidR="009B1752" w:rsidRPr="00431052" w:rsidRDefault="009B1752" w:rsidP="0076061B">
            <w:pPr>
              <w:spacing w:before="240"/>
              <w:rPr>
                <w:sz w:val="22"/>
                <w:szCs w:val="22"/>
              </w:rPr>
            </w:pPr>
            <w:r w:rsidRPr="00431052">
              <w:rPr>
                <w:sz w:val="22"/>
                <w:szCs w:val="22"/>
              </w:rPr>
              <w:t>The inequality measure, in part, reflects the range of deprivation in the underlying population, i.e. if the range of deprivation was reduced we would expect the inequality measure in the context of this indicator to reduce.</w:t>
            </w:r>
          </w:p>
          <w:p w14:paraId="4BF22C5A" w14:textId="77777777" w:rsidR="009B1752" w:rsidRPr="00431052" w:rsidRDefault="009B1752" w:rsidP="0076061B">
            <w:pPr>
              <w:spacing w:before="240"/>
              <w:rPr>
                <w:sz w:val="22"/>
                <w:szCs w:val="22"/>
              </w:rPr>
            </w:pPr>
            <w:r w:rsidRPr="00431052">
              <w:rPr>
                <w:sz w:val="22"/>
                <w:szCs w:val="22"/>
              </w:rPr>
              <w:t xml:space="preserve">The NHS can only be expected to be one of the several factors which influence life expectancy. </w:t>
            </w:r>
          </w:p>
          <w:p w14:paraId="12C1A5E1" w14:textId="249C45A6" w:rsidR="009B1752" w:rsidRPr="00431052" w:rsidRDefault="009B1752" w:rsidP="0076061B">
            <w:pPr>
              <w:spacing w:before="240"/>
              <w:rPr>
                <w:sz w:val="22"/>
                <w:szCs w:val="22"/>
              </w:rPr>
            </w:pPr>
            <w:r w:rsidRPr="00431052">
              <w:rPr>
                <w:sz w:val="22"/>
                <w:szCs w:val="22"/>
              </w:rPr>
              <w:t>The user may want to refer to the indicator values presented by deprivation to further understand these changes.</w:t>
            </w:r>
          </w:p>
        </w:tc>
      </w:tr>
      <w:tr w:rsidR="009B1752" w:rsidRPr="00431052" w14:paraId="41F4FD24" w14:textId="77777777" w:rsidTr="009B1752">
        <w:tc>
          <w:tcPr>
            <w:tcW w:w="2552" w:type="dxa"/>
          </w:tcPr>
          <w:p w14:paraId="4CC99D06" w14:textId="1DBBB49F" w:rsidR="009B1752" w:rsidRPr="00431052" w:rsidRDefault="009B1752" w:rsidP="00193831">
            <w:pPr>
              <w:spacing w:before="240"/>
              <w:ind w:left="34"/>
              <w:rPr>
                <w:b/>
                <w:sz w:val="22"/>
                <w:szCs w:val="22"/>
              </w:rPr>
            </w:pPr>
            <w:permStart w:id="1125263213" w:edGrp="everyone" w:colFirst="1" w:colLast="1"/>
            <w:permEnd w:id="1615012604"/>
            <w:r>
              <w:rPr>
                <w:b/>
                <w:sz w:val="22"/>
                <w:szCs w:val="22"/>
              </w:rPr>
              <w:t xml:space="preserve">5.8 </w:t>
            </w:r>
            <w:r w:rsidRPr="00431052">
              <w:rPr>
                <w:b/>
                <w:sz w:val="22"/>
                <w:szCs w:val="22"/>
              </w:rPr>
              <w:t>Improvement actions</w:t>
            </w:r>
          </w:p>
        </w:tc>
        <w:tc>
          <w:tcPr>
            <w:tcW w:w="10631" w:type="dxa"/>
          </w:tcPr>
          <w:p w14:paraId="30A34BCF" w14:textId="77777777" w:rsidR="009B1752" w:rsidRPr="00431052" w:rsidRDefault="009B1752" w:rsidP="00CC2574">
            <w:pPr>
              <w:spacing w:before="240"/>
              <w:rPr>
                <w:sz w:val="22"/>
                <w:szCs w:val="22"/>
              </w:rPr>
            </w:pPr>
            <w:r w:rsidRPr="00431052">
              <w:rPr>
                <w:sz w:val="22"/>
                <w:szCs w:val="22"/>
              </w:rPr>
              <w:t>The NHS Outcomes Framework sets out the national outcome goals that the SofS will use to monitor the progress of NHS England and there is an expectation of continuous improvement. It does not set out how these outcomes should be delivered, it will be for NHS England to determine how best to deliver improvements by working with Clinical Commissioning Groups and Providers to make use of the tools at their disposal.</w:t>
            </w:r>
          </w:p>
          <w:p w14:paraId="03A0187F" w14:textId="77777777" w:rsidR="009B1752" w:rsidRPr="00431052" w:rsidRDefault="009B1752" w:rsidP="00CC2574">
            <w:pPr>
              <w:pStyle w:val="Default"/>
              <w:rPr>
                <w:color w:val="auto"/>
                <w:sz w:val="22"/>
                <w:szCs w:val="22"/>
              </w:rPr>
            </w:pPr>
            <w:r w:rsidRPr="00431052">
              <w:rPr>
                <w:color w:val="auto"/>
                <w:sz w:val="22"/>
                <w:szCs w:val="22"/>
              </w:rPr>
              <w:t xml:space="preserve">The Health and Social Care Act 2012 amendments to the NHS Act 2006 introduced specific legal duties on health inequalities for the Secretary of State for Health, NHS England and Clinical Commissioning Groups (CCGs) to have regard to the need to reduce health inequalities. These include: </w:t>
            </w:r>
          </w:p>
          <w:p w14:paraId="2FD880E0" w14:textId="2B16A2C2" w:rsidR="009B1752" w:rsidRPr="00431052" w:rsidRDefault="009B1752" w:rsidP="00CC2574">
            <w:pPr>
              <w:pStyle w:val="Default"/>
              <w:spacing w:after="101"/>
              <w:rPr>
                <w:color w:val="auto"/>
                <w:sz w:val="22"/>
                <w:szCs w:val="22"/>
              </w:rPr>
            </w:pPr>
          </w:p>
          <w:p w14:paraId="1FD4E8D2" w14:textId="77777777" w:rsidR="009B1752" w:rsidRPr="00431052" w:rsidRDefault="009B1752" w:rsidP="00CC2574">
            <w:pPr>
              <w:pStyle w:val="Default"/>
              <w:spacing w:after="101"/>
              <w:rPr>
                <w:color w:val="auto"/>
                <w:sz w:val="22"/>
                <w:szCs w:val="22"/>
              </w:rPr>
            </w:pPr>
            <w:r w:rsidRPr="00431052">
              <w:rPr>
                <w:color w:val="auto"/>
                <w:sz w:val="22"/>
                <w:szCs w:val="22"/>
              </w:rPr>
              <w:t xml:space="preserve">• Duties on NHS England and each CCG to have regard to the need to reduce inequalities between patients in access to health services and the outcomes achieved. </w:t>
            </w:r>
          </w:p>
          <w:p w14:paraId="41CDD0A1" w14:textId="0FC98875" w:rsidR="009B1752" w:rsidRPr="00431052" w:rsidRDefault="009B1752" w:rsidP="0076061B">
            <w:pPr>
              <w:pStyle w:val="Default"/>
              <w:rPr>
                <w:color w:val="auto"/>
                <w:sz w:val="22"/>
                <w:szCs w:val="22"/>
              </w:rPr>
            </w:pPr>
            <w:r w:rsidRPr="00431052">
              <w:rPr>
                <w:color w:val="auto"/>
                <w:sz w:val="22"/>
                <w:szCs w:val="22"/>
              </w:rPr>
              <w:t xml:space="preserve">The Health and Social Care Act 2012 also requires the Secretary of State to make an assessment of, and report on, his own fulfilment of his health inequalities duty, and to assess and report on how well NHS England have fulfilled theirs. He has set out a suite of indicators which he will take account of in making these assessments, and inequalities in life expectancy at 75 for men and women is part of that suite.  This NHSOF indicator will be used for that. </w:t>
            </w:r>
          </w:p>
          <w:p w14:paraId="6D99D7B4" w14:textId="3F830696" w:rsidR="009B1752" w:rsidRPr="00431052" w:rsidRDefault="009B1752" w:rsidP="00CC2574">
            <w:pPr>
              <w:spacing w:before="240"/>
              <w:rPr>
                <w:sz w:val="22"/>
                <w:szCs w:val="22"/>
              </w:rPr>
            </w:pPr>
            <w:r w:rsidRPr="00431052">
              <w:rPr>
                <w:sz w:val="22"/>
                <w:szCs w:val="22"/>
              </w:rPr>
              <w:t>Reducing inequalities is included in objective 1 within the mandate to NHS England, with an expectation that success will be measured on inequalities as well as overall improvement against the NHS Outcomes Framework.</w:t>
            </w:r>
          </w:p>
        </w:tc>
      </w:tr>
      <w:permEnd w:id="1125263213"/>
      <w:tr w:rsidR="009B1752" w:rsidRPr="00431052" w14:paraId="6C367CEB" w14:textId="77777777" w:rsidTr="009B1752">
        <w:tc>
          <w:tcPr>
            <w:tcW w:w="2552" w:type="dxa"/>
          </w:tcPr>
          <w:p w14:paraId="6C367CE9" w14:textId="75A87973" w:rsidR="009B1752" w:rsidRPr="00431052" w:rsidRDefault="009B1752" w:rsidP="00772A5C">
            <w:pPr>
              <w:spacing w:before="240"/>
              <w:ind w:left="34"/>
              <w:rPr>
                <w:b/>
                <w:sz w:val="22"/>
                <w:szCs w:val="22"/>
              </w:rPr>
            </w:pPr>
            <w:r>
              <w:rPr>
                <w:b/>
                <w:sz w:val="22"/>
                <w:szCs w:val="22"/>
              </w:rPr>
              <w:t xml:space="preserve">5.9 </w:t>
            </w:r>
            <w:r w:rsidRPr="00431052">
              <w:rPr>
                <w:b/>
                <w:sz w:val="22"/>
                <w:szCs w:val="22"/>
              </w:rPr>
              <w:t>Evidence of variability</w:t>
            </w:r>
          </w:p>
        </w:tc>
        <w:tc>
          <w:tcPr>
            <w:tcW w:w="10631" w:type="dxa"/>
          </w:tcPr>
          <w:p w14:paraId="41FE8588" w14:textId="77777777" w:rsidR="009B1752" w:rsidRPr="00431052" w:rsidRDefault="009B1752" w:rsidP="00CC2574">
            <w:pPr>
              <w:spacing w:before="240"/>
              <w:rPr>
                <w:sz w:val="22"/>
                <w:szCs w:val="22"/>
              </w:rPr>
            </w:pPr>
            <w:r w:rsidRPr="00431052">
              <w:rPr>
                <w:sz w:val="22"/>
                <w:szCs w:val="22"/>
              </w:rPr>
              <w:t>These summary measures are presented at the England level.</w:t>
            </w:r>
          </w:p>
          <w:p w14:paraId="5C5583ED" w14:textId="77777777" w:rsidR="009B1752" w:rsidRPr="00431052" w:rsidRDefault="009B1752" w:rsidP="00CC2574">
            <w:pPr>
              <w:spacing w:before="240"/>
              <w:rPr>
                <w:sz w:val="22"/>
                <w:szCs w:val="22"/>
              </w:rPr>
            </w:pPr>
            <w:r w:rsidRPr="00431052">
              <w:rPr>
                <w:sz w:val="22"/>
                <w:szCs w:val="22"/>
              </w:rPr>
              <w:t>The relationship between life expectancy at 75 and deprivation follows an approximately linear relationship.</w:t>
            </w:r>
          </w:p>
          <w:p w14:paraId="6C367CEA" w14:textId="563CED7E" w:rsidR="009B1752" w:rsidRPr="00431052" w:rsidRDefault="009B1752" w:rsidP="00CC2574">
            <w:pPr>
              <w:spacing w:before="240"/>
              <w:rPr>
                <w:sz w:val="22"/>
                <w:szCs w:val="22"/>
              </w:rPr>
            </w:pPr>
          </w:p>
        </w:tc>
      </w:tr>
      <w:permEnd w:id="1678319560"/>
    </w:tbl>
    <w:p w14:paraId="6C367CF8" w14:textId="654858A2" w:rsidR="00772A5C" w:rsidRPr="00431052" w:rsidRDefault="00772A5C">
      <w:pPr>
        <w:rPr>
          <w:rFonts w:cs="Arial"/>
        </w:rPr>
      </w:pPr>
    </w:p>
    <w:p w14:paraId="57C93EAF" w14:textId="77777777" w:rsidR="000A29D4" w:rsidRPr="00431052" w:rsidRDefault="000A29D4" w:rsidP="000A29D4">
      <w:pPr>
        <w:spacing w:before="240"/>
        <w:rPr>
          <w:sz w:val="22"/>
          <w:szCs w:val="22"/>
        </w:rPr>
      </w:pPr>
      <w:r w:rsidRPr="00431052">
        <w:rPr>
          <w:sz w:val="22"/>
          <w:szCs w:val="22"/>
        </w:rPr>
        <w:t>The charts below show the relationship between life expectancy at 75 and deprivation, 2012-14 for males and females.</w:t>
      </w:r>
    </w:p>
    <w:p w14:paraId="5E769823" w14:textId="2E85D8C5" w:rsidR="000A29D4" w:rsidRPr="00431052" w:rsidRDefault="000A29D4" w:rsidP="000A29D4">
      <w:pPr>
        <w:spacing w:before="240"/>
        <w:rPr>
          <w:i/>
          <w:sz w:val="22"/>
          <w:szCs w:val="22"/>
        </w:rPr>
      </w:pPr>
      <w:r w:rsidRPr="00431052">
        <w:object w:dxaOrig="11865" w:dyaOrig="6390" w14:anchorId="7A6FD0F0">
          <v:shape id="_x0000_i1330" type="#_x0000_t75" alt="graph showing slope index of inequality for life expectancy at 75" style="width:343.5pt;height:184.35pt" o:ole="">
            <v:imagedata r:id="rId14" o:title=""/>
          </v:shape>
          <o:OLEObject Type="Embed" ProgID="PBrush" ShapeID="_x0000_i1330" DrawAspect="Content" ObjectID="_1646116773" r:id="rId19"/>
        </w:object>
      </w:r>
    </w:p>
    <w:p w14:paraId="06B76B62" w14:textId="782EE384" w:rsidR="000A29D4" w:rsidRPr="00431052" w:rsidRDefault="000A29D4" w:rsidP="000A29D4">
      <w:pPr>
        <w:spacing w:before="240"/>
        <w:rPr>
          <w:sz w:val="22"/>
          <w:szCs w:val="22"/>
        </w:rPr>
      </w:pPr>
      <w:r w:rsidRPr="00431052">
        <w:object w:dxaOrig="11775" w:dyaOrig="6300" w14:anchorId="2EAF830C">
          <v:shape id="_x0000_i1331" type="#_x0000_t75" alt="slope index of ineuality for life expectancy at 75 males 2012-14" style="width:343.25pt;height:183.35pt" o:ole="">
            <v:imagedata r:id="rId16" o:title=""/>
          </v:shape>
          <o:OLEObject Type="Embed" ProgID="PBrush" ShapeID="_x0000_i1331" DrawAspect="Content" ObjectID="_1646116774" r:id="rId20"/>
        </w:object>
      </w:r>
    </w:p>
    <w:p w14:paraId="459F3AF6" w14:textId="77777777" w:rsidR="000A29D4" w:rsidRPr="00431052" w:rsidRDefault="000A29D4" w:rsidP="000A29D4">
      <w:pPr>
        <w:spacing w:before="240"/>
        <w:rPr>
          <w:sz w:val="22"/>
          <w:szCs w:val="22"/>
        </w:rPr>
      </w:pPr>
      <w:r w:rsidRPr="00431052">
        <w:rPr>
          <w:sz w:val="22"/>
          <w:szCs w:val="22"/>
        </w:rPr>
        <w:t>The table below shows the SII from 2009/11 to 2013/15, and the r</w:t>
      </w:r>
      <w:r w:rsidRPr="00431052">
        <w:rPr>
          <w:sz w:val="22"/>
          <w:szCs w:val="22"/>
          <w:vertAlign w:val="superscript"/>
        </w:rPr>
        <w:t>2</w:t>
      </w:r>
      <w:r w:rsidRPr="00431052">
        <w:rPr>
          <w:sz w:val="22"/>
          <w:szCs w:val="22"/>
        </w:rPr>
        <w:t xml:space="preserve"> value from the line of best fit through the data points.</w:t>
      </w:r>
    </w:p>
    <w:p w14:paraId="08A5B73A" w14:textId="77777777" w:rsidR="000A29D4" w:rsidRPr="00431052" w:rsidRDefault="000A29D4" w:rsidP="000A29D4">
      <w:pPr>
        <w:spacing w:before="240"/>
        <w:rPr>
          <w:sz w:val="22"/>
          <w:szCs w:val="22"/>
        </w:rPr>
      </w:pPr>
    </w:p>
    <w:p w14:paraId="5872E6F6" w14:textId="77777777" w:rsidR="000A29D4" w:rsidRPr="00431052" w:rsidRDefault="000A29D4" w:rsidP="000A29D4">
      <w:pPr>
        <w:spacing w:before="240"/>
        <w:rPr>
          <w:sz w:val="22"/>
          <w:szCs w:val="22"/>
        </w:rPr>
      </w:pPr>
    </w:p>
    <w:tbl>
      <w:tblPr>
        <w:tblStyle w:val="TableGrid"/>
        <w:tblW w:w="4920" w:type="dxa"/>
        <w:tblLayout w:type="fixed"/>
        <w:tblLook w:val="04A0" w:firstRow="1" w:lastRow="0" w:firstColumn="1" w:lastColumn="0" w:noHBand="0" w:noVBand="1"/>
      </w:tblPr>
      <w:tblGrid>
        <w:gridCol w:w="920"/>
        <w:gridCol w:w="1106"/>
        <w:gridCol w:w="734"/>
        <w:gridCol w:w="1080"/>
        <w:gridCol w:w="1080"/>
      </w:tblGrid>
      <w:tr w:rsidR="000A29D4" w:rsidRPr="00431052" w14:paraId="2C8F223D" w14:textId="77777777" w:rsidTr="00201CDA">
        <w:trPr>
          <w:trHeight w:val="285"/>
        </w:trPr>
        <w:tc>
          <w:tcPr>
            <w:tcW w:w="920" w:type="dxa"/>
            <w:noWrap/>
            <w:hideMark/>
          </w:tcPr>
          <w:p w14:paraId="1893995B" w14:textId="1ED5F1C7" w:rsidR="000A29D4" w:rsidRPr="00431052" w:rsidRDefault="000A29D4" w:rsidP="00201CDA">
            <w:pPr>
              <w:spacing w:after="0"/>
              <w:textboxTightWrap w:val="none"/>
              <w:rPr>
                <w:rFonts w:cs="Arial"/>
                <w:sz w:val="22"/>
                <w:szCs w:val="22"/>
                <w:lang w:eastAsia="en-GB"/>
              </w:rPr>
            </w:pPr>
            <w:r w:rsidRPr="00431052">
              <w:rPr>
                <w:rFonts w:cs="Arial"/>
                <w:sz w:val="22"/>
                <w:szCs w:val="22"/>
                <w:lang w:eastAsia="en-GB"/>
              </w:rPr>
              <w:t> </w:t>
            </w:r>
            <w:r>
              <w:rPr>
                <w:rFonts w:cs="Arial"/>
                <w:sz w:val="22"/>
                <w:szCs w:val="22"/>
                <w:lang w:eastAsia="en-GB"/>
              </w:rPr>
              <w:t>Year</w:t>
            </w:r>
          </w:p>
        </w:tc>
        <w:tc>
          <w:tcPr>
            <w:tcW w:w="1106" w:type="dxa"/>
            <w:noWrap/>
            <w:hideMark/>
          </w:tcPr>
          <w:p w14:paraId="716EEC48" w14:textId="56957E37" w:rsidR="000A29D4" w:rsidRPr="00431052" w:rsidRDefault="000A29D4" w:rsidP="00201CDA">
            <w:pPr>
              <w:spacing w:after="0"/>
              <w:jc w:val="right"/>
              <w:textboxTightWrap w:val="none"/>
              <w:rPr>
                <w:rFonts w:cs="Arial"/>
                <w:sz w:val="22"/>
                <w:szCs w:val="22"/>
                <w:lang w:eastAsia="en-GB"/>
              </w:rPr>
            </w:pPr>
            <w:r>
              <w:rPr>
                <w:rFonts w:cs="Arial"/>
                <w:sz w:val="22"/>
                <w:szCs w:val="22"/>
                <w:lang w:eastAsia="en-GB"/>
              </w:rPr>
              <w:t xml:space="preserve">SII </w:t>
            </w:r>
            <w:r w:rsidRPr="00431052">
              <w:rPr>
                <w:rFonts w:cs="Arial"/>
                <w:sz w:val="22"/>
                <w:szCs w:val="22"/>
                <w:lang w:eastAsia="en-GB"/>
              </w:rPr>
              <w:t>Female</w:t>
            </w:r>
          </w:p>
        </w:tc>
        <w:tc>
          <w:tcPr>
            <w:tcW w:w="734" w:type="dxa"/>
            <w:noWrap/>
            <w:hideMark/>
          </w:tcPr>
          <w:p w14:paraId="476B7726" w14:textId="2D1DFC4C" w:rsidR="000A29D4" w:rsidRPr="00431052" w:rsidRDefault="000A29D4" w:rsidP="00201CDA">
            <w:pPr>
              <w:spacing w:after="0"/>
              <w:jc w:val="right"/>
              <w:textboxTightWrap w:val="none"/>
              <w:rPr>
                <w:rFonts w:cs="Arial"/>
                <w:sz w:val="22"/>
                <w:szCs w:val="22"/>
                <w:lang w:eastAsia="en-GB"/>
              </w:rPr>
            </w:pPr>
            <w:r>
              <w:rPr>
                <w:rFonts w:cs="Arial"/>
                <w:sz w:val="22"/>
                <w:szCs w:val="22"/>
                <w:lang w:eastAsia="en-GB"/>
              </w:rPr>
              <w:t xml:space="preserve">SII </w:t>
            </w:r>
            <w:r w:rsidRPr="00431052">
              <w:rPr>
                <w:rFonts w:cs="Arial"/>
                <w:sz w:val="22"/>
                <w:szCs w:val="22"/>
                <w:lang w:eastAsia="en-GB"/>
              </w:rPr>
              <w:t>Male</w:t>
            </w:r>
          </w:p>
        </w:tc>
        <w:tc>
          <w:tcPr>
            <w:tcW w:w="1080" w:type="dxa"/>
            <w:noWrap/>
            <w:hideMark/>
          </w:tcPr>
          <w:p w14:paraId="00C6C35A" w14:textId="3BB45040"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r</w:t>
            </w:r>
            <w:r w:rsidRPr="00431052">
              <w:rPr>
                <w:rFonts w:cs="Arial"/>
                <w:sz w:val="22"/>
                <w:szCs w:val="22"/>
                <w:vertAlign w:val="superscript"/>
                <w:lang w:eastAsia="en-GB"/>
              </w:rPr>
              <w:t>2</w:t>
            </w:r>
            <w:r>
              <w:rPr>
                <w:rFonts w:cs="Arial"/>
                <w:sz w:val="22"/>
                <w:szCs w:val="22"/>
                <w:vertAlign w:val="superscript"/>
                <w:lang w:eastAsia="en-GB"/>
              </w:rPr>
              <w:t xml:space="preserve"> </w:t>
            </w:r>
            <w:r w:rsidRPr="00431052">
              <w:rPr>
                <w:rFonts w:cs="Arial"/>
                <w:sz w:val="22"/>
                <w:szCs w:val="22"/>
                <w:lang w:eastAsia="en-GB"/>
              </w:rPr>
              <w:t>Female</w:t>
            </w:r>
          </w:p>
        </w:tc>
        <w:tc>
          <w:tcPr>
            <w:tcW w:w="1080" w:type="dxa"/>
            <w:noWrap/>
            <w:hideMark/>
          </w:tcPr>
          <w:p w14:paraId="6440FF4D" w14:textId="7599C05D"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r</w:t>
            </w:r>
            <w:r w:rsidRPr="00431052">
              <w:rPr>
                <w:rFonts w:cs="Arial"/>
                <w:sz w:val="22"/>
                <w:szCs w:val="22"/>
                <w:vertAlign w:val="superscript"/>
                <w:lang w:eastAsia="en-GB"/>
              </w:rPr>
              <w:t>2</w:t>
            </w:r>
            <w:r>
              <w:rPr>
                <w:rFonts w:cs="Arial"/>
                <w:sz w:val="22"/>
                <w:szCs w:val="22"/>
                <w:lang w:eastAsia="en-GB"/>
              </w:rPr>
              <w:t xml:space="preserve"> </w:t>
            </w:r>
            <w:r w:rsidRPr="00431052">
              <w:rPr>
                <w:rFonts w:cs="Arial"/>
                <w:sz w:val="22"/>
                <w:szCs w:val="22"/>
                <w:lang w:eastAsia="en-GB"/>
              </w:rPr>
              <w:t>Male</w:t>
            </w:r>
          </w:p>
        </w:tc>
      </w:tr>
      <w:tr w:rsidR="000A29D4" w:rsidRPr="00431052" w14:paraId="42322784" w14:textId="77777777" w:rsidTr="00201CDA">
        <w:trPr>
          <w:trHeight w:val="285"/>
        </w:trPr>
        <w:tc>
          <w:tcPr>
            <w:tcW w:w="920" w:type="dxa"/>
            <w:noWrap/>
            <w:hideMark/>
          </w:tcPr>
          <w:p w14:paraId="0A21475E" w14:textId="77777777" w:rsidR="000A29D4" w:rsidRPr="00431052" w:rsidRDefault="000A29D4" w:rsidP="00201CDA">
            <w:pPr>
              <w:spacing w:after="0"/>
              <w:textboxTightWrap w:val="none"/>
              <w:rPr>
                <w:rFonts w:cs="Arial"/>
                <w:sz w:val="22"/>
                <w:szCs w:val="22"/>
                <w:lang w:eastAsia="en-GB"/>
              </w:rPr>
            </w:pPr>
            <w:r w:rsidRPr="00431052">
              <w:rPr>
                <w:rFonts w:cs="Arial"/>
                <w:sz w:val="22"/>
                <w:szCs w:val="22"/>
                <w:lang w:eastAsia="en-GB"/>
              </w:rPr>
              <w:t>2009/11</w:t>
            </w:r>
          </w:p>
        </w:tc>
        <w:tc>
          <w:tcPr>
            <w:tcW w:w="1106" w:type="dxa"/>
            <w:noWrap/>
            <w:hideMark/>
          </w:tcPr>
          <w:p w14:paraId="39BBA662"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2.39</w:t>
            </w:r>
          </w:p>
        </w:tc>
        <w:tc>
          <w:tcPr>
            <w:tcW w:w="734" w:type="dxa"/>
            <w:noWrap/>
            <w:hideMark/>
          </w:tcPr>
          <w:p w14:paraId="6EEAD125"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2.62</w:t>
            </w:r>
          </w:p>
        </w:tc>
        <w:tc>
          <w:tcPr>
            <w:tcW w:w="1080" w:type="dxa"/>
            <w:noWrap/>
            <w:hideMark/>
          </w:tcPr>
          <w:p w14:paraId="41666696"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 xml:space="preserve"> 0.9582</w:t>
            </w:r>
          </w:p>
        </w:tc>
        <w:tc>
          <w:tcPr>
            <w:tcW w:w="1080" w:type="dxa"/>
            <w:noWrap/>
            <w:hideMark/>
          </w:tcPr>
          <w:p w14:paraId="107A62EF"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0.9756</w:t>
            </w:r>
          </w:p>
        </w:tc>
      </w:tr>
      <w:tr w:rsidR="000A29D4" w:rsidRPr="00431052" w14:paraId="1855A082" w14:textId="77777777" w:rsidTr="00201CDA">
        <w:trPr>
          <w:trHeight w:val="285"/>
        </w:trPr>
        <w:tc>
          <w:tcPr>
            <w:tcW w:w="920" w:type="dxa"/>
            <w:noWrap/>
            <w:hideMark/>
          </w:tcPr>
          <w:p w14:paraId="1922D1BD" w14:textId="77777777" w:rsidR="000A29D4" w:rsidRPr="00431052" w:rsidRDefault="000A29D4" w:rsidP="00201CDA">
            <w:pPr>
              <w:spacing w:after="0"/>
              <w:textboxTightWrap w:val="none"/>
              <w:rPr>
                <w:rFonts w:cs="Arial"/>
                <w:sz w:val="22"/>
                <w:szCs w:val="22"/>
                <w:lang w:eastAsia="en-GB"/>
              </w:rPr>
            </w:pPr>
            <w:r w:rsidRPr="00431052">
              <w:rPr>
                <w:rFonts w:cs="Arial"/>
                <w:sz w:val="22"/>
                <w:szCs w:val="22"/>
                <w:lang w:eastAsia="en-GB"/>
              </w:rPr>
              <w:t>2010/12</w:t>
            </w:r>
          </w:p>
        </w:tc>
        <w:tc>
          <w:tcPr>
            <w:tcW w:w="1106" w:type="dxa"/>
            <w:noWrap/>
            <w:hideMark/>
          </w:tcPr>
          <w:p w14:paraId="67D510E1"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2.47</w:t>
            </w:r>
          </w:p>
        </w:tc>
        <w:tc>
          <w:tcPr>
            <w:tcW w:w="734" w:type="dxa"/>
            <w:noWrap/>
            <w:hideMark/>
          </w:tcPr>
          <w:p w14:paraId="73F5840B"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2.65</w:t>
            </w:r>
          </w:p>
        </w:tc>
        <w:tc>
          <w:tcPr>
            <w:tcW w:w="1080" w:type="dxa"/>
            <w:noWrap/>
            <w:hideMark/>
          </w:tcPr>
          <w:p w14:paraId="2CD780F3"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0.9636</w:t>
            </w:r>
          </w:p>
        </w:tc>
        <w:tc>
          <w:tcPr>
            <w:tcW w:w="1080" w:type="dxa"/>
            <w:noWrap/>
            <w:hideMark/>
          </w:tcPr>
          <w:p w14:paraId="627AB3EE"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0.9701</w:t>
            </w:r>
          </w:p>
        </w:tc>
      </w:tr>
      <w:tr w:rsidR="000A29D4" w:rsidRPr="00431052" w14:paraId="4694085E" w14:textId="77777777" w:rsidTr="00201CDA">
        <w:trPr>
          <w:trHeight w:val="285"/>
        </w:trPr>
        <w:tc>
          <w:tcPr>
            <w:tcW w:w="920" w:type="dxa"/>
            <w:noWrap/>
            <w:hideMark/>
          </w:tcPr>
          <w:p w14:paraId="27FB560C" w14:textId="77777777" w:rsidR="000A29D4" w:rsidRPr="00431052" w:rsidRDefault="000A29D4" w:rsidP="00201CDA">
            <w:pPr>
              <w:spacing w:after="0"/>
              <w:textboxTightWrap w:val="none"/>
              <w:rPr>
                <w:rFonts w:cs="Arial"/>
                <w:sz w:val="22"/>
                <w:szCs w:val="22"/>
                <w:lang w:eastAsia="en-GB"/>
              </w:rPr>
            </w:pPr>
            <w:r w:rsidRPr="00431052">
              <w:rPr>
                <w:rFonts w:cs="Arial"/>
                <w:sz w:val="22"/>
                <w:szCs w:val="22"/>
                <w:lang w:eastAsia="en-GB"/>
              </w:rPr>
              <w:t>2011/13</w:t>
            </w:r>
          </w:p>
        </w:tc>
        <w:tc>
          <w:tcPr>
            <w:tcW w:w="1106" w:type="dxa"/>
            <w:noWrap/>
            <w:hideMark/>
          </w:tcPr>
          <w:p w14:paraId="7020D463"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2.60</w:t>
            </w:r>
          </w:p>
        </w:tc>
        <w:tc>
          <w:tcPr>
            <w:tcW w:w="734" w:type="dxa"/>
            <w:noWrap/>
            <w:hideMark/>
          </w:tcPr>
          <w:p w14:paraId="3680C57D"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2.74</w:t>
            </w:r>
          </w:p>
        </w:tc>
        <w:tc>
          <w:tcPr>
            <w:tcW w:w="1080" w:type="dxa"/>
            <w:noWrap/>
            <w:hideMark/>
          </w:tcPr>
          <w:p w14:paraId="05251911"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0.9594</w:t>
            </w:r>
          </w:p>
        </w:tc>
        <w:tc>
          <w:tcPr>
            <w:tcW w:w="1080" w:type="dxa"/>
            <w:noWrap/>
            <w:hideMark/>
          </w:tcPr>
          <w:p w14:paraId="7B3F4DAE"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0.9683</w:t>
            </w:r>
          </w:p>
        </w:tc>
      </w:tr>
      <w:tr w:rsidR="000A29D4" w:rsidRPr="00431052" w14:paraId="1776192A" w14:textId="77777777" w:rsidTr="00201CDA">
        <w:trPr>
          <w:trHeight w:val="300"/>
        </w:trPr>
        <w:tc>
          <w:tcPr>
            <w:tcW w:w="920" w:type="dxa"/>
            <w:noWrap/>
            <w:hideMark/>
          </w:tcPr>
          <w:p w14:paraId="3811D73D" w14:textId="77777777" w:rsidR="000A29D4" w:rsidRPr="00431052" w:rsidRDefault="000A29D4" w:rsidP="00201CDA">
            <w:pPr>
              <w:spacing w:after="0"/>
              <w:textboxTightWrap w:val="none"/>
              <w:rPr>
                <w:rFonts w:cs="Arial"/>
                <w:sz w:val="22"/>
                <w:szCs w:val="22"/>
                <w:lang w:eastAsia="en-GB"/>
              </w:rPr>
            </w:pPr>
            <w:r w:rsidRPr="00431052">
              <w:rPr>
                <w:rFonts w:cs="Arial"/>
                <w:sz w:val="22"/>
                <w:szCs w:val="22"/>
                <w:lang w:eastAsia="en-GB"/>
              </w:rPr>
              <w:t>2012/14</w:t>
            </w:r>
          </w:p>
        </w:tc>
        <w:tc>
          <w:tcPr>
            <w:tcW w:w="1106" w:type="dxa"/>
            <w:noWrap/>
            <w:hideMark/>
          </w:tcPr>
          <w:p w14:paraId="1F7B17E1"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2.68</w:t>
            </w:r>
          </w:p>
        </w:tc>
        <w:tc>
          <w:tcPr>
            <w:tcW w:w="734" w:type="dxa"/>
            <w:noWrap/>
            <w:hideMark/>
          </w:tcPr>
          <w:p w14:paraId="504FC89C"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2.79</w:t>
            </w:r>
          </w:p>
        </w:tc>
        <w:tc>
          <w:tcPr>
            <w:tcW w:w="1080" w:type="dxa"/>
            <w:noWrap/>
            <w:hideMark/>
          </w:tcPr>
          <w:p w14:paraId="1FCFF984"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0.9657</w:t>
            </w:r>
          </w:p>
        </w:tc>
        <w:tc>
          <w:tcPr>
            <w:tcW w:w="1080" w:type="dxa"/>
            <w:noWrap/>
            <w:hideMark/>
          </w:tcPr>
          <w:p w14:paraId="08A40590"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0.9569</w:t>
            </w:r>
          </w:p>
        </w:tc>
      </w:tr>
      <w:tr w:rsidR="000A29D4" w:rsidRPr="00431052" w14:paraId="2AD954BF" w14:textId="77777777" w:rsidTr="00201CDA">
        <w:trPr>
          <w:trHeight w:val="300"/>
        </w:trPr>
        <w:tc>
          <w:tcPr>
            <w:tcW w:w="920" w:type="dxa"/>
            <w:noWrap/>
          </w:tcPr>
          <w:p w14:paraId="28B02E69" w14:textId="77777777" w:rsidR="000A29D4" w:rsidRPr="00431052" w:rsidRDefault="000A29D4" w:rsidP="00201CDA">
            <w:pPr>
              <w:spacing w:after="0"/>
              <w:textboxTightWrap w:val="none"/>
              <w:rPr>
                <w:rFonts w:cs="Arial"/>
                <w:sz w:val="22"/>
                <w:szCs w:val="22"/>
                <w:lang w:eastAsia="en-GB"/>
              </w:rPr>
            </w:pPr>
            <w:r w:rsidRPr="00431052">
              <w:rPr>
                <w:rFonts w:cs="Arial"/>
                <w:sz w:val="22"/>
                <w:szCs w:val="22"/>
                <w:lang w:eastAsia="en-GB"/>
              </w:rPr>
              <w:t>2013/15</w:t>
            </w:r>
          </w:p>
        </w:tc>
        <w:tc>
          <w:tcPr>
            <w:tcW w:w="1106" w:type="dxa"/>
            <w:noWrap/>
          </w:tcPr>
          <w:p w14:paraId="09F136EF"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2.78</w:t>
            </w:r>
          </w:p>
        </w:tc>
        <w:tc>
          <w:tcPr>
            <w:tcW w:w="734" w:type="dxa"/>
            <w:noWrap/>
          </w:tcPr>
          <w:p w14:paraId="05D51890"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2.86</w:t>
            </w:r>
          </w:p>
        </w:tc>
        <w:tc>
          <w:tcPr>
            <w:tcW w:w="1080" w:type="dxa"/>
            <w:noWrap/>
          </w:tcPr>
          <w:p w14:paraId="5B1C0675"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0.9627</w:t>
            </w:r>
          </w:p>
        </w:tc>
        <w:tc>
          <w:tcPr>
            <w:tcW w:w="1080" w:type="dxa"/>
            <w:noWrap/>
          </w:tcPr>
          <w:p w14:paraId="5D308E8B" w14:textId="77777777" w:rsidR="000A29D4" w:rsidRPr="00431052" w:rsidRDefault="000A29D4" w:rsidP="00201CDA">
            <w:pPr>
              <w:spacing w:after="0"/>
              <w:jc w:val="right"/>
              <w:textboxTightWrap w:val="none"/>
              <w:rPr>
                <w:rFonts w:cs="Arial"/>
                <w:sz w:val="22"/>
                <w:szCs w:val="22"/>
                <w:lang w:eastAsia="en-GB"/>
              </w:rPr>
            </w:pPr>
            <w:r w:rsidRPr="00431052">
              <w:rPr>
                <w:rFonts w:cs="Arial"/>
                <w:sz w:val="22"/>
                <w:szCs w:val="22"/>
                <w:lang w:eastAsia="en-GB"/>
              </w:rPr>
              <w:t>0.9547</w:t>
            </w:r>
          </w:p>
        </w:tc>
      </w:tr>
    </w:tbl>
    <w:p w14:paraId="6E94EC97" w14:textId="77777777" w:rsidR="000A29D4" w:rsidRPr="00431052" w:rsidRDefault="000A29D4" w:rsidP="000A29D4">
      <w:pPr>
        <w:spacing w:before="240"/>
        <w:rPr>
          <w:sz w:val="22"/>
          <w:szCs w:val="22"/>
        </w:rPr>
      </w:pPr>
      <w:r w:rsidRPr="00431052">
        <w:rPr>
          <w:sz w:val="22"/>
          <w:szCs w:val="22"/>
        </w:rPr>
        <w:t xml:space="preserve">The charts below </w:t>
      </w:r>
      <w:proofErr w:type="gramStart"/>
      <w:r w:rsidRPr="00431052">
        <w:rPr>
          <w:sz w:val="22"/>
          <w:szCs w:val="22"/>
        </w:rPr>
        <w:t>shows</w:t>
      </w:r>
      <w:proofErr w:type="gramEnd"/>
      <w:r w:rsidRPr="00431052">
        <w:rPr>
          <w:sz w:val="22"/>
          <w:szCs w:val="22"/>
        </w:rPr>
        <w:t xml:space="preserve"> the residuals of the predicted y value from the linear regression minus the actual y value for 2012/14 for Females and Males respectively.</w:t>
      </w:r>
    </w:p>
    <w:p w14:paraId="62454873" w14:textId="4B1E2DA2" w:rsidR="000A29D4" w:rsidRPr="00431052" w:rsidRDefault="000A29D4" w:rsidP="000A29D4">
      <w:pPr>
        <w:spacing w:before="240"/>
        <w:rPr>
          <w:sz w:val="22"/>
          <w:szCs w:val="22"/>
        </w:rPr>
      </w:pPr>
      <w:r w:rsidRPr="00431052">
        <w:object w:dxaOrig="7215" w:dyaOrig="4335" w14:anchorId="1E432094">
          <v:shape id="_x0000_i1332" type="#_x0000_t75" alt="chart showing the predicted y-actual y (y axis) plotted against relative deprivation from high to low (x axis)" style="width:343.05pt;height:205.9pt" o:ole="">
            <v:imagedata r:id="rId21" o:title=""/>
          </v:shape>
          <o:OLEObject Type="Embed" ProgID="PBrush" ShapeID="_x0000_i1332" DrawAspect="Content" ObjectID="_1646116775" r:id="rId22"/>
        </w:object>
      </w:r>
    </w:p>
    <w:p w14:paraId="237D1D57" w14:textId="6B861807" w:rsidR="00FB6F7F" w:rsidRPr="00431052" w:rsidRDefault="00E608F5" w:rsidP="000A29D4">
      <w:pPr>
        <w:rPr>
          <w:rFonts w:cs="Arial"/>
        </w:rPr>
      </w:pPr>
      <w:r w:rsidRPr="00431052">
        <w:object w:dxaOrig="7215" w:dyaOrig="4335" w14:anchorId="1045909B">
          <v:shape id="_x0000_i1333" type="#_x0000_t75" alt="grpah showing males. predicted y- actual y on y axis and relative deprivation from high to low on the x axis" style="width:343.05pt;height:205.9pt" o:ole="">
            <v:imagedata r:id="rId23" o:title=""/>
          </v:shape>
          <o:OLEObject Type="Embed" ProgID="PBrush" ShapeID="_x0000_i1333" DrawAspect="Content" ObjectID="_1646116776" r:id="rId24"/>
        </w:object>
      </w:r>
    </w:p>
    <w:p w14:paraId="0FF8D715" w14:textId="58600111" w:rsidR="00FB6F7F" w:rsidRPr="00431052" w:rsidRDefault="00FB6F7F">
      <w:pPr>
        <w:rPr>
          <w:rFonts w:cs="Arial"/>
        </w:rPr>
      </w:pPr>
    </w:p>
    <w:p w14:paraId="7615CB1B" w14:textId="3D1DB429" w:rsidR="00FB6F7F" w:rsidRPr="00431052" w:rsidRDefault="00FB6F7F">
      <w:pPr>
        <w:rPr>
          <w:rFonts w:cs="Arial"/>
        </w:rPr>
      </w:pPr>
    </w:p>
    <w:p w14:paraId="37954B5B" w14:textId="78BB96E9" w:rsidR="00FB6F7F" w:rsidRPr="00431052" w:rsidRDefault="00FB6F7F">
      <w:pPr>
        <w:rPr>
          <w:rFonts w:cs="Arial"/>
        </w:rPr>
      </w:pPr>
    </w:p>
    <w:p w14:paraId="4F996CD1" w14:textId="77777777" w:rsidR="00BF78CE" w:rsidRPr="00431052" w:rsidRDefault="00BF78CE">
      <w:pPr>
        <w:rPr>
          <w:rFonts w:cs="Arial"/>
        </w:rPr>
      </w:pPr>
    </w:p>
    <w:p w14:paraId="3476D099" w14:textId="4D2D4A15" w:rsidR="00FB6F7F" w:rsidRPr="00431052" w:rsidRDefault="00FB6F7F">
      <w:pPr>
        <w:rPr>
          <w:rFonts w:cs="Arial"/>
        </w:rPr>
      </w:pPr>
    </w:p>
    <w:p w14:paraId="5D7FF2ED" w14:textId="10974C23" w:rsidR="00FB6F7F" w:rsidRPr="00431052" w:rsidRDefault="00FB6F7F">
      <w:pPr>
        <w:rPr>
          <w:rFonts w:cs="Arial"/>
        </w:rPr>
      </w:pPr>
    </w:p>
    <w:p w14:paraId="17508C9F" w14:textId="082F6231" w:rsidR="00FB6F7F" w:rsidRPr="00431052" w:rsidRDefault="00FB6F7F">
      <w:pPr>
        <w:rPr>
          <w:rFonts w:cs="Arial"/>
        </w:rPr>
      </w:pPr>
    </w:p>
    <w:p w14:paraId="1CD6AEA5" w14:textId="77777777" w:rsidR="00FB6F7F" w:rsidRPr="00431052" w:rsidRDefault="00FB6F7F">
      <w:pPr>
        <w:rPr>
          <w:rFonts w:cs="Arial"/>
        </w:rPr>
      </w:pPr>
    </w:p>
    <w:p w14:paraId="0E7EAE82" w14:textId="63A25427" w:rsidR="009B1752" w:rsidRDefault="009B1752">
      <w:r>
        <w:t>Section 6 Risks</w:t>
      </w:r>
    </w:p>
    <w:tbl>
      <w:tblPr>
        <w:tblStyle w:val="TableGrid1"/>
        <w:tblW w:w="0" w:type="auto"/>
        <w:tblInd w:w="108" w:type="dxa"/>
        <w:tblLook w:val="04A0" w:firstRow="1" w:lastRow="0" w:firstColumn="1" w:lastColumn="0" w:noHBand="0" w:noVBand="1"/>
      </w:tblPr>
      <w:tblGrid>
        <w:gridCol w:w="2268"/>
        <w:gridCol w:w="11482"/>
      </w:tblGrid>
      <w:tr w:rsidR="009B1752" w:rsidRPr="00431052" w14:paraId="6C367CFE" w14:textId="77777777" w:rsidTr="00431052">
        <w:tc>
          <w:tcPr>
            <w:tcW w:w="2268" w:type="dxa"/>
          </w:tcPr>
          <w:p w14:paraId="6C367CFC" w14:textId="0D17D5E5" w:rsidR="009B1752" w:rsidRPr="00431052" w:rsidRDefault="009B1752" w:rsidP="000277F8">
            <w:pPr>
              <w:spacing w:before="240"/>
              <w:ind w:left="34"/>
              <w:rPr>
                <w:b/>
                <w:sz w:val="22"/>
                <w:szCs w:val="22"/>
              </w:rPr>
            </w:pPr>
            <w:permStart w:id="1690532487" w:edGrp="everyone" w:colFirst="1" w:colLast="1"/>
            <w:r>
              <w:rPr>
                <w:b/>
                <w:sz w:val="22"/>
                <w:szCs w:val="22"/>
              </w:rPr>
              <w:t xml:space="preserve">6.1 </w:t>
            </w:r>
            <w:r w:rsidRPr="00431052">
              <w:rPr>
                <w:b/>
                <w:sz w:val="22"/>
                <w:szCs w:val="22"/>
              </w:rPr>
              <w:t>Similar existing indicators</w:t>
            </w:r>
          </w:p>
        </w:tc>
        <w:tc>
          <w:tcPr>
            <w:tcW w:w="11482" w:type="dxa"/>
          </w:tcPr>
          <w:p w14:paraId="6C367CFD" w14:textId="6C4D8E8A" w:rsidR="009B1752" w:rsidRPr="00431052" w:rsidRDefault="009B1752" w:rsidP="00772A5C">
            <w:pPr>
              <w:spacing w:before="240"/>
              <w:rPr>
                <w:sz w:val="22"/>
                <w:szCs w:val="22"/>
              </w:rPr>
            </w:pPr>
            <w:r w:rsidRPr="00431052">
              <w:rPr>
                <w:sz w:val="22"/>
                <w:szCs w:val="22"/>
              </w:rPr>
              <w:t>The underlying indicator (NHS OF 1b –Life expectancy at 75) presents the data required to compute the inequality measures.</w:t>
            </w:r>
          </w:p>
        </w:tc>
      </w:tr>
      <w:tr w:rsidR="009B1752" w:rsidRPr="00431052" w14:paraId="6C367D06" w14:textId="77777777" w:rsidTr="00431052">
        <w:tc>
          <w:tcPr>
            <w:tcW w:w="2268" w:type="dxa"/>
          </w:tcPr>
          <w:p w14:paraId="6C367D04" w14:textId="506C9733" w:rsidR="009B1752" w:rsidRPr="00431052" w:rsidRDefault="009B1752" w:rsidP="00772A5C">
            <w:pPr>
              <w:spacing w:before="240"/>
              <w:ind w:left="34"/>
              <w:rPr>
                <w:b/>
                <w:sz w:val="22"/>
                <w:szCs w:val="22"/>
              </w:rPr>
            </w:pPr>
            <w:permStart w:id="110306255" w:edGrp="everyone" w:colFirst="1" w:colLast="1"/>
            <w:permEnd w:id="1690532487"/>
            <w:r>
              <w:rPr>
                <w:b/>
                <w:sz w:val="22"/>
                <w:szCs w:val="22"/>
              </w:rPr>
              <w:t xml:space="preserve">6.2 </w:t>
            </w:r>
            <w:r w:rsidRPr="00431052">
              <w:rPr>
                <w:b/>
                <w:sz w:val="22"/>
                <w:szCs w:val="22"/>
              </w:rPr>
              <w:t>Coherence and comparability</w:t>
            </w:r>
          </w:p>
        </w:tc>
        <w:tc>
          <w:tcPr>
            <w:tcW w:w="11482" w:type="dxa"/>
          </w:tcPr>
          <w:p w14:paraId="6C367D05" w14:textId="21C18C2A" w:rsidR="009B1752" w:rsidRPr="00431052" w:rsidRDefault="009B1752" w:rsidP="00772A5C">
            <w:pPr>
              <w:spacing w:before="240"/>
              <w:rPr>
                <w:sz w:val="22"/>
                <w:szCs w:val="22"/>
              </w:rPr>
            </w:pPr>
            <w:r w:rsidRPr="00431052">
              <w:rPr>
                <w:sz w:val="22"/>
                <w:szCs w:val="22"/>
              </w:rPr>
              <w:t>The inequality measures are summaries of the underlying indicator and can be read alongside one another.</w:t>
            </w:r>
          </w:p>
        </w:tc>
      </w:tr>
      <w:tr w:rsidR="009B1752" w:rsidRPr="00431052" w14:paraId="6C367D0A" w14:textId="77777777" w:rsidTr="00431052">
        <w:tc>
          <w:tcPr>
            <w:tcW w:w="2268" w:type="dxa"/>
          </w:tcPr>
          <w:p w14:paraId="6C367D08" w14:textId="0B83788F" w:rsidR="009B1752" w:rsidRPr="00431052" w:rsidRDefault="009B1752" w:rsidP="00772A5C">
            <w:pPr>
              <w:spacing w:before="240"/>
              <w:ind w:left="34"/>
              <w:rPr>
                <w:b/>
                <w:sz w:val="22"/>
                <w:szCs w:val="22"/>
              </w:rPr>
            </w:pPr>
            <w:permStart w:id="1400335799" w:edGrp="everyone" w:colFirst="1" w:colLast="1"/>
            <w:permEnd w:id="110306255"/>
            <w:r>
              <w:rPr>
                <w:b/>
                <w:sz w:val="22"/>
                <w:szCs w:val="22"/>
              </w:rPr>
              <w:t xml:space="preserve">6.3 </w:t>
            </w:r>
            <w:r w:rsidRPr="00431052">
              <w:rPr>
                <w:b/>
                <w:sz w:val="22"/>
                <w:szCs w:val="22"/>
              </w:rPr>
              <w:t>Undesired behaviours and/or gaming</w:t>
            </w:r>
          </w:p>
        </w:tc>
        <w:tc>
          <w:tcPr>
            <w:tcW w:w="11482" w:type="dxa"/>
          </w:tcPr>
          <w:p w14:paraId="6C367D09" w14:textId="4343D1C9" w:rsidR="009B1752" w:rsidRPr="00431052" w:rsidRDefault="009B1752" w:rsidP="00772A5C">
            <w:pPr>
              <w:spacing w:before="240"/>
              <w:rPr>
                <w:sz w:val="22"/>
                <w:szCs w:val="22"/>
              </w:rPr>
            </w:pPr>
            <w:r w:rsidRPr="00431052">
              <w:rPr>
                <w:sz w:val="22"/>
                <w:szCs w:val="22"/>
              </w:rPr>
              <w:t>None identified.</w:t>
            </w:r>
          </w:p>
        </w:tc>
      </w:tr>
      <w:tr w:rsidR="009B1752" w:rsidRPr="00431052" w14:paraId="6C367D12" w14:textId="77777777" w:rsidTr="00431052">
        <w:tc>
          <w:tcPr>
            <w:tcW w:w="2268" w:type="dxa"/>
          </w:tcPr>
          <w:p w14:paraId="6C367D10" w14:textId="00CA8A17" w:rsidR="009B1752" w:rsidRPr="00431052" w:rsidRDefault="009B1752" w:rsidP="00772A5C">
            <w:pPr>
              <w:spacing w:before="240"/>
              <w:ind w:left="34"/>
              <w:rPr>
                <w:b/>
                <w:sz w:val="22"/>
                <w:szCs w:val="22"/>
              </w:rPr>
            </w:pPr>
            <w:permStart w:id="1184378917" w:edGrp="everyone" w:colFirst="1" w:colLast="1"/>
            <w:permEnd w:id="1400335799"/>
            <w:r>
              <w:rPr>
                <w:b/>
                <w:sz w:val="22"/>
                <w:szCs w:val="22"/>
              </w:rPr>
              <w:t xml:space="preserve">6.4 </w:t>
            </w:r>
            <w:r w:rsidRPr="00431052">
              <w:rPr>
                <w:b/>
                <w:sz w:val="22"/>
                <w:szCs w:val="22"/>
              </w:rPr>
              <w:t>Approach to indicator review</w:t>
            </w:r>
          </w:p>
        </w:tc>
        <w:tc>
          <w:tcPr>
            <w:tcW w:w="11482" w:type="dxa"/>
          </w:tcPr>
          <w:p w14:paraId="2CD057C5" w14:textId="77777777" w:rsidR="009B1752" w:rsidRPr="00431052" w:rsidRDefault="009B1752" w:rsidP="00CC2574">
            <w:pPr>
              <w:spacing w:before="240"/>
              <w:rPr>
                <w:bCs/>
                <w:sz w:val="22"/>
                <w:szCs w:val="22"/>
              </w:rPr>
            </w:pPr>
            <w:r w:rsidRPr="00431052">
              <w:rPr>
                <w:bCs/>
                <w:sz w:val="22"/>
                <w:szCs w:val="22"/>
              </w:rPr>
              <w:t>The NHS OF is refreshed annually, at which point indicators in development and placeholders are reviewed for updates.</w:t>
            </w:r>
          </w:p>
          <w:p w14:paraId="4FC3EA12" w14:textId="77777777" w:rsidR="009B1752" w:rsidRPr="00431052" w:rsidRDefault="009B1752" w:rsidP="00CC2574">
            <w:pPr>
              <w:spacing w:before="240"/>
              <w:rPr>
                <w:bCs/>
                <w:sz w:val="22"/>
                <w:szCs w:val="22"/>
              </w:rPr>
            </w:pPr>
            <w:r w:rsidRPr="00431052">
              <w:rPr>
                <w:bCs/>
                <w:sz w:val="22"/>
                <w:szCs w:val="22"/>
              </w:rPr>
              <w:t>The Indicator Assurance Service will be used to review the NHS Outcomes Framework indicators, a formal review of an indicator occurs every three years. User needs will form part of this process.</w:t>
            </w:r>
          </w:p>
          <w:p w14:paraId="29F795A6" w14:textId="77777777" w:rsidR="009B1752" w:rsidRPr="00431052" w:rsidRDefault="009B1752" w:rsidP="00CC2574">
            <w:pPr>
              <w:spacing w:before="240"/>
              <w:rPr>
                <w:bCs/>
                <w:sz w:val="22"/>
                <w:szCs w:val="22"/>
              </w:rPr>
            </w:pPr>
            <w:r w:rsidRPr="00431052">
              <w:rPr>
                <w:bCs/>
                <w:sz w:val="22"/>
                <w:szCs w:val="22"/>
              </w:rPr>
              <w:t>Comments can be made through various media:</w:t>
            </w:r>
          </w:p>
          <w:p w14:paraId="1A34C45E" w14:textId="56AA440C" w:rsidR="009B1752" w:rsidRPr="00431052" w:rsidRDefault="009B1752" w:rsidP="00CC2574">
            <w:pPr>
              <w:numPr>
                <w:ilvl w:val="0"/>
                <w:numId w:val="5"/>
              </w:numPr>
              <w:spacing w:before="240"/>
              <w:rPr>
                <w:bCs/>
                <w:sz w:val="22"/>
                <w:szCs w:val="22"/>
              </w:rPr>
            </w:pPr>
            <w:r w:rsidRPr="00431052">
              <w:rPr>
                <w:bCs/>
                <w:sz w:val="22"/>
                <w:szCs w:val="22"/>
              </w:rPr>
              <w:t xml:space="preserve">‘Have your say’ on the NHS Outcomes Framework section of the </w:t>
            </w:r>
            <w:r w:rsidRPr="00431052">
              <w:rPr>
                <w:bCs/>
                <w:iCs/>
                <w:sz w:val="22"/>
                <w:szCs w:val="22"/>
              </w:rPr>
              <w:t>NHS Digital</w:t>
            </w:r>
            <w:r w:rsidRPr="00431052">
              <w:rPr>
                <w:bCs/>
                <w:sz w:val="22"/>
                <w:szCs w:val="22"/>
              </w:rPr>
              <w:t xml:space="preserve"> website</w:t>
            </w:r>
          </w:p>
          <w:p w14:paraId="6C367D11" w14:textId="177E0D3F" w:rsidR="009B1752" w:rsidRPr="00431052" w:rsidRDefault="009B1752" w:rsidP="00CC2574">
            <w:pPr>
              <w:spacing w:before="240"/>
              <w:rPr>
                <w:sz w:val="22"/>
                <w:szCs w:val="22"/>
              </w:rPr>
            </w:pPr>
            <w:r w:rsidRPr="00431052">
              <w:rPr>
                <w:bCs/>
                <w:iCs/>
                <w:sz w:val="22"/>
                <w:szCs w:val="22"/>
              </w:rPr>
              <w:t xml:space="preserve">NHS Digital </w:t>
            </w:r>
            <w:r w:rsidRPr="00431052">
              <w:rPr>
                <w:bCs/>
                <w:sz w:val="22"/>
                <w:szCs w:val="22"/>
              </w:rPr>
              <w:t>general enquiries via email and/or telephone</w:t>
            </w:r>
          </w:p>
        </w:tc>
      </w:tr>
      <w:tr w:rsidR="009B1752" w:rsidRPr="00431052" w14:paraId="6C367D16" w14:textId="77777777" w:rsidTr="00431052">
        <w:tc>
          <w:tcPr>
            <w:tcW w:w="2268" w:type="dxa"/>
          </w:tcPr>
          <w:p w14:paraId="6C367D14" w14:textId="37F0FA62" w:rsidR="009B1752" w:rsidRPr="00431052" w:rsidRDefault="009B1752" w:rsidP="00772A5C">
            <w:pPr>
              <w:spacing w:before="240"/>
              <w:ind w:left="34"/>
              <w:rPr>
                <w:b/>
                <w:sz w:val="22"/>
                <w:szCs w:val="22"/>
              </w:rPr>
            </w:pPr>
            <w:permStart w:id="1549956980" w:edGrp="everyone" w:colFirst="1" w:colLast="1"/>
            <w:permEnd w:id="1184378917"/>
            <w:r>
              <w:rPr>
                <w:b/>
                <w:sz w:val="22"/>
                <w:szCs w:val="22"/>
              </w:rPr>
              <w:t xml:space="preserve">6.5 </w:t>
            </w:r>
            <w:r w:rsidRPr="00431052">
              <w:rPr>
                <w:b/>
                <w:sz w:val="22"/>
                <w:szCs w:val="22"/>
              </w:rPr>
              <w:t>Disclosure control</w:t>
            </w:r>
          </w:p>
        </w:tc>
        <w:tc>
          <w:tcPr>
            <w:tcW w:w="11482" w:type="dxa"/>
          </w:tcPr>
          <w:p w14:paraId="3E36F897" w14:textId="77777777" w:rsidR="009B1752" w:rsidRPr="00431052" w:rsidRDefault="009B1752" w:rsidP="00CC2574">
            <w:pPr>
              <w:spacing w:before="240"/>
              <w:rPr>
                <w:sz w:val="22"/>
                <w:szCs w:val="22"/>
              </w:rPr>
            </w:pPr>
            <w:r w:rsidRPr="00431052">
              <w:rPr>
                <w:sz w:val="22"/>
                <w:szCs w:val="22"/>
              </w:rPr>
              <w:t>The Statistics Code of Practice is followed regarding security and release of information prior to publication.</w:t>
            </w:r>
          </w:p>
          <w:p w14:paraId="6C367D15" w14:textId="5DEBA01B" w:rsidR="009B1752" w:rsidRPr="00431052" w:rsidRDefault="009B1752" w:rsidP="00CC2574">
            <w:pPr>
              <w:spacing w:before="240"/>
              <w:rPr>
                <w:sz w:val="22"/>
                <w:szCs w:val="22"/>
              </w:rPr>
            </w:pPr>
            <w:r w:rsidRPr="00431052">
              <w:rPr>
                <w:sz w:val="22"/>
                <w:szCs w:val="22"/>
              </w:rPr>
              <w:t>Disclosure control is applied to the underlying indicator. Given that the health inequality measure is derived from summary data it is unlikely that any data point would be suppressed. If any source data point was subject to disclosure control it would not be used in the calculation of the health inequality to prevent calculation of the controlled value.</w:t>
            </w:r>
          </w:p>
        </w:tc>
      </w:tr>
      <w:tr w:rsidR="009B1752" w:rsidRPr="00431052" w14:paraId="6C367D1A" w14:textId="77777777" w:rsidTr="00431052">
        <w:tc>
          <w:tcPr>
            <w:tcW w:w="2268" w:type="dxa"/>
          </w:tcPr>
          <w:p w14:paraId="6C367D18" w14:textId="19633897" w:rsidR="009B1752" w:rsidRPr="00431052" w:rsidRDefault="009B1752" w:rsidP="00772A5C">
            <w:pPr>
              <w:spacing w:before="240"/>
              <w:ind w:left="34"/>
              <w:rPr>
                <w:b/>
                <w:sz w:val="22"/>
                <w:szCs w:val="22"/>
              </w:rPr>
            </w:pPr>
            <w:permStart w:id="1430348488" w:edGrp="everyone" w:colFirst="1" w:colLast="1"/>
            <w:permEnd w:id="1549956980"/>
            <w:r>
              <w:rPr>
                <w:b/>
                <w:sz w:val="22"/>
                <w:szCs w:val="22"/>
              </w:rPr>
              <w:t xml:space="preserve">6.6 </w:t>
            </w:r>
            <w:r w:rsidRPr="00431052">
              <w:rPr>
                <w:b/>
                <w:sz w:val="22"/>
                <w:szCs w:val="22"/>
              </w:rPr>
              <w:t>Copyright</w:t>
            </w:r>
          </w:p>
        </w:tc>
        <w:tc>
          <w:tcPr>
            <w:tcW w:w="11482" w:type="dxa"/>
          </w:tcPr>
          <w:p w14:paraId="6C367D19" w14:textId="2F1F89F0" w:rsidR="009B1752" w:rsidRPr="00431052" w:rsidRDefault="009B1752" w:rsidP="00CC2574">
            <w:pPr>
              <w:spacing w:before="240"/>
              <w:rPr>
                <w:sz w:val="22"/>
                <w:szCs w:val="22"/>
              </w:rPr>
            </w:pPr>
            <w:r w:rsidRPr="00431052">
              <w:rPr>
                <w:sz w:val="22"/>
                <w:szCs w:val="22"/>
              </w:rPr>
              <w:t>Copyright © 2017 Health and Social Care Information Centre.</w:t>
            </w:r>
          </w:p>
        </w:tc>
      </w:tr>
      <w:permEnd w:id="1430348488"/>
    </w:tbl>
    <w:p w14:paraId="6C367D21" w14:textId="5FB0035D" w:rsidR="00C07493" w:rsidRPr="00431052" w:rsidRDefault="00C07493" w:rsidP="001D243C">
      <w:pPr>
        <w:rPr>
          <w:rFonts w:cs="Arial"/>
        </w:rPr>
      </w:pPr>
    </w:p>
    <w:p w14:paraId="7E7E02F0" w14:textId="77777777" w:rsidR="00C07493" w:rsidRPr="00431052" w:rsidRDefault="00C07493">
      <w:pPr>
        <w:spacing w:after="0"/>
        <w:textboxTightWrap w:val="none"/>
        <w:rPr>
          <w:rFonts w:cs="Arial"/>
        </w:rPr>
      </w:pPr>
      <w:r w:rsidRPr="00431052">
        <w:rPr>
          <w:rFonts w:cs="Arial"/>
        </w:rPr>
        <w:br w:type="page"/>
      </w:r>
    </w:p>
    <w:sdt>
      <w:sdtPr>
        <w:rPr>
          <w:rFonts w:ascii="Arial" w:eastAsiaTheme="majorEastAsia" w:hAnsi="Arial" w:cs="Arial"/>
          <w:caps/>
          <w:sz w:val="24"/>
          <w:szCs w:val="24"/>
          <w:lang w:val="en-GB" w:eastAsia="en-US"/>
        </w:rPr>
        <w:id w:val="-28027844"/>
        <w:docPartObj>
          <w:docPartGallery w:val="Cover Pages"/>
          <w:docPartUnique/>
        </w:docPartObj>
      </w:sdtPr>
      <w:sdtEndPr>
        <w:rPr>
          <w:rFonts w:eastAsia="+mn-ea"/>
          <w:b/>
          <w:caps w:val="0"/>
          <w:position w:val="1"/>
          <w:sz w:val="26"/>
          <w:szCs w:val="26"/>
        </w:rPr>
      </w:sdtEndPr>
      <w:sdtContent>
        <w:tbl>
          <w:tblPr>
            <w:tblStyle w:val="TableGrid"/>
            <w:tblW w:w="5000" w:type="pct"/>
            <w:tblLook w:val="04A0" w:firstRow="1" w:lastRow="0" w:firstColumn="1" w:lastColumn="0" w:noHBand="0" w:noVBand="1"/>
          </w:tblPr>
          <w:tblGrid>
            <w:gridCol w:w="14786"/>
          </w:tblGrid>
          <w:tr w:rsidR="00431052" w:rsidRPr="00431052" w14:paraId="1FA5ABA4" w14:textId="77777777" w:rsidTr="00C5594F">
            <w:trPr>
              <w:trHeight w:val="2880"/>
            </w:trPr>
            <w:tc>
              <w:tcPr>
                <w:tcW w:w="5000" w:type="pct"/>
              </w:tcPr>
              <w:p w14:paraId="0F6377C8" w14:textId="77777777" w:rsidR="00C07493" w:rsidRPr="00431052" w:rsidRDefault="00C07493" w:rsidP="00C07493">
                <w:pPr>
                  <w:pStyle w:val="NoSpacing"/>
                  <w:jc w:val="center"/>
                  <w:rPr>
                    <w:rFonts w:ascii="Arial" w:eastAsiaTheme="majorEastAsia" w:hAnsi="Arial" w:cs="Arial"/>
                    <w:caps/>
                  </w:rPr>
                </w:pPr>
              </w:p>
              <w:p w14:paraId="75F6FF1B" w14:textId="72F6B64C" w:rsidR="00C07493" w:rsidRPr="00431052" w:rsidRDefault="00C07493" w:rsidP="00C07493">
                <w:pPr>
                  <w:pStyle w:val="NoSpacing"/>
                  <w:jc w:val="center"/>
                  <w:rPr>
                    <w:rFonts w:ascii="Arial" w:eastAsiaTheme="majorEastAsia" w:hAnsi="Arial" w:cs="Arial"/>
                    <w:caps/>
                  </w:rPr>
                </w:pPr>
              </w:p>
            </w:tc>
          </w:tr>
          <w:tr w:rsidR="00431052" w:rsidRPr="00431052" w14:paraId="60971ABA" w14:textId="77777777" w:rsidTr="00C5594F">
            <w:trPr>
              <w:trHeight w:val="1440"/>
            </w:trPr>
            <w:tc>
              <w:tcPr>
                <w:tcW w:w="5000" w:type="pct"/>
              </w:tcPr>
              <w:p w14:paraId="263529F3" w14:textId="77777777" w:rsidR="00C07493" w:rsidRPr="00431052" w:rsidRDefault="00C07493">
                <w:pPr>
                  <w:pStyle w:val="NoSpacing"/>
                  <w:jc w:val="center"/>
                  <w:rPr>
                    <w:rFonts w:ascii="Arial" w:eastAsiaTheme="majorEastAsia" w:hAnsi="Arial" w:cs="Arial"/>
                    <w:sz w:val="72"/>
                    <w:szCs w:val="80"/>
                  </w:rPr>
                </w:pPr>
                <w:r w:rsidRPr="00431052">
                  <w:rPr>
                    <w:rFonts w:ascii="Arial" w:eastAsiaTheme="majorEastAsia" w:hAnsi="Arial" w:cs="Arial"/>
                    <w:sz w:val="72"/>
                    <w:szCs w:val="80"/>
                  </w:rPr>
                  <w:t>Indicator and Methodology Assurance Report</w:t>
                </w:r>
              </w:p>
            </w:tc>
          </w:tr>
          <w:tr w:rsidR="00431052" w:rsidRPr="00431052" w14:paraId="23BE5242" w14:textId="77777777" w:rsidTr="00C5594F">
            <w:trPr>
              <w:trHeight w:val="360"/>
            </w:trPr>
            <w:tc>
              <w:tcPr>
                <w:tcW w:w="5000" w:type="pct"/>
              </w:tcPr>
              <w:p w14:paraId="1FE94E67" w14:textId="77777777" w:rsidR="00C07493" w:rsidRPr="00431052" w:rsidRDefault="00C07493" w:rsidP="00C07493">
                <w:pPr>
                  <w:pStyle w:val="NormalWeb"/>
                  <w:spacing w:before="0" w:beforeAutospacing="0" w:after="0" w:afterAutospacing="0"/>
                  <w:jc w:val="center"/>
                  <w:rPr>
                    <w:rFonts w:ascii="Arial" w:eastAsia="+mn-ea" w:hAnsi="Arial" w:cs="Arial"/>
                    <w:b/>
                    <w:position w:val="1"/>
                    <w:sz w:val="36"/>
                    <w:szCs w:val="36"/>
                  </w:rPr>
                </w:pPr>
              </w:p>
              <w:p w14:paraId="5471906C" w14:textId="7D856DE2" w:rsidR="00C07493" w:rsidRPr="00431052" w:rsidRDefault="00C07493" w:rsidP="00C07493">
                <w:pPr>
                  <w:pStyle w:val="NormalWeb"/>
                  <w:spacing w:before="0" w:beforeAutospacing="0" w:after="0" w:afterAutospacing="0"/>
                  <w:jc w:val="center"/>
                  <w:rPr>
                    <w:rFonts w:ascii="Arial" w:hAnsi="Arial" w:cs="Arial"/>
                    <w:sz w:val="36"/>
                    <w:szCs w:val="36"/>
                  </w:rPr>
                </w:pPr>
                <w:r w:rsidRPr="00431052">
                  <w:rPr>
                    <w:rFonts w:ascii="Arial" w:eastAsia="+mn-ea" w:hAnsi="Arial" w:cs="Arial"/>
                    <w:b/>
                    <w:position w:val="1"/>
                    <w:sz w:val="36"/>
                    <w:szCs w:val="36"/>
                  </w:rPr>
                  <w:t>Health inequalities (area deprivation) - Life expectancy at 75</w:t>
                </w:r>
              </w:p>
            </w:tc>
          </w:tr>
          <w:tr w:rsidR="00C07493" w:rsidRPr="00431052" w14:paraId="0F30DFBF" w14:textId="77777777" w:rsidTr="00C5594F">
            <w:trPr>
              <w:trHeight w:val="360"/>
            </w:trPr>
            <w:tc>
              <w:tcPr>
                <w:tcW w:w="5000" w:type="pct"/>
              </w:tcPr>
              <w:p w14:paraId="57666B57" w14:textId="77777777" w:rsidR="00C07493" w:rsidRPr="00431052" w:rsidRDefault="00C07493">
                <w:pPr>
                  <w:pStyle w:val="NoSpacing"/>
                  <w:jc w:val="center"/>
                  <w:rPr>
                    <w:rFonts w:ascii="Arial" w:hAnsi="Arial" w:cs="Arial"/>
                    <w:b/>
                    <w:bCs/>
                    <w:sz w:val="28"/>
                    <w:szCs w:val="28"/>
                  </w:rPr>
                </w:pPr>
                <w:r w:rsidRPr="00431052">
                  <w:rPr>
                    <w:rFonts w:ascii="Arial" w:hAnsi="Arial" w:cs="Arial"/>
                    <w:b/>
                    <w:bCs/>
                    <w:sz w:val="28"/>
                    <w:szCs w:val="28"/>
                  </w:rPr>
                  <w:t>IAP00459</w:t>
                </w:r>
              </w:p>
            </w:tc>
          </w:tr>
        </w:tbl>
        <w:p w14:paraId="61044E85" w14:textId="77777777" w:rsidR="00C07493" w:rsidRPr="00431052" w:rsidRDefault="00C07493" w:rsidP="00C07493">
          <w:pPr>
            <w:jc w:val="center"/>
            <w:rPr>
              <w:rFonts w:cs="Arial"/>
            </w:rPr>
          </w:pPr>
        </w:p>
        <w:p w14:paraId="7D451DA1" w14:textId="1A7B8668" w:rsidR="00C07493" w:rsidRPr="00431052" w:rsidRDefault="00FB6F7F" w:rsidP="00431052">
          <w:pPr>
            <w:jc w:val="center"/>
            <w:rPr>
              <w:rFonts w:cs="Arial"/>
            </w:rPr>
          </w:pPr>
          <w:r w:rsidRPr="00431052">
            <w:rPr>
              <w:rFonts w:eastAsia="+mn-ea" w:cs="Arial"/>
              <w:b/>
              <w:noProof/>
              <w:position w:val="1"/>
              <w:sz w:val="26"/>
              <w:szCs w:val="26"/>
              <w:lang w:eastAsia="en-GB"/>
            </w:rPr>
            <w:drawing>
              <wp:inline distT="0" distB="0" distL="0" distR="0" wp14:anchorId="0FE00E0A" wp14:editId="1538B925">
                <wp:extent cx="6389370" cy="1383665"/>
                <wp:effectExtent l="0" t="0" r="0" b="6985"/>
                <wp:docPr id="22" name="Picture 22" descr="logos of support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9370" cy="1383665"/>
                        </a:xfrm>
                        <a:prstGeom prst="rect">
                          <a:avLst/>
                        </a:prstGeom>
                        <a:noFill/>
                      </pic:spPr>
                    </pic:pic>
                  </a:graphicData>
                </a:graphic>
              </wp:inline>
            </w:drawing>
          </w:r>
        </w:p>
        <w:p w14:paraId="0DC48BD1" w14:textId="77777777" w:rsidR="00C07493" w:rsidRPr="00431052" w:rsidRDefault="00C07493">
          <w:pPr>
            <w:rPr>
              <w:rFonts w:cs="Arial"/>
            </w:rPr>
          </w:pPr>
        </w:p>
        <w:p w14:paraId="48347BB6" w14:textId="66B5487F" w:rsidR="00C07493" w:rsidRPr="00431052" w:rsidRDefault="00C07493">
          <w:pPr>
            <w:rPr>
              <w:rFonts w:eastAsia="+mn-ea" w:cs="Arial"/>
              <w:b/>
              <w:position w:val="1"/>
              <w:sz w:val="26"/>
              <w:szCs w:val="26"/>
              <w:lang w:eastAsia="en-GB"/>
            </w:rPr>
          </w:pPr>
          <w:r w:rsidRPr="00431052">
            <w:rPr>
              <w:rFonts w:eastAsia="+mn-ea" w:cs="Arial"/>
              <w:b/>
              <w:position w:val="1"/>
              <w:sz w:val="26"/>
              <w:szCs w:val="26"/>
            </w:rPr>
            <w:br w:type="page"/>
          </w:r>
        </w:p>
      </w:sdtContent>
    </w:sdt>
    <w:p w14:paraId="207AC418" w14:textId="77777777" w:rsidR="00C07493" w:rsidRPr="00431052" w:rsidRDefault="00C07493" w:rsidP="00C07493">
      <w:pPr>
        <w:pStyle w:val="NormalWeb"/>
        <w:spacing w:before="0" w:beforeAutospacing="0" w:after="0" w:afterAutospacing="0"/>
        <w:rPr>
          <w:rFonts w:ascii="Arial" w:eastAsia="+mn-ea" w:hAnsi="Arial" w:cs="Arial"/>
          <w:position w:val="1"/>
          <w:sz w:val="22"/>
          <w:szCs w:val="22"/>
        </w:rPr>
      </w:pPr>
    </w:p>
    <w:p w14:paraId="20C1916E" w14:textId="77777777" w:rsidR="00C07493" w:rsidRPr="00431052" w:rsidRDefault="00C07493" w:rsidP="00C07493">
      <w:pPr>
        <w:pStyle w:val="NormalWeb"/>
        <w:spacing w:before="0" w:beforeAutospacing="0" w:after="0" w:afterAutospacing="0"/>
        <w:rPr>
          <w:rFonts w:ascii="Arial" w:eastAsia="+mn-ea" w:hAnsi="Arial" w:cs="Arial"/>
          <w:b/>
          <w:position w:val="1"/>
          <w:sz w:val="32"/>
          <w:szCs w:val="26"/>
        </w:rPr>
      </w:pPr>
      <w:r w:rsidRPr="00431052">
        <w:rPr>
          <w:rFonts w:ascii="Arial" w:eastAsia="+mn-ea" w:hAnsi="Arial" w:cs="Arial"/>
          <w:b/>
          <w:position w:val="1"/>
          <w:sz w:val="32"/>
          <w:szCs w:val="26"/>
        </w:rPr>
        <w:t xml:space="preserve">Final Assurance Rating from the Indicator Governance Board - </w:t>
      </w:r>
      <w:sdt>
        <w:sdtPr>
          <w:rPr>
            <w:rFonts w:ascii="Arial" w:eastAsia="+mn-ea" w:hAnsi="Arial" w:cs="Arial"/>
            <w:b/>
            <w:position w:val="1"/>
            <w:sz w:val="32"/>
            <w:szCs w:val="32"/>
          </w:rPr>
          <w:id w:val="-436680183"/>
          <w:date w:fullDate="2016-12-14T00:00:00Z">
            <w:dateFormat w:val="dd/MM/yyyy"/>
            <w:lid w:val="en-GB"/>
            <w:storeMappedDataAs w:val="dateTime"/>
            <w:calendar w:val="gregorian"/>
          </w:date>
        </w:sdtPr>
        <w:sdtContent>
          <w:r w:rsidRPr="00431052">
            <w:rPr>
              <w:rFonts w:ascii="Arial" w:eastAsia="+mn-ea" w:hAnsi="Arial" w:cs="Arial"/>
              <w:b/>
              <w:position w:val="1"/>
              <w:sz w:val="32"/>
              <w:szCs w:val="32"/>
            </w:rPr>
            <w:t>14/12/2016</w:t>
          </w:r>
        </w:sdtContent>
      </w:sdt>
    </w:p>
    <w:p w14:paraId="3CF4F217" w14:textId="77777777" w:rsidR="00C07493" w:rsidRPr="00431052" w:rsidRDefault="00C07493" w:rsidP="00C07493">
      <w:pPr>
        <w:pStyle w:val="NormalWeb"/>
        <w:spacing w:before="0" w:beforeAutospacing="0" w:after="0" w:afterAutospacing="0"/>
        <w:rPr>
          <w:rFonts w:ascii="Arial" w:eastAsia="+mn-ea" w:hAnsi="Arial" w:cs="Arial"/>
          <w:b/>
          <w:position w:val="1"/>
          <w:sz w:val="26"/>
          <w:szCs w:val="26"/>
        </w:rPr>
      </w:pPr>
    </w:p>
    <w:tbl>
      <w:tblPr>
        <w:tblStyle w:val="TableGrid"/>
        <w:tblW w:w="10314" w:type="dxa"/>
        <w:tblLook w:val="04A0" w:firstRow="1" w:lastRow="0" w:firstColumn="1" w:lastColumn="0" w:noHBand="0" w:noVBand="1"/>
      </w:tblPr>
      <w:tblGrid>
        <w:gridCol w:w="3369"/>
        <w:gridCol w:w="6945"/>
      </w:tblGrid>
      <w:tr w:rsidR="00431052" w:rsidRPr="00431052" w14:paraId="7CA39462" w14:textId="77777777" w:rsidTr="00BF78CE">
        <w:trPr>
          <w:trHeight w:val="359"/>
        </w:trPr>
        <w:tc>
          <w:tcPr>
            <w:tcW w:w="3369" w:type="dxa"/>
            <w:tcBorders>
              <w:top w:val="nil"/>
              <w:left w:val="nil"/>
              <w:bottom w:val="nil"/>
              <w:right w:val="nil"/>
            </w:tcBorders>
            <w:shd w:val="clear" w:color="auto" w:fill="auto"/>
          </w:tcPr>
          <w:p w14:paraId="1BF840FD" w14:textId="77777777" w:rsidR="00C07493" w:rsidRPr="00431052" w:rsidRDefault="00C07493" w:rsidP="00C07493">
            <w:pPr>
              <w:pStyle w:val="NormalWeb"/>
              <w:spacing w:beforeLines="60" w:before="144" w:beforeAutospacing="0" w:afterLines="60" w:after="144" w:afterAutospacing="0"/>
              <w:rPr>
                <w:rFonts w:ascii="Arial" w:eastAsia="+mn-ea" w:hAnsi="Arial" w:cs="Arial"/>
                <w:position w:val="1"/>
                <w:sz w:val="22"/>
                <w:szCs w:val="22"/>
              </w:rPr>
            </w:pPr>
            <w:r w:rsidRPr="00431052">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tc>
              <w:tcPr>
                <w:tcW w:w="6945" w:type="dxa"/>
                <w:tcBorders>
                  <w:top w:val="nil"/>
                  <w:left w:val="nil"/>
                  <w:bottom w:val="nil"/>
                  <w:right w:val="nil"/>
                </w:tcBorders>
              </w:tcPr>
              <w:p w14:paraId="1DE1DB37" w14:textId="77777777" w:rsidR="00C07493" w:rsidRPr="00431052" w:rsidRDefault="00C07493" w:rsidP="00C07493">
                <w:pPr>
                  <w:pStyle w:val="NormalWeb"/>
                  <w:spacing w:beforeLines="60" w:before="144" w:beforeAutospacing="0" w:afterLines="60" w:after="144" w:afterAutospacing="0"/>
                  <w:rPr>
                    <w:rFonts w:ascii="Arial" w:eastAsia="+mn-ea" w:hAnsi="Arial" w:cs="Arial"/>
                    <w:position w:val="1"/>
                    <w:sz w:val="22"/>
                    <w:szCs w:val="22"/>
                  </w:rPr>
                </w:pPr>
                <w:r w:rsidRPr="00431052">
                  <w:rPr>
                    <w:rFonts w:ascii="Arial" w:eastAsia="+mn-ea" w:hAnsi="Arial" w:cs="Arial"/>
                    <w:position w:val="1"/>
                    <w:sz w:val="22"/>
                    <w:szCs w:val="22"/>
                  </w:rPr>
                  <w:t>Initial assurance</w:t>
                </w:r>
              </w:p>
            </w:tc>
          </w:sdtContent>
        </w:sdt>
      </w:tr>
      <w:tr w:rsidR="00FB6F7F" w:rsidRPr="00431052" w14:paraId="4B747BD2" w14:textId="77777777" w:rsidTr="00BF78CE">
        <w:trPr>
          <w:trHeight w:val="557"/>
        </w:trPr>
        <w:tc>
          <w:tcPr>
            <w:tcW w:w="3369" w:type="dxa"/>
            <w:tcBorders>
              <w:top w:val="nil"/>
              <w:left w:val="nil"/>
              <w:bottom w:val="nil"/>
              <w:right w:val="nil"/>
            </w:tcBorders>
            <w:shd w:val="clear" w:color="auto" w:fill="auto"/>
          </w:tcPr>
          <w:p w14:paraId="2A8077C7" w14:textId="77777777" w:rsidR="00C07493" w:rsidRPr="00431052" w:rsidRDefault="00C07493" w:rsidP="00C07493">
            <w:pPr>
              <w:pStyle w:val="NormalWeb"/>
              <w:spacing w:beforeLines="60" w:before="144" w:beforeAutospacing="0" w:afterLines="60" w:after="144" w:afterAutospacing="0"/>
              <w:rPr>
                <w:rFonts w:ascii="Arial" w:eastAsia="+mn-ea" w:hAnsi="Arial" w:cs="Arial"/>
                <w:position w:val="1"/>
                <w:sz w:val="22"/>
                <w:szCs w:val="22"/>
              </w:rPr>
            </w:pPr>
            <w:r w:rsidRPr="00431052">
              <w:rPr>
                <w:rFonts w:ascii="Arial" w:eastAsia="+mn-ea" w:hAnsi="Arial" w:cs="Arial"/>
                <w:b/>
                <w:position w:val="1"/>
                <w:sz w:val="22"/>
                <w:szCs w:val="22"/>
              </w:rPr>
              <w:t>Iteration</w:t>
            </w:r>
          </w:p>
        </w:tc>
        <w:sdt>
          <w:sdtPr>
            <w:rPr>
              <w:rFonts w:ascii="Arial" w:eastAsia="+mn-ea" w:hAnsi="Arial" w:cs="Arial"/>
              <w:position w:val="1"/>
              <w:sz w:val="22"/>
              <w:szCs w:val="22"/>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Content>
            <w:tc>
              <w:tcPr>
                <w:tcW w:w="6945" w:type="dxa"/>
                <w:tcBorders>
                  <w:top w:val="nil"/>
                  <w:left w:val="nil"/>
                  <w:bottom w:val="nil"/>
                  <w:right w:val="nil"/>
                </w:tcBorders>
              </w:tcPr>
              <w:p w14:paraId="1D7FD0A8" w14:textId="77777777" w:rsidR="00C07493" w:rsidRPr="00431052" w:rsidRDefault="00C07493" w:rsidP="00C07493">
                <w:pPr>
                  <w:pStyle w:val="NormalWeb"/>
                  <w:spacing w:beforeLines="60" w:before="144" w:beforeAutospacing="0" w:afterLines="60" w:after="144" w:afterAutospacing="0"/>
                  <w:rPr>
                    <w:rFonts w:ascii="Arial" w:eastAsia="+mn-ea" w:hAnsi="Arial" w:cs="Arial"/>
                    <w:position w:val="1"/>
                    <w:sz w:val="22"/>
                    <w:szCs w:val="22"/>
                  </w:rPr>
                </w:pPr>
                <w:r w:rsidRPr="00431052">
                  <w:rPr>
                    <w:rFonts w:ascii="Arial" w:eastAsia="+mn-ea" w:hAnsi="Arial" w:cs="Arial"/>
                    <w:position w:val="1"/>
                    <w:sz w:val="22"/>
                    <w:szCs w:val="22"/>
                  </w:rPr>
                  <w:t>1st IGB meeting</w:t>
                </w:r>
              </w:p>
            </w:tc>
          </w:sdtContent>
        </w:sdt>
      </w:tr>
    </w:tbl>
    <w:p w14:paraId="4EBF095F" w14:textId="77777777" w:rsidR="00C07493" w:rsidRPr="00431052" w:rsidRDefault="00C07493" w:rsidP="00C07493">
      <w:pPr>
        <w:rPr>
          <w:rFonts w:cs="Arial"/>
        </w:rPr>
      </w:pPr>
    </w:p>
    <w:p w14:paraId="11D75270" w14:textId="77777777" w:rsidR="00C07493" w:rsidRPr="00431052" w:rsidRDefault="00431052" w:rsidP="00C07493">
      <w:pPr>
        <w:spacing w:after="0"/>
        <w:jc w:val="center"/>
        <w:rPr>
          <w:rFonts w:eastAsia="+mn-ea" w:cs="Arial"/>
          <w:b/>
          <w:position w:val="1"/>
          <w:sz w:val="26"/>
          <w:szCs w:val="26"/>
          <w:lang w:eastAsia="en-GB"/>
        </w:rPr>
      </w:pPr>
      <w:r w:rsidRPr="00431052">
        <w:rPr>
          <w:rFonts w:eastAsia="+mn-ea" w:cs="Arial"/>
          <w:b/>
          <w:position w:val="1"/>
          <w:sz w:val="26"/>
          <w:szCs w:val="26"/>
          <w:lang w:eastAsia="en-GB"/>
        </w:rPr>
        <w:pict w14:anchorId="2A043509">
          <v:rect id="_x0000_i1032" style="width:503.2pt;height:1.5pt" o:hralign="center" o:hrstd="t" o:hr="t" fillcolor="#a0a0a0" stroked="f"/>
        </w:pict>
      </w:r>
    </w:p>
    <w:tbl>
      <w:tblPr>
        <w:tblStyle w:val="TableGrid1"/>
        <w:tblW w:w="0" w:type="auto"/>
        <w:tblLook w:val="04A0" w:firstRow="1" w:lastRow="0" w:firstColumn="1" w:lastColumn="0" w:noHBand="0" w:noVBand="1"/>
      </w:tblPr>
      <w:tblGrid>
        <w:gridCol w:w="4077"/>
        <w:gridCol w:w="2268"/>
      </w:tblGrid>
      <w:tr w:rsidR="000A29D4" w:rsidRPr="00431052" w14:paraId="7E4A2C37" w14:textId="77777777" w:rsidTr="000A29D4">
        <w:tc>
          <w:tcPr>
            <w:tcW w:w="4077" w:type="dxa"/>
          </w:tcPr>
          <w:p w14:paraId="41267D82" w14:textId="77777777" w:rsidR="000A29D4" w:rsidRPr="00431052" w:rsidRDefault="000A29D4" w:rsidP="000A29D4">
            <w:pPr>
              <w:spacing w:before="120"/>
              <w:rPr>
                <w:rFonts w:eastAsia="+mn-ea"/>
                <w:b/>
                <w:position w:val="1"/>
                <w:sz w:val="26"/>
                <w:szCs w:val="26"/>
              </w:rPr>
            </w:pPr>
            <w:r w:rsidRPr="00431052">
              <w:rPr>
                <w:rFonts w:eastAsia="+mn-ea"/>
                <w:b/>
                <w:position w:val="1"/>
                <w:sz w:val="26"/>
                <w:szCs w:val="26"/>
              </w:rPr>
              <w:t>Ratings Against Assessment Criteria</w:t>
            </w:r>
          </w:p>
          <w:p w14:paraId="09A551A1" w14:textId="77777777" w:rsidR="000A29D4" w:rsidRPr="00431052" w:rsidRDefault="000A29D4" w:rsidP="00C07493">
            <w:pPr>
              <w:spacing w:line="360" w:lineRule="auto"/>
              <w:rPr>
                <w:rFonts w:eastAsia="+mn-ea"/>
                <w:position w:val="1"/>
                <w:szCs w:val="40"/>
              </w:rPr>
            </w:pPr>
          </w:p>
        </w:tc>
        <w:tc>
          <w:tcPr>
            <w:tcW w:w="2268" w:type="dxa"/>
          </w:tcPr>
          <w:p w14:paraId="26394649" w14:textId="77777777" w:rsidR="000A29D4" w:rsidRDefault="000A29D4" w:rsidP="00C07493">
            <w:pPr>
              <w:spacing w:line="360" w:lineRule="auto"/>
              <w:jc w:val="center"/>
              <w:rPr>
                <w:rFonts w:eastAsia="+mn-ea"/>
                <w:b/>
                <w:position w:val="1"/>
                <w:sz w:val="26"/>
                <w:szCs w:val="26"/>
              </w:rPr>
            </w:pPr>
          </w:p>
        </w:tc>
      </w:tr>
      <w:tr w:rsidR="000A29D4" w:rsidRPr="00431052" w14:paraId="08989F6C" w14:textId="77777777" w:rsidTr="000A29D4">
        <w:tc>
          <w:tcPr>
            <w:tcW w:w="4077" w:type="dxa"/>
            <w:hideMark/>
          </w:tcPr>
          <w:p w14:paraId="374B2D74"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Clarity</w:t>
            </w:r>
          </w:p>
        </w:tc>
        <w:tc>
          <w:tcPr>
            <w:tcW w:w="2268" w:type="dxa"/>
            <w:hideMark/>
          </w:tcPr>
          <w:p w14:paraId="5A1B9607" w14:textId="430F83BE"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Fit for use</w:t>
            </w:r>
          </w:p>
        </w:tc>
      </w:tr>
      <w:tr w:rsidR="000A29D4" w:rsidRPr="00431052" w14:paraId="0A665720" w14:textId="77777777" w:rsidTr="000A29D4">
        <w:tc>
          <w:tcPr>
            <w:tcW w:w="4077" w:type="dxa"/>
            <w:hideMark/>
          </w:tcPr>
          <w:p w14:paraId="62289F6A"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Rationale</w:t>
            </w:r>
          </w:p>
        </w:tc>
        <w:tc>
          <w:tcPr>
            <w:tcW w:w="2268" w:type="dxa"/>
            <w:hideMark/>
          </w:tcPr>
          <w:p w14:paraId="4B7893A7" w14:textId="453DFA46"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 xml:space="preserve"> </w:t>
            </w:r>
            <w:r>
              <w:rPr>
                <w:rFonts w:eastAsia="+mn-ea"/>
                <w:b/>
                <w:position w:val="1"/>
                <w:sz w:val="26"/>
                <w:szCs w:val="26"/>
              </w:rPr>
              <w:t>Fit for use</w:t>
            </w:r>
          </w:p>
        </w:tc>
      </w:tr>
      <w:tr w:rsidR="000A29D4" w:rsidRPr="00431052" w14:paraId="524431CB" w14:textId="77777777" w:rsidTr="000A29D4">
        <w:tc>
          <w:tcPr>
            <w:tcW w:w="4077" w:type="dxa"/>
            <w:hideMark/>
          </w:tcPr>
          <w:p w14:paraId="1329274B"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Data</w:t>
            </w:r>
          </w:p>
        </w:tc>
        <w:tc>
          <w:tcPr>
            <w:tcW w:w="2268" w:type="dxa"/>
            <w:hideMark/>
          </w:tcPr>
          <w:p w14:paraId="2CD5125B" w14:textId="75B718A2"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 xml:space="preserve"> </w:t>
            </w:r>
            <w:r>
              <w:rPr>
                <w:rFonts w:eastAsia="+mn-ea"/>
                <w:b/>
                <w:position w:val="1"/>
                <w:sz w:val="26"/>
                <w:szCs w:val="26"/>
              </w:rPr>
              <w:t>Fit for use</w:t>
            </w:r>
          </w:p>
        </w:tc>
      </w:tr>
      <w:tr w:rsidR="000A29D4" w:rsidRPr="00431052" w14:paraId="6D243A01" w14:textId="77777777" w:rsidTr="000A29D4">
        <w:tc>
          <w:tcPr>
            <w:tcW w:w="4077" w:type="dxa"/>
            <w:hideMark/>
          </w:tcPr>
          <w:p w14:paraId="1D3724DF"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Construction</w:t>
            </w:r>
          </w:p>
        </w:tc>
        <w:tc>
          <w:tcPr>
            <w:tcW w:w="2268" w:type="dxa"/>
            <w:hideMark/>
          </w:tcPr>
          <w:p w14:paraId="678E369B" w14:textId="0C38EA74"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 xml:space="preserve"> </w:t>
            </w:r>
            <w:r>
              <w:rPr>
                <w:rFonts w:eastAsia="+mn-ea"/>
                <w:b/>
                <w:position w:val="1"/>
                <w:sz w:val="26"/>
                <w:szCs w:val="26"/>
              </w:rPr>
              <w:t>Fit for use</w:t>
            </w:r>
          </w:p>
        </w:tc>
      </w:tr>
      <w:tr w:rsidR="000A29D4" w:rsidRPr="00431052" w14:paraId="086838D8" w14:textId="77777777" w:rsidTr="000A29D4">
        <w:tc>
          <w:tcPr>
            <w:tcW w:w="4077" w:type="dxa"/>
            <w:hideMark/>
          </w:tcPr>
          <w:p w14:paraId="21D21B32"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Presentation and Interpretation</w:t>
            </w:r>
          </w:p>
        </w:tc>
        <w:tc>
          <w:tcPr>
            <w:tcW w:w="2268" w:type="dxa"/>
            <w:hideMark/>
          </w:tcPr>
          <w:p w14:paraId="146A171F" w14:textId="7E871152"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 xml:space="preserve"> </w:t>
            </w:r>
            <w:r>
              <w:rPr>
                <w:rFonts w:eastAsia="+mn-ea"/>
                <w:b/>
                <w:position w:val="1"/>
                <w:sz w:val="26"/>
                <w:szCs w:val="26"/>
              </w:rPr>
              <w:t>Fit for use</w:t>
            </w:r>
          </w:p>
        </w:tc>
      </w:tr>
      <w:tr w:rsidR="000A29D4" w:rsidRPr="00431052" w14:paraId="0C3786C0" w14:textId="77777777" w:rsidTr="000A29D4">
        <w:tc>
          <w:tcPr>
            <w:tcW w:w="4077" w:type="dxa"/>
            <w:hideMark/>
          </w:tcPr>
          <w:p w14:paraId="21595BA3"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Risks and Usefulness</w:t>
            </w:r>
          </w:p>
        </w:tc>
        <w:tc>
          <w:tcPr>
            <w:tcW w:w="2268" w:type="dxa"/>
            <w:hideMark/>
          </w:tcPr>
          <w:p w14:paraId="7C1D3349" w14:textId="1EB064F0"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 xml:space="preserve"> </w:t>
            </w:r>
            <w:r>
              <w:rPr>
                <w:rFonts w:eastAsia="+mn-ea"/>
                <w:b/>
                <w:position w:val="1"/>
                <w:sz w:val="26"/>
                <w:szCs w:val="26"/>
              </w:rPr>
              <w:t>Fit for use</w:t>
            </w:r>
          </w:p>
        </w:tc>
      </w:tr>
      <w:tr w:rsidR="000A29D4" w:rsidRPr="00431052" w14:paraId="71FA6DFC" w14:textId="77777777" w:rsidTr="000A29D4">
        <w:tc>
          <w:tcPr>
            <w:tcW w:w="4077" w:type="dxa"/>
          </w:tcPr>
          <w:p w14:paraId="2F918188" w14:textId="77777777" w:rsidR="000A29D4" w:rsidRPr="00431052" w:rsidRDefault="000A29D4" w:rsidP="000A29D4">
            <w:pPr>
              <w:spacing w:before="120"/>
              <w:jc w:val="center"/>
              <w:rPr>
                <w:rFonts w:eastAsia="+mn-ea"/>
                <w:b/>
                <w:position w:val="1"/>
                <w:sz w:val="26"/>
                <w:szCs w:val="26"/>
              </w:rPr>
            </w:pPr>
            <w:r w:rsidRPr="00431052">
              <w:rPr>
                <w:rFonts w:eastAsia="+mn-ea"/>
                <w:b/>
                <w:position w:val="1"/>
                <w:sz w:val="26"/>
                <w:szCs w:val="26"/>
              </w:rPr>
              <w:t>Overall Rating</w:t>
            </w:r>
          </w:p>
          <w:p w14:paraId="5ECE2976" w14:textId="77777777" w:rsidR="000A29D4" w:rsidRPr="00431052" w:rsidRDefault="000A29D4" w:rsidP="000A29D4">
            <w:pPr>
              <w:spacing w:line="360" w:lineRule="auto"/>
              <w:rPr>
                <w:rFonts w:eastAsia="+mn-ea"/>
                <w:position w:val="1"/>
                <w:szCs w:val="40"/>
              </w:rPr>
            </w:pPr>
          </w:p>
        </w:tc>
        <w:tc>
          <w:tcPr>
            <w:tcW w:w="2268" w:type="dxa"/>
          </w:tcPr>
          <w:sdt>
            <w:sdtPr>
              <w:rPr>
                <w:rFonts w:eastAsia="+mn-ea"/>
                <w:b/>
                <w:position w:val="1"/>
                <w:sz w:val="26"/>
                <w:szCs w:val="26"/>
              </w:rPr>
              <w:alias w:val="MRG rating"/>
              <w:tag w:val="MRG rating"/>
              <w:id w:val="-438138468"/>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Content>
              <w:p w14:paraId="261989CE" w14:textId="347A1A1F" w:rsidR="000A29D4" w:rsidRPr="00431052" w:rsidRDefault="000A29D4" w:rsidP="000A29D4">
                <w:pPr>
                  <w:spacing w:line="360" w:lineRule="auto"/>
                  <w:jc w:val="center"/>
                  <w:rPr>
                    <w:b/>
                    <w:noProof/>
                    <w:lang w:eastAsia="en-GB"/>
                  </w:rPr>
                </w:pPr>
                <w:r w:rsidRPr="00431052">
                  <w:rPr>
                    <w:rFonts w:eastAsia="+mn-ea"/>
                    <w:b/>
                    <w:position w:val="1"/>
                    <w:sz w:val="26"/>
                    <w:szCs w:val="26"/>
                  </w:rPr>
                  <w:t>Fit for use</w:t>
                </w:r>
              </w:p>
            </w:sdtContent>
          </w:sdt>
        </w:tc>
      </w:tr>
    </w:tbl>
    <w:p w14:paraId="49393B88" w14:textId="07E92E60" w:rsidR="00FB6F7F" w:rsidRPr="00431052" w:rsidRDefault="00FB6F7F" w:rsidP="00C07493">
      <w:pPr>
        <w:pStyle w:val="NormalWeb"/>
        <w:spacing w:before="0" w:beforeAutospacing="0" w:after="0" w:afterAutospacing="0"/>
        <w:rPr>
          <w:rFonts w:ascii="Arial" w:eastAsia="+mn-ea" w:hAnsi="Arial" w:cs="Arial"/>
          <w:b/>
          <w:position w:val="1"/>
          <w:sz w:val="26"/>
          <w:szCs w:val="26"/>
        </w:rPr>
      </w:pPr>
    </w:p>
    <w:p w14:paraId="17A4C5E9" w14:textId="77777777" w:rsidR="00FB6F7F" w:rsidRPr="00431052" w:rsidRDefault="00FB6F7F">
      <w:pPr>
        <w:spacing w:after="0"/>
        <w:textboxTightWrap w:val="none"/>
        <w:rPr>
          <w:rFonts w:eastAsia="+mn-ea" w:cs="Arial"/>
          <w:b/>
          <w:position w:val="1"/>
          <w:sz w:val="26"/>
          <w:szCs w:val="26"/>
          <w:lang w:eastAsia="en-GB"/>
        </w:rPr>
      </w:pPr>
      <w:r w:rsidRPr="00431052">
        <w:rPr>
          <w:rFonts w:eastAsia="+mn-ea" w:cs="Arial"/>
          <w:b/>
          <w:position w:val="1"/>
          <w:sz w:val="26"/>
          <w:szCs w:val="26"/>
        </w:rPr>
        <w:lastRenderedPageBreak/>
        <w:br w:type="page"/>
      </w:r>
    </w:p>
    <w:p w14:paraId="6D844F75" w14:textId="77777777" w:rsidR="00C07493" w:rsidRPr="00431052" w:rsidRDefault="00C07493" w:rsidP="00C07493">
      <w:pPr>
        <w:pStyle w:val="NormalWeb"/>
        <w:spacing w:before="0" w:beforeAutospacing="0" w:after="0" w:afterAutospacing="0"/>
        <w:rPr>
          <w:rFonts w:ascii="Arial" w:eastAsia="+mn-ea" w:hAnsi="Arial" w:cs="Arial"/>
          <w:b/>
          <w:position w:val="1"/>
          <w:sz w:val="26"/>
          <w:szCs w:val="26"/>
        </w:rPr>
      </w:pPr>
    </w:p>
    <w:p w14:paraId="33ADAAB2" w14:textId="77777777" w:rsidR="00C07493" w:rsidRPr="00431052" w:rsidRDefault="00C07493" w:rsidP="00C07493">
      <w:pPr>
        <w:pStyle w:val="NormalWeb"/>
        <w:spacing w:before="0" w:beforeAutospacing="0" w:after="0" w:afterAutospacing="0"/>
        <w:rPr>
          <w:rFonts w:ascii="Arial" w:eastAsia="+mn-ea" w:hAnsi="Arial" w:cs="Arial"/>
          <w:b/>
          <w:position w:val="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11"/>
      </w:tblGrid>
      <w:tr w:rsidR="00431052" w:rsidRPr="00431052" w14:paraId="5F49A80C" w14:textId="77777777" w:rsidTr="00BF78CE">
        <w:tc>
          <w:tcPr>
            <w:tcW w:w="3369" w:type="dxa"/>
            <w:shd w:val="clear" w:color="auto" w:fill="auto"/>
            <w:vAlign w:val="center"/>
          </w:tcPr>
          <w:p w14:paraId="287A43C9" w14:textId="77777777" w:rsidR="00C07493" w:rsidRPr="00431052" w:rsidRDefault="00C07493" w:rsidP="00C07493">
            <w:pPr>
              <w:pStyle w:val="NormalWeb"/>
              <w:spacing w:before="0" w:beforeAutospacing="0" w:after="0" w:afterAutospacing="0"/>
              <w:rPr>
                <w:rFonts w:ascii="Arial" w:eastAsia="+mn-ea" w:hAnsi="Arial" w:cs="Arial"/>
                <w:b/>
                <w:position w:val="1"/>
                <w:sz w:val="22"/>
                <w:szCs w:val="22"/>
              </w:rPr>
            </w:pPr>
            <w:r w:rsidRPr="00431052">
              <w:rPr>
                <w:rFonts w:ascii="Arial" w:eastAsia="+mn-ea" w:hAnsi="Arial" w:cs="Arial"/>
                <w:b/>
                <w:position w:val="1"/>
                <w:sz w:val="22"/>
                <w:szCs w:val="22"/>
              </w:rPr>
              <w:t>Outcome</w:t>
            </w:r>
          </w:p>
        </w:tc>
        <w:sdt>
          <w:sdtPr>
            <w:rPr>
              <w:rFonts w:ascii="Arial" w:eastAsia="+mn-ea" w:hAnsi="Arial" w:cs="Arial"/>
              <w:b/>
              <w:position w:val="1"/>
              <w:sz w:val="22"/>
              <w:szCs w:val="22"/>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ity Assured Indicators" w:value="This indicator has not been approved for inclusion in the National Library of Qualit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Content>
            <w:tc>
              <w:tcPr>
                <w:tcW w:w="6911" w:type="dxa"/>
              </w:tcPr>
              <w:p w14:paraId="758736AE" w14:textId="77777777" w:rsidR="00C07493" w:rsidRPr="00431052" w:rsidRDefault="00C07493" w:rsidP="00C07493">
                <w:pPr>
                  <w:pStyle w:val="NormalWeb"/>
                  <w:spacing w:before="0" w:beforeAutospacing="0" w:after="0" w:afterAutospacing="0"/>
                  <w:rPr>
                    <w:rFonts w:ascii="Arial" w:eastAsia="+mn-ea" w:hAnsi="Arial" w:cs="Arial"/>
                    <w:b/>
                    <w:position w:val="1"/>
                    <w:sz w:val="26"/>
                    <w:szCs w:val="26"/>
                  </w:rPr>
                </w:pPr>
                <w:r w:rsidRPr="00431052">
                  <w:rPr>
                    <w:rFonts w:ascii="Arial" w:eastAsia="+mn-ea" w:hAnsi="Arial" w:cs="Arial"/>
                    <w:b/>
                    <w:position w:val="1"/>
                    <w:sz w:val="22"/>
                    <w:szCs w:val="22"/>
                  </w:rPr>
                  <w:t>This indicator has been approved for inclusion in the National Library of Quality Assured Indicators</w:t>
                </w:r>
              </w:p>
            </w:tc>
          </w:sdtContent>
        </w:sdt>
      </w:tr>
    </w:tbl>
    <w:p w14:paraId="27C0B17F" w14:textId="77777777" w:rsidR="00C07493" w:rsidRPr="00431052" w:rsidRDefault="00C07493" w:rsidP="00C07493">
      <w:pPr>
        <w:pStyle w:val="NormalWeb"/>
        <w:spacing w:before="0" w:beforeAutospacing="0" w:after="0" w:afterAutospacing="0"/>
        <w:rPr>
          <w:rFonts w:ascii="Arial" w:eastAsia="+mn-ea" w:hAnsi="Arial" w:cs="Arial"/>
          <w:b/>
          <w:position w:val="1"/>
          <w:sz w:val="26"/>
          <w:szCs w:val="26"/>
        </w:rPr>
      </w:pPr>
    </w:p>
    <w:p w14:paraId="26662683" w14:textId="77777777" w:rsidR="00C07493" w:rsidRPr="00431052" w:rsidRDefault="00C07493" w:rsidP="00C07493">
      <w:pPr>
        <w:pStyle w:val="NormalWeb"/>
        <w:spacing w:before="0" w:beforeAutospacing="0" w:after="0" w:afterAutospacing="0"/>
        <w:rPr>
          <w:rFonts w:ascii="Arial" w:eastAsia="+mn-ea" w:hAnsi="Arial" w:cs="Arial"/>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431052" w:rsidRPr="00431052" w14:paraId="2E2F4385" w14:textId="77777777" w:rsidTr="00BF78CE">
        <w:tc>
          <w:tcPr>
            <w:tcW w:w="10280" w:type="dxa"/>
            <w:shd w:val="clear" w:color="auto" w:fill="auto"/>
          </w:tcPr>
          <w:p w14:paraId="37E02D1B" w14:textId="77777777" w:rsidR="00C07493" w:rsidRPr="00431052" w:rsidRDefault="00C07493" w:rsidP="00C07493">
            <w:pPr>
              <w:pStyle w:val="NormalWeb"/>
              <w:spacing w:before="0" w:beforeAutospacing="0" w:after="0" w:afterAutospacing="0"/>
              <w:rPr>
                <w:rFonts w:ascii="Arial" w:eastAsia="+mn-ea" w:hAnsi="Arial" w:cs="Arial"/>
                <w:b/>
                <w:position w:val="1"/>
                <w:sz w:val="26"/>
                <w:szCs w:val="26"/>
              </w:rPr>
            </w:pPr>
            <w:r w:rsidRPr="00431052">
              <w:rPr>
                <w:rFonts w:ascii="Arial" w:eastAsia="+mn-ea" w:hAnsi="Arial" w:cs="Arial"/>
                <w:b/>
                <w:position w:val="1"/>
                <w:sz w:val="26"/>
                <w:szCs w:val="26"/>
              </w:rPr>
              <w:t>Key findings from Assurance</w:t>
            </w:r>
          </w:p>
        </w:tc>
      </w:tr>
      <w:tr w:rsidR="00FB6F7F" w:rsidRPr="00431052" w14:paraId="673D8205" w14:textId="77777777" w:rsidTr="00C07493">
        <w:tc>
          <w:tcPr>
            <w:tcW w:w="10280" w:type="dxa"/>
          </w:tcPr>
          <w:p w14:paraId="663E0F91" w14:textId="77777777" w:rsidR="00C07493" w:rsidRPr="00431052" w:rsidRDefault="00C07493" w:rsidP="00431052">
            <w:pPr>
              <w:pStyle w:val="NormalWeb"/>
              <w:numPr>
                <w:ilvl w:val="0"/>
                <w:numId w:val="7"/>
              </w:numPr>
              <w:spacing w:before="240" w:beforeAutospacing="0" w:after="0" w:afterAutospacing="0"/>
              <w:rPr>
                <w:rFonts w:ascii="Arial" w:eastAsia="+mn-ea" w:hAnsi="Arial" w:cs="Arial"/>
                <w:position w:val="1"/>
                <w:sz w:val="22"/>
                <w:szCs w:val="22"/>
              </w:rPr>
            </w:pPr>
            <w:r w:rsidRPr="00431052">
              <w:rPr>
                <w:rFonts w:ascii="Arial" w:eastAsia="+mn-ea" w:hAnsi="Arial" w:cs="Arial"/>
                <w:position w:val="1"/>
                <w:sz w:val="22"/>
                <w:szCs w:val="22"/>
              </w:rPr>
              <w:t xml:space="preserve">IGB endorse the MRG’s recommendation that the indicator is rated ‘Fit for use’ and is suitable for inclusion in the Library. </w:t>
            </w:r>
          </w:p>
          <w:p w14:paraId="75E82E1A" w14:textId="77777777" w:rsidR="00C07493" w:rsidRPr="00431052" w:rsidRDefault="00C07493" w:rsidP="00431052">
            <w:pPr>
              <w:pStyle w:val="NormalWeb"/>
              <w:numPr>
                <w:ilvl w:val="0"/>
                <w:numId w:val="7"/>
              </w:numPr>
              <w:spacing w:before="240" w:beforeAutospacing="0" w:after="0" w:afterAutospacing="0"/>
              <w:rPr>
                <w:rFonts w:ascii="Arial" w:eastAsia="+mn-ea" w:hAnsi="Arial" w:cs="Arial"/>
                <w:position w:val="1"/>
                <w:sz w:val="22"/>
                <w:szCs w:val="22"/>
              </w:rPr>
            </w:pPr>
            <w:r w:rsidRPr="00431052">
              <w:rPr>
                <w:rFonts w:ascii="Arial" w:eastAsia="+mn-ea" w:hAnsi="Arial" w:cs="Arial"/>
                <w:position w:val="1"/>
                <w:sz w:val="22"/>
                <w:szCs w:val="22"/>
              </w:rPr>
              <w:t>A three year review period has been set, after which the indicator will be reconsidered by the assurance process.</w:t>
            </w:r>
          </w:p>
        </w:tc>
      </w:tr>
    </w:tbl>
    <w:p w14:paraId="3DB1ED48" w14:textId="77777777" w:rsidR="00C07493" w:rsidRPr="00431052" w:rsidRDefault="00C07493" w:rsidP="00C07493">
      <w:pPr>
        <w:pStyle w:val="NormalWeb"/>
        <w:spacing w:before="0" w:beforeAutospacing="0" w:after="0" w:afterAutospacing="0"/>
        <w:rPr>
          <w:rFonts w:ascii="Arial" w:eastAsia="+mn-ea" w:hAnsi="Arial" w:cs="Arial"/>
          <w:position w:val="1"/>
          <w:sz w:val="22"/>
          <w:szCs w:val="22"/>
        </w:rPr>
      </w:pPr>
    </w:p>
    <w:p w14:paraId="6DE8B979" w14:textId="77777777" w:rsidR="00C07493" w:rsidRPr="00431052" w:rsidRDefault="00C07493" w:rsidP="00C07493">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431052" w:rsidRPr="00431052" w14:paraId="6E8D4AEB" w14:textId="77777777" w:rsidTr="00BF78CE">
        <w:tc>
          <w:tcPr>
            <w:tcW w:w="3369" w:type="dxa"/>
            <w:shd w:val="clear" w:color="auto" w:fill="auto"/>
          </w:tcPr>
          <w:p w14:paraId="14203A64" w14:textId="77777777" w:rsidR="00C07493" w:rsidRPr="00431052" w:rsidRDefault="00C07493" w:rsidP="00C07493">
            <w:pPr>
              <w:pStyle w:val="NormalWeb"/>
              <w:spacing w:before="60" w:beforeAutospacing="0" w:after="60" w:afterAutospacing="0"/>
              <w:rPr>
                <w:rFonts w:ascii="Arial" w:eastAsia="+mn-ea" w:hAnsi="Arial" w:cs="Arial"/>
                <w:b/>
                <w:position w:val="1"/>
                <w:sz w:val="22"/>
                <w:szCs w:val="22"/>
              </w:rPr>
            </w:pPr>
            <w:r w:rsidRPr="00431052">
              <w:rPr>
                <w:rFonts w:ascii="Arial" w:eastAsia="+mn-ea" w:hAnsi="Arial" w:cs="Arial"/>
                <w:b/>
                <w:position w:val="1"/>
                <w:sz w:val="22"/>
                <w:szCs w:val="22"/>
              </w:rPr>
              <w:t>Approval date</w:t>
            </w:r>
          </w:p>
        </w:tc>
        <w:sdt>
          <w:sdtPr>
            <w:rPr>
              <w:rFonts w:ascii="Arial" w:eastAsia="+mn-ea" w:hAnsi="Arial" w:cs="Arial"/>
              <w:position w:val="1"/>
              <w:sz w:val="22"/>
              <w:szCs w:val="22"/>
            </w:rPr>
            <w:id w:val="1802733087"/>
            <w:date w:fullDate="2016-12-14T00:00:00Z">
              <w:dateFormat w:val="dd/MM/yyyy"/>
              <w:lid w:val="en-GB"/>
              <w:storeMappedDataAs w:val="dateTime"/>
              <w:calendar w:val="gregorian"/>
            </w:date>
          </w:sdtPr>
          <w:sdtContent>
            <w:tc>
              <w:tcPr>
                <w:tcW w:w="6945" w:type="dxa"/>
              </w:tcPr>
              <w:p w14:paraId="336CC34E" w14:textId="77777777" w:rsidR="00C07493" w:rsidRPr="00431052" w:rsidRDefault="00C07493" w:rsidP="00C07493">
                <w:pPr>
                  <w:pStyle w:val="NormalWeb"/>
                  <w:spacing w:before="60" w:beforeAutospacing="0" w:after="60" w:afterAutospacing="0"/>
                  <w:rPr>
                    <w:rFonts w:ascii="Arial" w:eastAsia="+mn-ea" w:hAnsi="Arial" w:cs="Arial"/>
                    <w:position w:val="1"/>
                    <w:sz w:val="22"/>
                    <w:szCs w:val="22"/>
                  </w:rPr>
                </w:pPr>
                <w:r w:rsidRPr="00431052">
                  <w:rPr>
                    <w:rFonts w:ascii="Arial" w:eastAsia="+mn-ea" w:hAnsi="Arial" w:cs="Arial"/>
                    <w:position w:val="1"/>
                    <w:sz w:val="22"/>
                    <w:szCs w:val="22"/>
                  </w:rPr>
                  <w:t>14/12/2016</w:t>
                </w:r>
              </w:p>
            </w:tc>
          </w:sdtContent>
        </w:sdt>
      </w:tr>
      <w:tr w:rsidR="00FB6F7F" w:rsidRPr="00431052" w14:paraId="536C1D21" w14:textId="77777777" w:rsidTr="00BF78CE">
        <w:tc>
          <w:tcPr>
            <w:tcW w:w="3369" w:type="dxa"/>
            <w:shd w:val="clear" w:color="auto" w:fill="auto"/>
          </w:tcPr>
          <w:p w14:paraId="3D80136E" w14:textId="77777777" w:rsidR="00C07493" w:rsidRPr="00431052" w:rsidRDefault="00C07493" w:rsidP="00C07493">
            <w:pPr>
              <w:pStyle w:val="NormalWeb"/>
              <w:spacing w:before="60" w:beforeAutospacing="0" w:after="60" w:afterAutospacing="0"/>
              <w:rPr>
                <w:rFonts w:ascii="Arial" w:eastAsia="+mn-ea" w:hAnsi="Arial" w:cs="Arial"/>
                <w:b/>
                <w:position w:val="1"/>
                <w:sz w:val="22"/>
                <w:szCs w:val="22"/>
              </w:rPr>
            </w:pPr>
            <w:r w:rsidRPr="00431052">
              <w:rPr>
                <w:rFonts w:ascii="Arial" w:eastAsia="+mn-ea" w:hAnsi="Arial" w:cs="Arial"/>
                <w:b/>
                <w:position w:val="1"/>
                <w:sz w:val="22"/>
                <w:szCs w:val="22"/>
              </w:rPr>
              <w:t>Review date</w:t>
            </w:r>
          </w:p>
        </w:tc>
        <w:sdt>
          <w:sdtPr>
            <w:rPr>
              <w:rFonts w:ascii="Arial" w:eastAsia="+mn-ea" w:hAnsi="Arial" w:cs="Arial"/>
              <w:position w:val="1"/>
              <w:sz w:val="22"/>
              <w:szCs w:val="22"/>
            </w:rPr>
            <w:id w:val="969868933"/>
            <w:date w:fullDate="2019-12-14T00:00:00Z">
              <w:dateFormat w:val="dd/MM/yyyy"/>
              <w:lid w:val="en-GB"/>
              <w:storeMappedDataAs w:val="dateTime"/>
              <w:calendar w:val="gregorian"/>
            </w:date>
          </w:sdtPr>
          <w:sdtContent>
            <w:tc>
              <w:tcPr>
                <w:tcW w:w="6945" w:type="dxa"/>
              </w:tcPr>
              <w:p w14:paraId="757638C0" w14:textId="77777777" w:rsidR="00C07493" w:rsidRPr="00431052" w:rsidRDefault="00C07493" w:rsidP="00C07493">
                <w:pPr>
                  <w:pStyle w:val="NormalWeb"/>
                  <w:spacing w:before="60" w:beforeAutospacing="0" w:after="60" w:afterAutospacing="0"/>
                  <w:rPr>
                    <w:rFonts w:ascii="Arial" w:eastAsia="+mn-ea" w:hAnsi="Arial" w:cs="Arial"/>
                    <w:position w:val="1"/>
                    <w:sz w:val="22"/>
                    <w:szCs w:val="22"/>
                  </w:rPr>
                </w:pPr>
                <w:r w:rsidRPr="00431052">
                  <w:rPr>
                    <w:rFonts w:ascii="Arial" w:eastAsia="+mn-ea" w:hAnsi="Arial" w:cs="Arial"/>
                    <w:position w:val="1"/>
                    <w:sz w:val="22"/>
                    <w:szCs w:val="22"/>
                  </w:rPr>
                  <w:t>14/12/2019</w:t>
                </w:r>
              </w:p>
            </w:tc>
          </w:sdtContent>
        </w:sdt>
      </w:tr>
    </w:tbl>
    <w:p w14:paraId="75A64CBB" w14:textId="77777777" w:rsidR="00C07493" w:rsidRPr="00431052" w:rsidRDefault="00C07493" w:rsidP="00C07493">
      <w:pPr>
        <w:pStyle w:val="NormalWeb"/>
        <w:spacing w:before="0" w:beforeAutospacing="0" w:after="0" w:afterAutospacing="0"/>
        <w:rPr>
          <w:rFonts w:ascii="Arial" w:eastAsia="+mn-ea" w:hAnsi="Arial" w:cs="Arial"/>
          <w:position w:val="1"/>
          <w:sz w:val="22"/>
          <w:szCs w:val="22"/>
        </w:rPr>
      </w:pPr>
    </w:p>
    <w:p w14:paraId="07DAA8A9" w14:textId="77777777" w:rsidR="00C07493" w:rsidRPr="00431052" w:rsidRDefault="00C07493" w:rsidP="00C07493">
      <w:pPr>
        <w:pStyle w:val="NormalWeb"/>
        <w:spacing w:before="0" w:beforeAutospacing="0" w:after="0" w:afterAutospacing="0"/>
        <w:ind w:left="142" w:hanging="142"/>
        <w:rPr>
          <w:rFonts w:ascii="Arial" w:eastAsia="+mn-ea" w:hAnsi="Arial" w:cs="Arial"/>
          <w:position w:val="1"/>
          <w:sz w:val="22"/>
          <w:szCs w:val="22"/>
        </w:rPr>
      </w:pPr>
    </w:p>
    <w:p w14:paraId="6A84FF48" w14:textId="77777777" w:rsidR="00C07493" w:rsidRPr="00431052" w:rsidRDefault="00C07493">
      <w:pPr>
        <w:rPr>
          <w:rFonts w:cs="Arial"/>
        </w:rPr>
      </w:pPr>
      <w:r w:rsidRPr="00431052">
        <w:rPr>
          <w:rFonts w:cs="Arial"/>
        </w:rPr>
        <w:br w:type="page"/>
      </w:r>
    </w:p>
    <w:p w14:paraId="0B426D96" w14:textId="77777777" w:rsidR="00C07493" w:rsidRPr="00431052" w:rsidRDefault="00C07493" w:rsidP="00C07493">
      <w:pPr>
        <w:pStyle w:val="NormalWeb"/>
        <w:spacing w:before="0" w:beforeAutospacing="0" w:after="0" w:afterAutospacing="0"/>
        <w:rPr>
          <w:rFonts w:ascii="Arial" w:eastAsia="+mn-ea" w:hAnsi="Arial" w:cs="Arial"/>
          <w:b/>
          <w:position w:val="1"/>
          <w:sz w:val="32"/>
          <w:szCs w:val="32"/>
        </w:rPr>
      </w:pPr>
    </w:p>
    <w:p w14:paraId="0E72D3B6" w14:textId="77777777" w:rsidR="00C07493" w:rsidRPr="00431052" w:rsidRDefault="00C07493" w:rsidP="00C07493">
      <w:pPr>
        <w:pStyle w:val="NormalWeb"/>
        <w:tabs>
          <w:tab w:val="right" w:pos="10064"/>
        </w:tabs>
        <w:spacing w:before="0" w:beforeAutospacing="0" w:after="0" w:afterAutospacing="0"/>
        <w:rPr>
          <w:rFonts w:ascii="Arial" w:eastAsia="+mn-ea" w:hAnsi="Arial" w:cs="Arial"/>
          <w:b/>
          <w:position w:val="1"/>
          <w:sz w:val="32"/>
          <w:szCs w:val="32"/>
        </w:rPr>
      </w:pPr>
      <w:r w:rsidRPr="00431052">
        <w:rPr>
          <w:rFonts w:ascii="Arial" w:eastAsia="+mn-ea" w:hAnsi="Arial" w:cs="Arial"/>
          <w:b/>
          <w:position w:val="1"/>
          <w:sz w:val="32"/>
          <w:szCs w:val="32"/>
        </w:rPr>
        <w:t xml:space="preserve">Details of Methodology Appraisal – </w:t>
      </w:r>
      <w:sdt>
        <w:sdtPr>
          <w:rPr>
            <w:rFonts w:ascii="Arial" w:eastAsia="+mn-ea" w:hAnsi="Arial" w:cs="Arial"/>
            <w:b/>
            <w:position w:val="1"/>
            <w:sz w:val="32"/>
            <w:szCs w:val="32"/>
          </w:rPr>
          <w:id w:val="1730420586"/>
          <w:date>
            <w:dateFormat w:val="dd/MM/yyyy"/>
            <w:lid w:val="en-GB"/>
            <w:storeMappedDataAs w:val="dateTime"/>
            <w:calendar w:val="gregorian"/>
          </w:date>
        </w:sdtPr>
        <w:sdtContent>
          <w:r w:rsidRPr="00431052">
            <w:rPr>
              <w:rFonts w:ascii="Arial" w:eastAsia="+mn-ea" w:hAnsi="Arial" w:cs="Arial"/>
              <w:b/>
              <w:position w:val="1"/>
              <w:sz w:val="32"/>
              <w:szCs w:val="32"/>
            </w:rPr>
            <w:t>Click here to enter date</w:t>
          </w:r>
        </w:sdtContent>
      </w:sdt>
      <w:r w:rsidRPr="00431052">
        <w:rPr>
          <w:rFonts w:ascii="Arial" w:eastAsia="+mn-ea" w:hAnsi="Arial" w:cs="Arial"/>
          <w:b/>
          <w:position w:val="1"/>
          <w:sz w:val="32"/>
          <w:szCs w:val="32"/>
        </w:rPr>
        <w:tab/>
      </w:r>
    </w:p>
    <w:p w14:paraId="663093C7" w14:textId="77777777" w:rsidR="00C07493" w:rsidRPr="00431052" w:rsidRDefault="00C07493" w:rsidP="00C07493">
      <w:pPr>
        <w:pStyle w:val="NormalWeb"/>
        <w:spacing w:before="0" w:beforeAutospacing="0" w:after="0" w:afterAutospacing="0"/>
        <w:rPr>
          <w:rFonts w:ascii="Arial" w:eastAsia="+mn-ea" w:hAnsi="Arial" w:cs="Arial"/>
          <w:b/>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431052" w:rsidRPr="00431052" w14:paraId="1BE58C0C" w14:textId="77777777" w:rsidTr="00431052">
        <w:tc>
          <w:tcPr>
            <w:tcW w:w="3369" w:type="dxa"/>
            <w:shd w:val="clear" w:color="auto" w:fill="auto"/>
          </w:tcPr>
          <w:p w14:paraId="70A22F01" w14:textId="77777777" w:rsidR="00C07493" w:rsidRPr="00431052" w:rsidRDefault="00C07493" w:rsidP="00C07493">
            <w:pPr>
              <w:pStyle w:val="NormalWeb"/>
              <w:spacing w:beforeLines="60" w:before="144" w:beforeAutospacing="0" w:afterLines="60" w:after="144" w:afterAutospacing="0"/>
              <w:rPr>
                <w:rFonts w:ascii="Arial" w:eastAsia="+mn-ea" w:hAnsi="Arial" w:cs="Arial"/>
                <w:b/>
                <w:position w:val="1"/>
                <w:sz w:val="22"/>
                <w:szCs w:val="22"/>
              </w:rPr>
            </w:pPr>
            <w:r w:rsidRPr="00431052">
              <w:rPr>
                <w:rFonts w:ascii="Arial" w:eastAsia="+mn-ea" w:hAnsi="Arial" w:cs="Arial"/>
                <w:b/>
                <w:position w:val="1"/>
                <w:sz w:val="22"/>
                <w:szCs w:val="22"/>
              </w:rPr>
              <w:t>Methodology appraisal body</w:t>
            </w:r>
          </w:p>
        </w:tc>
        <w:tc>
          <w:tcPr>
            <w:tcW w:w="6945" w:type="dxa"/>
            <w:shd w:val="clear" w:color="auto" w:fill="auto"/>
          </w:tcPr>
          <w:p w14:paraId="18F220EB" w14:textId="77777777" w:rsidR="00C07493" w:rsidRPr="00431052" w:rsidRDefault="00431052" w:rsidP="00C07493">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Indicator &amp; Methodology Assurance Service" w:value="Indicator &amp; Methodology Assurance Service"/>
                </w:dropDownList>
              </w:sdtPr>
              <w:sdtContent>
                <w:r w:rsidR="00C07493" w:rsidRPr="00431052">
                  <w:rPr>
                    <w:rFonts w:ascii="Arial" w:eastAsia="+mn-ea" w:hAnsi="Arial" w:cs="Arial"/>
                    <w:position w:val="1"/>
                    <w:sz w:val="22"/>
                    <w:szCs w:val="22"/>
                  </w:rPr>
                  <w:t>Indicator &amp; Methodology Assurance Service</w:t>
                </w:r>
              </w:sdtContent>
            </w:sdt>
          </w:p>
        </w:tc>
      </w:tr>
      <w:tr w:rsidR="00431052" w:rsidRPr="00431052" w14:paraId="07C27D16" w14:textId="77777777" w:rsidTr="00431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auto"/>
          </w:tcPr>
          <w:p w14:paraId="503A766F" w14:textId="77777777" w:rsidR="00C07493" w:rsidRPr="00431052" w:rsidRDefault="00C07493" w:rsidP="00C07493">
            <w:pPr>
              <w:pStyle w:val="NormalWeb"/>
              <w:spacing w:beforeLines="60" w:before="144" w:beforeAutospacing="0" w:afterLines="60" w:after="144" w:afterAutospacing="0"/>
              <w:rPr>
                <w:rFonts w:ascii="Arial" w:eastAsia="+mn-ea" w:hAnsi="Arial" w:cs="Arial"/>
                <w:position w:val="1"/>
                <w:sz w:val="22"/>
                <w:szCs w:val="22"/>
              </w:rPr>
            </w:pPr>
            <w:r w:rsidRPr="00431052">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tc>
              <w:tcPr>
                <w:tcW w:w="6945" w:type="dxa"/>
                <w:tcBorders>
                  <w:top w:val="nil"/>
                  <w:left w:val="nil"/>
                  <w:bottom w:val="nil"/>
                  <w:right w:val="nil"/>
                </w:tcBorders>
                <w:shd w:val="clear" w:color="auto" w:fill="auto"/>
              </w:tcPr>
              <w:p w14:paraId="6DDE6480" w14:textId="77777777" w:rsidR="00C07493" w:rsidRPr="00431052" w:rsidRDefault="00C07493" w:rsidP="00C07493">
                <w:pPr>
                  <w:pStyle w:val="NormalWeb"/>
                  <w:spacing w:beforeLines="60" w:before="144" w:beforeAutospacing="0" w:afterLines="60" w:after="144" w:afterAutospacing="0"/>
                  <w:rPr>
                    <w:rFonts w:ascii="Arial" w:eastAsia="+mn-ea" w:hAnsi="Arial" w:cs="Arial"/>
                    <w:position w:val="1"/>
                    <w:sz w:val="22"/>
                    <w:szCs w:val="22"/>
                  </w:rPr>
                </w:pPr>
                <w:r w:rsidRPr="00431052">
                  <w:rPr>
                    <w:rFonts w:ascii="Arial" w:eastAsia="+mn-ea" w:hAnsi="Arial" w:cs="Arial"/>
                    <w:position w:val="1"/>
                    <w:sz w:val="22"/>
                    <w:szCs w:val="22"/>
                  </w:rPr>
                  <w:t>Initial assurance</w:t>
                </w:r>
              </w:p>
            </w:tc>
          </w:sdtContent>
        </w:sdt>
      </w:tr>
      <w:tr w:rsidR="00431052" w:rsidRPr="00431052" w14:paraId="2616E9E9" w14:textId="77777777" w:rsidTr="00431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auto"/>
          </w:tcPr>
          <w:p w14:paraId="4B456EC3" w14:textId="77777777" w:rsidR="00C07493" w:rsidRPr="00431052" w:rsidRDefault="00C07493" w:rsidP="00C07493">
            <w:pPr>
              <w:pStyle w:val="NormalWeb"/>
              <w:spacing w:beforeLines="60" w:before="144" w:beforeAutospacing="0" w:afterLines="60" w:after="144" w:afterAutospacing="0"/>
              <w:rPr>
                <w:rFonts w:ascii="Arial" w:eastAsia="+mn-ea" w:hAnsi="Arial" w:cs="Arial"/>
                <w:position w:val="1"/>
                <w:sz w:val="22"/>
                <w:szCs w:val="22"/>
              </w:rPr>
            </w:pPr>
            <w:r w:rsidRPr="00431052">
              <w:rPr>
                <w:rFonts w:ascii="Arial" w:eastAsia="+mn-ea" w:hAnsi="Arial" w:cs="Arial"/>
                <w:b/>
                <w:position w:val="1"/>
                <w:sz w:val="22"/>
                <w:szCs w:val="22"/>
              </w:rPr>
              <w:t>Iteration</w:t>
            </w:r>
          </w:p>
        </w:tc>
        <w:sdt>
          <w:sdtPr>
            <w:rPr>
              <w:rFonts w:ascii="Arial" w:eastAsia="+mn-ea" w:hAnsi="Arial" w:cs="Arial"/>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Content>
            <w:tc>
              <w:tcPr>
                <w:tcW w:w="6945" w:type="dxa"/>
                <w:tcBorders>
                  <w:top w:val="nil"/>
                  <w:left w:val="nil"/>
                  <w:bottom w:val="nil"/>
                  <w:right w:val="nil"/>
                </w:tcBorders>
                <w:shd w:val="clear" w:color="auto" w:fill="auto"/>
              </w:tcPr>
              <w:p w14:paraId="41B70A67" w14:textId="77777777" w:rsidR="00C07493" w:rsidRPr="00431052" w:rsidRDefault="00C07493" w:rsidP="00C07493">
                <w:pPr>
                  <w:pStyle w:val="NormalWeb"/>
                  <w:spacing w:beforeLines="60" w:before="144" w:beforeAutospacing="0" w:afterLines="60" w:after="144" w:afterAutospacing="0"/>
                  <w:rPr>
                    <w:rFonts w:ascii="Arial" w:eastAsia="+mn-ea" w:hAnsi="Arial" w:cs="Arial"/>
                    <w:position w:val="1"/>
                    <w:sz w:val="22"/>
                    <w:szCs w:val="22"/>
                  </w:rPr>
                </w:pPr>
                <w:r w:rsidRPr="00431052">
                  <w:rPr>
                    <w:rFonts w:ascii="Arial" w:eastAsia="+mn-ea" w:hAnsi="Arial" w:cs="Arial"/>
                    <w:position w:val="1"/>
                    <w:sz w:val="22"/>
                    <w:szCs w:val="22"/>
                  </w:rPr>
                  <w:t>1st MRG meeting</w:t>
                </w:r>
              </w:p>
            </w:tc>
          </w:sdtContent>
        </w:sdt>
      </w:tr>
    </w:tbl>
    <w:p w14:paraId="581856FA" w14:textId="77777777" w:rsidR="00C07493" w:rsidRPr="00431052" w:rsidRDefault="00C07493" w:rsidP="00C07493">
      <w:pPr>
        <w:rPr>
          <w:rFonts w:cs="Arial"/>
        </w:rPr>
      </w:pPr>
    </w:p>
    <w:p w14:paraId="38CD8BAA" w14:textId="77777777" w:rsidR="00C07493" w:rsidRPr="00431052" w:rsidRDefault="00C07493" w:rsidP="00C07493">
      <w:pPr>
        <w:spacing w:after="0"/>
        <w:rPr>
          <w:rFonts w:eastAsia="+mn-ea" w:cs="Arial"/>
          <w:b/>
          <w:i/>
          <w:position w:val="1"/>
          <w:sz w:val="26"/>
          <w:szCs w:val="26"/>
          <w:lang w:eastAsia="en-GB"/>
        </w:rPr>
      </w:pPr>
      <w:r w:rsidRPr="00431052">
        <w:rPr>
          <w:rFonts w:eastAsia="+mn-ea" w:cs="Arial"/>
          <w:b/>
          <w:i/>
          <w:position w:val="1"/>
          <w:sz w:val="26"/>
          <w:szCs w:val="26"/>
          <w:lang w:eastAsia="en-GB"/>
        </w:rPr>
        <w:t>Suggested Assurance Rating by Methodology Appraisal Body</w:t>
      </w:r>
    </w:p>
    <w:p w14:paraId="4073C03D" w14:textId="77777777" w:rsidR="00C07493" w:rsidRPr="00431052" w:rsidRDefault="00431052" w:rsidP="00C07493">
      <w:pPr>
        <w:spacing w:after="0"/>
        <w:jc w:val="center"/>
        <w:rPr>
          <w:rFonts w:eastAsia="+mn-ea" w:cs="Arial"/>
          <w:b/>
          <w:position w:val="1"/>
          <w:sz w:val="26"/>
          <w:szCs w:val="26"/>
          <w:lang w:eastAsia="en-GB"/>
        </w:rPr>
      </w:pPr>
      <w:r w:rsidRPr="00431052">
        <w:rPr>
          <w:rFonts w:eastAsia="+mn-ea" w:cs="Arial"/>
          <w:b/>
          <w:position w:val="1"/>
          <w:sz w:val="26"/>
          <w:szCs w:val="26"/>
          <w:lang w:eastAsia="en-GB"/>
        </w:rPr>
        <w:pict w14:anchorId="7EB40BB8">
          <v:rect id="_x0000_i1035" style="width:503.2pt;height:1.5pt" o:hralign="center" o:hrstd="t" o:hr="t" fillcolor="#a0a0a0" stroked="f"/>
        </w:pict>
      </w:r>
    </w:p>
    <w:tbl>
      <w:tblPr>
        <w:tblStyle w:val="TableGrid1"/>
        <w:tblW w:w="0" w:type="auto"/>
        <w:tblLook w:val="04A0" w:firstRow="1" w:lastRow="0" w:firstColumn="1" w:lastColumn="0" w:noHBand="0" w:noVBand="1"/>
      </w:tblPr>
      <w:tblGrid>
        <w:gridCol w:w="4077"/>
        <w:gridCol w:w="2268"/>
      </w:tblGrid>
      <w:tr w:rsidR="000A29D4" w:rsidRPr="00431052" w14:paraId="28B21C9D" w14:textId="77777777" w:rsidTr="000A29D4">
        <w:tc>
          <w:tcPr>
            <w:tcW w:w="4077" w:type="dxa"/>
          </w:tcPr>
          <w:p w14:paraId="10F1FDBF" w14:textId="77777777" w:rsidR="000A29D4" w:rsidRPr="00431052" w:rsidRDefault="000A29D4" w:rsidP="000A29D4">
            <w:pPr>
              <w:spacing w:before="120"/>
              <w:rPr>
                <w:rFonts w:eastAsia="+mn-ea"/>
                <w:b/>
                <w:position w:val="1"/>
                <w:sz w:val="26"/>
                <w:szCs w:val="26"/>
              </w:rPr>
            </w:pPr>
            <w:r w:rsidRPr="00431052">
              <w:rPr>
                <w:rFonts w:eastAsia="+mn-ea"/>
                <w:b/>
                <w:position w:val="1"/>
                <w:sz w:val="26"/>
                <w:szCs w:val="26"/>
              </w:rPr>
              <w:t>Ratings Against Assessment Criteria</w:t>
            </w:r>
          </w:p>
          <w:p w14:paraId="185164E1" w14:textId="77777777" w:rsidR="000A29D4" w:rsidRPr="00431052" w:rsidRDefault="000A29D4" w:rsidP="00C07493">
            <w:pPr>
              <w:spacing w:line="360" w:lineRule="auto"/>
              <w:rPr>
                <w:rFonts w:eastAsia="+mn-ea"/>
                <w:position w:val="1"/>
                <w:szCs w:val="40"/>
              </w:rPr>
            </w:pPr>
          </w:p>
        </w:tc>
        <w:tc>
          <w:tcPr>
            <w:tcW w:w="2268" w:type="dxa"/>
          </w:tcPr>
          <w:p w14:paraId="0597B973" w14:textId="77777777" w:rsidR="000A29D4" w:rsidRPr="00431052" w:rsidRDefault="000A29D4" w:rsidP="00C07493">
            <w:pPr>
              <w:spacing w:line="360" w:lineRule="auto"/>
              <w:jc w:val="center"/>
              <w:rPr>
                <w:b/>
                <w:noProof/>
                <w:lang w:eastAsia="en-GB"/>
              </w:rPr>
            </w:pPr>
          </w:p>
        </w:tc>
      </w:tr>
      <w:tr w:rsidR="000A29D4" w:rsidRPr="00431052" w14:paraId="786C3EA3" w14:textId="77777777" w:rsidTr="000A29D4">
        <w:tc>
          <w:tcPr>
            <w:tcW w:w="4077" w:type="dxa"/>
            <w:hideMark/>
          </w:tcPr>
          <w:p w14:paraId="0C22CC13"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Clarity</w:t>
            </w:r>
          </w:p>
        </w:tc>
        <w:tc>
          <w:tcPr>
            <w:tcW w:w="2268" w:type="dxa"/>
            <w:hideMark/>
          </w:tcPr>
          <w:p w14:paraId="2DFBA11D" w14:textId="527BF219"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Fit for use</w:t>
            </w:r>
          </w:p>
        </w:tc>
      </w:tr>
      <w:tr w:rsidR="000A29D4" w:rsidRPr="00431052" w14:paraId="3406C480" w14:textId="77777777" w:rsidTr="000A29D4">
        <w:tc>
          <w:tcPr>
            <w:tcW w:w="4077" w:type="dxa"/>
            <w:hideMark/>
          </w:tcPr>
          <w:p w14:paraId="6BABE9D3"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Rationale</w:t>
            </w:r>
          </w:p>
        </w:tc>
        <w:tc>
          <w:tcPr>
            <w:tcW w:w="2268" w:type="dxa"/>
            <w:hideMark/>
          </w:tcPr>
          <w:p w14:paraId="3D36322C" w14:textId="78037E92"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 xml:space="preserve"> </w:t>
            </w:r>
            <w:r>
              <w:rPr>
                <w:rFonts w:eastAsia="+mn-ea"/>
                <w:b/>
                <w:position w:val="1"/>
                <w:sz w:val="26"/>
                <w:szCs w:val="26"/>
              </w:rPr>
              <w:t>Fit for use</w:t>
            </w:r>
          </w:p>
        </w:tc>
      </w:tr>
      <w:tr w:rsidR="000A29D4" w:rsidRPr="00431052" w14:paraId="534DCE17" w14:textId="77777777" w:rsidTr="000A29D4">
        <w:tc>
          <w:tcPr>
            <w:tcW w:w="4077" w:type="dxa"/>
            <w:hideMark/>
          </w:tcPr>
          <w:p w14:paraId="02AD20EB"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Data</w:t>
            </w:r>
          </w:p>
        </w:tc>
        <w:tc>
          <w:tcPr>
            <w:tcW w:w="2268" w:type="dxa"/>
            <w:hideMark/>
          </w:tcPr>
          <w:p w14:paraId="46D4969C" w14:textId="391BB0E8"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 xml:space="preserve"> </w:t>
            </w:r>
            <w:r>
              <w:rPr>
                <w:rFonts w:eastAsia="+mn-ea"/>
                <w:b/>
                <w:position w:val="1"/>
                <w:sz w:val="26"/>
                <w:szCs w:val="26"/>
              </w:rPr>
              <w:t>Fit for use</w:t>
            </w:r>
          </w:p>
        </w:tc>
      </w:tr>
      <w:tr w:rsidR="000A29D4" w:rsidRPr="00431052" w14:paraId="44C0E5D7" w14:textId="77777777" w:rsidTr="000A29D4">
        <w:tc>
          <w:tcPr>
            <w:tcW w:w="4077" w:type="dxa"/>
            <w:hideMark/>
          </w:tcPr>
          <w:p w14:paraId="6AE821F8"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Construction</w:t>
            </w:r>
          </w:p>
        </w:tc>
        <w:tc>
          <w:tcPr>
            <w:tcW w:w="2268" w:type="dxa"/>
            <w:hideMark/>
          </w:tcPr>
          <w:p w14:paraId="666C0A39" w14:textId="765E9682"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 xml:space="preserve"> </w:t>
            </w:r>
            <w:r>
              <w:rPr>
                <w:rFonts w:eastAsia="+mn-ea"/>
                <w:b/>
                <w:position w:val="1"/>
                <w:sz w:val="26"/>
                <w:szCs w:val="26"/>
              </w:rPr>
              <w:t>Fit for use</w:t>
            </w:r>
          </w:p>
        </w:tc>
      </w:tr>
      <w:tr w:rsidR="000A29D4" w:rsidRPr="00431052" w14:paraId="43BFA5A5" w14:textId="77777777" w:rsidTr="000A29D4">
        <w:tc>
          <w:tcPr>
            <w:tcW w:w="4077" w:type="dxa"/>
            <w:hideMark/>
          </w:tcPr>
          <w:p w14:paraId="373E3B4D"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Presentation and Interpretation</w:t>
            </w:r>
          </w:p>
        </w:tc>
        <w:tc>
          <w:tcPr>
            <w:tcW w:w="2268" w:type="dxa"/>
            <w:hideMark/>
          </w:tcPr>
          <w:p w14:paraId="6975DCC6" w14:textId="25C0FE73"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 xml:space="preserve"> </w:t>
            </w:r>
            <w:r>
              <w:rPr>
                <w:rFonts w:eastAsia="+mn-ea"/>
                <w:b/>
                <w:position w:val="1"/>
                <w:sz w:val="26"/>
                <w:szCs w:val="26"/>
              </w:rPr>
              <w:t>Fit for use</w:t>
            </w:r>
          </w:p>
        </w:tc>
      </w:tr>
      <w:tr w:rsidR="000A29D4" w:rsidRPr="00431052" w14:paraId="6B757319" w14:textId="77777777" w:rsidTr="000A29D4">
        <w:tc>
          <w:tcPr>
            <w:tcW w:w="4077" w:type="dxa"/>
            <w:hideMark/>
          </w:tcPr>
          <w:p w14:paraId="2A4284A2" w14:textId="77777777" w:rsidR="000A29D4" w:rsidRPr="00431052" w:rsidRDefault="000A29D4" w:rsidP="00C07493">
            <w:pPr>
              <w:spacing w:line="360" w:lineRule="auto"/>
              <w:rPr>
                <w:rFonts w:eastAsia="+mn-ea"/>
                <w:position w:val="1"/>
                <w:sz w:val="26"/>
                <w:szCs w:val="26"/>
              </w:rPr>
            </w:pPr>
            <w:r w:rsidRPr="00431052">
              <w:rPr>
                <w:rFonts w:eastAsia="+mn-ea"/>
                <w:position w:val="1"/>
                <w:szCs w:val="40"/>
              </w:rPr>
              <w:t>Risks and Usefulness</w:t>
            </w:r>
          </w:p>
        </w:tc>
        <w:tc>
          <w:tcPr>
            <w:tcW w:w="2268" w:type="dxa"/>
            <w:hideMark/>
          </w:tcPr>
          <w:p w14:paraId="54E6FE96" w14:textId="77EE5A1D" w:rsidR="000A29D4" w:rsidRPr="00431052" w:rsidRDefault="000A29D4" w:rsidP="00C07493">
            <w:pPr>
              <w:spacing w:line="360" w:lineRule="auto"/>
              <w:jc w:val="center"/>
              <w:rPr>
                <w:rFonts w:eastAsia="+mn-ea"/>
                <w:b/>
                <w:position w:val="1"/>
                <w:sz w:val="26"/>
                <w:szCs w:val="26"/>
              </w:rPr>
            </w:pPr>
            <w:r>
              <w:rPr>
                <w:rFonts w:eastAsia="+mn-ea"/>
                <w:b/>
                <w:position w:val="1"/>
                <w:sz w:val="26"/>
                <w:szCs w:val="26"/>
              </w:rPr>
              <w:t xml:space="preserve"> </w:t>
            </w:r>
            <w:r>
              <w:rPr>
                <w:rFonts w:eastAsia="+mn-ea"/>
                <w:b/>
                <w:position w:val="1"/>
                <w:sz w:val="26"/>
                <w:szCs w:val="26"/>
              </w:rPr>
              <w:t>Fit for use</w:t>
            </w:r>
          </w:p>
        </w:tc>
      </w:tr>
      <w:tr w:rsidR="000A29D4" w:rsidRPr="00431052" w14:paraId="36A01F8C" w14:textId="77777777" w:rsidTr="000A29D4">
        <w:tc>
          <w:tcPr>
            <w:tcW w:w="4077" w:type="dxa"/>
          </w:tcPr>
          <w:p w14:paraId="0A85D6F5" w14:textId="77777777" w:rsidR="000A29D4" w:rsidRPr="00431052" w:rsidRDefault="000A29D4" w:rsidP="000A29D4">
            <w:pPr>
              <w:spacing w:before="120"/>
              <w:jc w:val="center"/>
              <w:rPr>
                <w:rFonts w:eastAsia="+mn-ea"/>
                <w:b/>
                <w:position w:val="1"/>
                <w:sz w:val="26"/>
                <w:szCs w:val="26"/>
              </w:rPr>
            </w:pPr>
            <w:r w:rsidRPr="00431052">
              <w:rPr>
                <w:rFonts w:eastAsia="+mn-ea"/>
                <w:b/>
                <w:position w:val="1"/>
                <w:sz w:val="26"/>
                <w:szCs w:val="26"/>
              </w:rPr>
              <w:t>Overall Rating</w:t>
            </w:r>
          </w:p>
          <w:p w14:paraId="21BC6710" w14:textId="77777777" w:rsidR="000A29D4" w:rsidRPr="00431052" w:rsidRDefault="000A29D4" w:rsidP="000A29D4">
            <w:pPr>
              <w:spacing w:line="360" w:lineRule="auto"/>
              <w:rPr>
                <w:rFonts w:eastAsia="+mn-ea"/>
                <w:position w:val="1"/>
                <w:szCs w:val="40"/>
              </w:rPr>
            </w:pPr>
          </w:p>
        </w:tc>
        <w:tc>
          <w:tcPr>
            <w:tcW w:w="2268" w:type="dxa"/>
          </w:tcPr>
          <w:sdt>
            <w:sdtPr>
              <w:rPr>
                <w:rFonts w:eastAsia="+mn-ea"/>
                <w:b/>
                <w:position w:val="1"/>
                <w:sz w:val="26"/>
                <w:szCs w:val="26"/>
              </w:rPr>
              <w:alias w:val="MRG rating"/>
              <w:tag w:val="MRG rating"/>
              <w:id w:val="-768004364"/>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Content>
              <w:p w14:paraId="53CA92F9" w14:textId="32377F9E" w:rsidR="000A29D4" w:rsidRPr="00431052" w:rsidRDefault="000A29D4" w:rsidP="000A29D4">
                <w:pPr>
                  <w:spacing w:line="360" w:lineRule="auto"/>
                  <w:jc w:val="center"/>
                  <w:rPr>
                    <w:b/>
                    <w:noProof/>
                    <w:lang w:eastAsia="en-GB"/>
                  </w:rPr>
                </w:pPr>
                <w:r w:rsidRPr="00431052">
                  <w:rPr>
                    <w:rFonts w:eastAsia="+mn-ea"/>
                    <w:b/>
                    <w:position w:val="1"/>
                    <w:sz w:val="26"/>
                    <w:szCs w:val="26"/>
                  </w:rPr>
                  <w:t>Fit for use</w:t>
                </w:r>
              </w:p>
            </w:sdtContent>
          </w:sdt>
        </w:tc>
      </w:tr>
    </w:tbl>
    <w:p w14:paraId="13CD7F3E" w14:textId="77777777" w:rsidR="00C07493" w:rsidRPr="00431052" w:rsidRDefault="00C07493" w:rsidP="00C07493">
      <w:pPr>
        <w:pStyle w:val="NormalWeb"/>
        <w:spacing w:before="0" w:beforeAutospacing="0" w:after="0" w:afterAutospacing="0" w:line="360" w:lineRule="auto"/>
        <w:rPr>
          <w:rFonts w:ascii="Arial" w:eastAsia="+mn-ea" w:hAnsi="Arial" w:cs="Arial"/>
          <w:b/>
          <w:position w:val="1"/>
          <w:sz w:val="26"/>
          <w:szCs w:val="26"/>
        </w:rPr>
      </w:pPr>
    </w:p>
    <w:p w14:paraId="4D973C6C" w14:textId="77777777" w:rsidR="00C07493" w:rsidRPr="00431052" w:rsidRDefault="00C07493" w:rsidP="00C07493">
      <w:pPr>
        <w:spacing w:before="240"/>
        <w:rPr>
          <w:rFonts w:eastAsia="+mn-ea" w:cs="Arial"/>
          <w:b/>
          <w:position w:val="1"/>
          <w:szCs w:val="40"/>
        </w:rPr>
      </w:pPr>
      <w:r w:rsidRPr="00431052">
        <w:rPr>
          <w:rFonts w:eastAsia="+mn-ea" w:cs="Arial"/>
          <w:b/>
          <w:position w:val="1"/>
          <w:szCs w:val="40"/>
        </w:rPr>
        <w:t>Summary Recommendation to Applicant:</w:t>
      </w:r>
    </w:p>
    <w:p w14:paraId="3DF5DF57" w14:textId="77777777" w:rsidR="00C07493" w:rsidRPr="00431052" w:rsidRDefault="00431052" w:rsidP="00C07493">
      <w:pPr>
        <w:spacing w:before="240"/>
        <w:rPr>
          <w:rFonts w:eastAsia="+mn-ea" w:cs="Arial"/>
          <w:b/>
          <w:position w:val="1"/>
          <w:szCs w:val="40"/>
        </w:rPr>
      </w:pPr>
      <w:sdt>
        <w:sdtPr>
          <w:rPr>
            <w:rFonts w:cs="Arial"/>
            <w:lang w:eastAsia="en-GB"/>
          </w:rPr>
          <w:id w:val="692660743"/>
          <w:text w:multiLine="1"/>
        </w:sdtPr>
        <w:sdtContent>
          <w:r w:rsidR="00C07493" w:rsidRPr="00431052">
            <w:rPr>
              <w:rFonts w:cs="Arial"/>
              <w:lang w:eastAsia="en-GB"/>
            </w:rPr>
            <w:t xml:space="preserve">The indicator is recommended to IGB as being fit for use against pending a response to the minor points of clarification discussed in the MRG meeting 8/9/16 (detailed in the appraisal log below) </w:t>
          </w:r>
          <w:r w:rsidR="00C07493" w:rsidRPr="00431052">
            <w:rPr>
              <w:rFonts w:cs="Arial"/>
              <w:lang w:eastAsia="en-GB"/>
            </w:rPr>
            <w:br/>
          </w:r>
          <w:r w:rsidR="00C07493" w:rsidRPr="00431052">
            <w:rPr>
              <w:rFonts w:cs="Arial"/>
              <w:lang w:eastAsia="en-GB"/>
            </w:rPr>
            <w:br/>
          </w:r>
          <w:r w:rsidR="00C07493" w:rsidRPr="00431052">
            <w:rPr>
              <w:rFonts w:cs="Arial"/>
              <w:lang w:eastAsia="en-GB"/>
            </w:rPr>
            <w:br/>
          </w:r>
        </w:sdtContent>
      </w:sdt>
      <w:r w:rsidR="00C07493" w:rsidRPr="00431052">
        <w:rPr>
          <w:rFonts w:eastAsia="+mn-ea" w:cs="Arial"/>
          <w:b/>
          <w:position w:val="1"/>
          <w:szCs w:val="40"/>
        </w:rPr>
        <w:t>Summary Recommendation to IGB:</w:t>
      </w:r>
    </w:p>
    <w:sdt>
      <w:sdtPr>
        <w:rPr>
          <w:rFonts w:cs="Arial"/>
          <w:lang w:eastAsia="en-GB"/>
        </w:rPr>
        <w:alias w:val="Summary Recommendation to IGB"/>
        <w:tag w:val="Summary Recommendation to IGB"/>
        <w:id w:val="2031983090"/>
        <w:text w:multiLine="1"/>
      </w:sdtPr>
      <w:sdtContent>
        <w:p w14:paraId="1C85D9DC" w14:textId="77777777" w:rsidR="00C07493" w:rsidRPr="00431052" w:rsidRDefault="00C07493" w:rsidP="00C07493">
          <w:pPr>
            <w:spacing w:before="240"/>
            <w:rPr>
              <w:rFonts w:cs="Arial"/>
              <w:lang w:eastAsia="en-GB"/>
            </w:rPr>
          </w:pPr>
          <w:r w:rsidRPr="00431052">
            <w:rPr>
              <w:rFonts w:cs="Arial"/>
              <w:lang w:eastAsia="en-GB"/>
            </w:rPr>
            <w:t>The indicator is recommended to IGB as being fit for use against the assessment criteria and therefore suitable for inclusion in the Library of Quality Assured Indicators.</w:t>
          </w:r>
          <w:r w:rsidRPr="00431052">
            <w:rPr>
              <w:rFonts w:cs="Arial"/>
              <w:lang w:eastAsia="en-GB"/>
            </w:rPr>
            <w:br/>
          </w:r>
          <w:r w:rsidRPr="00431052">
            <w:rPr>
              <w:rFonts w:cs="Arial"/>
              <w:lang w:eastAsia="en-GB"/>
            </w:rPr>
            <w:br/>
            <w:t xml:space="preserve">It is noted that MRG has undertaken separate assurance of the indicator on which this indicator is based as part of the same assessment. (application IAP00016).  In addition MRG note that the plan to update the methodology for calculating confidence intervals during 2017. </w:t>
          </w:r>
        </w:p>
      </w:sdtContent>
    </w:sdt>
    <w:p w14:paraId="56038AD0" w14:textId="77777777" w:rsidR="00C07493" w:rsidRPr="00431052" w:rsidRDefault="00C07493" w:rsidP="00C07493">
      <w:pPr>
        <w:rPr>
          <w:rFonts w:cs="Arial"/>
          <w:b/>
          <w:spacing w:val="5"/>
          <w:kern w:val="28"/>
          <w:szCs w:val="52"/>
        </w:rPr>
      </w:pPr>
      <w:r w:rsidRPr="00431052">
        <w:rPr>
          <w:rFonts w:cs="Arial"/>
        </w:rPr>
        <w:t xml:space="preserve"> </w:t>
      </w:r>
      <w:r w:rsidRPr="00431052">
        <w:rPr>
          <w:rFonts w:cs="Arial"/>
          <w:b/>
        </w:rPr>
        <w:t>Please find a detailed description of recommendations and actions in the appraisal log at the end of the document.</w:t>
      </w:r>
    </w:p>
    <w:p w14:paraId="60F128C0" w14:textId="77777777" w:rsidR="00C07493" w:rsidRPr="00431052" w:rsidRDefault="00C07493" w:rsidP="00C07493">
      <w:pPr>
        <w:spacing w:before="240"/>
        <w:rPr>
          <w:rFonts w:eastAsia="+mn-ea" w:cs="Arial"/>
          <w:sz w:val="40"/>
        </w:rPr>
      </w:pPr>
      <w:r w:rsidRPr="00431052">
        <w:rPr>
          <w:rFonts w:eastAsia="+mn-ea" w:cs="Arial"/>
          <w:sz w:val="40"/>
        </w:rPr>
        <w:br w:type="page"/>
      </w:r>
      <w:r w:rsidRPr="00431052">
        <w:rPr>
          <w:rFonts w:eastAsia="+mn-ea" w:cs="Arial"/>
          <w:b/>
          <w:position w:val="1"/>
          <w:sz w:val="32"/>
          <w:szCs w:val="32"/>
        </w:rPr>
        <w:lastRenderedPageBreak/>
        <w:t>What do the Assurance Ratings mean?</w:t>
      </w:r>
    </w:p>
    <w:p w14:paraId="1EB529C4" w14:textId="77777777" w:rsidR="00C07493" w:rsidRPr="00431052" w:rsidRDefault="00C07493" w:rsidP="00C07493">
      <w:pPr>
        <w:rPr>
          <w:rFonts w:cs="Arial"/>
        </w:rPr>
      </w:pPr>
    </w:p>
    <w:tbl>
      <w:tblPr>
        <w:tblStyle w:val="TableGrid1"/>
        <w:tblW w:w="0" w:type="auto"/>
        <w:tblLook w:val="04A0" w:firstRow="1" w:lastRow="0" w:firstColumn="1" w:lastColumn="0" w:noHBand="0" w:noVBand="1"/>
      </w:tblPr>
      <w:tblGrid>
        <w:gridCol w:w="2693"/>
        <w:gridCol w:w="6095"/>
      </w:tblGrid>
      <w:tr w:rsidR="000A29D4" w:rsidRPr="00431052" w14:paraId="0F5676B9" w14:textId="77777777" w:rsidTr="000A29D4">
        <w:tc>
          <w:tcPr>
            <w:tcW w:w="2693" w:type="dxa"/>
          </w:tcPr>
          <w:p w14:paraId="324E348E" w14:textId="4982CB22" w:rsidR="000A29D4" w:rsidRPr="00431052" w:rsidRDefault="000A29D4" w:rsidP="00C07493">
            <w:pPr>
              <w:spacing w:before="120" w:after="120"/>
              <w:rPr>
                <w:b/>
              </w:rPr>
            </w:pPr>
            <w:r w:rsidRPr="00431052">
              <w:rPr>
                <w:b/>
                <w:sz w:val="28"/>
                <w:szCs w:val="28"/>
              </w:rPr>
              <w:t>Rating</w:t>
            </w:r>
          </w:p>
        </w:tc>
        <w:tc>
          <w:tcPr>
            <w:tcW w:w="6095" w:type="dxa"/>
          </w:tcPr>
          <w:p w14:paraId="7D430652" w14:textId="26A70467" w:rsidR="000A29D4" w:rsidRPr="00431052" w:rsidRDefault="000A29D4" w:rsidP="00C07493">
            <w:pPr>
              <w:spacing w:before="120" w:after="120"/>
            </w:pPr>
            <w:r w:rsidRPr="00431052">
              <w:rPr>
                <w:b/>
                <w:sz w:val="28"/>
                <w:szCs w:val="28"/>
              </w:rPr>
              <w:t>Description</w:t>
            </w:r>
          </w:p>
        </w:tc>
      </w:tr>
      <w:tr w:rsidR="000A29D4" w:rsidRPr="00431052" w14:paraId="414A9C90" w14:textId="77777777" w:rsidTr="000A29D4">
        <w:tc>
          <w:tcPr>
            <w:tcW w:w="2693" w:type="dxa"/>
          </w:tcPr>
          <w:p w14:paraId="475C1416" w14:textId="77777777" w:rsidR="000A29D4" w:rsidRPr="00431052" w:rsidRDefault="000A29D4" w:rsidP="00C07493">
            <w:pPr>
              <w:spacing w:before="120" w:after="120"/>
              <w:rPr>
                <w:b/>
              </w:rPr>
            </w:pPr>
            <w:r w:rsidRPr="00431052">
              <w:rPr>
                <w:b/>
              </w:rPr>
              <w:t>Fit for use</w:t>
            </w:r>
          </w:p>
        </w:tc>
        <w:tc>
          <w:tcPr>
            <w:tcW w:w="6095" w:type="dxa"/>
          </w:tcPr>
          <w:p w14:paraId="327B5A79" w14:textId="77777777" w:rsidR="000A29D4" w:rsidRPr="00431052" w:rsidRDefault="000A29D4" w:rsidP="00C07493">
            <w:pPr>
              <w:spacing w:before="120" w:after="120"/>
            </w:pPr>
            <w:r w:rsidRPr="00431052">
              <w:t>This indicator can be used with confidence that it is constructed in a sound manner that is fit for purpose.</w:t>
            </w:r>
          </w:p>
        </w:tc>
      </w:tr>
      <w:tr w:rsidR="000A29D4" w:rsidRPr="00431052" w14:paraId="4537C760" w14:textId="77777777" w:rsidTr="000A29D4">
        <w:tc>
          <w:tcPr>
            <w:tcW w:w="2693" w:type="dxa"/>
          </w:tcPr>
          <w:p w14:paraId="4FB77B31" w14:textId="77777777" w:rsidR="000A29D4" w:rsidRPr="00431052" w:rsidRDefault="000A29D4" w:rsidP="00C07493">
            <w:pPr>
              <w:spacing w:before="120" w:after="120"/>
              <w:rPr>
                <w:b/>
              </w:rPr>
            </w:pPr>
            <w:r w:rsidRPr="00431052">
              <w:rPr>
                <w:b/>
              </w:rPr>
              <w:t>Fit for use with caveats</w:t>
            </w:r>
          </w:p>
        </w:tc>
        <w:tc>
          <w:tcPr>
            <w:tcW w:w="6095" w:type="dxa"/>
          </w:tcPr>
          <w:p w14:paraId="4CFDF1F3" w14:textId="163E780D" w:rsidR="000A29D4" w:rsidRPr="00431052" w:rsidRDefault="000A29D4" w:rsidP="00C07493">
            <w:pPr>
              <w:spacing w:before="120" w:after="120"/>
            </w:pPr>
            <w:r w:rsidRPr="00431052">
              <w:t xml:space="preserve">The indicator is fit for use; </w:t>
            </w:r>
            <w:proofErr w:type="gramStart"/>
            <w:r w:rsidRPr="00431052">
              <w:t>however</w:t>
            </w:r>
            <w:proofErr w:type="gramEnd"/>
            <w:r w:rsidRPr="00431052">
              <w:t xml:space="preserve"> users should be aware of caveats and/or recommendations for improvement that have been identified during the assurance process.</w:t>
            </w:r>
          </w:p>
        </w:tc>
      </w:tr>
      <w:tr w:rsidR="000A29D4" w:rsidRPr="00431052" w14:paraId="3D1BBC5F" w14:textId="77777777" w:rsidTr="000A29D4">
        <w:tc>
          <w:tcPr>
            <w:tcW w:w="2693" w:type="dxa"/>
          </w:tcPr>
          <w:p w14:paraId="7FAB1DA4" w14:textId="77777777" w:rsidR="000A29D4" w:rsidRPr="00431052" w:rsidRDefault="000A29D4" w:rsidP="00C07493">
            <w:pPr>
              <w:spacing w:before="120" w:after="120"/>
              <w:rPr>
                <w:b/>
              </w:rPr>
            </w:pPr>
            <w:r w:rsidRPr="00431052">
              <w:rPr>
                <w:b/>
              </w:rPr>
              <w:t>Use with caution – data quality issue</w:t>
            </w:r>
          </w:p>
        </w:tc>
        <w:tc>
          <w:tcPr>
            <w:tcW w:w="6095" w:type="dxa"/>
          </w:tcPr>
          <w:p w14:paraId="629D06D3" w14:textId="77777777" w:rsidR="000A29D4" w:rsidRPr="00431052" w:rsidRDefault="000A29D4" w:rsidP="00C07493">
            <w:pPr>
              <w:spacing w:before="120" w:after="120"/>
            </w:pPr>
            <w:r w:rsidRPr="00431052">
              <w:t>The indicator is based on a sound methodology for which the assurance process endorse the use, however issues have been identified with the national data source which have implications for its use as an indicator.</w:t>
            </w:r>
          </w:p>
        </w:tc>
      </w:tr>
      <w:tr w:rsidR="000A29D4" w:rsidRPr="00431052" w14:paraId="121C752F" w14:textId="77777777" w:rsidTr="000A29D4">
        <w:tc>
          <w:tcPr>
            <w:tcW w:w="2693" w:type="dxa"/>
          </w:tcPr>
          <w:p w14:paraId="30C813E1" w14:textId="77777777" w:rsidR="000A29D4" w:rsidRPr="00431052" w:rsidRDefault="000A29D4" w:rsidP="00C07493">
            <w:pPr>
              <w:spacing w:before="120" w:after="120"/>
              <w:rPr>
                <w:b/>
              </w:rPr>
            </w:pPr>
            <w:r w:rsidRPr="00431052">
              <w:rPr>
                <w:b/>
              </w:rPr>
              <w:t>Not fit for use</w:t>
            </w:r>
          </w:p>
        </w:tc>
        <w:tc>
          <w:tcPr>
            <w:tcW w:w="6095" w:type="dxa"/>
          </w:tcPr>
          <w:p w14:paraId="06AF6759" w14:textId="77777777" w:rsidR="000A29D4" w:rsidRPr="00431052" w:rsidRDefault="000A29D4" w:rsidP="00C07493">
            <w:pPr>
              <w:spacing w:before="120" w:after="120"/>
            </w:pPr>
            <w:r w:rsidRPr="00431052">
              <w:t>Issues have been identified with the indicator which have resulted in the assurance process currently not endorsing its use as a quality indicator.</w:t>
            </w:r>
          </w:p>
        </w:tc>
      </w:tr>
      <w:tr w:rsidR="000A29D4" w:rsidRPr="00431052" w14:paraId="67132989" w14:textId="77777777" w:rsidTr="000A29D4">
        <w:tc>
          <w:tcPr>
            <w:tcW w:w="2693" w:type="dxa"/>
          </w:tcPr>
          <w:p w14:paraId="693A27DA" w14:textId="77777777" w:rsidR="000A29D4" w:rsidRPr="00431052" w:rsidRDefault="000A29D4" w:rsidP="00C07493">
            <w:pPr>
              <w:spacing w:before="120" w:after="120"/>
              <w:rPr>
                <w:b/>
              </w:rPr>
            </w:pPr>
            <w:r w:rsidRPr="00431052">
              <w:rPr>
                <w:b/>
              </w:rPr>
              <w:t>Not enough information provided</w:t>
            </w:r>
          </w:p>
        </w:tc>
        <w:tc>
          <w:tcPr>
            <w:tcW w:w="6095" w:type="dxa"/>
          </w:tcPr>
          <w:p w14:paraId="7717CCA7" w14:textId="77777777" w:rsidR="000A29D4" w:rsidRPr="00431052" w:rsidRDefault="000A29D4" w:rsidP="00C07493">
            <w:pPr>
              <w:spacing w:before="120" w:after="120"/>
            </w:pPr>
            <w:r w:rsidRPr="00431052">
              <w:t>There has not been enough information supplied to the assurance process to be able to accurately give the indicator a level of assurance.</w:t>
            </w:r>
          </w:p>
        </w:tc>
      </w:tr>
    </w:tbl>
    <w:p w14:paraId="652D6B2C" w14:textId="77777777" w:rsidR="00C07493" w:rsidRPr="00431052" w:rsidRDefault="00C07493" w:rsidP="00C07493">
      <w:pPr>
        <w:pStyle w:val="NormalWeb"/>
        <w:spacing w:before="0" w:beforeAutospacing="0" w:after="0" w:afterAutospacing="0"/>
        <w:rPr>
          <w:rFonts w:ascii="Arial" w:eastAsia="+mn-ea" w:hAnsi="Arial" w:cs="Arial"/>
          <w:sz w:val="40"/>
        </w:rPr>
      </w:pPr>
      <w:r w:rsidRPr="00431052">
        <w:rPr>
          <w:rFonts w:ascii="Arial" w:eastAsia="+mn-ea" w:hAnsi="Arial" w:cs="Arial"/>
          <w:sz w:val="40"/>
        </w:rPr>
        <w:br w:type="page"/>
      </w:r>
    </w:p>
    <w:p w14:paraId="1A75613C" w14:textId="77777777" w:rsidR="00C07493" w:rsidRPr="00431052" w:rsidRDefault="00C07493" w:rsidP="00C07493">
      <w:pPr>
        <w:spacing w:before="240"/>
        <w:rPr>
          <w:rFonts w:eastAsia="+mn-ea" w:cs="Arial"/>
          <w:b/>
          <w:position w:val="1"/>
          <w:sz w:val="32"/>
          <w:szCs w:val="40"/>
          <w:lang w:eastAsia="en-GB"/>
        </w:rPr>
        <w:sectPr w:rsidR="00C07493" w:rsidRPr="00431052" w:rsidSect="00431052">
          <w:headerReference w:type="default" r:id="rId26"/>
          <w:footerReference w:type="default" r:id="rId27"/>
          <w:headerReference w:type="first" r:id="rId28"/>
          <w:footerReference w:type="first" r:id="rId29"/>
          <w:pgSz w:w="16838" w:h="11906" w:orient="landscape"/>
          <w:pgMar w:top="1021" w:right="1021" w:bottom="1021" w:left="1021" w:header="454" w:footer="680" w:gutter="0"/>
          <w:cols w:space="708"/>
          <w:docGrid w:linePitch="360"/>
        </w:sectPr>
      </w:pPr>
    </w:p>
    <w:p w14:paraId="24200401" w14:textId="77777777" w:rsidR="00C07493" w:rsidRPr="00431052" w:rsidRDefault="00C07493" w:rsidP="00C07493">
      <w:pPr>
        <w:pStyle w:val="NormalWeb"/>
        <w:spacing w:before="0" w:beforeAutospacing="0" w:after="0" w:afterAutospacing="0"/>
        <w:rPr>
          <w:rFonts w:ascii="Arial" w:eastAsia="+mn-ea" w:hAnsi="Arial" w:cs="Arial"/>
          <w:b/>
          <w:position w:val="1"/>
          <w:sz w:val="32"/>
          <w:szCs w:val="26"/>
        </w:rPr>
      </w:pPr>
      <w:r w:rsidRPr="00431052">
        <w:rPr>
          <w:rFonts w:ascii="Arial" w:eastAsia="+mn-ea" w:hAnsi="Arial" w:cs="Arial"/>
          <w:b/>
          <w:position w:val="1"/>
          <w:sz w:val="32"/>
          <w:szCs w:val="26"/>
        </w:rPr>
        <w:lastRenderedPageBreak/>
        <w:t xml:space="preserve">Appraisal Log </w:t>
      </w:r>
    </w:p>
    <w:p w14:paraId="7B465F98" w14:textId="775A75D1" w:rsidR="00C07493" w:rsidRPr="00431052" w:rsidRDefault="000A29D4" w:rsidP="00C07493">
      <w:pPr>
        <w:pStyle w:val="NormalWeb"/>
        <w:spacing w:before="0" w:beforeAutospacing="0" w:after="0" w:afterAutospacing="0"/>
        <w:rPr>
          <w:rFonts w:ascii="Arial" w:eastAsia="+mn-ea" w:hAnsi="Arial" w:cs="Arial"/>
          <w:b/>
          <w:position w:val="1"/>
          <w:sz w:val="32"/>
          <w:szCs w:val="26"/>
        </w:rPr>
      </w:pPr>
      <w:r w:rsidRPr="00431052">
        <w:rPr>
          <w:rFonts w:cs="Arial"/>
          <w:b/>
          <w:sz w:val="28"/>
          <w:szCs w:val="28"/>
        </w:rPr>
        <w:t>Clarity</w:t>
      </w:r>
    </w:p>
    <w:tbl>
      <w:tblPr>
        <w:tblStyle w:val="TableGrid1"/>
        <w:tblW w:w="5000" w:type="pct"/>
        <w:tblLook w:val="04A0" w:firstRow="1" w:lastRow="0" w:firstColumn="1" w:lastColumn="0" w:noHBand="0" w:noVBand="1"/>
      </w:tblPr>
      <w:tblGrid>
        <w:gridCol w:w="832"/>
        <w:gridCol w:w="4216"/>
        <w:gridCol w:w="1145"/>
        <w:gridCol w:w="4496"/>
        <w:gridCol w:w="1364"/>
        <w:gridCol w:w="1285"/>
        <w:gridCol w:w="1230"/>
      </w:tblGrid>
      <w:tr w:rsidR="00431052" w:rsidRPr="00431052" w14:paraId="42F1B38D" w14:textId="77777777" w:rsidTr="000A29D4">
        <w:tc>
          <w:tcPr>
            <w:tcW w:w="286" w:type="pct"/>
          </w:tcPr>
          <w:p w14:paraId="753AD8B9" w14:textId="77777777" w:rsidR="00C07493" w:rsidRPr="00431052" w:rsidRDefault="00C07493" w:rsidP="00C07493">
            <w:pPr>
              <w:rPr>
                <w:b/>
                <w:i/>
              </w:rPr>
            </w:pPr>
            <w:r w:rsidRPr="00431052">
              <w:rPr>
                <w:b/>
                <w:i/>
              </w:rPr>
              <w:t>Rec. no</w:t>
            </w:r>
          </w:p>
        </w:tc>
        <w:tc>
          <w:tcPr>
            <w:tcW w:w="1447" w:type="pct"/>
          </w:tcPr>
          <w:p w14:paraId="6D992891" w14:textId="77777777" w:rsidR="00C07493" w:rsidRPr="00431052" w:rsidRDefault="00C07493" w:rsidP="00C07493">
            <w:pPr>
              <w:rPr>
                <w:b/>
                <w:i/>
              </w:rPr>
            </w:pPr>
            <w:r w:rsidRPr="00431052">
              <w:rPr>
                <w:b/>
                <w:i/>
              </w:rPr>
              <w:t>Issue or recommendation</w:t>
            </w:r>
          </w:p>
        </w:tc>
        <w:tc>
          <w:tcPr>
            <w:tcW w:w="393" w:type="pct"/>
          </w:tcPr>
          <w:p w14:paraId="27B62A27" w14:textId="77777777" w:rsidR="00C07493" w:rsidRPr="00431052" w:rsidRDefault="00C07493" w:rsidP="00C07493">
            <w:pPr>
              <w:rPr>
                <w:b/>
                <w:i/>
              </w:rPr>
            </w:pPr>
            <w:r w:rsidRPr="00431052">
              <w:rPr>
                <w:b/>
                <w:i/>
              </w:rPr>
              <w:t>Raised by / Date</w:t>
            </w:r>
          </w:p>
        </w:tc>
        <w:tc>
          <w:tcPr>
            <w:tcW w:w="1543" w:type="pct"/>
          </w:tcPr>
          <w:p w14:paraId="127BEE2A" w14:textId="77777777" w:rsidR="00C07493" w:rsidRPr="00431052" w:rsidRDefault="00C07493" w:rsidP="00C07493">
            <w:pPr>
              <w:rPr>
                <w:b/>
                <w:i/>
              </w:rPr>
            </w:pPr>
            <w:r w:rsidRPr="00431052">
              <w:rPr>
                <w:b/>
                <w:i/>
              </w:rPr>
              <w:t>Response or Action taken by applicant</w:t>
            </w:r>
          </w:p>
        </w:tc>
        <w:tc>
          <w:tcPr>
            <w:tcW w:w="468" w:type="pct"/>
          </w:tcPr>
          <w:p w14:paraId="376C8C7D" w14:textId="77777777" w:rsidR="00C07493" w:rsidRPr="00431052" w:rsidRDefault="00C07493" w:rsidP="00C07493">
            <w:pPr>
              <w:rPr>
                <w:b/>
                <w:i/>
              </w:rPr>
            </w:pPr>
            <w:r w:rsidRPr="00431052">
              <w:rPr>
                <w:b/>
                <w:i/>
              </w:rPr>
              <w:t>Response date</w:t>
            </w:r>
          </w:p>
        </w:tc>
        <w:tc>
          <w:tcPr>
            <w:tcW w:w="441" w:type="pct"/>
          </w:tcPr>
          <w:p w14:paraId="5A5658F9" w14:textId="77777777" w:rsidR="00C07493" w:rsidRPr="00431052" w:rsidRDefault="00C07493" w:rsidP="00C07493">
            <w:pPr>
              <w:rPr>
                <w:b/>
                <w:i/>
              </w:rPr>
            </w:pPr>
            <w:r w:rsidRPr="00431052">
              <w:rPr>
                <w:b/>
                <w:i/>
              </w:rPr>
              <w:t>Resolved</w:t>
            </w:r>
          </w:p>
        </w:tc>
        <w:tc>
          <w:tcPr>
            <w:tcW w:w="422" w:type="pct"/>
          </w:tcPr>
          <w:p w14:paraId="3DA01FD3" w14:textId="77777777" w:rsidR="00C07493" w:rsidRPr="00431052" w:rsidRDefault="00C07493" w:rsidP="00C07493">
            <w:pPr>
              <w:rPr>
                <w:b/>
                <w:i/>
              </w:rPr>
            </w:pPr>
            <w:r w:rsidRPr="00431052">
              <w:rPr>
                <w:b/>
                <w:i/>
              </w:rPr>
              <w:t>Sign off by / Date</w:t>
            </w:r>
          </w:p>
        </w:tc>
      </w:tr>
      <w:tr w:rsidR="00C07493" w:rsidRPr="00431052" w14:paraId="589AD83F" w14:textId="77777777" w:rsidTr="000A29D4">
        <w:tc>
          <w:tcPr>
            <w:tcW w:w="286" w:type="pct"/>
          </w:tcPr>
          <w:p w14:paraId="4D81F027" w14:textId="77777777" w:rsidR="00C07493" w:rsidRPr="00431052" w:rsidRDefault="00C07493" w:rsidP="00C07493"/>
        </w:tc>
        <w:tc>
          <w:tcPr>
            <w:tcW w:w="1447" w:type="pct"/>
          </w:tcPr>
          <w:p w14:paraId="0CE6F066" w14:textId="77777777" w:rsidR="00C07493" w:rsidRPr="00431052" w:rsidRDefault="00C07493" w:rsidP="00C07493"/>
        </w:tc>
        <w:tc>
          <w:tcPr>
            <w:tcW w:w="393" w:type="pct"/>
          </w:tcPr>
          <w:p w14:paraId="12A11F92" w14:textId="77777777" w:rsidR="00C07493" w:rsidRPr="00431052" w:rsidRDefault="00C07493" w:rsidP="00C07493"/>
        </w:tc>
        <w:tc>
          <w:tcPr>
            <w:tcW w:w="1543" w:type="pct"/>
          </w:tcPr>
          <w:p w14:paraId="4A44E573" w14:textId="77777777" w:rsidR="00C07493" w:rsidRPr="00431052" w:rsidRDefault="00C07493" w:rsidP="00C07493"/>
        </w:tc>
        <w:tc>
          <w:tcPr>
            <w:tcW w:w="468" w:type="pct"/>
          </w:tcPr>
          <w:p w14:paraId="50235C92" w14:textId="77777777" w:rsidR="00C07493" w:rsidRPr="00431052" w:rsidRDefault="00C07493" w:rsidP="00C07493"/>
        </w:tc>
        <w:sdt>
          <w:sdtPr>
            <w:id w:val="692496695"/>
            <w14:checkbox>
              <w14:checked w14:val="0"/>
              <w14:checkedState w14:val="2612" w14:font="MS Gothic"/>
              <w14:uncheckedState w14:val="2610" w14:font="MS Gothic"/>
            </w14:checkbox>
          </w:sdtPr>
          <w:sdtContent>
            <w:tc>
              <w:tcPr>
                <w:tcW w:w="441" w:type="pct"/>
              </w:tcPr>
              <w:p w14:paraId="77A3272D" w14:textId="77777777" w:rsidR="00C07493" w:rsidRPr="00431052" w:rsidRDefault="00C07493" w:rsidP="00C07493">
                <w:pPr>
                  <w:jc w:val="center"/>
                </w:pPr>
                <w:r w:rsidRPr="00431052">
                  <w:rPr>
                    <w:rFonts w:ascii="Segoe UI Symbol" w:eastAsia="MS Gothic" w:hAnsi="Segoe UI Symbol" w:cs="Segoe UI Symbol"/>
                  </w:rPr>
                  <w:t>☐</w:t>
                </w:r>
              </w:p>
            </w:tc>
          </w:sdtContent>
        </w:sdt>
        <w:tc>
          <w:tcPr>
            <w:tcW w:w="422" w:type="pct"/>
          </w:tcPr>
          <w:p w14:paraId="4922D6E5" w14:textId="77777777" w:rsidR="00C07493" w:rsidRPr="00431052" w:rsidRDefault="00C07493" w:rsidP="00C07493"/>
        </w:tc>
      </w:tr>
    </w:tbl>
    <w:p w14:paraId="4766C68C" w14:textId="4381D1DD" w:rsidR="00C07493" w:rsidRPr="00431052" w:rsidRDefault="000A29D4" w:rsidP="00C07493">
      <w:pPr>
        <w:rPr>
          <w:rFonts w:cs="Arial"/>
        </w:rPr>
      </w:pPr>
      <w:r w:rsidRPr="00431052">
        <w:rPr>
          <w:rFonts w:cs="Arial"/>
          <w:b/>
          <w:sz w:val="28"/>
          <w:szCs w:val="28"/>
        </w:rPr>
        <w:t>Rationale</w:t>
      </w:r>
    </w:p>
    <w:tbl>
      <w:tblPr>
        <w:tblStyle w:val="TableGrid1"/>
        <w:tblW w:w="5000" w:type="pct"/>
        <w:tblLook w:val="04A0" w:firstRow="1" w:lastRow="0" w:firstColumn="1" w:lastColumn="0" w:noHBand="0" w:noVBand="1"/>
      </w:tblPr>
      <w:tblGrid>
        <w:gridCol w:w="832"/>
        <w:gridCol w:w="4216"/>
        <w:gridCol w:w="1145"/>
        <w:gridCol w:w="4496"/>
        <w:gridCol w:w="1364"/>
        <w:gridCol w:w="1285"/>
        <w:gridCol w:w="1230"/>
      </w:tblGrid>
      <w:tr w:rsidR="00431052" w:rsidRPr="00431052" w14:paraId="144A7271" w14:textId="77777777" w:rsidTr="000A29D4">
        <w:tc>
          <w:tcPr>
            <w:tcW w:w="286" w:type="pct"/>
          </w:tcPr>
          <w:p w14:paraId="62D25392" w14:textId="77777777" w:rsidR="00C07493" w:rsidRPr="00431052" w:rsidRDefault="00C07493" w:rsidP="00C07493">
            <w:pPr>
              <w:rPr>
                <w:b/>
                <w:i/>
              </w:rPr>
            </w:pPr>
            <w:r w:rsidRPr="00431052">
              <w:rPr>
                <w:b/>
                <w:i/>
              </w:rPr>
              <w:t>Rec. no</w:t>
            </w:r>
          </w:p>
        </w:tc>
        <w:tc>
          <w:tcPr>
            <w:tcW w:w="1447" w:type="pct"/>
          </w:tcPr>
          <w:p w14:paraId="39DD065E" w14:textId="77777777" w:rsidR="00C07493" w:rsidRPr="00431052" w:rsidRDefault="00C07493" w:rsidP="00C07493">
            <w:pPr>
              <w:rPr>
                <w:b/>
                <w:i/>
              </w:rPr>
            </w:pPr>
            <w:r w:rsidRPr="00431052">
              <w:rPr>
                <w:b/>
                <w:i/>
              </w:rPr>
              <w:t>Issue or recommendation</w:t>
            </w:r>
          </w:p>
        </w:tc>
        <w:tc>
          <w:tcPr>
            <w:tcW w:w="393" w:type="pct"/>
          </w:tcPr>
          <w:p w14:paraId="6F4A276D" w14:textId="77777777" w:rsidR="00C07493" w:rsidRPr="00431052" w:rsidRDefault="00C07493" w:rsidP="00C07493">
            <w:pPr>
              <w:rPr>
                <w:b/>
                <w:i/>
              </w:rPr>
            </w:pPr>
            <w:r w:rsidRPr="00431052">
              <w:rPr>
                <w:b/>
                <w:i/>
              </w:rPr>
              <w:t>Raised by / Date</w:t>
            </w:r>
          </w:p>
        </w:tc>
        <w:tc>
          <w:tcPr>
            <w:tcW w:w="1543" w:type="pct"/>
          </w:tcPr>
          <w:p w14:paraId="0AD7744A" w14:textId="77777777" w:rsidR="00C07493" w:rsidRPr="00431052" w:rsidRDefault="00C07493" w:rsidP="00C07493">
            <w:pPr>
              <w:rPr>
                <w:b/>
                <w:i/>
              </w:rPr>
            </w:pPr>
            <w:r w:rsidRPr="00431052">
              <w:rPr>
                <w:b/>
                <w:i/>
              </w:rPr>
              <w:t>Response or Action taken by applicant</w:t>
            </w:r>
          </w:p>
        </w:tc>
        <w:tc>
          <w:tcPr>
            <w:tcW w:w="468" w:type="pct"/>
          </w:tcPr>
          <w:p w14:paraId="0694FFBF" w14:textId="77777777" w:rsidR="00C07493" w:rsidRPr="00431052" w:rsidRDefault="00C07493" w:rsidP="00C07493">
            <w:pPr>
              <w:rPr>
                <w:b/>
                <w:i/>
              </w:rPr>
            </w:pPr>
            <w:r w:rsidRPr="00431052">
              <w:rPr>
                <w:b/>
                <w:i/>
              </w:rPr>
              <w:t>Response date</w:t>
            </w:r>
          </w:p>
        </w:tc>
        <w:tc>
          <w:tcPr>
            <w:tcW w:w="441" w:type="pct"/>
          </w:tcPr>
          <w:p w14:paraId="1D23F318" w14:textId="77777777" w:rsidR="00C07493" w:rsidRPr="00431052" w:rsidRDefault="00C07493" w:rsidP="00C07493">
            <w:pPr>
              <w:rPr>
                <w:b/>
                <w:i/>
              </w:rPr>
            </w:pPr>
            <w:r w:rsidRPr="00431052">
              <w:rPr>
                <w:b/>
                <w:i/>
              </w:rPr>
              <w:t>Resolved</w:t>
            </w:r>
          </w:p>
        </w:tc>
        <w:tc>
          <w:tcPr>
            <w:tcW w:w="422" w:type="pct"/>
          </w:tcPr>
          <w:p w14:paraId="073195BF" w14:textId="77777777" w:rsidR="00C07493" w:rsidRPr="00431052" w:rsidRDefault="00C07493" w:rsidP="00C07493">
            <w:pPr>
              <w:rPr>
                <w:b/>
                <w:i/>
              </w:rPr>
            </w:pPr>
            <w:r w:rsidRPr="00431052">
              <w:rPr>
                <w:b/>
                <w:i/>
              </w:rPr>
              <w:t>Sign off by / Date</w:t>
            </w:r>
          </w:p>
        </w:tc>
      </w:tr>
      <w:tr w:rsidR="00C07493" w:rsidRPr="00431052" w14:paraId="7D0108AF" w14:textId="77777777" w:rsidTr="000A29D4">
        <w:tc>
          <w:tcPr>
            <w:tcW w:w="286" w:type="pct"/>
          </w:tcPr>
          <w:p w14:paraId="0715196B" w14:textId="77777777" w:rsidR="00C07493" w:rsidRPr="00431052" w:rsidRDefault="00C07493" w:rsidP="00C07493"/>
        </w:tc>
        <w:tc>
          <w:tcPr>
            <w:tcW w:w="1447" w:type="pct"/>
          </w:tcPr>
          <w:p w14:paraId="4F7CD278" w14:textId="77777777" w:rsidR="00C07493" w:rsidRPr="00431052" w:rsidRDefault="00C07493" w:rsidP="00C07493"/>
        </w:tc>
        <w:tc>
          <w:tcPr>
            <w:tcW w:w="393" w:type="pct"/>
          </w:tcPr>
          <w:p w14:paraId="02A33311" w14:textId="77777777" w:rsidR="00C07493" w:rsidRPr="00431052" w:rsidRDefault="00C07493" w:rsidP="00C07493"/>
        </w:tc>
        <w:tc>
          <w:tcPr>
            <w:tcW w:w="1543" w:type="pct"/>
          </w:tcPr>
          <w:p w14:paraId="49EAD51D" w14:textId="77777777" w:rsidR="00C07493" w:rsidRPr="00431052" w:rsidRDefault="00C07493" w:rsidP="00C07493"/>
        </w:tc>
        <w:tc>
          <w:tcPr>
            <w:tcW w:w="468" w:type="pct"/>
          </w:tcPr>
          <w:p w14:paraId="50FE8D62" w14:textId="77777777" w:rsidR="00C07493" w:rsidRPr="00431052" w:rsidRDefault="00C07493" w:rsidP="00C07493"/>
        </w:tc>
        <w:sdt>
          <w:sdtPr>
            <w:id w:val="1733420856"/>
            <w14:checkbox>
              <w14:checked w14:val="0"/>
              <w14:checkedState w14:val="2612" w14:font="MS Gothic"/>
              <w14:uncheckedState w14:val="2610" w14:font="MS Gothic"/>
            </w14:checkbox>
          </w:sdtPr>
          <w:sdtContent>
            <w:tc>
              <w:tcPr>
                <w:tcW w:w="441" w:type="pct"/>
              </w:tcPr>
              <w:p w14:paraId="5082BCE5" w14:textId="77777777" w:rsidR="00C07493" w:rsidRPr="00431052" w:rsidRDefault="00C07493" w:rsidP="00C07493">
                <w:pPr>
                  <w:jc w:val="center"/>
                </w:pPr>
                <w:r w:rsidRPr="00431052">
                  <w:rPr>
                    <w:rFonts w:ascii="Segoe UI Symbol" w:eastAsia="MS Gothic" w:hAnsi="Segoe UI Symbol" w:cs="Segoe UI Symbol"/>
                  </w:rPr>
                  <w:t>☐</w:t>
                </w:r>
              </w:p>
            </w:tc>
          </w:sdtContent>
        </w:sdt>
        <w:tc>
          <w:tcPr>
            <w:tcW w:w="422" w:type="pct"/>
          </w:tcPr>
          <w:p w14:paraId="4295844B" w14:textId="77777777" w:rsidR="00C07493" w:rsidRPr="00431052" w:rsidRDefault="00C07493" w:rsidP="00C07493"/>
        </w:tc>
      </w:tr>
    </w:tbl>
    <w:p w14:paraId="2BB720CE" w14:textId="444525FA" w:rsidR="00C07493" w:rsidRPr="00431052" w:rsidRDefault="000A29D4" w:rsidP="00C07493">
      <w:pPr>
        <w:rPr>
          <w:rFonts w:cs="Arial"/>
        </w:rPr>
      </w:pPr>
      <w:r w:rsidRPr="00431052">
        <w:rPr>
          <w:rFonts w:cs="Arial"/>
          <w:b/>
          <w:sz w:val="28"/>
          <w:szCs w:val="28"/>
        </w:rPr>
        <w:t>Data</w:t>
      </w:r>
    </w:p>
    <w:tbl>
      <w:tblPr>
        <w:tblStyle w:val="TableGrid1"/>
        <w:tblW w:w="5000" w:type="pct"/>
        <w:tblLook w:val="04A0" w:firstRow="1" w:lastRow="0" w:firstColumn="1" w:lastColumn="0" w:noHBand="0" w:noVBand="1"/>
      </w:tblPr>
      <w:tblGrid>
        <w:gridCol w:w="832"/>
        <w:gridCol w:w="4216"/>
        <w:gridCol w:w="1145"/>
        <w:gridCol w:w="4496"/>
        <w:gridCol w:w="1364"/>
        <w:gridCol w:w="1285"/>
        <w:gridCol w:w="1230"/>
      </w:tblGrid>
      <w:tr w:rsidR="00431052" w:rsidRPr="00431052" w14:paraId="3FB4F5B3" w14:textId="77777777" w:rsidTr="000A29D4">
        <w:tc>
          <w:tcPr>
            <w:tcW w:w="286" w:type="pct"/>
          </w:tcPr>
          <w:p w14:paraId="1FD61DA2" w14:textId="77777777" w:rsidR="00C07493" w:rsidRPr="00431052" w:rsidRDefault="00C07493" w:rsidP="00C07493">
            <w:pPr>
              <w:rPr>
                <w:b/>
                <w:i/>
              </w:rPr>
            </w:pPr>
            <w:r w:rsidRPr="00431052">
              <w:rPr>
                <w:b/>
                <w:i/>
              </w:rPr>
              <w:t>Rec. no</w:t>
            </w:r>
          </w:p>
        </w:tc>
        <w:tc>
          <w:tcPr>
            <w:tcW w:w="1447" w:type="pct"/>
          </w:tcPr>
          <w:p w14:paraId="743BA3C5" w14:textId="77777777" w:rsidR="00C07493" w:rsidRPr="00431052" w:rsidRDefault="00C07493" w:rsidP="00C07493">
            <w:pPr>
              <w:rPr>
                <w:b/>
                <w:i/>
              </w:rPr>
            </w:pPr>
            <w:r w:rsidRPr="00431052">
              <w:rPr>
                <w:b/>
                <w:i/>
              </w:rPr>
              <w:t>Issue or recommendation</w:t>
            </w:r>
          </w:p>
        </w:tc>
        <w:tc>
          <w:tcPr>
            <w:tcW w:w="393" w:type="pct"/>
          </w:tcPr>
          <w:p w14:paraId="2F06A731" w14:textId="77777777" w:rsidR="00C07493" w:rsidRPr="00431052" w:rsidRDefault="00C07493" w:rsidP="00C07493">
            <w:pPr>
              <w:rPr>
                <w:b/>
                <w:i/>
              </w:rPr>
            </w:pPr>
            <w:r w:rsidRPr="00431052">
              <w:rPr>
                <w:b/>
                <w:i/>
              </w:rPr>
              <w:t>Raised by / Date</w:t>
            </w:r>
          </w:p>
        </w:tc>
        <w:tc>
          <w:tcPr>
            <w:tcW w:w="1543" w:type="pct"/>
          </w:tcPr>
          <w:p w14:paraId="2D48C88F" w14:textId="77777777" w:rsidR="00C07493" w:rsidRPr="00431052" w:rsidRDefault="00C07493" w:rsidP="00C07493">
            <w:pPr>
              <w:rPr>
                <w:b/>
                <w:i/>
              </w:rPr>
            </w:pPr>
            <w:r w:rsidRPr="00431052">
              <w:rPr>
                <w:b/>
                <w:i/>
              </w:rPr>
              <w:t>Response or Action taken by applicant</w:t>
            </w:r>
          </w:p>
        </w:tc>
        <w:tc>
          <w:tcPr>
            <w:tcW w:w="468" w:type="pct"/>
          </w:tcPr>
          <w:p w14:paraId="5C42F3E8" w14:textId="77777777" w:rsidR="00C07493" w:rsidRPr="00431052" w:rsidRDefault="00C07493" w:rsidP="00C07493">
            <w:pPr>
              <w:rPr>
                <w:b/>
                <w:i/>
              </w:rPr>
            </w:pPr>
            <w:r w:rsidRPr="00431052">
              <w:rPr>
                <w:b/>
                <w:i/>
              </w:rPr>
              <w:t>Response date</w:t>
            </w:r>
          </w:p>
        </w:tc>
        <w:tc>
          <w:tcPr>
            <w:tcW w:w="441" w:type="pct"/>
          </w:tcPr>
          <w:p w14:paraId="0F9402F2" w14:textId="77777777" w:rsidR="00C07493" w:rsidRPr="00431052" w:rsidRDefault="00C07493" w:rsidP="00C07493">
            <w:pPr>
              <w:rPr>
                <w:b/>
                <w:i/>
              </w:rPr>
            </w:pPr>
            <w:r w:rsidRPr="00431052">
              <w:rPr>
                <w:b/>
                <w:i/>
              </w:rPr>
              <w:t>Resolved</w:t>
            </w:r>
          </w:p>
        </w:tc>
        <w:tc>
          <w:tcPr>
            <w:tcW w:w="422" w:type="pct"/>
          </w:tcPr>
          <w:p w14:paraId="3C41B476" w14:textId="77777777" w:rsidR="00C07493" w:rsidRPr="00431052" w:rsidRDefault="00C07493" w:rsidP="00C07493">
            <w:pPr>
              <w:rPr>
                <w:b/>
                <w:i/>
              </w:rPr>
            </w:pPr>
            <w:r w:rsidRPr="00431052">
              <w:rPr>
                <w:b/>
                <w:i/>
              </w:rPr>
              <w:t>Sign off by / Date</w:t>
            </w:r>
          </w:p>
        </w:tc>
      </w:tr>
      <w:tr w:rsidR="00C07493" w:rsidRPr="00431052" w14:paraId="2494C5A6" w14:textId="77777777" w:rsidTr="000A29D4">
        <w:tc>
          <w:tcPr>
            <w:tcW w:w="286" w:type="pct"/>
          </w:tcPr>
          <w:p w14:paraId="1C429DE9" w14:textId="77777777" w:rsidR="00C07493" w:rsidRPr="00431052" w:rsidRDefault="00C07493" w:rsidP="00C07493"/>
        </w:tc>
        <w:tc>
          <w:tcPr>
            <w:tcW w:w="1447" w:type="pct"/>
          </w:tcPr>
          <w:p w14:paraId="42B0AADE" w14:textId="77777777" w:rsidR="00C07493" w:rsidRPr="00431052" w:rsidRDefault="00C07493" w:rsidP="00C07493"/>
        </w:tc>
        <w:tc>
          <w:tcPr>
            <w:tcW w:w="393" w:type="pct"/>
          </w:tcPr>
          <w:p w14:paraId="0E97DB78" w14:textId="77777777" w:rsidR="00C07493" w:rsidRPr="00431052" w:rsidRDefault="00C07493" w:rsidP="00C07493"/>
        </w:tc>
        <w:tc>
          <w:tcPr>
            <w:tcW w:w="1543" w:type="pct"/>
          </w:tcPr>
          <w:p w14:paraId="72CB55BE" w14:textId="77777777" w:rsidR="00C07493" w:rsidRPr="00431052" w:rsidRDefault="00C07493" w:rsidP="00C07493"/>
        </w:tc>
        <w:tc>
          <w:tcPr>
            <w:tcW w:w="468" w:type="pct"/>
          </w:tcPr>
          <w:p w14:paraId="7DA56157" w14:textId="77777777" w:rsidR="00C07493" w:rsidRPr="00431052" w:rsidRDefault="00C07493" w:rsidP="00C07493"/>
        </w:tc>
        <w:sdt>
          <w:sdtPr>
            <w:id w:val="-1023932915"/>
            <w14:checkbox>
              <w14:checked w14:val="0"/>
              <w14:checkedState w14:val="2612" w14:font="MS Gothic"/>
              <w14:uncheckedState w14:val="2610" w14:font="MS Gothic"/>
            </w14:checkbox>
          </w:sdtPr>
          <w:sdtContent>
            <w:tc>
              <w:tcPr>
                <w:tcW w:w="441" w:type="pct"/>
              </w:tcPr>
              <w:p w14:paraId="4C94489B" w14:textId="77777777" w:rsidR="00C07493" w:rsidRPr="00431052" w:rsidRDefault="00C07493" w:rsidP="00C07493">
                <w:pPr>
                  <w:jc w:val="center"/>
                </w:pPr>
                <w:r w:rsidRPr="00431052">
                  <w:rPr>
                    <w:rFonts w:ascii="Segoe UI Symbol" w:eastAsia="MS Gothic" w:hAnsi="Segoe UI Symbol" w:cs="Segoe UI Symbol"/>
                  </w:rPr>
                  <w:t>☐</w:t>
                </w:r>
              </w:p>
            </w:tc>
          </w:sdtContent>
        </w:sdt>
        <w:tc>
          <w:tcPr>
            <w:tcW w:w="422" w:type="pct"/>
          </w:tcPr>
          <w:p w14:paraId="6FB241D7" w14:textId="77777777" w:rsidR="00C07493" w:rsidRPr="00431052" w:rsidRDefault="00C07493" w:rsidP="00C07493"/>
        </w:tc>
      </w:tr>
    </w:tbl>
    <w:p w14:paraId="7A6F448C" w14:textId="757DDCAF" w:rsidR="00C07493" w:rsidRPr="00431052" w:rsidRDefault="000A29D4" w:rsidP="00C07493">
      <w:pPr>
        <w:rPr>
          <w:rFonts w:cs="Arial"/>
        </w:rPr>
      </w:pPr>
      <w:r w:rsidRPr="00431052">
        <w:rPr>
          <w:rFonts w:cs="Arial"/>
          <w:b/>
          <w:sz w:val="28"/>
          <w:szCs w:val="28"/>
        </w:rPr>
        <w:t>Construction</w:t>
      </w:r>
    </w:p>
    <w:tbl>
      <w:tblPr>
        <w:tblStyle w:val="TableGrid1"/>
        <w:tblW w:w="5000" w:type="pct"/>
        <w:tblLook w:val="04A0" w:firstRow="1" w:lastRow="0" w:firstColumn="1" w:lastColumn="0" w:noHBand="0" w:noVBand="1"/>
      </w:tblPr>
      <w:tblGrid>
        <w:gridCol w:w="832"/>
        <w:gridCol w:w="4216"/>
        <w:gridCol w:w="1151"/>
        <w:gridCol w:w="4490"/>
        <w:gridCol w:w="1364"/>
        <w:gridCol w:w="1285"/>
        <w:gridCol w:w="1230"/>
      </w:tblGrid>
      <w:tr w:rsidR="00431052" w:rsidRPr="00431052" w14:paraId="534AAB6B" w14:textId="77777777" w:rsidTr="000A29D4">
        <w:tc>
          <w:tcPr>
            <w:tcW w:w="286" w:type="pct"/>
          </w:tcPr>
          <w:p w14:paraId="3657C939" w14:textId="77777777" w:rsidR="00C07493" w:rsidRPr="00431052" w:rsidRDefault="00C07493" w:rsidP="00C07493">
            <w:pPr>
              <w:rPr>
                <w:b/>
                <w:i/>
              </w:rPr>
            </w:pPr>
            <w:r w:rsidRPr="00431052">
              <w:rPr>
                <w:b/>
                <w:i/>
              </w:rPr>
              <w:t>Rec. no</w:t>
            </w:r>
          </w:p>
        </w:tc>
        <w:tc>
          <w:tcPr>
            <w:tcW w:w="1447" w:type="pct"/>
          </w:tcPr>
          <w:p w14:paraId="60CF5637" w14:textId="77777777" w:rsidR="00C07493" w:rsidRPr="00431052" w:rsidRDefault="00C07493" w:rsidP="00C07493">
            <w:pPr>
              <w:rPr>
                <w:b/>
                <w:i/>
              </w:rPr>
            </w:pPr>
            <w:r w:rsidRPr="00431052">
              <w:rPr>
                <w:b/>
                <w:i/>
              </w:rPr>
              <w:t>Issue or recommendation</w:t>
            </w:r>
          </w:p>
        </w:tc>
        <w:tc>
          <w:tcPr>
            <w:tcW w:w="395" w:type="pct"/>
          </w:tcPr>
          <w:p w14:paraId="0D2B69E7" w14:textId="77777777" w:rsidR="00C07493" w:rsidRPr="00431052" w:rsidRDefault="00C07493" w:rsidP="00C07493">
            <w:pPr>
              <w:rPr>
                <w:b/>
                <w:i/>
              </w:rPr>
            </w:pPr>
            <w:r w:rsidRPr="00431052">
              <w:rPr>
                <w:b/>
                <w:i/>
              </w:rPr>
              <w:t>Raised by / Date</w:t>
            </w:r>
          </w:p>
        </w:tc>
        <w:tc>
          <w:tcPr>
            <w:tcW w:w="1541" w:type="pct"/>
          </w:tcPr>
          <w:p w14:paraId="558A884D" w14:textId="77777777" w:rsidR="00C07493" w:rsidRPr="00431052" w:rsidRDefault="00C07493" w:rsidP="00C07493">
            <w:pPr>
              <w:rPr>
                <w:b/>
                <w:i/>
              </w:rPr>
            </w:pPr>
            <w:r w:rsidRPr="00431052">
              <w:rPr>
                <w:b/>
                <w:i/>
              </w:rPr>
              <w:t>Response or Action taken by applicant</w:t>
            </w:r>
          </w:p>
        </w:tc>
        <w:tc>
          <w:tcPr>
            <w:tcW w:w="468" w:type="pct"/>
          </w:tcPr>
          <w:p w14:paraId="3E9BD374" w14:textId="77777777" w:rsidR="00C07493" w:rsidRPr="00431052" w:rsidRDefault="00C07493" w:rsidP="00C07493">
            <w:pPr>
              <w:rPr>
                <w:b/>
                <w:i/>
              </w:rPr>
            </w:pPr>
            <w:r w:rsidRPr="00431052">
              <w:rPr>
                <w:b/>
                <w:i/>
              </w:rPr>
              <w:t>Response date</w:t>
            </w:r>
          </w:p>
        </w:tc>
        <w:tc>
          <w:tcPr>
            <w:tcW w:w="441" w:type="pct"/>
          </w:tcPr>
          <w:p w14:paraId="7B0BEF0A" w14:textId="77777777" w:rsidR="00C07493" w:rsidRPr="00431052" w:rsidRDefault="00C07493" w:rsidP="00C07493">
            <w:pPr>
              <w:rPr>
                <w:b/>
                <w:i/>
              </w:rPr>
            </w:pPr>
            <w:r w:rsidRPr="00431052">
              <w:rPr>
                <w:b/>
                <w:i/>
              </w:rPr>
              <w:t>Resolved</w:t>
            </w:r>
          </w:p>
        </w:tc>
        <w:tc>
          <w:tcPr>
            <w:tcW w:w="423" w:type="pct"/>
          </w:tcPr>
          <w:p w14:paraId="13DE5409" w14:textId="77777777" w:rsidR="00C07493" w:rsidRPr="00431052" w:rsidRDefault="00C07493" w:rsidP="00C07493">
            <w:pPr>
              <w:rPr>
                <w:b/>
                <w:i/>
              </w:rPr>
            </w:pPr>
            <w:r w:rsidRPr="00431052">
              <w:rPr>
                <w:b/>
                <w:i/>
              </w:rPr>
              <w:t>Sign off by / Date</w:t>
            </w:r>
          </w:p>
        </w:tc>
      </w:tr>
      <w:tr w:rsidR="00431052" w:rsidRPr="00431052" w14:paraId="46AD6335" w14:textId="77777777" w:rsidTr="000A29D4">
        <w:tc>
          <w:tcPr>
            <w:tcW w:w="286" w:type="pct"/>
          </w:tcPr>
          <w:p w14:paraId="729F1304" w14:textId="77777777" w:rsidR="00C07493" w:rsidRPr="00431052" w:rsidRDefault="00C07493" w:rsidP="00C07493">
            <w:r w:rsidRPr="00431052">
              <w:t>4a</w:t>
            </w:r>
          </w:p>
        </w:tc>
        <w:tc>
          <w:tcPr>
            <w:tcW w:w="1447" w:type="pct"/>
          </w:tcPr>
          <w:p w14:paraId="5BA976EA" w14:textId="77777777" w:rsidR="00C07493" w:rsidRPr="00431052" w:rsidRDefault="00C07493" w:rsidP="00C07493">
            <w:r w:rsidRPr="00431052">
              <w:t>Further clarity is required around the way deprivation deciles are used in the construction.</w:t>
            </w:r>
          </w:p>
        </w:tc>
        <w:tc>
          <w:tcPr>
            <w:tcW w:w="395" w:type="pct"/>
          </w:tcPr>
          <w:p w14:paraId="0F43CF98" w14:textId="77777777" w:rsidR="00C07493" w:rsidRPr="00431052" w:rsidRDefault="00C07493" w:rsidP="00C07493">
            <w:r w:rsidRPr="00431052">
              <w:t>MRG</w:t>
            </w:r>
          </w:p>
          <w:p w14:paraId="377FB2DE" w14:textId="77777777" w:rsidR="00C07493" w:rsidRPr="00431052" w:rsidRDefault="00C07493" w:rsidP="00C07493">
            <w:r w:rsidRPr="00431052">
              <w:t>08/09/16</w:t>
            </w:r>
          </w:p>
        </w:tc>
        <w:tc>
          <w:tcPr>
            <w:tcW w:w="1541" w:type="pct"/>
          </w:tcPr>
          <w:p w14:paraId="38FDAE6A" w14:textId="77777777" w:rsidR="00C07493" w:rsidRPr="00431052" w:rsidRDefault="00C07493" w:rsidP="00C07493">
            <w:r w:rsidRPr="00431052">
              <w:t>Section 3.1 and 4.3 updated.</w:t>
            </w:r>
          </w:p>
        </w:tc>
        <w:tc>
          <w:tcPr>
            <w:tcW w:w="468" w:type="pct"/>
          </w:tcPr>
          <w:p w14:paraId="7718E216" w14:textId="77777777" w:rsidR="00C07493" w:rsidRPr="00431052" w:rsidRDefault="00C07493" w:rsidP="00C07493">
            <w:r w:rsidRPr="00431052">
              <w:t>2016-09-26</w:t>
            </w:r>
          </w:p>
        </w:tc>
        <w:sdt>
          <w:sdtPr>
            <w:id w:val="-83388565"/>
            <w14:checkbox>
              <w14:checked w14:val="1"/>
              <w14:checkedState w14:val="2612" w14:font="MS Gothic"/>
              <w14:uncheckedState w14:val="2610" w14:font="MS Gothic"/>
            </w14:checkbox>
          </w:sdtPr>
          <w:sdtContent>
            <w:tc>
              <w:tcPr>
                <w:tcW w:w="441" w:type="pct"/>
              </w:tcPr>
              <w:p w14:paraId="10A64E12" w14:textId="77777777" w:rsidR="00C07493" w:rsidRPr="00431052" w:rsidRDefault="00C07493" w:rsidP="00C07493">
                <w:pPr>
                  <w:jc w:val="center"/>
                </w:pPr>
                <w:r w:rsidRPr="00431052">
                  <w:rPr>
                    <w:rFonts w:ascii="Segoe UI Symbol" w:eastAsia="MS Gothic" w:hAnsi="Segoe UI Symbol" w:cs="Segoe UI Symbol"/>
                  </w:rPr>
                  <w:t>☒</w:t>
                </w:r>
              </w:p>
            </w:tc>
          </w:sdtContent>
        </w:sdt>
        <w:tc>
          <w:tcPr>
            <w:tcW w:w="423" w:type="pct"/>
          </w:tcPr>
          <w:p w14:paraId="570DC78D" w14:textId="77777777" w:rsidR="00C07493" w:rsidRPr="00431052" w:rsidRDefault="00C07493" w:rsidP="00C07493">
            <w:r w:rsidRPr="00431052">
              <w:t>17/10/16 – MRG Chair</w:t>
            </w:r>
          </w:p>
        </w:tc>
      </w:tr>
      <w:tr w:rsidR="00431052" w:rsidRPr="00431052" w14:paraId="2E00BF6D" w14:textId="77777777" w:rsidTr="000A29D4">
        <w:tc>
          <w:tcPr>
            <w:tcW w:w="286" w:type="pct"/>
          </w:tcPr>
          <w:p w14:paraId="04C3D32E" w14:textId="77777777" w:rsidR="00C07493" w:rsidRPr="00431052" w:rsidRDefault="00C07493" w:rsidP="00C07493">
            <w:r w:rsidRPr="00431052">
              <w:t>4b</w:t>
            </w:r>
          </w:p>
        </w:tc>
        <w:tc>
          <w:tcPr>
            <w:tcW w:w="1447" w:type="pct"/>
          </w:tcPr>
          <w:p w14:paraId="678946E7" w14:textId="77777777" w:rsidR="00C07493" w:rsidRPr="00431052" w:rsidRDefault="00C07493" w:rsidP="00C07493">
            <w:r w:rsidRPr="00431052">
              <w:t xml:space="preserve">There should be further clarity of the fact that this indicator is based on an underlying indicator, which could be achieved through  ensuring the indicator is suitably referenced </w:t>
            </w:r>
          </w:p>
        </w:tc>
        <w:tc>
          <w:tcPr>
            <w:tcW w:w="395" w:type="pct"/>
          </w:tcPr>
          <w:p w14:paraId="1871F8CB" w14:textId="77777777" w:rsidR="00C07493" w:rsidRPr="00431052" w:rsidRDefault="00C07493" w:rsidP="00C07493">
            <w:r w:rsidRPr="00431052">
              <w:t>MRG</w:t>
            </w:r>
          </w:p>
          <w:p w14:paraId="6762344C" w14:textId="77777777" w:rsidR="00C07493" w:rsidRPr="00431052" w:rsidRDefault="00C07493" w:rsidP="00C07493">
            <w:r w:rsidRPr="00431052">
              <w:t>08/09/16</w:t>
            </w:r>
          </w:p>
        </w:tc>
        <w:tc>
          <w:tcPr>
            <w:tcW w:w="1541" w:type="pct"/>
          </w:tcPr>
          <w:p w14:paraId="3D7D3C6C" w14:textId="77777777" w:rsidR="00C07493" w:rsidRPr="00431052" w:rsidRDefault="00C07493" w:rsidP="00C07493">
            <w:r w:rsidRPr="00431052">
              <w:t>Section 4.3 updated.</w:t>
            </w:r>
          </w:p>
        </w:tc>
        <w:tc>
          <w:tcPr>
            <w:tcW w:w="468" w:type="pct"/>
          </w:tcPr>
          <w:p w14:paraId="0883DBE5" w14:textId="77777777" w:rsidR="00C07493" w:rsidRPr="00431052" w:rsidRDefault="00C07493" w:rsidP="00C07493">
            <w:r w:rsidRPr="00431052">
              <w:t>2016-09-26</w:t>
            </w:r>
          </w:p>
        </w:tc>
        <w:sdt>
          <w:sdtPr>
            <w:id w:val="-423873189"/>
            <w14:checkbox>
              <w14:checked w14:val="1"/>
              <w14:checkedState w14:val="2612" w14:font="MS Gothic"/>
              <w14:uncheckedState w14:val="2610" w14:font="MS Gothic"/>
            </w14:checkbox>
          </w:sdtPr>
          <w:sdtContent>
            <w:tc>
              <w:tcPr>
                <w:tcW w:w="441" w:type="pct"/>
              </w:tcPr>
              <w:p w14:paraId="45979FCE" w14:textId="77777777" w:rsidR="00C07493" w:rsidRPr="00431052" w:rsidRDefault="00C07493" w:rsidP="00C07493">
                <w:pPr>
                  <w:jc w:val="center"/>
                </w:pPr>
                <w:r w:rsidRPr="00431052">
                  <w:rPr>
                    <w:rFonts w:ascii="Segoe UI Symbol" w:eastAsia="MS Gothic" w:hAnsi="Segoe UI Symbol" w:cs="Segoe UI Symbol"/>
                  </w:rPr>
                  <w:t>☒</w:t>
                </w:r>
              </w:p>
            </w:tc>
          </w:sdtContent>
        </w:sdt>
        <w:tc>
          <w:tcPr>
            <w:tcW w:w="423" w:type="pct"/>
          </w:tcPr>
          <w:p w14:paraId="64DA83D7" w14:textId="77777777" w:rsidR="00C07493" w:rsidRPr="00431052" w:rsidRDefault="00C07493" w:rsidP="00C07493">
            <w:r w:rsidRPr="00431052">
              <w:t>17/10/16 – MRG Chair</w:t>
            </w:r>
          </w:p>
        </w:tc>
      </w:tr>
      <w:tr w:rsidR="00431052" w:rsidRPr="00431052" w14:paraId="19FE6E4A" w14:textId="77777777" w:rsidTr="000A29D4">
        <w:tc>
          <w:tcPr>
            <w:tcW w:w="286" w:type="pct"/>
          </w:tcPr>
          <w:p w14:paraId="6DBC76C9" w14:textId="77777777" w:rsidR="00C07493" w:rsidRPr="00431052" w:rsidRDefault="00C07493" w:rsidP="00C07493">
            <w:r w:rsidRPr="00431052">
              <w:t>4c</w:t>
            </w:r>
          </w:p>
        </w:tc>
        <w:tc>
          <w:tcPr>
            <w:tcW w:w="1447" w:type="pct"/>
          </w:tcPr>
          <w:p w14:paraId="7225F414" w14:textId="77777777" w:rsidR="00C07493" w:rsidRPr="00431052" w:rsidRDefault="00C07493" w:rsidP="00C07493">
            <w:r w:rsidRPr="00431052">
              <w:t xml:space="preserve">The reference to the APHO method for confidence intervals (sections 4.3 and 4.7) should be updated to instead reference the Lowe and Lowe paper, which is the source used by APHO </w:t>
            </w:r>
          </w:p>
        </w:tc>
        <w:tc>
          <w:tcPr>
            <w:tcW w:w="395" w:type="pct"/>
          </w:tcPr>
          <w:p w14:paraId="3511953C" w14:textId="77777777" w:rsidR="00C07493" w:rsidRPr="00431052" w:rsidRDefault="00C07493" w:rsidP="00C07493">
            <w:r w:rsidRPr="00431052">
              <w:t>MRG</w:t>
            </w:r>
          </w:p>
          <w:p w14:paraId="7E96DCE9" w14:textId="77777777" w:rsidR="00C07493" w:rsidRPr="00431052" w:rsidRDefault="00C07493" w:rsidP="00C07493">
            <w:r w:rsidRPr="00431052">
              <w:t>08/09/16</w:t>
            </w:r>
          </w:p>
        </w:tc>
        <w:tc>
          <w:tcPr>
            <w:tcW w:w="1541" w:type="pct"/>
          </w:tcPr>
          <w:p w14:paraId="7CA5C6BC" w14:textId="77777777" w:rsidR="00C07493" w:rsidRPr="00431052" w:rsidRDefault="00C07493" w:rsidP="00C07493">
            <w:r w:rsidRPr="00431052">
              <w:t>Section 4.7 updated.</w:t>
            </w:r>
          </w:p>
        </w:tc>
        <w:tc>
          <w:tcPr>
            <w:tcW w:w="468" w:type="pct"/>
          </w:tcPr>
          <w:p w14:paraId="7EC6104E" w14:textId="77777777" w:rsidR="00C07493" w:rsidRPr="00431052" w:rsidRDefault="00C07493" w:rsidP="00C07493">
            <w:r w:rsidRPr="00431052">
              <w:t>2016-09-26</w:t>
            </w:r>
          </w:p>
        </w:tc>
        <w:sdt>
          <w:sdtPr>
            <w:id w:val="767201557"/>
            <w14:checkbox>
              <w14:checked w14:val="1"/>
              <w14:checkedState w14:val="2612" w14:font="MS Gothic"/>
              <w14:uncheckedState w14:val="2610" w14:font="MS Gothic"/>
            </w14:checkbox>
          </w:sdtPr>
          <w:sdtContent>
            <w:tc>
              <w:tcPr>
                <w:tcW w:w="441" w:type="pct"/>
              </w:tcPr>
              <w:p w14:paraId="0F6C83D7" w14:textId="77777777" w:rsidR="00C07493" w:rsidRPr="00431052" w:rsidRDefault="00C07493" w:rsidP="00C07493">
                <w:pPr>
                  <w:jc w:val="center"/>
                </w:pPr>
                <w:r w:rsidRPr="00431052">
                  <w:rPr>
                    <w:rFonts w:ascii="Segoe UI Symbol" w:eastAsia="MS Gothic" w:hAnsi="Segoe UI Symbol" w:cs="Segoe UI Symbol"/>
                  </w:rPr>
                  <w:t>☒</w:t>
                </w:r>
              </w:p>
            </w:tc>
          </w:sdtContent>
        </w:sdt>
        <w:tc>
          <w:tcPr>
            <w:tcW w:w="423" w:type="pct"/>
          </w:tcPr>
          <w:p w14:paraId="510A7A30" w14:textId="77777777" w:rsidR="00C07493" w:rsidRPr="00431052" w:rsidRDefault="00C07493" w:rsidP="00C07493">
            <w:r w:rsidRPr="00431052">
              <w:t>17/10/16 – MRG Chair</w:t>
            </w:r>
          </w:p>
        </w:tc>
      </w:tr>
      <w:tr w:rsidR="00C07493" w:rsidRPr="00431052" w14:paraId="3A2BFEA2" w14:textId="77777777" w:rsidTr="000A29D4">
        <w:tc>
          <w:tcPr>
            <w:tcW w:w="286" w:type="pct"/>
          </w:tcPr>
          <w:p w14:paraId="50D9C11B" w14:textId="77777777" w:rsidR="00C07493" w:rsidRPr="00431052" w:rsidRDefault="00C07493" w:rsidP="00C07493">
            <w:r w:rsidRPr="00431052">
              <w:t>4d</w:t>
            </w:r>
          </w:p>
        </w:tc>
        <w:tc>
          <w:tcPr>
            <w:tcW w:w="1447" w:type="pct"/>
          </w:tcPr>
          <w:p w14:paraId="4CD219CD" w14:textId="77777777" w:rsidR="00C07493" w:rsidRPr="00431052" w:rsidRDefault="00C07493" w:rsidP="00C07493">
            <w:r w:rsidRPr="00431052">
              <w:t xml:space="preserve">It is noted that there is a plan to update the  methodology for calculating the confidence interval in Feb 2017. </w:t>
            </w:r>
          </w:p>
          <w:p w14:paraId="3334A404" w14:textId="77777777" w:rsidR="00C07493" w:rsidRPr="00431052" w:rsidRDefault="00C07493" w:rsidP="00C07493"/>
          <w:p w14:paraId="0584FF6E" w14:textId="77777777" w:rsidR="00C07493" w:rsidRPr="00431052" w:rsidRDefault="00C07493" w:rsidP="00C07493">
            <w:r w:rsidRPr="00431052">
              <w:t>MRG determine that this does not affect the assessment provided at the meeting of the 8</w:t>
            </w:r>
            <w:r w:rsidRPr="00431052">
              <w:rPr>
                <w:vertAlign w:val="superscript"/>
              </w:rPr>
              <w:t>th</w:t>
            </w:r>
            <w:r w:rsidRPr="00431052">
              <w:t xml:space="preserve"> Sept 2016, but that </w:t>
            </w:r>
            <w:r w:rsidRPr="00431052">
              <w:lastRenderedPageBreak/>
              <w:t>the group should be made aware of the change when it happens.</w:t>
            </w:r>
          </w:p>
        </w:tc>
        <w:tc>
          <w:tcPr>
            <w:tcW w:w="395" w:type="pct"/>
          </w:tcPr>
          <w:p w14:paraId="5A47C77F" w14:textId="77777777" w:rsidR="00C07493" w:rsidRPr="00431052" w:rsidRDefault="00C07493" w:rsidP="00C07493">
            <w:r w:rsidRPr="00431052">
              <w:lastRenderedPageBreak/>
              <w:t>MRG</w:t>
            </w:r>
          </w:p>
          <w:p w14:paraId="0EBD373F" w14:textId="77777777" w:rsidR="00C07493" w:rsidRPr="00431052" w:rsidRDefault="00C07493" w:rsidP="00C07493">
            <w:r w:rsidRPr="00431052">
              <w:t>08/09/16</w:t>
            </w:r>
          </w:p>
        </w:tc>
        <w:tc>
          <w:tcPr>
            <w:tcW w:w="1541" w:type="pct"/>
          </w:tcPr>
          <w:p w14:paraId="0BFD12C7" w14:textId="77777777" w:rsidR="00C07493" w:rsidRPr="00431052" w:rsidRDefault="00C07493" w:rsidP="00C07493">
            <w:r w:rsidRPr="00431052">
              <w:t>Section 4.7 updated.</w:t>
            </w:r>
          </w:p>
        </w:tc>
        <w:tc>
          <w:tcPr>
            <w:tcW w:w="468" w:type="pct"/>
          </w:tcPr>
          <w:p w14:paraId="06C61A30" w14:textId="77777777" w:rsidR="00C07493" w:rsidRPr="00431052" w:rsidRDefault="00C07493" w:rsidP="00C07493">
            <w:r w:rsidRPr="00431052">
              <w:t>2016-09-26</w:t>
            </w:r>
          </w:p>
        </w:tc>
        <w:sdt>
          <w:sdtPr>
            <w:id w:val="608474122"/>
            <w14:checkbox>
              <w14:checked w14:val="1"/>
              <w14:checkedState w14:val="2612" w14:font="MS Gothic"/>
              <w14:uncheckedState w14:val="2610" w14:font="MS Gothic"/>
            </w14:checkbox>
          </w:sdtPr>
          <w:sdtContent>
            <w:tc>
              <w:tcPr>
                <w:tcW w:w="441" w:type="pct"/>
              </w:tcPr>
              <w:p w14:paraId="78E75842" w14:textId="77777777" w:rsidR="00C07493" w:rsidRPr="00431052" w:rsidRDefault="00C07493" w:rsidP="00C07493">
                <w:pPr>
                  <w:jc w:val="center"/>
                </w:pPr>
                <w:r w:rsidRPr="00431052">
                  <w:rPr>
                    <w:rFonts w:ascii="Segoe UI Symbol" w:eastAsia="MS Gothic" w:hAnsi="Segoe UI Symbol" w:cs="Segoe UI Symbol"/>
                  </w:rPr>
                  <w:t>☒</w:t>
                </w:r>
              </w:p>
            </w:tc>
          </w:sdtContent>
        </w:sdt>
        <w:tc>
          <w:tcPr>
            <w:tcW w:w="423" w:type="pct"/>
          </w:tcPr>
          <w:p w14:paraId="5E31DE5A" w14:textId="77777777" w:rsidR="00C07493" w:rsidRPr="00431052" w:rsidRDefault="00C07493" w:rsidP="00C07493">
            <w:r w:rsidRPr="00431052">
              <w:t>17/10/16 – MRG Chair</w:t>
            </w:r>
          </w:p>
        </w:tc>
      </w:tr>
    </w:tbl>
    <w:p w14:paraId="44D461D2" w14:textId="77777777" w:rsidR="00C07493" w:rsidRPr="00431052" w:rsidRDefault="00C07493" w:rsidP="00C07493">
      <w:pPr>
        <w:rPr>
          <w:rFonts w:cs="Arial"/>
        </w:rPr>
      </w:pPr>
    </w:p>
    <w:p w14:paraId="6AE30374" w14:textId="2F1FBC11" w:rsidR="000A29D4" w:rsidRDefault="000A29D4">
      <w:r w:rsidRPr="00431052">
        <w:rPr>
          <w:rFonts w:cs="Arial"/>
          <w:b/>
          <w:sz w:val="28"/>
          <w:szCs w:val="28"/>
        </w:rPr>
        <w:t>Presentation and Interpretation</w:t>
      </w:r>
    </w:p>
    <w:tbl>
      <w:tblPr>
        <w:tblStyle w:val="TableGrid1"/>
        <w:tblW w:w="5000" w:type="pct"/>
        <w:tblLook w:val="04A0" w:firstRow="1" w:lastRow="0" w:firstColumn="1" w:lastColumn="0" w:noHBand="0" w:noVBand="1"/>
      </w:tblPr>
      <w:tblGrid>
        <w:gridCol w:w="832"/>
        <w:gridCol w:w="4216"/>
        <w:gridCol w:w="1151"/>
        <w:gridCol w:w="4490"/>
        <w:gridCol w:w="1364"/>
        <w:gridCol w:w="1285"/>
        <w:gridCol w:w="1230"/>
      </w:tblGrid>
      <w:tr w:rsidR="00431052" w:rsidRPr="00431052" w14:paraId="4149D309" w14:textId="77777777" w:rsidTr="000A29D4">
        <w:tc>
          <w:tcPr>
            <w:tcW w:w="286" w:type="pct"/>
          </w:tcPr>
          <w:p w14:paraId="381027E1" w14:textId="77777777" w:rsidR="00C07493" w:rsidRPr="00431052" w:rsidRDefault="00C07493" w:rsidP="00C07493">
            <w:pPr>
              <w:rPr>
                <w:b/>
                <w:i/>
              </w:rPr>
            </w:pPr>
            <w:r w:rsidRPr="00431052">
              <w:rPr>
                <w:b/>
                <w:i/>
              </w:rPr>
              <w:t>Rec. no</w:t>
            </w:r>
          </w:p>
        </w:tc>
        <w:tc>
          <w:tcPr>
            <w:tcW w:w="1447" w:type="pct"/>
          </w:tcPr>
          <w:p w14:paraId="5ED6AD37" w14:textId="77777777" w:rsidR="00C07493" w:rsidRPr="00431052" w:rsidRDefault="00C07493" w:rsidP="00C07493">
            <w:pPr>
              <w:rPr>
                <w:b/>
                <w:i/>
              </w:rPr>
            </w:pPr>
            <w:r w:rsidRPr="00431052">
              <w:rPr>
                <w:b/>
                <w:i/>
              </w:rPr>
              <w:t>Issue or recommendation</w:t>
            </w:r>
          </w:p>
        </w:tc>
        <w:tc>
          <w:tcPr>
            <w:tcW w:w="395" w:type="pct"/>
          </w:tcPr>
          <w:p w14:paraId="6CC005F2" w14:textId="77777777" w:rsidR="00C07493" w:rsidRPr="00431052" w:rsidRDefault="00C07493" w:rsidP="00C07493">
            <w:pPr>
              <w:rPr>
                <w:b/>
                <w:i/>
              </w:rPr>
            </w:pPr>
            <w:r w:rsidRPr="00431052">
              <w:rPr>
                <w:b/>
                <w:i/>
              </w:rPr>
              <w:t>Raised by / Date</w:t>
            </w:r>
          </w:p>
        </w:tc>
        <w:tc>
          <w:tcPr>
            <w:tcW w:w="1541" w:type="pct"/>
          </w:tcPr>
          <w:p w14:paraId="1DB1157E" w14:textId="77777777" w:rsidR="00C07493" w:rsidRPr="00431052" w:rsidRDefault="00C07493" w:rsidP="00C07493">
            <w:pPr>
              <w:rPr>
                <w:b/>
                <w:i/>
              </w:rPr>
            </w:pPr>
            <w:r w:rsidRPr="00431052">
              <w:rPr>
                <w:b/>
                <w:i/>
              </w:rPr>
              <w:t>Response or Action taken by applicant</w:t>
            </w:r>
          </w:p>
        </w:tc>
        <w:tc>
          <w:tcPr>
            <w:tcW w:w="468" w:type="pct"/>
          </w:tcPr>
          <w:p w14:paraId="2D9250ED" w14:textId="77777777" w:rsidR="00C07493" w:rsidRPr="00431052" w:rsidRDefault="00C07493" w:rsidP="00C07493">
            <w:pPr>
              <w:rPr>
                <w:b/>
                <w:i/>
              </w:rPr>
            </w:pPr>
            <w:r w:rsidRPr="00431052">
              <w:rPr>
                <w:b/>
                <w:i/>
              </w:rPr>
              <w:t>Response date</w:t>
            </w:r>
          </w:p>
        </w:tc>
        <w:tc>
          <w:tcPr>
            <w:tcW w:w="441" w:type="pct"/>
          </w:tcPr>
          <w:p w14:paraId="613758E1" w14:textId="77777777" w:rsidR="00C07493" w:rsidRPr="00431052" w:rsidRDefault="00C07493" w:rsidP="00C07493">
            <w:pPr>
              <w:rPr>
                <w:b/>
                <w:i/>
              </w:rPr>
            </w:pPr>
            <w:r w:rsidRPr="00431052">
              <w:rPr>
                <w:b/>
                <w:i/>
              </w:rPr>
              <w:t>Resolved</w:t>
            </w:r>
          </w:p>
        </w:tc>
        <w:tc>
          <w:tcPr>
            <w:tcW w:w="422" w:type="pct"/>
          </w:tcPr>
          <w:p w14:paraId="2359A634" w14:textId="77777777" w:rsidR="00C07493" w:rsidRPr="00431052" w:rsidRDefault="00C07493" w:rsidP="00C07493">
            <w:pPr>
              <w:rPr>
                <w:b/>
                <w:i/>
              </w:rPr>
            </w:pPr>
            <w:r w:rsidRPr="00431052">
              <w:rPr>
                <w:b/>
                <w:i/>
              </w:rPr>
              <w:t>Sign off by / Date</w:t>
            </w:r>
          </w:p>
        </w:tc>
      </w:tr>
      <w:tr w:rsidR="00C07493" w:rsidRPr="00431052" w14:paraId="626B10D8" w14:textId="77777777" w:rsidTr="000A29D4">
        <w:tc>
          <w:tcPr>
            <w:tcW w:w="286" w:type="pct"/>
          </w:tcPr>
          <w:p w14:paraId="4831D84F" w14:textId="77777777" w:rsidR="00C07493" w:rsidRPr="00431052" w:rsidRDefault="00C07493" w:rsidP="00C07493">
            <w:r w:rsidRPr="00431052">
              <w:t>5a</w:t>
            </w:r>
          </w:p>
        </w:tc>
        <w:tc>
          <w:tcPr>
            <w:tcW w:w="1447" w:type="pct"/>
          </w:tcPr>
          <w:p w14:paraId="3B4438F3" w14:textId="77777777" w:rsidR="00C07493" w:rsidRPr="00431052" w:rsidRDefault="00C07493" w:rsidP="00C07493">
            <w:r w:rsidRPr="00431052">
              <w:t>It would be useful to make clear that “good” would be represented by the slope decreasing over time.</w:t>
            </w:r>
          </w:p>
          <w:p w14:paraId="43498B7B" w14:textId="77777777" w:rsidR="00C07493" w:rsidRPr="00431052" w:rsidRDefault="00C07493" w:rsidP="00C07493"/>
          <w:p w14:paraId="7778D947" w14:textId="77777777" w:rsidR="00C07493" w:rsidRPr="00431052" w:rsidRDefault="00C07493" w:rsidP="00C07493">
            <w:r w:rsidRPr="00431052">
              <w:t>Additionally the labelling of the x axis in graph provided in section 5.9 should be checked.</w:t>
            </w:r>
          </w:p>
          <w:p w14:paraId="723472B3" w14:textId="77777777" w:rsidR="00C07493" w:rsidRPr="00431052" w:rsidRDefault="00C07493" w:rsidP="00C07493">
            <w:r w:rsidRPr="00431052">
              <w:t xml:space="preserve"> </w:t>
            </w:r>
          </w:p>
        </w:tc>
        <w:tc>
          <w:tcPr>
            <w:tcW w:w="395" w:type="pct"/>
          </w:tcPr>
          <w:p w14:paraId="61212B3F" w14:textId="77777777" w:rsidR="00C07493" w:rsidRPr="00431052" w:rsidRDefault="00C07493" w:rsidP="00C07493">
            <w:r w:rsidRPr="00431052">
              <w:t>MRG</w:t>
            </w:r>
          </w:p>
          <w:p w14:paraId="5084F138" w14:textId="77777777" w:rsidR="00C07493" w:rsidRPr="00431052" w:rsidRDefault="00C07493" w:rsidP="00C07493">
            <w:r w:rsidRPr="00431052">
              <w:t>08/09/16</w:t>
            </w:r>
          </w:p>
        </w:tc>
        <w:tc>
          <w:tcPr>
            <w:tcW w:w="1541" w:type="pct"/>
          </w:tcPr>
          <w:p w14:paraId="1726C950" w14:textId="77777777" w:rsidR="00C07493" w:rsidRPr="00431052" w:rsidRDefault="00C07493" w:rsidP="00C07493">
            <w:r w:rsidRPr="00431052">
              <w:t>Section 5.6 updated.</w:t>
            </w:r>
          </w:p>
        </w:tc>
        <w:tc>
          <w:tcPr>
            <w:tcW w:w="468" w:type="pct"/>
          </w:tcPr>
          <w:p w14:paraId="4605BEFB" w14:textId="77777777" w:rsidR="00C07493" w:rsidRPr="00431052" w:rsidRDefault="00C07493" w:rsidP="00C07493">
            <w:r w:rsidRPr="00431052">
              <w:t>2016-09-26</w:t>
            </w:r>
          </w:p>
        </w:tc>
        <w:sdt>
          <w:sdtPr>
            <w:id w:val="855080499"/>
            <w14:checkbox>
              <w14:checked w14:val="1"/>
              <w14:checkedState w14:val="2612" w14:font="MS Gothic"/>
              <w14:uncheckedState w14:val="2610" w14:font="MS Gothic"/>
            </w14:checkbox>
          </w:sdtPr>
          <w:sdtContent>
            <w:tc>
              <w:tcPr>
                <w:tcW w:w="441" w:type="pct"/>
              </w:tcPr>
              <w:p w14:paraId="657C7082" w14:textId="77777777" w:rsidR="00C07493" w:rsidRPr="00431052" w:rsidRDefault="00C07493" w:rsidP="00C07493">
                <w:pPr>
                  <w:jc w:val="center"/>
                </w:pPr>
                <w:r w:rsidRPr="00431052">
                  <w:rPr>
                    <w:rFonts w:ascii="Segoe UI Symbol" w:eastAsia="MS Gothic" w:hAnsi="Segoe UI Symbol" w:cs="Segoe UI Symbol"/>
                  </w:rPr>
                  <w:t>☒</w:t>
                </w:r>
              </w:p>
            </w:tc>
          </w:sdtContent>
        </w:sdt>
        <w:tc>
          <w:tcPr>
            <w:tcW w:w="422" w:type="pct"/>
          </w:tcPr>
          <w:p w14:paraId="71F51672" w14:textId="77777777" w:rsidR="00C07493" w:rsidRPr="00431052" w:rsidRDefault="00C07493" w:rsidP="00C07493">
            <w:r w:rsidRPr="00431052">
              <w:t>17/10/16 – MRG Chair</w:t>
            </w:r>
          </w:p>
        </w:tc>
      </w:tr>
    </w:tbl>
    <w:p w14:paraId="40720B01" w14:textId="382E8778" w:rsidR="00C07493" w:rsidRPr="00431052" w:rsidRDefault="000A29D4" w:rsidP="00C07493">
      <w:pPr>
        <w:rPr>
          <w:rFonts w:cs="Arial"/>
        </w:rPr>
      </w:pPr>
      <w:r w:rsidRPr="00431052">
        <w:rPr>
          <w:rFonts w:cs="Arial"/>
          <w:b/>
          <w:sz w:val="28"/>
          <w:szCs w:val="28"/>
        </w:rPr>
        <w:t>Risks and Usefulness</w:t>
      </w:r>
    </w:p>
    <w:tbl>
      <w:tblPr>
        <w:tblStyle w:val="TableGrid1"/>
        <w:tblW w:w="5000" w:type="pct"/>
        <w:tblLook w:val="04A0" w:firstRow="1" w:lastRow="0" w:firstColumn="1" w:lastColumn="0" w:noHBand="0" w:noVBand="1"/>
      </w:tblPr>
      <w:tblGrid>
        <w:gridCol w:w="832"/>
        <w:gridCol w:w="4216"/>
        <w:gridCol w:w="1145"/>
        <w:gridCol w:w="4496"/>
        <w:gridCol w:w="1364"/>
        <w:gridCol w:w="1285"/>
        <w:gridCol w:w="1230"/>
      </w:tblGrid>
      <w:tr w:rsidR="00431052" w:rsidRPr="00431052" w14:paraId="3F7BE162" w14:textId="77777777" w:rsidTr="000A29D4">
        <w:tc>
          <w:tcPr>
            <w:tcW w:w="286" w:type="pct"/>
          </w:tcPr>
          <w:p w14:paraId="32BD6485" w14:textId="77777777" w:rsidR="00C07493" w:rsidRPr="00431052" w:rsidRDefault="00C07493" w:rsidP="00C07493">
            <w:pPr>
              <w:rPr>
                <w:b/>
                <w:i/>
              </w:rPr>
            </w:pPr>
            <w:r w:rsidRPr="00431052">
              <w:rPr>
                <w:b/>
                <w:i/>
              </w:rPr>
              <w:t>Rec. no</w:t>
            </w:r>
          </w:p>
        </w:tc>
        <w:tc>
          <w:tcPr>
            <w:tcW w:w="1447" w:type="pct"/>
          </w:tcPr>
          <w:p w14:paraId="26C6095A" w14:textId="77777777" w:rsidR="00C07493" w:rsidRPr="00431052" w:rsidRDefault="00C07493" w:rsidP="00C07493">
            <w:pPr>
              <w:rPr>
                <w:b/>
                <w:i/>
              </w:rPr>
            </w:pPr>
            <w:r w:rsidRPr="00431052">
              <w:rPr>
                <w:b/>
                <w:i/>
              </w:rPr>
              <w:t>Issue or recommendation</w:t>
            </w:r>
          </w:p>
        </w:tc>
        <w:tc>
          <w:tcPr>
            <w:tcW w:w="393" w:type="pct"/>
          </w:tcPr>
          <w:p w14:paraId="16617CAB" w14:textId="77777777" w:rsidR="00C07493" w:rsidRPr="00431052" w:rsidRDefault="00C07493" w:rsidP="00C07493">
            <w:pPr>
              <w:rPr>
                <w:b/>
                <w:i/>
              </w:rPr>
            </w:pPr>
            <w:r w:rsidRPr="00431052">
              <w:rPr>
                <w:b/>
                <w:i/>
              </w:rPr>
              <w:t>Raised by / Date</w:t>
            </w:r>
          </w:p>
        </w:tc>
        <w:tc>
          <w:tcPr>
            <w:tcW w:w="1543" w:type="pct"/>
          </w:tcPr>
          <w:p w14:paraId="34F85DBA" w14:textId="77777777" w:rsidR="00C07493" w:rsidRPr="00431052" w:rsidRDefault="00C07493" w:rsidP="00C07493">
            <w:pPr>
              <w:rPr>
                <w:b/>
                <w:i/>
              </w:rPr>
            </w:pPr>
            <w:r w:rsidRPr="00431052">
              <w:rPr>
                <w:b/>
                <w:i/>
              </w:rPr>
              <w:t>Response or Action taken by applicant</w:t>
            </w:r>
          </w:p>
        </w:tc>
        <w:tc>
          <w:tcPr>
            <w:tcW w:w="468" w:type="pct"/>
          </w:tcPr>
          <w:p w14:paraId="3730657D" w14:textId="77777777" w:rsidR="00C07493" w:rsidRPr="00431052" w:rsidRDefault="00C07493" w:rsidP="00C07493">
            <w:pPr>
              <w:rPr>
                <w:b/>
                <w:i/>
              </w:rPr>
            </w:pPr>
            <w:r w:rsidRPr="00431052">
              <w:rPr>
                <w:b/>
                <w:i/>
              </w:rPr>
              <w:t>Response date</w:t>
            </w:r>
          </w:p>
        </w:tc>
        <w:tc>
          <w:tcPr>
            <w:tcW w:w="441" w:type="pct"/>
          </w:tcPr>
          <w:p w14:paraId="56B239BC" w14:textId="77777777" w:rsidR="00C07493" w:rsidRPr="00431052" w:rsidRDefault="00C07493" w:rsidP="00C07493">
            <w:pPr>
              <w:rPr>
                <w:b/>
                <w:i/>
              </w:rPr>
            </w:pPr>
            <w:r w:rsidRPr="00431052">
              <w:rPr>
                <w:b/>
                <w:i/>
              </w:rPr>
              <w:t>Resolved</w:t>
            </w:r>
          </w:p>
        </w:tc>
        <w:tc>
          <w:tcPr>
            <w:tcW w:w="423" w:type="pct"/>
          </w:tcPr>
          <w:p w14:paraId="0E5DCC86" w14:textId="77777777" w:rsidR="00C07493" w:rsidRPr="00431052" w:rsidRDefault="00C07493" w:rsidP="00C07493">
            <w:pPr>
              <w:rPr>
                <w:b/>
                <w:i/>
              </w:rPr>
            </w:pPr>
            <w:r w:rsidRPr="00431052">
              <w:rPr>
                <w:b/>
                <w:i/>
              </w:rPr>
              <w:t>Sign off by / Date</w:t>
            </w:r>
          </w:p>
        </w:tc>
      </w:tr>
      <w:tr w:rsidR="00431052" w:rsidRPr="00431052" w14:paraId="07F1CB11" w14:textId="77777777" w:rsidTr="000A29D4">
        <w:tc>
          <w:tcPr>
            <w:tcW w:w="286" w:type="pct"/>
          </w:tcPr>
          <w:p w14:paraId="0E8248FE" w14:textId="77777777" w:rsidR="00C07493" w:rsidRPr="00431052" w:rsidRDefault="00C07493" w:rsidP="00C07493"/>
        </w:tc>
        <w:tc>
          <w:tcPr>
            <w:tcW w:w="1447" w:type="pct"/>
          </w:tcPr>
          <w:p w14:paraId="3736EA54" w14:textId="77777777" w:rsidR="00C07493" w:rsidRPr="00431052" w:rsidRDefault="00C07493" w:rsidP="00C07493"/>
        </w:tc>
        <w:tc>
          <w:tcPr>
            <w:tcW w:w="393" w:type="pct"/>
          </w:tcPr>
          <w:p w14:paraId="50C858E1" w14:textId="77777777" w:rsidR="00C07493" w:rsidRPr="00431052" w:rsidRDefault="00C07493" w:rsidP="00C07493"/>
        </w:tc>
        <w:tc>
          <w:tcPr>
            <w:tcW w:w="1543" w:type="pct"/>
          </w:tcPr>
          <w:p w14:paraId="31068AB4" w14:textId="77777777" w:rsidR="00C07493" w:rsidRPr="00431052" w:rsidRDefault="00C07493" w:rsidP="00C07493"/>
        </w:tc>
        <w:tc>
          <w:tcPr>
            <w:tcW w:w="468" w:type="pct"/>
          </w:tcPr>
          <w:p w14:paraId="6303E27F" w14:textId="77777777" w:rsidR="00C07493" w:rsidRPr="00431052" w:rsidRDefault="00C07493" w:rsidP="00C07493"/>
        </w:tc>
        <w:sdt>
          <w:sdtPr>
            <w:id w:val="2038770715"/>
            <w14:checkbox>
              <w14:checked w14:val="0"/>
              <w14:checkedState w14:val="2612" w14:font="MS Gothic"/>
              <w14:uncheckedState w14:val="2610" w14:font="MS Gothic"/>
            </w14:checkbox>
          </w:sdtPr>
          <w:sdtContent>
            <w:tc>
              <w:tcPr>
                <w:tcW w:w="441" w:type="pct"/>
              </w:tcPr>
              <w:p w14:paraId="27150A70" w14:textId="77777777" w:rsidR="00C07493" w:rsidRPr="00431052" w:rsidRDefault="00C07493" w:rsidP="00C07493">
                <w:pPr>
                  <w:jc w:val="center"/>
                </w:pPr>
                <w:r w:rsidRPr="00431052">
                  <w:rPr>
                    <w:rFonts w:ascii="Segoe UI Symbol" w:eastAsia="MS Gothic" w:hAnsi="Segoe UI Symbol" w:cs="Segoe UI Symbol"/>
                  </w:rPr>
                  <w:t>☐</w:t>
                </w:r>
              </w:p>
            </w:tc>
          </w:sdtContent>
        </w:sdt>
        <w:tc>
          <w:tcPr>
            <w:tcW w:w="423" w:type="pct"/>
          </w:tcPr>
          <w:p w14:paraId="6D3E3E88" w14:textId="77777777" w:rsidR="00C07493" w:rsidRPr="00431052" w:rsidRDefault="00C07493" w:rsidP="00C07493"/>
        </w:tc>
      </w:tr>
    </w:tbl>
    <w:p w14:paraId="6207EEC4" w14:textId="77777777" w:rsidR="00C07493" w:rsidRPr="00431052" w:rsidRDefault="00C07493" w:rsidP="00C07493">
      <w:pPr>
        <w:spacing w:after="0"/>
        <w:rPr>
          <w:rFonts w:cs="Arial"/>
          <w:sz w:val="20"/>
          <w:szCs w:val="20"/>
        </w:rPr>
        <w:sectPr w:rsidR="00C07493" w:rsidRPr="00431052" w:rsidSect="00C07493">
          <w:pgSz w:w="16838" w:h="11906" w:orient="landscape"/>
          <w:pgMar w:top="851" w:right="820" w:bottom="426" w:left="1440" w:header="851" w:footer="709" w:gutter="0"/>
          <w:cols w:space="708"/>
          <w:docGrid w:linePitch="360"/>
        </w:sectPr>
      </w:pPr>
    </w:p>
    <w:p w14:paraId="655FB9C1" w14:textId="77777777" w:rsidR="00C07493" w:rsidRPr="00431052" w:rsidRDefault="00C07493" w:rsidP="00C07493">
      <w:pPr>
        <w:spacing w:after="0"/>
        <w:rPr>
          <w:rFonts w:cs="Arial"/>
          <w:b/>
        </w:rPr>
      </w:pPr>
    </w:p>
    <w:p w14:paraId="2466182D" w14:textId="77777777" w:rsidR="00C07493" w:rsidRPr="00431052" w:rsidRDefault="00C07493" w:rsidP="00C07493">
      <w:pPr>
        <w:spacing w:after="0"/>
        <w:rPr>
          <w:rFonts w:cs="Arial"/>
          <w:b/>
        </w:rPr>
      </w:pPr>
      <w:r w:rsidRPr="00431052">
        <w:rPr>
          <w:rFonts w:cs="Arial"/>
          <w:b/>
          <w:noProof/>
          <w:lang w:eastAsia="en-GB"/>
        </w:rPr>
        <mc:AlternateContent>
          <mc:Choice Requires="wps">
            <w:drawing>
              <wp:inline distT="0" distB="0" distL="0" distR="0" wp14:anchorId="2715F925" wp14:editId="13B8983C">
                <wp:extent cx="6220800" cy="2552400"/>
                <wp:effectExtent l="0" t="0" r="889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800" cy="2552400"/>
                        </a:xfrm>
                        <a:prstGeom prst="rect">
                          <a:avLst/>
                        </a:prstGeom>
                        <a:solidFill>
                          <a:schemeClr val="bg1"/>
                        </a:solidFill>
                        <a:ln w="9525">
                          <a:noFill/>
                          <a:miter lim="800000"/>
                          <a:headEnd/>
                          <a:tailEnd/>
                        </a:ln>
                      </wps:spPr>
                      <wps:txbx>
                        <w:txbxContent>
                          <w:p w14:paraId="77F94B0C" w14:textId="17B8853A" w:rsidR="00431052" w:rsidRDefault="00431052" w:rsidP="00C07493">
                            <w:pPr>
                              <w:spacing w:after="0"/>
                              <w:rPr>
                                <w:rFonts w:cstheme="minorHAnsi"/>
                                <w:b/>
                                <w:color w:val="000000" w:themeColor="text2"/>
                              </w:rPr>
                            </w:pPr>
                            <w:r>
                              <w:rPr>
                                <w:rFonts w:cstheme="minorHAnsi"/>
                                <w:b/>
                                <w:color w:val="000000" w:themeColor="text2"/>
                              </w:rPr>
                              <w:t>Any complaints or appeals against the decisions made during the assurance process should be made to the Indicator &amp; Methodology Assurance Service (IMAS) Team at NHS Digital. Likewise, if you are unclear regarding any of the recommendations in this report, or have any queries about the assurance process in general, please contact the IMAS team.</w:t>
                            </w:r>
                          </w:p>
                          <w:p w14:paraId="31C11082" w14:textId="77777777" w:rsidR="00431052" w:rsidRDefault="00431052" w:rsidP="00C07493">
                            <w:pPr>
                              <w:spacing w:after="0"/>
                              <w:rPr>
                                <w:rFonts w:cstheme="minorHAnsi"/>
                                <w:b/>
                                <w:color w:val="000000" w:themeColor="text2"/>
                              </w:rPr>
                            </w:pPr>
                          </w:p>
                          <w:p w14:paraId="56A31C86" w14:textId="77777777" w:rsidR="00431052" w:rsidRDefault="00431052" w:rsidP="00C07493">
                            <w:pPr>
                              <w:spacing w:after="0"/>
                              <w:rPr>
                                <w:rFonts w:cstheme="minorHAnsi"/>
                                <w:b/>
                                <w:color w:val="000000" w:themeColor="text2"/>
                              </w:rPr>
                            </w:pPr>
                            <w:r>
                              <w:rPr>
                                <w:rFonts w:cstheme="minorHAnsi"/>
                                <w:b/>
                                <w:color w:val="000000" w:themeColor="text2"/>
                              </w:rPr>
                              <w:t>Indicator and Methodology Assurance Service</w:t>
                            </w:r>
                          </w:p>
                          <w:p w14:paraId="4A8A1D97" w14:textId="77777777" w:rsidR="00431052" w:rsidRDefault="00431052" w:rsidP="00C07493">
                            <w:pPr>
                              <w:spacing w:after="0"/>
                              <w:rPr>
                                <w:rFonts w:cstheme="minorHAnsi"/>
                                <w:b/>
                                <w:color w:val="000000" w:themeColor="text2"/>
                              </w:rPr>
                            </w:pPr>
                            <w:r>
                              <w:rPr>
                                <w:rFonts w:cstheme="minorHAnsi"/>
                                <w:b/>
                                <w:color w:val="000000" w:themeColor="text2"/>
                              </w:rPr>
                              <w:t>NHS Digital</w:t>
                            </w:r>
                          </w:p>
                          <w:p w14:paraId="2F9E0CB0" w14:textId="77777777" w:rsidR="00431052" w:rsidRDefault="00431052" w:rsidP="00C07493">
                            <w:pPr>
                              <w:spacing w:after="0"/>
                              <w:rPr>
                                <w:rFonts w:cstheme="minorHAnsi"/>
                                <w:b/>
                                <w:color w:val="000000" w:themeColor="text2"/>
                              </w:rPr>
                            </w:pPr>
                            <w:r>
                              <w:rPr>
                                <w:rFonts w:cstheme="minorHAnsi"/>
                                <w:b/>
                                <w:color w:val="000000" w:themeColor="text2"/>
                              </w:rPr>
                              <w:t>1 Trevelyan Square, Boar Lane,</w:t>
                            </w:r>
                          </w:p>
                          <w:p w14:paraId="5D5985D1" w14:textId="77777777" w:rsidR="00431052" w:rsidRDefault="00431052" w:rsidP="00C07493">
                            <w:pPr>
                              <w:spacing w:after="0"/>
                              <w:rPr>
                                <w:rFonts w:cstheme="minorHAnsi"/>
                                <w:b/>
                                <w:color w:val="000000" w:themeColor="text2"/>
                              </w:rPr>
                            </w:pPr>
                            <w:r>
                              <w:rPr>
                                <w:rFonts w:cstheme="minorHAnsi"/>
                                <w:b/>
                                <w:color w:val="000000" w:themeColor="text2"/>
                              </w:rPr>
                              <w:t xml:space="preserve">LEEDS </w:t>
                            </w:r>
                          </w:p>
                          <w:p w14:paraId="4E6F8083" w14:textId="77777777" w:rsidR="00431052" w:rsidRDefault="00431052" w:rsidP="00C07493">
                            <w:pPr>
                              <w:spacing w:after="0"/>
                              <w:rPr>
                                <w:rFonts w:cstheme="minorHAnsi"/>
                                <w:b/>
                                <w:color w:val="000000" w:themeColor="text2"/>
                              </w:rPr>
                            </w:pPr>
                            <w:r>
                              <w:rPr>
                                <w:rFonts w:cstheme="minorHAnsi"/>
                                <w:b/>
                                <w:color w:val="000000" w:themeColor="text2"/>
                              </w:rPr>
                              <w:t>LS1 6AE.</w:t>
                            </w:r>
                          </w:p>
                          <w:p w14:paraId="26A1F669" w14:textId="77777777" w:rsidR="00431052" w:rsidRDefault="00431052" w:rsidP="00C07493">
                            <w:pPr>
                              <w:spacing w:after="0"/>
                              <w:rPr>
                                <w:rFonts w:cstheme="minorHAnsi"/>
                                <w:b/>
                                <w:color w:val="000000" w:themeColor="text2"/>
                              </w:rPr>
                            </w:pPr>
                          </w:p>
                          <w:p w14:paraId="2E76E54D" w14:textId="77777777" w:rsidR="00431052" w:rsidRDefault="00431052" w:rsidP="00C07493">
                            <w:pPr>
                              <w:spacing w:after="0"/>
                              <w:rPr>
                                <w:rFonts w:cstheme="minorHAnsi"/>
                                <w:b/>
                                <w:color w:val="000000" w:themeColor="text2"/>
                              </w:rPr>
                            </w:pPr>
                            <w:r>
                              <w:rPr>
                                <w:rFonts w:cstheme="minorHAnsi"/>
                                <w:b/>
                                <w:color w:val="000000" w:themeColor="text2"/>
                              </w:rPr>
                              <w:t xml:space="preserve">Email: </w:t>
                            </w:r>
                            <w:hyperlink r:id="rId30" w:history="1">
                              <w:r w:rsidRPr="00DE688F">
                                <w:rPr>
                                  <w:rStyle w:val="Hyperlink"/>
                                  <w:rFonts w:cstheme="minorHAnsi"/>
                                  <w:b/>
                                </w:rPr>
                                <w:t>indicator.assurance@nhs.net</w:t>
                              </w:r>
                            </w:hyperlink>
                          </w:p>
                          <w:p w14:paraId="22477592" w14:textId="77777777" w:rsidR="00431052" w:rsidRDefault="00431052" w:rsidP="00C07493">
                            <w:pPr>
                              <w:spacing w:after="0"/>
                              <w:rPr>
                                <w:rFonts w:cstheme="minorHAnsi"/>
                                <w:b/>
                                <w:color w:val="000000" w:themeColor="text2"/>
                              </w:rPr>
                            </w:pPr>
                            <w:r>
                              <w:rPr>
                                <w:rFonts w:cstheme="minorHAnsi"/>
                                <w:b/>
                                <w:color w:val="000000" w:themeColor="text2"/>
                              </w:rPr>
                              <w:t xml:space="preserve">Website: </w:t>
                            </w:r>
                            <w:hyperlink r:id="rId31" w:history="1">
                              <w:r w:rsidRPr="00195C54">
                                <w:rPr>
                                  <w:rStyle w:val="Hyperlink"/>
                                  <w:rFonts w:cstheme="minorHAnsi"/>
                                  <w:b/>
                                </w:rPr>
                                <w:t>http://www.hscic.gov.uk/article/1674/Indicator-Assurance-Service</w:t>
                              </w:r>
                            </w:hyperlink>
                          </w:p>
                        </w:txbxContent>
                      </wps:txbx>
                      <wps:bodyPr rot="0" vert="horz" wrap="square" lIns="91440" tIns="45720" rIns="91440" bIns="45720" anchor="t" anchorCtr="0">
                        <a:spAutoFit/>
                      </wps:bodyPr>
                    </wps:wsp>
                  </a:graphicData>
                </a:graphic>
              </wp:inline>
            </w:drawing>
          </mc:Choice>
          <mc:Fallback>
            <w:pict>
              <v:shape w14:anchorId="2715F925" id="_x0000_s1027" type="#_x0000_t202" style="width:489.85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" fillcolor="#fafcfc [3212]" stroked="f">
                <v:textbox style="mso-fit-shape-to-text:t">
                  <w:txbxContent>
                    <w:p w14:paraId="77F94B0C" w14:textId="17B8853A" w:rsidR="00431052" w:rsidRDefault="00431052" w:rsidP="00C07493">
                      <w:pPr>
                        <w:spacing w:after="0"/>
                        <w:rPr>
                          <w:rFonts w:cstheme="minorHAnsi"/>
                          <w:b/>
                          <w:color w:val="000000" w:themeColor="text2"/>
                        </w:rPr>
                      </w:pPr>
                      <w:r>
                        <w:rPr>
                          <w:rFonts w:cstheme="minorHAnsi"/>
                          <w:b/>
                          <w:color w:val="000000" w:themeColor="text2"/>
                        </w:rPr>
                        <w:t>Any complaints or appeals against the decisions made during the assurance process should be made to the Indicator &amp; Methodology Assurance Service (IMAS) Team at NHS Digital. Likewise, if you are unclear regarding any of the recommendations in this report, or have any queries about the assurance process in general, please contact the IMAS team.</w:t>
                      </w:r>
                    </w:p>
                    <w:p w14:paraId="31C11082" w14:textId="77777777" w:rsidR="00431052" w:rsidRDefault="00431052" w:rsidP="00C07493">
                      <w:pPr>
                        <w:spacing w:after="0"/>
                        <w:rPr>
                          <w:rFonts w:cstheme="minorHAnsi"/>
                          <w:b/>
                          <w:color w:val="000000" w:themeColor="text2"/>
                        </w:rPr>
                      </w:pPr>
                    </w:p>
                    <w:p w14:paraId="56A31C86" w14:textId="77777777" w:rsidR="00431052" w:rsidRDefault="00431052" w:rsidP="00C07493">
                      <w:pPr>
                        <w:spacing w:after="0"/>
                        <w:rPr>
                          <w:rFonts w:cstheme="minorHAnsi"/>
                          <w:b/>
                          <w:color w:val="000000" w:themeColor="text2"/>
                        </w:rPr>
                      </w:pPr>
                      <w:r>
                        <w:rPr>
                          <w:rFonts w:cstheme="minorHAnsi"/>
                          <w:b/>
                          <w:color w:val="000000" w:themeColor="text2"/>
                        </w:rPr>
                        <w:t>Indicator and Methodology Assurance Service</w:t>
                      </w:r>
                    </w:p>
                    <w:p w14:paraId="4A8A1D97" w14:textId="77777777" w:rsidR="00431052" w:rsidRDefault="00431052" w:rsidP="00C07493">
                      <w:pPr>
                        <w:spacing w:after="0"/>
                        <w:rPr>
                          <w:rFonts w:cstheme="minorHAnsi"/>
                          <w:b/>
                          <w:color w:val="000000" w:themeColor="text2"/>
                        </w:rPr>
                      </w:pPr>
                      <w:r>
                        <w:rPr>
                          <w:rFonts w:cstheme="minorHAnsi"/>
                          <w:b/>
                          <w:color w:val="000000" w:themeColor="text2"/>
                        </w:rPr>
                        <w:t>NHS Digital</w:t>
                      </w:r>
                    </w:p>
                    <w:p w14:paraId="2F9E0CB0" w14:textId="77777777" w:rsidR="00431052" w:rsidRDefault="00431052" w:rsidP="00C07493">
                      <w:pPr>
                        <w:spacing w:after="0"/>
                        <w:rPr>
                          <w:rFonts w:cstheme="minorHAnsi"/>
                          <w:b/>
                          <w:color w:val="000000" w:themeColor="text2"/>
                        </w:rPr>
                      </w:pPr>
                      <w:r>
                        <w:rPr>
                          <w:rFonts w:cstheme="minorHAnsi"/>
                          <w:b/>
                          <w:color w:val="000000" w:themeColor="text2"/>
                        </w:rPr>
                        <w:t>1 Trevelyan Square, Boar Lane,</w:t>
                      </w:r>
                    </w:p>
                    <w:p w14:paraId="5D5985D1" w14:textId="77777777" w:rsidR="00431052" w:rsidRDefault="00431052" w:rsidP="00C07493">
                      <w:pPr>
                        <w:spacing w:after="0"/>
                        <w:rPr>
                          <w:rFonts w:cstheme="minorHAnsi"/>
                          <w:b/>
                          <w:color w:val="000000" w:themeColor="text2"/>
                        </w:rPr>
                      </w:pPr>
                      <w:r>
                        <w:rPr>
                          <w:rFonts w:cstheme="minorHAnsi"/>
                          <w:b/>
                          <w:color w:val="000000" w:themeColor="text2"/>
                        </w:rPr>
                        <w:t xml:space="preserve">LEEDS </w:t>
                      </w:r>
                    </w:p>
                    <w:p w14:paraId="4E6F8083" w14:textId="77777777" w:rsidR="00431052" w:rsidRDefault="00431052" w:rsidP="00C07493">
                      <w:pPr>
                        <w:spacing w:after="0"/>
                        <w:rPr>
                          <w:rFonts w:cstheme="minorHAnsi"/>
                          <w:b/>
                          <w:color w:val="000000" w:themeColor="text2"/>
                        </w:rPr>
                      </w:pPr>
                      <w:r>
                        <w:rPr>
                          <w:rFonts w:cstheme="minorHAnsi"/>
                          <w:b/>
                          <w:color w:val="000000" w:themeColor="text2"/>
                        </w:rPr>
                        <w:t>LS1 6AE.</w:t>
                      </w:r>
                    </w:p>
                    <w:p w14:paraId="26A1F669" w14:textId="77777777" w:rsidR="00431052" w:rsidRDefault="00431052" w:rsidP="00C07493">
                      <w:pPr>
                        <w:spacing w:after="0"/>
                        <w:rPr>
                          <w:rFonts w:cstheme="minorHAnsi"/>
                          <w:b/>
                          <w:color w:val="000000" w:themeColor="text2"/>
                        </w:rPr>
                      </w:pPr>
                    </w:p>
                    <w:p w14:paraId="2E76E54D" w14:textId="77777777" w:rsidR="00431052" w:rsidRDefault="00431052" w:rsidP="00C07493">
                      <w:pPr>
                        <w:spacing w:after="0"/>
                        <w:rPr>
                          <w:rFonts w:cstheme="minorHAnsi"/>
                          <w:b/>
                          <w:color w:val="000000" w:themeColor="text2"/>
                        </w:rPr>
                      </w:pPr>
                      <w:r>
                        <w:rPr>
                          <w:rFonts w:cstheme="minorHAnsi"/>
                          <w:b/>
                          <w:color w:val="000000" w:themeColor="text2"/>
                        </w:rPr>
                        <w:t xml:space="preserve">Email: </w:t>
                      </w:r>
                      <w:hyperlink r:id="rId32" w:history="1">
                        <w:r w:rsidRPr="00DE688F">
                          <w:rPr>
                            <w:rStyle w:val="Hyperlink"/>
                            <w:rFonts w:cstheme="minorHAnsi"/>
                            <w:b/>
                          </w:rPr>
                          <w:t>indicator.assurance@nhs.net</w:t>
                        </w:r>
                      </w:hyperlink>
                    </w:p>
                    <w:p w14:paraId="22477592" w14:textId="77777777" w:rsidR="00431052" w:rsidRDefault="00431052" w:rsidP="00C07493">
                      <w:pPr>
                        <w:spacing w:after="0"/>
                        <w:rPr>
                          <w:rFonts w:cstheme="minorHAnsi"/>
                          <w:b/>
                          <w:color w:val="000000" w:themeColor="text2"/>
                        </w:rPr>
                      </w:pPr>
                      <w:r>
                        <w:rPr>
                          <w:rFonts w:cstheme="minorHAnsi"/>
                          <w:b/>
                          <w:color w:val="000000" w:themeColor="text2"/>
                        </w:rPr>
                        <w:t xml:space="preserve">Website: </w:t>
                      </w:r>
                      <w:hyperlink r:id="rId33" w:history="1">
                        <w:r w:rsidRPr="00195C54">
                          <w:rPr>
                            <w:rStyle w:val="Hyperlink"/>
                            <w:rFonts w:cstheme="minorHAnsi"/>
                            <w:b/>
                          </w:rPr>
                          <w:t>http://www.hscic.gov.uk/article/1674/Indicator-Assurance-Service</w:t>
                        </w:r>
                      </w:hyperlink>
                    </w:p>
                  </w:txbxContent>
                </v:textbox>
                <w10:anchorlock/>
              </v:shape>
            </w:pict>
          </mc:Fallback>
        </mc:AlternateContent>
      </w:r>
    </w:p>
    <w:p w14:paraId="7BBA41DF" w14:textId="77777777" w:rsidR="00C07493" w:rsidRPr="00431052" w:rsidRDefault="00C07493" w:rsidP="00C07493">
      <w:pPr>
        <w:spacing w:after="0"/>
        <w:rPr>
          <w:rFonts w:cs="Arial"/>
          <w:b/>
        </w:rPr>
      </w:pPr>
    </w:p>
    <w:p w14:paraId="337E0BD0" w14:textId="77777777" w:rsidR="00C07493" w:rsidRPr="00431052" w:rsidRDefault="00C07493">
      <w:pPr>
        <w:spacing w:after="0"/>
        <w:rPr>
          <w:rFonts w:cs="Arial"/>
          <w:b/>
        </w:rPr>
      </w:pPr>
    </w:p>
    <w:p w14:paraId="59990DB7" w14:textId="62B16B92" w:rsidR="00193831" w:rsidRPr="00431052" w:rsidRDefault="004B760F">
      <w:pPr>
        <w:rPr>
          <w:rFonts w:cs="Arial"/>
        </w:rPr>
      </w:pPr>
      <w:r w:rsidRPr="004B760F">
        <w:t>See our </w:t>
      </w:r>
      <w:hyperlink r:id="rId34" w:anchor="what-to-do" w:history="1">
        <w:r w:rsidRPr="004B760F">
          <w:rPr>
            <w:color w:val="0563C1"/>
            <w:u w:val="single"/>
          </w:rPr>
          <w:t>accessibility statement</w:t>
        </w:r>
      </w:hyperlink>
      <w:r w:rsidRPr="004B760F">
        <w:t xml:space="preserve"> if you’re having problems with this </w:t>
      </w:r>
      <w:bookmarkStart w:id="0" w:name="_GoBack"/>
      <w:bookmarkEnd w:id="0"/>
      <w:r w:rsidRPr="004B760F">
        <w:t>document.</w:t>
      </w:r>
    </w:p>
    <w:sectPr w:rsidR="00193831" w:rsidRPr="00431052" w:rsidSect="00431052">
      <w:pgSz w:w="16838" w:h="11906" w:orient="landscape"/>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431052" w:rsidRDefault="00431052" w:rsidP="000C24AF">
      <w:pPr>
        <w:spacing w:after="0"/>
      </w:pPr>
      <w:r>
        <w:separator/>
      </w:r>
    </w:p>
  </w:endnote>
  <w:endnote w:type="continuationSeparator" w:id="0">
    <w:p w14:paraId="6C367D29" w14:textId="77777777" w:rsidR="00431052" w:rsidRDefault="00431052"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cs="Arial"/>
        <w:sz w:val="18"/>
        <w:szCs w:val="18"/>
      </w:rPr>
      <w:id w:val="-861506761"/>
      <w:docPartObj>
        <w:docPartGallery w:val="Page Numbers (Bottom of Page)"/>
        <w:docPartUnique/>
      </w:docPartObj>
    </w:sdtPr>
    <w:sdtEndPr>
      <w:rPr>
        <w:noProof/>
      </w:rPr>
    </w:sdtEndPr>
    <w:sdtContent>
      <w:p w14:paraId="761A0EE3" w14:textId="29D675D5" w:rsidR="00431052" w:rsidRPr="00431052" w:rsidRDefault="00431052" w:rsidP="00431052">
        <w:pPr>
          <w:tabs>
            <w:tab w:val="left" w:pos="426"/>
            <w:tab w:val="center" w:pos="4513"/>
            <w:tab w:val="right" w:pos="9026"/>
          </w:tabs>
          <w:spacing w:after="0"/>
          <w:textboxTightWrap w:val="none"/>
          <w:rPr>
            <w:rFonts w:eastAsia="Calibri" w:cs="Arial"/>
            <w:sz w:val="18"/>
            <w:szCs w:val="18"/>
          </w:rPr>
        </w:pPr>
        <w:r w:rsidRPr="00431052">
          <w:rPr>
            <w:rFonts w:eastAsia="Calibri" w:cs="Arial"/>
            <w:sz w:val="18"/>
            <w:szCs w:val="18"/>
          </w:rPr>
          <w:t>IAP00</w:t>
        </w:r>
        <w:r>
          <w:rPr>
            <w:rFonts w:eastAsia="Calibri" w:cs="Arial"/>
            <w:sz w:val="18"/>
            <w:szCs w:val="18"/>
          </w:rPr>
          <w:t>459</w:t>
        </w:r>
        <w:r w:rsidRPr="00431052">
          <w:rPr>
            <w:rFonts w:eastAsia="Calibri" w:cs="Arial"/>
            <w:sz w:val="18"/>
            <w:szCs w:val="18"/>
          </w:rPr>
          <w:t xml:space="preserve"> Supporting documentation</w:t>
        </w:r>
      </w:p>
      <w:p w14:paraId="60BA1A24" w14:textId="77777777" w:rsidR="00431052" w:rsidRPr="00431052" w:rsidRDefault="00431052" w:rsidP="00431052">
        <w:pPr>
          <w:tabs>
            <w:tab w:val="left" w:pos="426"/>
            <w:tab w:val="center" w:pos="4513"/>
            <w:tab w:val="right" w:pos="9026"/>
          </w:tabs>
          <w:spacing w:after="0"/>
          <w:textboxTightWrap w:val="none"/>
          <w:rPr>
            <w:rFonts w:eastAsia="Calibri" w:cs="Arial"/>
            <w:sz w:val="18"/>
            <w:szCs w:val="18"/>
          </w:rPr>
        </w:pPr>
        <w:r w:rsidRPr="00431052">
          <w:rPr>
            <w:rFonts w:eastAsia="Calibri" w:cs="Arial"/>
            <w:sz w:val="18"/>
            <w:szCs w:val="18"/>
          </w:rPr>
          <w:t>Copyright © 2019 NHS Digital</w:t>
        </w:r>
        <w:r w:rsidRPr="00431052">
          <w:rPr>
            <w:rFonts w:eastAsia="Calibri" w:cs="Arial"/>
            <w:sz w:val="18"/>
            <w:szCs w:val="18"/>
          </w:rPr>
          <w:tab/>
        </w:r>
        <w:r w:rsidRPr="00431052">
          <w:rPr>
            <w:rFonts w:eastAsia="Calibri" w:cs="Arial"/>
            <w:sz w:val="18"/>
            <w:szCs w:val="18"/>
          </w:rPr>
          <w:tab/>
        </w:r>
        <w:r w:rsidRPr="00431052">
          <w:rPr>
            <w:rFonts w:eastAsia="Calibri" w:cs="Arial"/>
            <w:sz w:val="18"/>
            <w:szCs w:val="18"/>
          </w:rPr>
          <w:tab/>
        </w:r>
        <w:r w:rsidRPr="00431052">
          <w:rPr>
            <w:rFonts w:eastAsia="Calibri" w:cs="Arial"/>
            <w:sz w:val="18"/>
            <w:szCs w:val="18"/>
          </w:rPr>
          <w:tab/>
        </w:r>
        <w:r w:rsidRPr="00431052">
          <w:rPr>
            <w:rFonts w:eastAsia="Calibri" w:cs="Arial"/>
            <w:sz w:val="18"/>
            <w:szCs w:val="18"/>
          </w:rPr>
          <w:tab/>
        </w:r>
        <w:r w:rsidRPr="00431052">
          <w:rPr>
            <w:rFonts w:eastAsia="Calibri" w:cs="Arial"/>
            <w:sz w:val="18"/>
            <w:szCs w:val="18"/>
          </w:rPr>
          <w:tab/>
        </w:r>
        <w:r w:rsidRPr="00431052">
          <w:rPr>
            <w:rFonts w:eastAsia="Calibri" w:cs="Arial"/>
            <w:sz w:val="18"/>
            <w:szCs w:val="18"/>
          </w:rPr>
          <w:tab/>
        </w:r>
        <w:r w:rsidRPr="00431052">
          <w:rPr>
            <w:rFonts w:eastAsia="Calibri" w:cs="Arial"/>
            <w:sz w:val="18"/>
            <w:szCs w:val="18"/>
          </w:rPr>
          <w:tab/>
        </w:r>
        <w:r w:rsidRPr="00431052">
          <w:rPr>
            <w:rFonts w:eastAsia="Calibri" w:cs="Arial"/>
            <w:sz w:val="18"/>
            <w:szCs w:val="18"/>
          </w:rPr>
          <w:tab/>
        </w:r>
        <w:r w:rsidRPr="00431052">
          <w:rPr>
            <w:rFonts w:eastAsia="Calibri" w:cs="Arial"/>
            <w:sz w:val="18"/>
            <w:szCs w:val="18"/>
          </w:rPr>
          <w:fldChar w:fldCharType="begin"/>
        </w:r>
        <w:r w:rsidRPr="00431052">
          <w:rPr>
            <w:rFonts w:eastAsia="Calibri" w:cs="Arial"/>
            <w:sz w:val="18"/>
            <w:szCs w:val="18"/>
          </w:rPr>
          <w:instrText xml:space="preserve"> PAGE   \* MERGEFORMAT </w:instrText>
        </w:r>
        <w:r w:rsidRPr="00431052">
          <w:rPr>
            <w:rFonts w:eastAsia="Calibri" w:cs="Arial"/>
            <w:sz w:val="18"/>
            <w:szCs w:val="18"/>
          </w:rPr>
          <w:fldChar w:fldCharType="separate"/>
        </w:r>
        <w:r w:rsidRPr="00431052">
          <w:rPr>
            <w:rFonts w:eastAsia="Calibri" w:cs="Arial"/>
            <w:sz w:val="18"/>
            <w:szCs w:val="18"/>
          </w:rPr>
          <w:t>1</w:t>
        </w:r>
        <w:r w:rsidRPr="00431052">
          <w:rPr>
            <w:rFonts w:eastAsia="Calibri" w:cs="Arial"/>
            <w:noProof/>
            <w:sz w:val="18"/>
            <w:szCs w:val="18"/>
          </w:rPr>
          <w:fldChar w:fldCharType="end"/>
        </w:r>
      </w:p>
    </w:sdtContent>
  </w:sdt>
  <w:p w14:paraId="6C367D30" w14:textId="6492FDA8" w:rsidR="00431052" w:rsidRPr="00431052" w:rsidRDefault="00431052" w:rsidP="0043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538822"/>
      <w:docPartObj>
        <w:docPartGallery w:val="Page Numbers (Bottom of Page)"/>
        <w:docPartUnique/>
      </w:docPartObj>
    </w:sdtPr>
    <w:sdtEndPr>
      <w:rPr>
        <w:noProof/>
      </w:rPr>
    </w:sdtEndPr>
    <w:sdtContent>
      <w:p w14:paraId="312EC3F0" w14:textId="77777777" w:rsidR="00431052" w:rsidRDefault="00431052" w:rsidP="00431052">
        <w:pPr>
          <w:pStyle w:val="Footer"/>
        </w:pPr>
        <w:r>
          <w:fldChar w:fldCharType="begin"/>
        </w:r>
        <w:r>
          <w:instrText xml:space="preserve"> PAGE   \* MERGEFORMAT </w:instrText>
        </w:r>
        <w:r>
          <w:fldChar w:fldCharType="separate"/>
        </w:r>
        <w:r>
          <w:rPr>
            <w:noProof/>
          </w:rPr>
          <w:t>1</w:t>
        </w:r>
        <w:r>
          <w:rPr>
            <w:noProof/>
          </w:rPr>
          <w:fldChar w:fldCharType="end"/>
        </w:r>
      </w:p>
    </w:sdtContent>
  </w:sdt>
  <w:p w14:paraId="4B68061F" w14:textId="3A6DC851" w:rsidR="00431052" w:rsidRPr="000A7EA0" w:rsidRDefault="00431052" w:rsidP="00FB6F7F">
    <w:pPr>
      <w:tabs>
        <w:tab w:val="left" w:pos="426"/>
        <w:tab w:val="center" w:pos="4513"/>
        <w:tab w:val="right" w:pos="9026"/>
      </w:tabs>
      <w:spacing w:after="0"/>
      <w:textboxTightWrap w:val="none"/>
      <w:rPr>
        <w:rFonts w:eastAsia="Calibri" w:cs="Arial"/>
        <w:sz w:val="18"/>
        <w:szCs w:val="18"/>
      </w:rPr>
    </w:pPr>
    <w:r w:rsidRPr="000A7EA0">
      <w:rPr>
        <w:rFonts w:eastAsia="Calibri" w:cs="Arial"/>
        <w:sz w:val="18"/>
        <w:szCs w:val="18"/>
      </w:rPr>
      <w:t>IAP</w:t>
    </w:r>
    <w:r>
      <w:rPr>
        <w:rFonts w:eastAsia="Calibri" w:cs="Arial"/>
        <w:sz w:val="18"/>
        <w:szCs w:val="18"/>
      </w:rPr>
      <w:t>00459</w:t>
    </w:r>
    <w:r w:rsidRPr="000A7EA0">
      <w:rPr>
        <w:rFonts w:eastAsia="Calibri" w:cs="Arial"/>
        <w:sz w:val="18"/>
        <w:szCs w:val="18"/>
      </w:rPr>
      <w:t xml:space="preserve"> Supporting documentation</w:t>
    </w:r>
  </w:p>
  <w:p w14:paraId="5878A901" w14:textId="1B75F804" w:rsidR="00431052" w:rsidRDefault="00431052">
    <w:pPr>
      <w:pStyle w:val="Footer"/>
    </w:pPr>
    <w:r w:rsidRPr="00BF78CE">
      <w:t>Copyright © 2019 NHS Digital</w:t>
    </w:r>
    <w:r w:rsidRPr="00BF78CE">
      <w:tab/>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105308"/>
      <w:docPartObj>
        <w:docPartGallery w:val="Page Numbers (Bottom of Page)"/>
        <w:docPartUnique/>
      </w:docPartObj>
    </w:sdtPr>
    <w:sdtEndPr>
      <w:rPr>
        <w:noProof/>
      </w:rPr>
    </w:sdtEndPr>
    <w:sdtContent>
      <w:p w14:paraId="445D59CD" w14:textId="77777777" w:rsidR="00431052" w:rsidRDefault="00431052" w:rsidP="00431052">
        <w:pPr>
          <w:pStyle w:val="Footer"/>
        </w:pPr>
      </w:p>
    </w:sdtContent>
  </w:sdt>
  <w:p w14:paraId="4C4AF71F" w14:textId="77777777" w:rsidR="00431052" w:rsidRDefault="0043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431052" w:rsidRDefault="00431052" w:rsidP="000C24AF">
      <w:pPr>
        <w:spacing w:after="0"/>
      </w:pPr>
      <w:r>
        <w:separator/>
      </w:r>
    </w:p>
  </w:footnote>
  <w:footnote w:type="continuationSeparator" w:id="0">
    <w:p w14:paraId="6C367D27" w14:textId="77777777" w:rsidR="00431052" w:rsidRDefault="00431052" w:rsidP="000C24AF">
      <w:pPr>
        <w:spacing w:after="0"/>
      </w:pPr>
      <w:r>
        <w:continuationSeparator/>
      </w:r>
    </w:p>
  </w:footnote>
  <w:footnote w:id="1">
    <w:p w14:paraId="325D51C5" w14:textId="77777777" w:rsidR="009B1752" w:rsidRPr="00BF78CE" w:rsidRDefault="009B1752" w:rsidP="0034234B">
      <w:pPr>
        <w:pStyle w:val="FootnoteText"/>
      </w:pPr>
      <w:r w:rsidRPr="00BF78CE">
        <w:rPr>
          <w:rStyle w:val="FootnoteReference"/>
        </w:rPr>
        <w:footnoteRef/>
      </w:r>
      <w:r w:rsidRPr="00BF78CE">
        <w:t xml:space="preserve"> </w:t>
      </w:r>
      <w:hyperlink r:id="rId1" w:history="1">
        <w:r w:rsidRPr="00431052">
          <w:rPr>
            <w:rStyle w:val="Hyperlink"/>
            <w:rFonts w:ascii="Arial" w:hAnsi="Arial"/>
            <w:color w:val="auto"/>
          </w:rPr>
          <w:t>https://www.gov.uk/government/uploads/system/uploads/attachment_data/file/417897/Indicators_acc.pdf</w:t>
        </w:r>
      </w:hyperlink>
    </w:p>
  </w:footnote>
  <w:footnote w:id="2">
    <w:p w14:paraId="4116C357" w14:textId="77777777" w:rsidR="009B1752" w:rsidRPr="00BF78CE" w:rsidRDefault="009B1752" w:rsidP="0034234B">
      <w:pPr>
        <w:pStyle w:val="FootnoteText"/>
      </w:pPr>
      <w:r w:rsidRPr="00BF78CE">
        <w:rPr>
          <w:rStyle w:val="FootnoteReference"/>
        </w:rPr>
        <w:footnoteRef/>
      </w:r>
      <w:r w:rsidRPr="00BF78CE">
        <w:t xml:space="preserve"> </w:t>
      </w:r>
      <w:hyperlink r:id="rId2" w:history="1">
        <w:r w:rsidRPr="00431052">
          <w:rPr>
            <w:rStyle w:val="Hyperlink"/>
            <w:rFonts w:ascii="Arial" w:hAnsi="Arial"/>
            <w:color w:val="auto"/>
          </w:rPr>
          <w:t>https://www.gov.uk/government/uploads/system/uploads/attachment_data/file/385751/NHS_Outcomes_Tech_Appendix.pdf</w:t>
        </w:r>
      </w:hyperlink>
      <w:r w:rsidRPr="00BF78CE">
        <w:t xml:space="preserve"> </w:t>
      </w:r>
    </w:p>
  </w:footnote>
  <w:footnote w:id="3">
    <w:p w14:paraId="635631D9" w14:textId="77777777" w:rsidR="009B1752" w:rsidRPr="00BF78CE" w:rsidRDefault="009B1752" w:rsidP="0034234B">
      <w:pPr>
        <w:pStyle w:val="FootnoteText"/>
      </w:pPr>
      <w:r w:rsidRPr="00BF78CE">
        <w:rPr>
          <w:rStyle w:val="FootnoteReference"/>
        </w:rPr>
        <w:footnoteRef/>
      </w:r>
      <w:r w:rsidRPr="00BF78CE">
        <w:t xml:space="preserve"> </w:t>
      </w:r>
      <w:r w:rsidRPr="00BF78CE">
        <w:rPr>
          <w:rFonts w:cs="Arial"/>
        </w:rPr>
        <w:t>Comparison of fit between models is based on the root mean square deviation being higher (= worse fit), or lower (= better fit)</w:t>
      </w:r>
    </w:p>
  </w:footnote>
  <w:footnote w:id="4">
    <w:p w14:paraId="7AC225A0" w14:textId="1A0775BB" w:rsidR="009B1752" w:rsidRPr="00BF78CE" w:rsidRDefault="009B1752">
      <w:pPr>
        <w:pStyle w:val="FootnoteText"/>
      </w:pPr>
      <w:r w:rsidRPr="00BF78CE">
        <w:rPr>
          <w:rStyle w:val="FootnoteReference"/>
        </w:rPr>
        <w:footnoteRef/>
      </w:r>
      <w:r w:rsidRPr="00BF78CE">
        <w:t xml:space="preserve"> </w:t>
      </w:r>
      <w:hyperlink r:id="rId3" w:history="1">
        <w:r w:rsidRPr="00431052">
          <w:rPr>
            <w:rStyle w:val="Hyperlink"/>
            <w:rFonts w:ascii="Arial" w:hAnsi="Arial"/>
            <w:color w:val="auto"/>
          </w:rPr>
          <w:t>https://www.gov.uk/government/publications/department-of-health-shared-delivery-plan-2015-to-2020</w:t>
        </w:r>
      </w:hyperlink>
      <w:r w:rsidRPr="00BF78CE">
        <w:t xml:space="preserve"> </w:t>
      </w:r>
    </w:p>
  </w:footnote>
  <w:footnote w:id="5">
    <w:p w14:paraId="5E577D5F" w14:textId="5DF0EED3" w:rsidR="009B1752" w:rsidRPr="00BF78CE" w:rsidRDefault="009B1752" w:rsidP="0034234B">
      <w:r w:rsidRPr="00BF78CE">
        <w:rPr>
          <w:rStyle w:val="FootnoteReference"/>
          <w:sz w:val="20"/>
          <w:szCs w:val="20"/>
        </w:rPr>
        <w:footnoteRef/>
      </w:r>
      <w:r w:rsidRPr="00BF78CE">
        <w:rPr>
          <w:sz w:val="20"/>
          <w:szCs w:val="20"/>
        </w:rPr>
        <w:t xml:space="preserve"> </w:t>
      </w:r>
      <w:hyperlink r:id="rId4" w:history="1">
        <w:r w:rsidRPr="00431052">
          <w:rPr>
            <w:rStyle w:val="Hyperlink"/>
            <w:rFonts w:ascii="Arial" w:hAnsi="Arial"/>
            <w:color w:val="auto"/>
            <w:sz w:val="20"/>
            <w:szCs w:val="20"/>
          </w:rPr>
          <w:t>https://www.england.nhs.uk/publications/annual-report/</w:t>
        </w:r>
      </w:hyperlink>
      <w:r w:rsidRPr="00BF78CE">
        <w:rPr>
          <w:sz w:val="20"/>
          <w:szCs w:val="20"/>
        </w:rPr>
        <w:t xml:space="preserve"> </w:t>
      </w:r>
    </w:p>
  </w:footnote>
  <w:footnote w:id="6">
    <w:p w14:paraId="5D719DC5" w14:textId="77777777" w:rsidR="009B1752" w:rsidRPr="00BF78CE" w:rsidRDefault="009B1752" w:rsidP="0034234B">
      <w:pPr>
        <w:pStyle w:val="FootnoteText"/>
      </w:pPr>
      <w:r w:rsidRPr="00BF78CE">
        <w:rPr>
          <w:rStyle w:val="FootnoteReference"/>
        </w:rPr>
        <w:footnoteRef/>
      </w:r>
      <w:r w:rsidRPr="00BF78CE">
        <w:t xml:space="preserve"> </w:t>
      </w:r>
      <w:hyperlink r:id="rId5" w:history="1">
        <w:r w:rsidRPr="00431052">
          <w:rPr>
            <w:rStyle w:val="Hyperlink"/>
            <w:rFonts w:ascii="Arial" w:hAnsi="Arial"/>
            <w:color w:val="auto"/>
          </w:rPr>
          <w:t>https://www.gov.uk/government/uploads/system/uploads/attachment_data/file/494485/NHSE_mandate_16-17_22_Jan.pdf</w:t>
        </w:r>
      </w:hyperlink>
    </w:p>
    <w:p w14:paraId="6ABE7CDC" w14:textId="77777777" w:rsidR="009B1752" w:rsidRPr="00BF78CE" w:rsidRDefault="009B1752" w:rsidP="0034234B">
      <w:pPr>
        <w:pStyle w:val="FootnoteText"/>
      </w:pPr>
    </w:p>
  </w:footnote>
  <w:footnote w:id="7">
    <w:p w14:paraId="28C8EC26" w14:textId="77777777" w:rsidR="009B1752" w:rsidRPr="00BF78CE" w:rsidRDefault="009B1752" w:rsidP="0034234B">
      <w:pPr>
        <w:pStyle w:val="FootnoteText"/>
      </w:pPr>
      <w:r w:rsidRPr="00BF78CE">
        <w:rPr>
          <w:rStyle w:val="FootnoteReference"/>
        </w:rPr>
        <w:footnoteRef/>
      </w:r>
      <w:r w:rsidRPr="00BF78CE">
        <w:t xml:space="preserve"> </w:t>
      </w:r>
      <w:hyperlink r:id="rId6" w:history="1">
        <w:r w:rsidRPr="00431052">
          <w:rPr>
            <w:rStyle w:val="Hyperlink"/>
            <w:rFonts w:ascii="Arial" w:hAnsi="Arial"/>
            <w:color w:val="auto"/>
          </w:rPr>
          <w:t>https://www.gov.uk/government/uploads/system/uploads/attachment_data/file/506771/SofS_letter_health_inequalities_acc.pdf</w:t>
        </w:r>
      </w:hyperlink>
    </w:p>
    <w:p w14:paraId="3F183AAE" w14:textId="77777777" w:rsidR="009B1752" w:rsidRPr="00BF78CE" w:rsidRDefault="009B1752" w:rsidP="0034234B">
      <w:pPr>
        <w:pStyle w:val="FootnoteText"/>
      </w:pPr>
    </w:p>
  </w:footnote>
  <w:footnote w:id="8">
    <w:p w14:paraId="3E661503" w14:textId="3D599EF7" w:rsidR="009B1752" w:rsidRPr="00BF78CE" w:rsidRDefault="009B1752">
      <w:pPr>
        <w:pStyle w:val="FootnoteText"/>
      </w:pPr>
      <w:r w:rsidRPr="00BF78CE">
        <w:rPr>
          <w:rStyle w:val="FootnoteReference"/>
        </w:rPr>
        <w:footnoteRef/>
      </w:r>
      <w:r w:rsidRPr="00BF78CE">
        <w:t xml:space="preserve"> </w:t>
      </w:r>
      <w:hyperlink r:id="rId7" w:history="1">
        <w:r w:rsidRPr="00431052">
          <w:rPr>
            <w:rStyle w:val="Hyperlink"/>
            <w:rFonts w:ascii="Arial" w:hAnsi="Arial"/>
            <w:color w:val="auto"/>
          </w:rPr>
          <w:t>https://indicators.hscic.gov.uk/webview/index.jsp?v=2&amp;submode=ddi&amp;study=https%3A%2F%2F192.168.228.51%3A443%2Fobj%2FfStudy%2FP01728&amp;mode=documentation&amp;top=yes</w:t>
        </w:r>
      </w:hyperlink>
      <w:r w:rsidRPr="00BF78CE">
        <w:t xml:space="preserve"> </w:t>
      </w:r>
    </w:p>
  </w:footnote>
  <w:footnote w:id="9">
    <w:p w14:paraId="6D383B65" w14:textId="77777777" w:rsidR="009B1752" w:rsidRPr="00BF78CE" w:rsidRDefault="009B1752" w:rsidP="002F02D7">
      <w:pPr>
        <w:pStyle w:val="FootnoteText"/>
      </w:pPr>
      <w:r w:rsidRPr="00BF78CE">
        <w:rPr>
          <w:rStyle w:val="FootnoteReference"/>
        </w:rPr>
        <w:footnoteRef/>
      </w:r>
      <w:r w:rsidRPr="00BF78CE">
        <w:t xml:space="preserve"> http://indicators.hscic.gov.uk/webview/index.jsp?v=2&amp;submode=ddi&amp;study=http%3A%2F%2F192.168.229.22%3A80%2Fobj%2FfStudy%2FP01728&amp;mode=documentation&amp;top=yes</w:t>
      </w:r>
    </w:p>
  </w:footnote>
  <w:footnote w:id="10">
    <w:p w14:paraId="08D552FC" w14:textId="77777777" w:rsidR="009B1752" w:rsidRPr="00BF78CE" w:rsidRDefault="009B1752" w:rsidP="00CC2574">
      <w:pPr>
        <w:pStyle w:val="FootnoteText"/>
      </w:pPr>
      <w:r w:rsidRPr="00BF78CE">
        <w:rPr>
          <w:rStyle w:val="FootnoteReference"/>
        </w:rPr>
        <w:footnoteRef/>
      </w:r>
      <w:r w:rsidRPr="00BF78CE">
        <w:t xml:space="preserve"> </w:t>
      </w:r>
      <w:hyperlink r:id="rId8" w:history="1">
        <w:r w:rsidRPr="00431052">
          <w:rPr>
            <w:rStyle w:val="Hyperlink"/>
            <w:rFonts w:ascii="Arial" w:hAnsi="Arial"/>
            <w:color w:val="auto"/>
          </w:rPr>
          <w:t>http://www.instituteofhealthequity.org/projects/fair-society-healthy-lives-the-marmot-review</w:t>
        </w:r>
      </w:hyperlink>
      <w:r w:rsidRPr="00BF78C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2D" w14:textId="7590501A" w:rsidR="00431052" w:rsidRDefault="00431052" w:rsidP="00431052">
    <w:pPr>
      <w:tabs>
        <w:tab w:val="center" w:pos="4513"/>
        <w:tab w:val="right" w:pos="9026"/>
      </w:tabs>
      <w:spacing w:after="0"/>
      <w:jc w:val="center"/>
      <w:textboxTightWrap w:val="none"/>
    </w:pPr>
    <w:r w:rsidRPr="000A7EA0">
      <w:rPr>
        <w:rFonts w:eastAsia="Calibri" w:cs="Arial"/>
        <w:b/>
        <w:bCs/>
      </w:rPr>
      <w:t>NICE inherited this indicator and all its supporting documentation from NHS Digital on 1 April 2020</w:t>
    </w:r>
  </w:p>
  <w:p w14:paraId="6C367D2E" w14:textId="77777777" w:rsidR="00431052" w:rsidRDefault="00431052"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9B8AB" w14:textId="77777777" w:rsidR="00431052" w:rsidRDefault="00431052" w:rsidP="00C07493">
    <w:pPr>
      <w:pStyle w:val="Header"/>
      <w:rPr>
        <w:color w:val="000000" w:themeColor="text2"/>
      </w:rPr>
    </w:pPr>
  </w:p>
  <w:p w14:paraId="6B804665" w14:textId="77777777" w:rsidR="00431052" w:rsidRDefault="00431052" w:rsidP="00FB6F7F">
    <w:pPr>
      <w:tabs>
        <w:tab w:val="center" w:pos="4513"/>
        <w:tab w:val="right" w:pos="9026"/>
      </w:tabs>
      <w:spacing w:after="0"/>
      <w:jc w:val="center"/>
      <w:textboxTightWrap w:val="none"/>
    </w:pPr>
    <w:r w:rsidRPr="000A7EA0">
      <w:rPr>
        <w:rFonts w:eastAsia="Calibri" w:cs="Arial"/>
        <w:b/>
        <w:bCs/>
      </w:rPr>
      <w:t>NICE inherited this indicator and all its supporting documentation from NHS Digital on 1 April 2020</w:t>
    </w:r>
  </w:p>
  <w:p w14:paraId="0450FC1C" w14:textId="77777777" w:rsidR="00431052" w:rsidRDefault="00431052" w:rsidP="00C07493">
    <w:pPr>
      <w:pStyle w:val="Header"/>
      <w:rPr>
        <w:color w:val="000000" w:themeColor="text2"/>
      </w:rPr>
    </w:pPr>
  </w:p>
  <w:p w14:paraId="03B1C7EA" w14:textId="3CF1C783" w:rsidR="00431052" w:rsidRPr="00431052" w:rsidRDefault="00431052">
    <w:pPr>
      <w:pStyle w:val="Header"/>
      <w:rPr>
        <w:rFonts w:cstheme="minorHAnsi"/>
        <w:b w:val="0"/>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B530" w14:textId="77777777" w:rsidR="00431052" w:rsidRPr="00574969" w:rsidRDefault="00431052" w:rsidP="00C07493">
    <w:pPr>
      <w:pStyle w:val="NormalWeb"/>
      <w:spacing w:before="0" w:beforeAutospacing="0" w:after="0" w:afterAutospacing="0"/>
      <w:rPr>
        <w:rFonts w:ascii="Arial" w:eastAsia="+mn-ea" w:hAnsi="Arial" w:cs="Arial"/>
        <w:b/>
        <w:color w:val="000000" w:themeColor="text2"/>
        <w:position w:val="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10833"/>
    <w:multiLevelType w:val="hybridMultilevel"/>
    <w:tmpl w:val="62ACB706"/>
    <w:lvl w:ilvl="0" w:tplc="54E066F6">
      <w:start w:val="1"/>
      <w:numFmt w:val="bullet"/>
      <w:lvlText w:val=""/>
      <w:lvlJc w:val="left"/>
      <w:pPr>
        <w:tabs>
          <w:tab w:val="num" w:pos="720"/>
        </w:tabs>
        <w:ind w:left="720" w:hanging="360"/>
      </w:pPr>
      <w:rPr>
        <w:rFonts w:ascii="Symbol" w:hAnsi="Symbol" w:hint="default"/>
        <w:color w:val="auto"/>
        <w:sz w:val="22"/>
        <w:szCs w:val="22"/>
      </w:rPr>
    </w:lvl>
    <w:lvl w:ilvl="1" w:tplc="0809000B">
      <w:start w:val="1"/>
      <w:numFmt w:val="bullet"/>
      <w:lvlText w:val=""/>
      <w:lvlJc w:val="left"/>
      <w:pPr>
        <w:tabs>
          <w:tab w:val="num" w:pos="1440"/>
        </w:tabs>
        <w:ind w:left="1440" w:hanging="360"/>
      </w:pPr>
      <w:rPr>
        <w:rFonts w:ascii="Wingdings" w:hAnsi="Wingdings" w:hint="default"/>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ocumentProtection w:edit="readOnly"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77F8"/>
    <w:rsid w:val="000407A3"/>
    <w:rsid w:val="00063F5D"/>
    <w:rsid w:val="00080621"/>
    <w:rsid w:val="00095621"/>
    <w:rsid w:val="000A29D4"/>
    <w:rsid w:val="000B4DB3"/>
    <w:rsid w:val="000C24AF"/>
    <w:rsid w:val="0010192E"/>
    <w:rsid w:val="00110985"/>
    <w:rsid w:val="001416DC"/>
    <w:rsid w:val="001453B1"/>
    <w:rsid w:val="0015258C"/>
    <w:rsid w:val="00172B0F"/>
    <w:rsid w:val="001757E3"/>
    <w:rsid w:val="0019330C"/>
    <w:rsid w:val="00193831"/>
    <w:rsid w:val="001A5F3E"/>
    <w:rsid w:val="001C3565"/>
    <w:rsid w:val="001D243C"/>
    <w:rsid w:val="001E7E1E"/>
    <w:rsid w:val="00252243"/>
    <w:rsid w:val="00252A63"/>
    <w:rsid w:val="00274F7A"/>
    <w:rsid w:val="002A7E9E"/>
    <w:rsid w:val="002B2255"/>
    <w:rsid w:val="002C1D57"/>
    <w:rsid w:val="002C446A"/>
    <w:rsid w:val="002F02D7"/>
    <w:rsid w:val="002F264D"/>
    <w:rsid w:val="002F4F44"/>
    <w:rsid w:val="002F5494"/>
    <w:rsid w:val="00303DBA"/>
    <w:rsid w:val="00303E47"/>
    <w:rsid w:val="0033715E"/>
    <w:rsid w:val="0034234B"/>
    <w:rsid w:val="00344DA0"/>
    <w:rsid w:val="003514B1"/>
    <w:rsid w:val="003529C9"/>
    <w:rsid w:val="00361EEA"/>
    <w:rsid w:val="00374E95"/>
    <w:rsid w:val="003A418A"/>
    <w:rsid w:val="003B2744"/>
    <w:rsid w:val="003B3021"/>
    <w:rsid w:val="003B7858"/>
    <w:rsid w:val="003D3A42"/>
    <w:rsid w:val="00404D4E"/>
    <w:rsid w:val="00420E7F"/>
    <w:rsid w:val="00431052"/>
    <w:rsid w:val="00435C46"/>
    <w:rsid w:val="00452241"/>
    <w:rsid w:val="004A1C2F"/>
    <w:rsid w:val="004A1C4F"/>
    <w:rsid w:val="004B760F"/>
    <w:rsid w:val="004E445F"/>
    <w:rsid w:val="00514083"/>
    <w:rsid w:val="005140DF"/>
    <w:rsid w:val="00554330"/>
    <w:rsid w:val="0056259B"/>
    <w:rsid w:val="005A1F40"/>
    <w:rsid w:val="005C712E"/>
    <w:rsid w:val="00616632"/>
    <w:rsid w:val="0062039B"/>
    <w:rsid w:val="00631775"/>
    <w:rsid w:val="00643443"/>
    <w:rsid w:val="0064487F"/>
    <w:rsid w:val="00677D0B"/>
    <w:rsid w:val="00681042"/>
    <w:rsid w:val="006B3E0F"/>
    <w:rsid w:val="006D0D5C"/>
    <w:rsid w:val="006D16EB"/>
    <w:rsid w:val="00702B4D"/>
    <w:rsid w:val="0071497F"/>
    <w:rsid w:val="0071711C"/>
    <w:rsid w:val="0076061B"/>
    <w:rsid w:val="00763FA3"/>
    <w:rsid w:val="00772A5C"/>
    <w:rsid w:val="00780221"/>
    <w:rsid w:val="00780D19"/>
    <w:rsid w:val="007B5BEC"/>
    <w:rsid w:val="007D6E37"/>
    <w:rsid w:val="007E4138"/>
    <w:rsid w:val="007F0D02"/>
    <w:rsid w:val="008022CE"/>
    <w:rsid w:val="00827A9F"/>
    <w:rsid w:val="00840C21"/>
    <w:rsid w:val="00856A34"/>
    <w:rsid w:val="008753C7"/>
    <w:rsid w:val="008A3222"/>
    <w:rsid w:val="008B3316"/>
    <w:rsid w:val="008C6CF4"/>
    <w:rsid w:val="008D5953"/>
    <w:rsid w:val="009079D6"/>
    <w:rsid w:val="00924D42"/>
    <w:rsid w:val="009B1752"/>
    <w:rsid w:val="009B4AB9"/>
    <w:rsid w:val="009B4B8E"/>
    <w:rsid w:val="009D3744"/>
    <w:rsid w:val="009E36AF"/>
    <w:rsid w:val="009F2D39"/>
    <w:rsid w:val="009F3397"/>
    <w:rsid w:val="00A268E2"/>
    <w:rsid w:val="00A277CC"/>
    <w:rsid w:val="00A57320"/>
    <w:rsid w:val="00A73E11"/>
    <w:rsid w:val="00AB5951"/>
    <w:rsid w:val="00AD2BEF"/>
    <w:rsid w:val="00B37476"/>
    <w:rsid w:val="00B66A75"/>
    <w:rsid w:val="00B77C41"/>
    <w:rsid w:val="00BC7531"/>
    <w:rsid w:val="00BD2300"/>
    <w:rsid w:val="00BF4389"/>
    <w:rsid w:val="00BF78CE"/>
    <w:rsid w:val="00C07493"/>
    <w:rsid w:val="00C2150A"/>
    <w:rsid w:val="00C5594F"/>
    <w:rsid w:val="00CA5D7A"/>
    <w:rsid w:val="00CC0C0F"/>
    <w:rsid w:val="00CC2574"/>
    <w:rsid w:val="00CE5EDF"/>
    <w:rsid w:val="00D45884"/>
    <w:rsid w:val="00D63CF4"/>
    <w:rsid w:val="00D93D0D"/>
    <w:rsid w:val="00DB1157"/>
    <w:rsid w:val="00DC1428"/>
    <w:rsid w:val="00DC7D44"/>
    <w:rsid w:val="00DD7C30"/>
    <w:rsid w:val="00DE0908"/>
    <w:rsid w:val="00E45C31"/>
    <w:rsid w:val="00E5704B"/>
    <w:rsid w:val="00E60528"/>
    <w:rsid w:val="00E608F5"/>
    <w:rsid w:val="00E60E30"/>
    <w:rsid w:val="00E9171B"/>
    <w:rsid w:val="00EA1F49"/>
    <w:rsid w:val="00EB1195"/>
    <w:rsid w:val="00ED3649"/>
    <w:rsid w:val="00EE06B2"/>
    <w:rsid w:val="00F02A7E"/>
    <w:rsid w:val="00F20FDC"/>
    <w:rsid w:val="00F56001"/>
    <w:rsid w:val="00F9002A"/>
    <w:rsid w:val="00FB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iPriority w:val="99"/>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FB6F7F"/>
    <w:pPr>
      <w:tabs>
        <w:tab w:val="right" w:pos="9866"/>
      </w:tabs>
      <w:spacing w:after="0"/>
    </w:pPr>
    <w:rPr>
      <w:rFonts w:eastAsia="Calibri" w:cs="Arial"/>
      <w:sz w:val="18"/>
      <w:szCs w:val="18"/>
    </w:rPr>
  </w:style>
  <w:style w:type="character" w:customStyle="1" w:styleId="FooterChar">
    <w:name w:val="Footer Char"/>
    <w:basedOn w:val="DefaultParagraphFont"/>
    <w:link w:val="Footer"/>
    <w:uiPriority w:val="99"/>
    <w:rsid w:val="00FB6F7F"/>
    <w:rPr>
      <w:rFonts w:ascii="Arial" w:eastAsia="Calibri" w:hAnsi="Arial" w:cs="Arial"/>
      <w:sz w:val="18"/>
      <w:szCs w:val="18"/>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iPriority w:val="99"/>
    <w:semiHidden/>
    <w:unhideWhenUsed/>
    <w:rsid w:val="0034234B"/>
    <w:rPr>
      <w:sz w:val="16"/>
      <w:szCs w:val="16"/>
    </w:rPr>
  </w:style>
  <w:style w:type="paragraph" w:styleId="CommentText">
    <w:name w:val="annotation text"/>
    <w:basedOn w:val="Normal"/>
    <w:link w:val="CommentTextChar"/>
    <w:uiPriority w:val="99"/>
    <w:unhideWhenUsed/>
    <w:rsid w:val="0034234B"/>
    <w:rPr>
      <w:sz w:val="20"/>
      <w:szCs w:val="20"/>
    </w:rPr>
  </w:style>
  <w:style w:type="character" w:customStyle="1" w:styleId="CommentTextChar">
    <w:name w:val="Comment Text Char"/>
    <w:basedOn w:val="DefaultParagraphFont"/>
    <w:link w:val="CommentText"/>
    <w:uiPriority w:val="99"/>
    <w:rsid w:val="0034234B"/>
    <w:rPr>
      <w:rFonts w:ascii="Arial" w:hAnsi="Arial"/>
    </w:rPr>
  </w:style>
  <w:style w:type="paragraph" w:styleId="FootnoteText">
    <w:name w:val="footnote text"/>
    <w:basedOn w:val="Normal"/>
    <w:link w:val="FootnoteTextChar"/>
    <w:unhideWhenUsed/>
    <w:rsid w:val="0034234B"/>
    <w:pPr>
      <w:spacing w:after="0"/>
    </w:pPr>
    <w:rPr>
      <w:sz w:val="20"/>
      <w:szCs w:val="20"/>
    </w:rPr>
  </w:style>
  <w:style w:type="character" w:customStyle="1" w:styleId="FootnoteTextChar">
    <w:name w:val="Footnote Text Char"/>
    <w:basedOn w:val="DefaultParagraphFont"/>
    <w:link w:val="FootnoteText"/>
    <w:rsid w:val="0034234B"/>
    <w:rPr>
      <w:rFonts w:ascii="Arial" w:hAnsi="Arial"/>
    </w:rPr>
  </w:style>
  <w:style w:type="paragraph" w:customStyle="1" w:styleId="CM13">
    <w:name w:val="CM13"/>
    <w:basedOn w:val="Normal"/>
    <w:next w:val="Normal"/>
    <w:uiPriority w:val="99"/>
    <w:rsid w:val="0034234B"/>
    <w:pPr>
      <w:autoSpaceDE w:val="0"/>
      <w:autoSpaceDN w:val="0"/>
      <w:adjustRightInd w:val="0"/>
      <w:spacing w:after="0" w:line="280" w:lineRule="atLeast"/>
      <w:textboxTightWrap w:val="none"/>
    </w:pPr>
    <w:rPr>
      <w:rFonts w:ascii="HelveticaNeueLT Std Lt" w:hAnsi="HelveticaNeueLT Std Lt"/>
    </w:rPr>
  </w:style>
  <w:style w:type="paragraph" w:customStyle="1" w:styleId="Default">
    <w:name w:val="Default"/>
    <w:rsid w:val="0034234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3B7858"/>
    <w:rPr>
      <w:b/>
      <w:bCs/>
    </w:rPr>
  </w:style>
  <w:style w:type="character" w:customStyle="1" w:styleId="CommentSubjectChar">
    <w:name w:val="Comment Subject Char"/>
    <w:basedOn w:val="CommentTextChar"/>
    <w:link w:val="CommentSubject"/>
    <w:uiPriority w:val="99"/>
    <w:semiHidden/>
    <w:rsid w:val="003B7858"/>
    <w:rPr>
      <w:rFonts w:ascii="Arial" w:hAnsi="Arial"/>
      <w:b/>
      <w:bCs/>
    </w:rPr>
  </w:style>
  <w:style w:type="character" w:styleId="FollowedHyperlink">
    <w:name w:val="FollowedHyperlink"/>
    <w:basedOn w:val="DefaultParagraphFont"/>
    <w:uiPriority w:val="99"/>
    <w:semiHidden/>
    <w:unhideWhenUsed/>
    <w:rsid w:val="00E9171B"/>
    <w:rPr>
      <w:color w:val="701870" w:themeColor="followedHyperlink"/>
      <w:u w:val="single"/>
    </w:rPr>
  </w:style>
  <w:style w:type="paragraph" w:styleId="NormalWeb">
    <w:name w:val="Normal (Web)"/>
    <w:basedOn w:val="Normal"/>
    <w:uiPriority w:val="99"/>
    <w:unhideWhenUsed/>
    <w:rsid w:val="00C07493"/>
    <w:pPr>
      <w:spacing w:before="100" w:beforeAutospacing="1" w:after="100" w:afterAutospacing="1"/>
      <w:textboxTightWrap w:val="none"/>
    </w:pPr>
    <w:rPr>
      <w:rFonts w:ascii="Times New Roman" w:hAnsi="Times New Roman"/>
      <w:lang w:eastAsia="en-GB"/>
    </w:rPr>
  </w:style>
  <w:style w:type="paragraph" w:styleId="NoSpacing">
    <w:name w:val="No Spacing"/>
    <w:link w:val="NoSpacingChar"/>
    <w:uiPriority w:val="1"/>
    <w:qFormat/>
    <w:rsid w:val="00C0749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C07493"/>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ather.White@dh.gsi.gov.uk" TargetMode="External"/><Relationship Id="rId18" Type="http://schemas.openxmlformats.org/officeDocument/2006/relationships/hyperlink" Target="mailto:indicators@nice.org.u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s://www.nice.org.uk/accessibility" TargetMode="External"/><Relationship Id="rId7" Type="http://schemas.openxmlformats.org/officeDocument/2006/relationships/endnotes" Target="endnotes.xml"/><Relationship Id="rId12" Type="http://schemas.openxmlformats.org/officeDocument/2006/relationships/hyperlink" Target="mailto:Anne.Griffin@dh.gsi.gov.uk" TargetMode="External"/><Relationship Id="rId17" Type="http://schemas.openxmlformats.org/officeDocument/2006/relationships/oleObject" Target="embeddings/oleObject2.bin"/><Relationship Id="rId25" Type="http://schemas.openxmlformats.org/officeDocument/2006/relationships/image" Target="media/image5.png"/><Relationship Id="rId33" Type="http://schemas.openxmlformats.org/officeDocument/2006/relationships/hyperlink" Target="http://www.hscic.gov.uk/article/1674/Indicator-Assurance-Service"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oleObject" Target="embeddings/oleObject4.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oleObject" Target="embeddings/oleObject6.bin"/><Relationship Id="rId32" Type="http://schemas.openxmlformats.org/officeDocument/2006/relationships/hyperlink" Target="mailto:indicator.assurance@nhs.ne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4.png"/><Relationship Id="rId28" Type="http://schemas.openxmlformats.org/officeDocument/2006/relationships/header" Target="header3.xml"/><Relationship Id="rId36" Type="http://schemas.openxmlformats.org/officeDocument/2006/relationships/glossaryDocument" Target="glossary/document.xml"/><Relationship Id="rId10" Type="http://schemas.openxmlformats.org/officeDocument/2006/relationships/hyperlink" Target="mailto:Andrew.Parker@dh.gsi.gov.uk" TargetMode="External"/><Relationship Id="rId19" Type="http://schemas.openxmlformats.org/officeDocument/2006/relationships/oleObject" Target="embeddings/oleObject3.bin"/><Relationship Id="rId31" Type="http://schemas.openxmlformats.org/officeDocument/2006/relationships/hyperlink" Target="http://www.hscic.gov.uk/article/1674/Indicator-Assurance-Serv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hyperlink" Target="mailto:indicator.assurance@nhs.net"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nstituteofhealthequity.org/projects/fair-society-healthy-lives-the-marmot-review" TargetMode="External"/><Relationship Id="rId3" Type="http://schemas.openxmlformats.org/officeDocument/2006/relationships/hyperlink" Target="https://www.gov.uk/government/publications/department-of-health-shared-delivery-plan-2015-to-2020" TargetMode="External"/><Relationship Id="rId7" Type="http://schemas.openxmlformats.org/officeDocument/2006/relationships/hyperlink" Target="https://indicators.hscic.gov.uk/webview/index.jsp?v=2&amp;submode=ddi&amp;study=https%3A%2F%2F192.168.228.51%3A443%2Fobj%2FfStudy%2FP01728&amp;mode=documentation&amp;top=yes" TargetMode="External"/><Relationship Id="rId2" Type="http://schemas.openxmlformats.org/officeDocument/2006/relationships/hyperlink" Target="https://www.gov.uk/government/uploads/system/uploads/attachment_data/file/385751/NHS_Outcomes_Tech_Appendix.pdf" TargetMode="External"/><Relationship Id="rId1" Type="http://schemas.openxmlformats.org/officeDocument/2006/relationships/hyperlink" Target="https://www.gov.uk/government/uploads/system/uploads/attachment_data/file/417897/Indicators_acc.pdf" TargetMode="External"/><Relationship Id="rId6" Type="http://schemas.openxmlformats.org/officeDocument/2006/relationships/hyperlink" Target="https://www.gov.uk/government/uploads/system/uploads/attachment_data/file/506771/SofS_letter_health_inequalities_acc.pdf" TargetMode="External"/><Relationship Id="rId5" Type="http://schemas.openxmlformats.org/officeDocument/2006/relationships/hyperlink" Target="https://www.gov.uk/government/uploads/system/uploads/attachment_data/file/494485/NHSE_mandate_16-17_22_Jan.pdf" TargetMode="External"/><Relationship Id="rId4" Type="http://schemas.openxmlformats.org/officeDocument/2006/relationships/hyperlink" Target="https://www.england.nhs.uk/publications/annual-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4E9524124E4544991CA240A796F1D4"/>
        <w:category>
          <w:name w:val="General"/>
          <w:gallery w:val="placeholder"/>
        </w:category>
        <w:types>
          <w:type w:val="bbPlcHdr"/>
        </w:types>
        <w:behaviors>
          <w:behavior w:val="content"/>
        </w:behaviors>
        <w:guid w:val="{580C85B6-51E4-44D2-8BC8-C029918E016F}"/>
      </w:docPartPr>
      <w:docPartBody>
        <w:p w:rsidR="00000000" w:rsidRDefault="009F7CFA" w:rsidP="009F7CFA">
          <w:pPr>
            <w:pStyle w:val="EC4E9524124E4544991CA240A796F1D4"/>
          </w:pPr>
          <w:r w:rsidRPr="00B71800">
            <w:rPr>
              <w:rStyle w:val="PlaceholderText"/>
            </w:rPr>
            <w:t>Choose an item.</w:t>
          </w:r>
        </w:p>
      </w:docPartBody>
    </w:docPart>
    <w:docPart>
      <w:docPartPr>
        <w:name w:val="4E380C4F3A0E43E3876FEC7EF8FA0687"/>
        <w:category>
          <w:name w:val="General"/>
          <w:gallery w:val="placeholder"/>
        </w:category>
        <w:types>
          <w:type w:val="bbPlcHdr"/>
        </w:types>
        <w:behaviors>
          <w:behavior w:val="content"/>
        </w:behaviors>
        <w:guid w:val="{F359B551-25C3-4EDC-92A7-06E990EE7DC0}"/>
      </w:docPartPr>
      <w:docPartBody>
        <w:p w:rsidR="00000000" w:rsidRDefault="009F7CFA" w:rsidP="009F7CFA">
          <w:pPr>
            <w:pStyle w:val="4E380C4F3A0E43E3876FEC7EF8FA0687"/>
          </w:pPr>
          <w:r w:rsidRPr="00B71800">
            <w:rPr>
              <w:rStyle w:val="PlaceholderText"/>
            </w:rPr>
            <w:t>Choose an item.</w:t>
          </w:r>
        </w:p>
      </w:docPartBody>
    </w:docPart>
    <w:docPart>
      <w:docPartPr>
        <w:name w:val="356FC5A27E1E471894AA79B03E36FDE4"/>
        <w:category>
          <w:name w:val="General"/>
          <w:gallery w:val="placeholder"/>
        </w:category>
        <w:types>
          <w:type w:val="bbPlcHdr"/>
        </w:types>
        <w:behaviors>
          <w:behavior w:val="content"/>
        </w:behaviors>
        <w:guid w:val="{5F60E8D6-DE8C-41FB-BE68-BA7CC02ADF15}"/>
      </w:docPartPr>
      <w:docPartBody>
        <w:p w:rsidR="00000000" w:rsidRDefault="009F7CFA" w:rsidP="009F7CFA">
          <w:pPr>
            <w:pStyle w:val="356FC5A27E1E471894AA79B03E36FDE4"/>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176BCC"/>
    <w:rsid w:val="001B72D9"/>
    <w:rsid w:val="002B3BE6"/>
    <w:rsid w:val="00477AA3"/>
    <w:rsid w:val="004B0176"/>
    <w:rsid w:val="008A692B"/>
    <w:rsid w:val="009F7CFA"/>
    <w:rsid w:val="00A1104F"/>
    <w:rsid w:val="00AE052B"/>
    <w:rsid w:val="00D8467C"/>
    <w:rsid w:val="00DD28D6"/>
    <w:rsid w:val="00E24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7CFA"/>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EC4E9524124E4544991CA240A796F1D4">
    <w:name w:val="EC4E9524124E4544991CA240A796F1D4"/>
    <w:rsid w:val="009F7CFA"/>
    <w:pPr>
      <w:spacing w:after="160" w:line="259" w:lineRule="auto"/>
    </w:pPr>
  </w:style>
  <w:style w:type="paragraph" w:customStyle="1" w:styleId="4E380C4F3A0E43E3876FEC7EF8FA0687">
    <w:name w:val="4E380C4F3A0E43E3876FEC7EF8FA0687"/>
    <w:rsid w:val="009F7CFA"/>
    <w:pPr>
      <w:spacing w:after="160" w:line="259" w:lineRule="auto"/>
    </w:pPr>
  </w:style>
  <w:style w:type="paragraph" w:customStyle="1" w:styleId="611311EF1D41438186ADDD8F7C0DAF84">
    <w:name w:val="611311EF1D41438186ADDD8F7C0DAF84"/>
    <w:rsid w:val="009F7CFA"/>
    <w:pPr>
      <w:spacing w:after="160" w:line="259" w:lineRule="auto"/>
    </w:pPr>
  </w:style>
  <w:style w:type="paragraph" w:customStyle="1" w:styleId="356FC5A27E1E471894AA79B03E36FDE4">
    <w:name w:val="356FC5A27E1E471894AA79B03E36FDE4"/>
    <w:rsid w:val="009F7CF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E8C0-6FA9-4C9A-A55D-E6516D3C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5002</Words>
  <Characters>28514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2020-03-19T09:50:00Z</dcterms:created>
  <dcterms:modified xsi:type="dcterms:W3CDTF">2020-03-19T09:53:00Z</dcterms:modified>
</cp:coreProperties>
</file>