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482C01">
      <w:pPr>
        <w:jc w:val="center"/>
        <w:rPr>
          <w:rFonts w:ascii="Arial" w:hAnsi="Arial" w:cs="Arial"/>
          <w:b/>
          <w:sz w:val="32"/>
          <w:szCs w:val="32"/>
        </w:rPr>
      </w:pPr>
      <w:bookmarkStart w:id="0" w:name="_Toc383595130"/>
      <w:r w:rsidRPr="00861C2E">
        <w:rPr>
          <w:rFonts w:ascii="Arial" w:hAnsi="Arial" w:cs="Arial"/>
          <w:b/>
          <w:sz w:val="32"/>
          <w:szCs w:val="32"/>
        </w:rPr>
        <w:t>NATIONAL INSTITUTE FOR HEALTH AND CARE EXCELLENCE</w:t>
      </w:r>
      <w:bookmarkEnd w:id="0"/>
    </w:p>
    <w:p w14:paraId="513A8F55" w14:textId="77777777" w:rsidR="008C183F" w:rsidRPr="00861C2E" w:rsidRDefault="008C183F" w:rsidP="00482C01">
      <w:pPr>
        <w:jc w:val="center"/>
        <w:rPr>
          <w:rFonts w:ascii="Arial" w:hAnsi="Arial" w:cs="Arial"/>
          <w:b/>
          <w:sz w:val="32"/>
          <w:szCs w:val="32"/>
        </w:rPr>
      </w:pPr>
    </w:p>
    <w:p w14:paraId="6C6B43FC" w14:textId="2F3EF7E2" w:rsidR="00482C01" w:rsidRDefault="009B0E59" w:rsidP="00482C01">
      <w:pPr>
        <w:jc w:val="center"/>
        <w:rPr>
          <w:rFonts w:ascii="Arial" w:hAnsi="Arial" w:cs="Arial"/>
          <w:b/>
          <w:sz w:val="32"/>
          <w:szCs w:val="32"/>
        </w:rPr>
      </w:pPr>
      <w:r>
        <w:rPr>
          <w:rFonts w:ascii="Arial" w:hAnsi="Arial" w:cs="Arial"/>
          <w:b/>
          <w:sz w:val="32"/>
          <w:szCs w:val="32"/>
        </w:rPr>
        <w:t>NICE indicator v</w:t>
      </w:r>
      <w:r w:rsidR="00192B09">
        <w:rPr>
          <w:rFonts w:ascii="Arial" w:hAnsi="Arial" w:cs="Arial"/>
          <w:b/>
          <w:sz w:val="32"/>
          <w:szCs w:val="32"/>
        </w:rPr>
        <w:t>alidity assessment</w:t>
      </w:r>
    </w:p>
    <w:p w14:paraId="6A1C1341" w14:textId="77777777" w:rsidR="00482C01" w:rsidRDefault="00482C01" w:rsidP="00482C01">
      <w:pPr>
        <w:jc w:val="center"/>
        <w:rPr>
          <w:rFonts w:ascii="Arial" w:hAnsi="Arial" w:cs="Arial"/>
          <w:b/>
          <w:sz w:val="32"/>
          <w:szCs w:val="32"/>
        </w:rPr>
      </w:pPr>
    </w:p>
    <w:p w14:paraId="53894671" w14:textId="77777777" w:rsidR="00FB5006" w:rsidRPr="000A4D29" w:rsidRDefault="00FB5006" w:rsidP="00FB5006">
      <w:pPr>
        <w:pStyle w:val="Heading1"/>
        <w:rPr>
          <w:b w:val="0"/>
          <w:bCs w:val="0"/>
          <w:sz w:val="24"/>
          <w:szCs w:val="24"/>
          <w:lang w:eastAsia="en-GB"/>
        </w:rPr>
      </w:pPr>
      <w:r w:rsidRPr="000A4D29">
        <w:rPr>
          <w:b w:val="0"/>
          <w:bCs w:val="0"/>
          <w:sz w:val="24"/>
          <w:szCs w:val="24"/>
          <w:lang w:eastAsia="en-GB"/>
        </w:rPr>
        <w:t xml:space="preserve">Assurance date: </w:t>
      </w:r>
      <w:r>
        <w:rPr>
          <w:b w:val="0"/>
          <w:bCs w:val="0"/>
          <w:sz w:val="24"/>
          <w:szCs w:val="24"/>
          <w:lang w:eastAsia="en-GB"/>
        </w:rPr>
        <w:t>March 2022</w:t>
      </w:r>
    </w:p>
    <w:p w14:paraId="54604ECA" w14:textId="77777777" w:rsidR="00FB5006" w:rsidRPr="000A4D29" w:rsidRDefault="00FB5006" w:rsidP="00FB5006">
      <w:pPr>
        <w:pStyle w:val="Heading1"/>
        <w:rPr>
          <w:b w:val="0"/>
          <w:bCs w:val="0"/>
          <w:sz w:val="24"/>
          <w:szCs w:val="24"/>
          <w:lang w:eastAsia="en-GB"/>
        </w:rPr>
      </w:pPr>
      <w:r w:rsidRPr="000A4D29">
        <w:rPr>
          <w:b w:val="0"/>
          <w:bCs w:val="0"/>
          <w:sz w:val="24"/>
          <w:szCs w:val="24"/>
          <w:lang w:eastAsia="en-GB"/>
        </w:rPr>
        <w:t xml:space="preserve">Review date: </w:t>
      </w:r>
      <w:r>
        <w:rPr>
          <w:b w:val="0"/>
          <w:bCs w:val="0"/>
          <w:sz w:val="24"/>
          <w:szCs w:val="24"/>
          <w:lang w:eastAsia="en-GB"/>
        </w:rPr>
        <w:t>March 2023</w:t>
      </w:r>
    </w:p>
    <w:p w14:paraId="047E7BC9" w14:textId="7CBE5C42" w:rsidR="009B0E59" w:rsidRPr="009B0E59" w:rsidRDefault="009B0E59" w:rsidP="009B0E59">
      <w:pPr>
        <w:pStyle w:val="Heading1"/>
        <w:rPr>
          <w:lang w:eastAsia="en-GB"/>
        </w:rPr>
      </w:pPr>
      <w:r w:rsidRPr="009B0E59">
        <w:rPr>
          <w:lang w:eastAsia="en-GB"/>
        </w:rPr>
        <w:t xml:space="preserve">Indicator </w:t>
      </w:r>
      <w:r w:rsidR="00A61511">
        <w:rPr>
          <w:lang w:eastAsia="en-GB"/>
        </w:rPr>
        <w:t>IAP00</w:t>
      </w:r>
      <w:r w:rsidR="00604865">
        <w:rPr>
          <w:lang w:eastAsia="en-GB"/>
        </w:rPr>
        <w:t>51</w:t>
      </w:r>
      <w:r w:rsidR="002D1E0F">
        <w:rPr>
          <w:lang w:eastAsia="en-GB"/>
        </w:rPr>
        <w:t>6</w:t>
      </w:r>
    </w:p>
    <w:p w14:paraId="48B6A7E1" w14:textId="70209299" w:rsidR="00604865" w:rsidRDefault="00604865" w:rsidP="009B0E59">
      <w:pPr>
        <w:pStyle w:val="Heading1"/>
        <w:rPr>
          <w:b w:val="0"/>
          <w:bCs w:val="0"/>
          <w:kern w:val="0"/>
          <w:sz w:val="24"/>
          <w:szCs w:val="24"/>
          <w:lang w:eastAsia="en-GB"/>
        </w:rPr>
      </w:pPr>
      <w:r w:rsidRPr="00604865">
        <w:rPr>
          <w:b w:val="0"/>
          <w:bCs w:val="0"/>
          <w:kern w:val="0"/>
          <w:sz w:val="24"/>
          <w:szCs w:val="24"/>
          <w:lang w:eastAsia="en-GB"/>
        </w:rPr>
        <w:t>Hip fracture: proportion of patients recovering to their previous levels of mobility/walking ability at 120 days</w:t>
      </w:r>
      <w:r w:rsidR="001241EE">
        <w:rPr>
          <w:b w:val="0"/>
          <w:bCs w:val="0"/>
          <w:kern w:val="0"/>
          <w:sz w:val="24"/>
          <w:szCs w:val="24"/>
          <w:lang w:eastAsia="en-GB"/>
        </w:rPr>
        <w:t xml:space="preserve"> (See also IAP00517, CCG Outcomes Indicator Set version)</w:t>
      </w:r>
    </w:p>
    <w:p w14:paraId="7C25BFBC" w14:textId="750B2C7D" w:rsidR="007136A7" w:rsidRDefault="00192B09" w:rsidP="009B0E59">
      <w:pPr>
        <w:pStyle w:val="Heading1"/>
      </w:pPr>
      <w:r>
        <w:t xml:space="preserve">Validity assessment </w:t>
      </w:r>
    </w:p>
    <w:tbl>
      <w:tblPr>
        <w:tblStyle w:val="TableGrid1"/>
        <w:tblW w:w="0" w:type="auto"/>
        <w:tblLook w:val="04A0" w:firstRow="1" w:lastRow="0" w:firstColumn="1" w:lastColumn="0" w:noHBand="0" w:noVBand="1"/>
      </w:tblPr>
      <w:tblGrid>
        <w:gridCol w:w="1878"/>
        <w:gridCol w:w="4092"/>
        <w:gridCol w:w="3047"/>
      </w:tblGrid>
      <w:tr w:rsidR="00455B14" w:rsidRPr="006E1387" w14:paraId="0815D160" w14:textId="1327D684" w:rsidTr="00455B14">
        <w:tc>
          <w:tcPr>
            <w:tcW w:w="1878" w:type="dxa"/>
          </w:tcPr>
          <w:p w14:paraId="04AA61DA" w14:textId="77777777"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Domain</w:t>
            </w:r>
          </w:p>
        </w:tc>
        <w:tc>
          <w:tcPr>
            <w:tcW w:w="4092" w:type="dxa"/>
          </w:tcPr>
          <w:p w14:paraId="177895C1" w14:textId="194D65D4" w:rsidR="00455B14" w:rsidRPr="006E1387" w:rsidRDefault="009B5C5F" w:rsidP="00F100EB">
            <w:pPr>
              <w:spacing w:before="120" w:after="120"/>
              <w:rPr>
                <w:rFonts w:ascii="Arial" w:hAnsi="Arial" w:cs="Arial"/>
                <w:b/>
                <w:sz w:val="22"/>
                <w:szCs w:val="22"/>
              </w:rPr>
            </w:pPr>
            <w:r w:rsidRPr="006E1387">
              <w:rPr>
                <w:rFonts w:ascii="Arial" w:hAnsi="Arial" w:cs="Arial"/>
                <w:b/>
                <w:sz w:val="22"/>
                <w:szCs w:val="22"/>
              </w:rPr>
              <w:t>Notes</w:t>
            </w:r>
            <w:r w:rsidR="00455B14" w:rsidRPr="006E1387">
              <w:rPr>
                <w:rFonts w:ascii="Arial" w:hAnsi="Arial" w:cs="Arial"/>
                <w:b/>
                <w:sz w:val="22"/>
                <w:szCs w:val="22"/>
              </w:rPr>
              <w:t xml:space="preserve"> </w:t>
            </w:r>
          </w:p>
        </w:tc>
        <w:tc>
          <w:tcPr>
            <w:tcW w:w="3047" w:type="dxa"/>
          </w:tcPr>
          <w:p w14:paraId="7A5D48DC" w14:textId="7C82261F"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Assessment</w:t>
            </w:r>
          </w:p>
        </w:tc>
      </w:tr>
      <w:tr w:rsidR="00455B14" w:rsidRPr="006E1387" w14:paraId="3708A997" w14:textId="67C127FD" w:rsidTr="00455B14">
        <w:tc>
          <w:tcPr>
            <w:tcW w:w="1878" w:type="dxa"/>
          </w:tcPr>
          <w:p w14:paraId="480E158F"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Importance</w:t>
            </w:r>
          </w:p>
        </w:tc>
        <w:tc>
          <w:tcPr>
            <w:tcW w:w="4092" w:type="dxa"/>
          </w:tcPr>
          <w:p w14:paraId="0F4A7424" w14:textId="4C15FB38" w:rsidR="00645411" w:rsidRDefault="00630A5B" w:rsidP="00C82B37">
            <w:pPr>
              <w:spacing w:before="120" w:after="120"/>
              <w:rPr>
                <w:rFonts w:ascii="Arial" w:hAnsi="Arial" w:cs="Arial"/>
                <w:sz w:val="22"/>
                <w:szCs w:val="22"/>
              </w:rPr>
            </w:pPr>
            <w:r>
              <w:rPr>
                <w:rFonts w:ascii="Arial" w:hAnsi="Arial" w:cs="Arial"/>
                <w:sz w:val="22"/>
                <w:szCs w:val="22"/>
              </w:rPr>
              <w:t>This indicator is p</w:t>
            </w:r>
            <w:r w:rsidRPr="00630A5B">
              <w:rPr>
                <w:rFonts w:ascii="Arial" w:hAnsi="Arial" w:cs="Arial"/>
                <w:sz w:val="22"/>
                <w:szCs w:val="22"/>
              </w:rPr>
              <w:t xml:space="preserve">art of </w:t>
            </w:r>
            <w:r w:rsidR="00645411">
              <w:rPr>
                <w:rFonts w:ascii="Arial" w:hAnsi="Arial" w:cs="Arial"/>
                <w:sz w:val="22"/>
                <w:szCs w:val="22"/>
              </w:rPr>
              <w:t xml:space="preserve">the </w:t>
            </w:r>
            <w:r w:rsidR="002D1E0F">
              <w:rPr>
                <w:rFonts w:ascii="Arial" w:hAnsi="Arial" w:cs="Arial"/>
                <w:sz w:val="22"/>
                <w:szCs w:val="22"/>
              </w:rPr>
              <w:t>NHS Outcomes Framework</w:t>
            </w:r>
            <w:r w:rsidR="00C82B37">
              <w:rPr>
                <w:rFonts w:ascii="Arial" w:hAnsi="Arial" w:cs="Arial"/>
                <w:sz w:val="22"/>
                <w:szCs w:val="22"/>
              </w:rPr>
              <w:t xml:space="preserve"> </w:t>
            </w:r>
            <w:r w:rsidR="008330FB">
              <w:rPr>
                <w:rFonts w:ascii="Arial" w:hAnsi="Arial" w:cs="Arial"/>
                <w:sz w:val="22"/>
                <w:szCs w:val="22"/>
              </w:rPr>
              <w:t xml:space="preserve">(Domain </w:t>
            </w:r>
            <w:r w:rsidR="00636B55">
              <w:rPr>
                <w:rFonts w:ascii="Arial" w:hAnsi="Arial" w:cs="Arial"/>
                <w:sz w:val="22"/>
                <w:szCs w:val="22"/>
              </w:rPr>
              <w:t>3</w:t>
            </w:r>
            <w:r w:rsidR="008330FB">
              <w:rPr>
                <w:rFonts w:ascii="Arial" w:hAnsi="Arial" w:cs="Arial"/>
                <w:sz w:val="22"/>
                <w:szCs w:val="22"/>
              </w:rPr>
              <w:t xml:space="preserve"> - </w:t>
            </w:r>
            <w:r w:rsidR="00636B55" w:rsidRPr="00636B55">
              <w:rPr>
                <w:rFonts w:ascii="Arial" w:hAnsi="Arial" w:cs="Arial"/>
                <w:sz w:val="22"/>
                <w:szCs w:val="22"/>
              </w:rPr>
              <w:t>Helping people to recover from episodes of ill health or following injury</w:t>
            </w:r>
            <w:r w:rsidR="008330FB">
              <w:rPr>
                <w:rFonts w:ascii="Arial" w:hAnsi="Arial" w:cs="Arial"/>
                <w:sz w:val="22"/>
                <w:szCs w:val="22"/>
              </w:rPr>
              <w:t>)</w:t>
            </w:r>
            <w:r w:rsidR="00C82B37">
              <w:rPr>
                <w:rFonts w:ascii="Arial" w:hAnsi="Arial" w:cs="Arial"/>
                <w:sz w:val="22"/>
                <w:szCs w:val="22"/>
              </w:rPr>
              <w:t>.</w:t>
            </w:r>
          </w:p>
          <w:p w14:paraId="6A0AAFD7" w14:textId="0D993DA5" w:rsidR="00C82B37" w:rsidRPr="006E1387" w:rsidRDefault="002D1E0F" w:rsidP="000A2303">
            <w:pPr>
              <w:spacing w:before="120" w:after="120"/>
              <w:rPr>
                <w:rFonts w:ascii="Arial" w:hAnsi="Arial" w:cs="Arial"/>
                <w:sz w:val="22"/>
                <w:szCs w:val="22"/>
              </w:rPr>
            </w:pPr>
            <w:r>
              <w:rPr>
                <w:rFonts w:ascii="Arial" w:hAnsi="Arial" w:cs="Arial"/>
                <w:sz w:val="22"/>
                <w:szCs w:val="22"/>
              </w:rPr>
              <w:t>The indicator value has risen over time from 48.7% in 2011 to 64.4% in 2017.</w:t>
            </w:r>
            <w:r w:rsidR="000747EF">
              <w:rPr>
                <w:rFonts w:ascii="Arial" w:hAnsi="Arial" w:cs="Arial"/>
                <w:sz w:val="22"/>
                <w:szCs w:val="22"/>
              </w:rPr>
              <w:t xml:space="preserve"> </w:t>
            </w:r>
            <w:r>
              <w:rPr>
                <w:rFonts w:ascii="Arial" w:hAnsi="Arial" w:cs="Arial"/>
                <w:sz w:val="22"/>
                <w:szCs w:val="22"/>
              </w:rPr>
              <w:t>Variation exists across all breakdowns including age and gender.</w:t>
            </w:r>
            <w:r w:rsidR="00604865">
              <w:rPr>
                <w:rFonts w:ascii="Arial" w:hAnsi="Arial" w:cs="Arial"/>
                <w:sz w:val="22"/>
                <w:szCs w:val="22"/>
              </w:rPr>
              <w:t xml:space="preserve"> </w:t>
            </w:r>
          </w:p>
        </w:tc>
        <w:tc>
          <w:tcPr>
            <w:tcW w:w="3047" w:type="dxa"/>
          </w:tcPr>
          <w:p w14:paraId="78280FB7" w14:textId="0B3B98B1" w:rsidR="00455B14" w:rsidRPr="006E1387" w:rsidRDefault="008F0DEF" w:rsidP="00636B55">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 xml:space="preserve">This indicator </w:t>
            </w:r>
            <w:r w:rsidR="00CC6DF8">
              <w:rPr>
                <w:rFonts w:eastAsiaTheme="minorEastAsia" w:cs="Arial"/>
                <w:color w:val="000000" w:themeColor="dark1"/>
                <w:kern w:val="24"/>
                <w:sz w:val="22"/>
                <w:szCs w:val="22"/>
              </w:rPr>
              <w:t>is part of a recogni</w:t>
            </w:r>
            <w:r w:rsidR="00636B55">
              <w:rPr>
                <w:rFonts w:eastAsiaTheme="minorEastAsia" w:cs="Arial"/>
                <w:color w:val="000000" w:themeColor="dark1"/>
                <w:kern w:val="24"/>
                <w:sz w:val="22"/>
                <w:szCs w:val="22"/>
              </w:rPr>
              <w:t>s</w:t>
            </w:r>
            <w:r w:rsidR="00CC6DF8">
              <w:rPr>
                <w:rFonts w:eastAsiaTheme="minorEastAsia" w:cs="Arial"/>
                <w:color w:val="000000" w:themeColor="dark1"/>
                <w:kern w:val="24"/>
                <w:sz w:val="22"/>
                <w:szCs w:val="22"/>
              </w:rPr>
              <w:t>ed dataset</w:t>
            </w:r>
            <w:r w:rsidR="00604865">
              <w:rPr>
                <w:rFonts w:eastAsiaTheme="minorEastAsia" w:cs="Arial"/>
                <w:color w:val="000000" w:themeColor="dark1"/>
                <w:kern w:val="24"/>
                <w:sz w:val="22"/>
                <w:szCs w:val="22"/>
              </w:rPr>
              <w:t xml:space="preserve">. </w:t>
            </w:r>
            <w:r w:rsidR="002D1E0F">
              <w:rPr>
                <w:rFonts w:eastAsiaTheme="minorEastAsia" w:cs="Arial"/>
                <w:color w:val="000000" w:themeColor="dark1"/>
                <w:kern w:val="24"/>
                <w:sz w:val="22"/>
                <w:szCs w:val="22"/>
              </w:rPr>
              <w:t>Nationally performance has improved and variation exists between geographies and breakdowns</w:t>
            </w:r>
            <w:r w:rsidR="0038079E">
              <w:rPr>
                <w:rFonts w:eastAsiaTheme="minorEastAsia" w:cs="Arial"/>
                <w:color w:val="000000" w:themeColor="dark1"/>
                <w:kern w:val="24"/>
                <w:sz w:val="22"/>
                <w:szCs w:val="22"/>
              </w:rPr>
              <w:t xml:space="preserve"> including age and gender</w:t>
            </w:r>
            <w:r w:rsidR="002D1E0F">
              <w:rPr>
                <w:rFonts w:eastAsiaTheme="minorEastAsia" w:cs="Arial"/>
                <w:color w:val="000000" w:themeColor="dark1"/>
                <w:kern w:val="24"/>
                <w:sz w:val="22"/>
                <w:szCs w:val="22"/>
              </w:rPr>
              <w:t>.</w:t>
            </w:r>
          </w:p>
        </w:tc>
      </w:tr>
      <w:tr w:rsidR="00455B14" w:rsidRPr="006E1387" w14:paraId="77F6A4A2" w14:textId="33EFD485" w:rsidTr="00455B14">
        <w:tc>
          <w:tcPr>
            <w:tcW w:w="1878" w:type="dxa"/>
          </w:tcPr>
          <w:p w14:paraId="6AF47F4B"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Evidence base</w:t>
            </w:r>
          </w:p>
        </w:tc>
        <w:tc>
          <w:tcPr>
            <w:tcW w:w="4092" w:type="dxa"/>
          </w:tcPr>
          <w:p w14:paraId="5547B4A5" w14:textId="16A4C199" w:rsidR="00873503" w:rsidRDefault="008330FB" w:rsidP="00455B14">
            <w:pPr>
              <w:spacing w:before="120" w:after="120"/>
              <w:rPr>
                <w:rFonts w:ascii="Arial" w:hAnsi="Arial" w:cs="Arial"/>
                <w:sz w:val="22"/>
                <w:szCs w:val="22"/>
              </w:rPr>
            </w:pPr>
            <w:r>
              <w:rPr>
                <w:rFonts w:ascii="Arial" w:hAnsi="Arial" w:cs="Arial"/>
                <w:sz w:val="22"/>
                <w:szCs w:val="22"/>
              </w:rPr>
              <w:t xml:space="preserve">From </w:t>
            </w:r>
            <w:r w:rsidR="00636B55">
              <w:rPr>
                <w:rFonts w:ascii="Arial" w:hAnsi="Arial" w:cs="Arial"/>
                <w:sz w:val="22"/>
                <w:szCs w:val="22"/>
              </w:rPr>
              <w:t>indicator Quality Statement</w:t>
            </w:r>
            <w:r w:rsidR="00636B55">
              <w:rPr>
                <w:rStyle w:val="FootnoteReference"/>
                <w:rFonts w:ascii="Arial" w:hAnsi="Arial" w:cs="Arial"/>
                <w:sz w:val="22"/>
                <w:szCs w:val="22"/>
              </w:rPr>
              <w:footnoteReference w:id="1"/>
            </w:r>
            <w:r>
              <w:rPr>
                <w:rFonts w:ascii="Arial" w:hAnsi="Arial" w:cs="Arial"/>
                <w:sz w:val="22"/>
                <w:szCs w:val="22"/>
              </w:rPr>
              <w:t>:</w:t>
            </w:r>
          </w:p>
          <w:p w14:paraId="73F6AC3C" w14:textId="77777777" w:rsidR="002D1E0F" w:rsidRPr="002D1E0F" w:rsidRDefault="008330FB" w:rsidP="002D1E0F">
            <w:pPr>
              <w:spacing w:before="120" w:after="120"/>
              <w:rPr>
                <w:rFonts w:ascii="Arial" w:hAnsi="Arial" w:cs="Arial"/>
                <w:sz w:val="22"/>
                <w:szCs w:val="22"/>
              </w:rPr>
            </w:pPr>
            <w:r>
              <w:rPr>
                <w:rFonts w:ascii="Arial" w:hAnsi="Arial" w:cs="Arial"/>
                <w:sz w:val="22"/>
                <w:szCs w:val="22"/>
              </w:rPr>
              <w:t>“</w:t>
            </w:r>
            <w:r w:rsidR="002D1E0F" w:rsidRPr="002D1E0F">
              <w:rPr>
                <w:rFonts w:ascii="Arial" w:hAnsi="Arial" w:cs="Arial"/>
                <w:sz w:val="22"/>
                <w:szCs w:val="22"/>
              </w:rPr>
              <w:t>Indicator 3.5.ii is an improvement area in domain 3 of the framework which reflects the importance of helping people to recover from episodes of ill health or following injury. This can be seen as two complementary objectives: preventing conditions from becoming more serious (wherever possible), and helping people to recover effectively.</w:t>
            </w:r>
          </w:p>
          <w:p w14:paraId="714185E3" w14:textId="77777777" w:rsidR="002D1E0F" w:rsidRDefault="002D1E0F" w:rsidP="002D1E0F">
            <w:pPr>
              <w:spacing w:before="120" w:after="120"/>
              <w:rPr>
                <w:rFonts w:ascii="Arial" w:hAnsi="Arial" w:cs="Arial"/>
                <w:sz w:val="22"/>
                <w:szCs w:val="22"/>
              </w:rPr>
            </w:pPr>
            <w:r w:rsidRPr="002D1E0F">
              <w:rPr>
                <w:rFonts w:ascii="Arial" w:hAnsi="Arial" w:cs="Arial"/>
                <w:sz w:val="22"/>
                <w:szCs w:val="22"/>
              </w:rPr>
              <w:t xml:space="preserve">The indicator measures the proportion of patients who recover effective mobility following a hospital admission for a hip fracture. Fragility fractures are the most common type of injury seen in </w:t>
            </w:r>
            <w:r w:rsidRPr="002D1E0F">
              <w:rPr>
                <w:rFonts w:ascii="Arial" w:hAnsi="Arial" w:cs="Arial"/>
                <w:sz w:val="22"/>
                <w:szCs w:val="22"/>
              </w:rPr>
              <w:lastRenderedPageBreak/>
              <w:t>older people, often resulting from falls. Suffering an injury such as this can have a serious impact on an older person’s quality of life and ability to live independently, so effective recovery is hugely important. This indicator measures one of the most important functional outcomes for people with fragility fractures.</w:t>
            </w:r>
          </w:p>
          <w:p w14:paraId="19E21C64" w14:textId="77777777" w:rsidR="002D1E0F" w:rsidRPr="002D1E0F" w:rsidRDefault="002D1E0F" w:rsidP="002D1E0F">
            <w:pPr>
              <w:spacing w:before="120" w:after="120"/>
              <w:rPr>
                <w:rFonts w:ascii="Arial" w:hAnsi="Arial" w:cs="Arial"/>
                <w:sz w:val="22"/>
                <w:szCs w:val="22"/>
              </w:rPr>
            </w:pPr>
            <w:r w:rsidRPr="002D1E0F">
              <w:rPr>
                <w:rFonts w:ascii="Arial" w:hAnsi="Arial" w:cs="Arial"/>
                <w:sz w:val="22"/>
                <w:szCs w:val="22"/>
              </w:rPr>
              <w:t>Improving this indicator</w:t>
            </w:r>
          </w:p>
          <w:p w14:paraId="46FD2163" w14:textId="48FC5C63" w:rsidR="008330FB" w:rsidRPr="006E1387" w:rsidRDefault="002D1E0F" w:rsidP="002D1E0F">
            <w:pPr>
              <w:spacing w:before="120" w:after="120"/>
              <w:rPr>
                <w:rFonts w:ascii="Arial" w:hAnsi="Arial" w:cs="Arial"/>
                <w:sz w:val="22"/>
                <w:szCs w:val="22"/>
              </w:rPr>
            </w:pPr>
            <w:r w:rsidRPr="002D1E0F">
              <w:rPr>
                <w:rFonts w:ascii="Arial" w:hAnsi="Arial" w:cs="Arial"/>
                <w:sz w:val="22"/>
                <w:szCs w:val="22"/>
              </w:rPr>
              <w:t>Improvement areas in this domain are based on specific causes of ill health that should be prevented from becoming serious, or from which the NHS should help people to recover as effectively as possible. This indicator improves when its value increases, i.e. the proportion of people recovering increases.</w:t>
            </w:r>
            <w:r w:rsidR="00CC6DF8">
              <w:rPr>
                <w:rFonts w:ascii="Arial" w:hAnsi="Arial" w:cs="Arial"/>
                <w:sz w:val="22"/>
                <w:szCs w:val="22"/>
              </w:rPr>
              <w:t>”</w:t>
            </w:r>
          </w:p>
        </w:tc>
        <w:tc>
          <w:tcPr>
            <w:tcW w:w="3047" w:type="dxa"/>
          </w:tcPr>
          <w:p w14:paraId="12B8C1AB" w14:textId="5C2075D7" w:rsidR="002A23A7" w:rsidRPr="006E1387" w:rsidRDefault="00380F5C" w:rsidP="00B92350">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lastRenderedPageBreak/>
              <w:t>This indicator aligns with NICE guidance (</w:t>
            </w:r>
            <w:r w:rsidR="00B92350">
              <w:rPr>
                <w:rFonts w:eastAsiaTheme="minorEastAsia" w:cs="Arial"/>
                <w:color w:val="000000" w:themeColor="dark1"/>
                <w:kern w:val="24"/>
                <w:sz w:val="22"/>
                <w:szCs w:val="22"/>
              </w:rPr>
              <w:t>QS1</w:t>
            </w:r>
            <w:r>
              <w:rPr>
                <w:rFonts w:eastAsiaTheme="minorEastAsia" w:cs="Arial"/>
                <w:color w:val="000000" w:themeColor="dark1"/>
                <w:kern w:val="24"/>
                <w:sz w:val="22"/>
                <w:szCs w:val="22"/>
              </w:rPr>
              <w:t>6</w:t>
            </w:r>
            <w:r>
              <w:rPr>
                <w:rStyle w:val="FootnoteReference"/>
                <w:rFonts w:eastAsiaTheme="minorEastAsia" w:cs="Arial"/>
                <w:color w:val="000000" w:themeColor="dark1"/>
                <w:kern w:val="24"/>
                <w:sz w:val="22"/>
                <w:szCs w:val="22"/>
              </w:rPr>
              <w:footnoteReference w:id="2"/>
            </w:r>
            <w:r>
              <w:rPr>
                <w:rFonts w:eastAsiaTheme="minorEastAsia" w:cs="Arial"/>
                <w:color w:val="000000" w:themeColor="dark1"/>
                <w:kern w:val="24"/>
                <w:sz w:val="22"/>
                <w:szCs w:val="22"/>
              </w:rPr>
              <w:t>, CG1</w:t>
            </w:r>
            <w:r w:rsidR="00B92350">
              <w:rPr>
                <w:rFonts w:eastAsiaTheme="minorEastAsia" w:cs="Arial"/>
                <w:color w:val="000000" w:themeColor="dark1"/>
                <w:kern w:val="24"/>
                <w:sz w:val="22"/>
                <w:szCs w:val="22"/>
              </w:rPr>
              <w:t>24</w:t>
            </w:r>
            <w:r>
              <w:rPr>
                <w:rStyle w:val="FootnoteReference"/>
                <w:rFonts w:eastAsiaTheme="minorEastAsia" w:cs="Arial"/>
                <w:color w:val="000000" w:themeColor="dark1"/>
                <w:kern w:val="24"/>
                <w:sz w:val="22"/>
                <w:szCs w:val="22"/>
              </w:rPr>
              <w:footnoteReference w:id="3"/>
            </w:r>
            <w:r>
              <w:rPr>
                <w:rFonts w:eastAsiaTheme="minorEastAsia" w:cs="Arial"/>
                <w:color w:val="000000" w:themeColor="dark1"/>
                <w:kern w:val="24"/>
                <w:sz w:val="22"/>
                <w:szCs w:val="22"/>
              </w:rPr>
              <w:t>).</w:t>
            </w:r>
          </w:p>
        </w:tc>
      </w:tr>
      <w:tr w:rsidR="00455B14" w:rsidRPr="006E1387" w14:paraId="3CC8FB8C" w14:textId="54EA7E4F" w:rsidTr="00455B14">
        <w:tc>
          <w:tcPr>
            <w:tcW w:w="1878" w:type="dxa"/>
          </w:tcPr>
          <w:p w14:paraId="4C16DA9B" w14:textId="563A5247"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Specification </w:t>
            </w:r>
          </w:p>
        </w:tc>
        <w:tc>
          <w:tcPr>
            <w:tcW w:w="4092" w:type="dxa"/>
          </w:tcPr>
          <w:p w14:paraId="7F5AB8B1" w14:textId="500E28BF" w:rsidR="00455B14" w:rsidRPr="006E1387" w:rsidRDefault="00455B14" w:rsidP="002D1E0F">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Numerator: </w:t>
            </w:r>
            <w:r w:rsidR="002D1E0F" w:rsidRPr="002D1E0F">
              <w:rPr>
                <w:rFonts w:ascii="Arial" w:hAnsi="Arial" w:cs="Arial"/>
                <w:color w:val="000000"/>
                <w:kern w:val="24"/>
                <w:sz w:val="22"/>
                <w:szCs w:val="22"/>
                <w:lang w:eastAsia="en-GB"/>
              </w:rPr>
              <w:t>Number of admitted patients with a pre-fracture mobility score of 1, 2 or 3 recorded at</w:t>
            </w:r>
            <w:r w:rsidR="002D1E0F">
              <w:rPr>
                <w:rFonts w:ascii="Arial" w:hAnsi="Arial" w:cs="Arial"/>
                <w:color w:val="000000"/>
                <w:kern w:val="24"/>
                <w:sz w:val="22"/>
                <w:szCs w:val="22"/>
                <w:lang w:eastAsia="en-GB"/>
              </w:rPr>
              <w:t xml:space="preserve"> </w:t>
            </w:r>
            <w:r w:rsidR="002D1E0F" w:rsidRPr="002D1E0F">
              <w:rPr>
                <w:rFonts w:ascii="Arial" w:hAnsi="Arial" w:cs="Arial"/>
                <w:color w:val="000000"/>
                <w:kern w:val="24"/>
                <w:sz w:val="22"/>
                <w:szCs w:val="22"/>
                <w:lang w:eastAsia="en-GB"/>
              </w:rPr>
              <w:t>admission, and a valid mobility score recorded at 120 days which was either lower (i.e.</w:t>
            </w:r>
            <w:r w:rsidR="002D1E0F">
              <w:rPr>
                <w:rFonts w:ascii="Arial" w:hAnsi="Arial" w:cs="Arial"/>
                <w:color w:val="000000"/>
                <w:kern w:val="24"/>
                <w:sz w:val="22"/>
                <w:szCs w:val="22"/>
                <w:lang w:eastAsia="en-GB"/>
              </w:rPr>
              <w:t xml:space="preserve"> </w:t>
            </w:r>
            <w:r w:rsidR="002D1E0F" w:rsidRPr="002D1E0F">
              <w:rPr>
                <w:rFonts w:ascii="Arial" w:hAnsi="Arial" w:cs="Arial"/>
                <w:color w:val="000000"/>
                <w:kern w:val="24"/>
                <w:sz w:val="22"/>
                <w:szCs w:val="22"/>
                <w:lang w:eastAsia="en-GB"/>
              </w:rPr>
              <w:t>better), the same or only one mobility category higher than mobility category at admission.</w:t>
            </w:r>
          </w:p>
          <w:p w14:paraId="4FC7B690" w14:textId="325B789E"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Denominator: </w:t>
            </w:r>
            <w:r w:rsidR="002D1E0F" w:rsidRPr="002D1E0F">
              <w:rPr>
                <w:rFonts w:ascii="Arial" w:hAnsi="Arial" w:cs="Arial"/>
                <w:color w:val="000000"/>
                <w:kern w:val="24"/>
                <w:sz w:val="22"/>
                <w:szCs w:val="22"/>
                <w:lang w:eastAsia="en-GB"/>
              </w:rPr>
              <w:t>Number of admitted patients with a pre-fracture mobility score of 1, 2 or 3 recorded at admission, and a valid mobility score recorded at 120 days.</w:t>
            </w:r>
          </w:p>
          <w:p w14:paraId="158FFEDA" w14:textId="77B3F763" w:rsidR="00F77F03" w:rsidRPr="006E1387" w:rsidRDefault="00F77F03"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Exclusions: </w:t>
            </w:r>
            <w:r w:rsidR="00ED0AB3">
              <w:rPr>
                <w:rFonts w:ascii="Arial" w:hAnsi="Arial" w:cs="Arial"/>
                <w:color w:val="000000"/>
                <w:kern w:val="24"/>
                <w:sz w:val="22"/>
                <w:szCs w:val="22"/>
                <w:lang w:eastAsia="en-GB"/>
              </w:rPr>
              <w:t xml:space="preserve">Patients </w:t>
            </w:r>
            <w:r w:rsidR="00223C3E">
              <w:rPr>
                <w:rFonts w:ascii="Arial" w:hAnsi="Arial" w:cs="Arial"/>
                <w:color w:val="000000"/>
                <w:kern w:val="24"/>
                <w:sz w:val="22"/>
                <w:szCs w:val="22"/>
                <w:lang w:eastAsia="en-GB"/>
              </w:rPr>
              <w:t>under</w:t>
            </w:r>
            <w:r w:rsidR="00ED0AB3">
              <w:rPr>
                <w:rFonts w:ascii="Arial" w:hAnsi="Arial" w:cs="Arial"/>
                <w:color w:val="000000"/>
                <w:kern w:val="24"/>
                <w:sz w:val="22"/>
                <w:szCs w:val="22"/>
                <w:lang w:eastAsia="en-GB"/>
              </w:rPr>
              <w:t xml:space="preserve"> 60 </w:t>
            </w:r>
            <w:r w:rsidR="00223C3E">
              <w:rPr>
                <w:rFonts w:ascii="Arial" w:hAnsi="Arial" w:cs="Arial"/>
                <w:color w:val="000000"/>
                <w:kern w:val="24"/>
                <w:sz w:val="22"/>
                <w:szCs w:val="22"/>
                <w:lang w:eastAsia="en-GB"/>
              </w:rPr>
              <w:t>or over</w:t>
            </w:r>
            <w:r w:rsidR="00ED0AB3">
              <w:rPr>
                <w:rFonts w:ascii="Arial" w:hAnsi="Arial" w:cs="Arial"/>
                <w:color w:val="000000"/>
                <w:kern w:val="24"/>
                <w:sz w:val="22"/>
                <w:szCs w:val="22"/>
                <w:lang w:eastAsia="en-GB"/>
              </w:rPr>
              <w:t xml:space="preserve"> 110 years old</w:t>
            </w:r>
            <w:r w:rsidRPr="006E1387">
              <w:rPr>
                <w:rFonts w:ascii="Arial" w:hAnsi="Arial" w:cs="Arial"/>
                <w:color w:val="000000"/>
                <w:kern w:val="24"/>
                <w:sz w:val="22"/>
                <w:szCs w:val="22"/>
                <w:lang w:eastAsia="en-GB"/>
              </w:rPr>
              <w:t>.</w:t>
            </w:r>
            <w:r w:rsidR="00303058">
              <w:rPr>
                <w:rFonts w:ascii="Arial" w:hAnsi="Arial" w:cs="Arial"/>
                <w:color w:val="000000"/>
                <w:kern w:val="24"/>
                <w:sz w:val="22"/>
                <w:szCs w:val="22"/>
                <w:lang w:eastAsia="en-GB"/>
              </w:rPr>
              <w:t xml:space="preserve"> Patients whose mobility score was 4 or 5 at admission, or whose mobility score was not recorded are excluded.</w:t>
            </w:r>
          </w:p>
          <w:p w14:paraId="4E1F5C0E" w14:textId="4B33C0BF"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Methodology: </w:t>
            </w:r>
            <w:r w:rsidR="00ED0AB3">
              <w:rPr>
                <w:rFonts w:ascii="Arial" w:hAnsi="Arial" w:cs="Arial"/>
                <w:color w:val="000000"/>
                <w:kern w:val="24"/>
                <w:sz w:val="22"/>
                <w:szCs w:val="22"/>
                <w:lang w:eastAsia="en-GB"/>
              </w:rPr>
              <w:t>Percentage</w:t>
            </w:r>
          </w:p>
          <w:p w14:paraId="241B73C2" w14:textId="037C5C53"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Geography:</w:t>
            </w:r>
            <w:r w:rsidR="00873503">
              <w:rPr>
                <w:rFonts w:ascii="Arial" w:hAnsi="Arial" w:cs="Arial"/>
                <w:color w:val="000000"/>
                <w:kern w:val="24"/>
                <w:sz w:val="22"/>
                <w:szCs w:val="22"/>
                <w:lang w:eastAsia="en-GB"/>
              </w:rPr>
              <w:t xml:space="preserve"> </w:t>
            </w:r>
            <w:r w:rsidR="002D1E0F">
              <w:rPr>
                <w:rFonts w:ascii="Arial" w:hAnsi="Arial" w:cs="Arial"/>
                <w:color w:val="000000"/>
                <w:kern w:val="24"/>
                <w:sz w:val="22"/>
                <w:szCs w:val="22"/>
                <w:lang w:eastAsia="en-GB"/>
              </w:rPr>
              <w:t>England, Local authority, Region, Provider (hospital). Breakdowns by gender, age, and mobility category at admission</w:t>
            </w:r>
          </w:p>
          <w:p w14:paraId="5B155699" w14:textId="595747BE"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Data Source:</w:t>
            </w:r>
            <w:r w:rsidR="00873503">
              <w:rPr>
                <w:rFonts w:ascii="Arial" w:hAnsi="Arial" w:cs="Arial"/>
                <w:color w:val="000000"/>
                <w:kern w:val="24"/>
                <w:sz w:val="22"/>
                <w:szCs w:val="22"/>
                <w:lang w:eastAsia="en-GB"/>
              </w:rPr>
              <w:t xml:space="preserve"> </w:t>
            </w:r>
            <w:r w:rsidR="00ED0AB3">
              <w:rPr>
                <w:rFonts w:ascii="Arial" w:hAnsi="Arial" w:cs="Arial"/>
                <w:color w:val="000000"/>
                <w:kern w:val="24"/>
                <w:sz w:val="22"/>
                <w:szCs w:val="22"/>
                <w:lang w:eastAsia="en-GB"/>
              </w:rPr>
              <w:t>National Hip Fracture Database (NHFD)</w:t>
            </w:r>
          </w:p>
          <w:p w14:paraId="134E4565" w14:textId="589D4065" w:rsidR="00A54F81" w:rsidRPr="006E1387" w:rsidRDefault="00873503" w:rsidP="00ED0AB3">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Disclosure control: </w:t>
            </w:r>
            <w:r w:rsidR="00ED0AB3" w:rsidRPr="00ED0AB3">
              <w:rPr>
                <w:rFonts w:ascii="Arial" w:hAnsi="Arial" w:cs="Arial"/>
                <w:color w:val="000000"/>
                <w:kern w:val="24"/>
                <w:sz w:val="22"/>
                <w:szCs w:val="22"/>
                <w:lang w:eastAsia="en-GB"/>
              </w:rPr>
              <w:t>Where the indicator value is calculated from a numerator or a denominator of between one and five (inclusive), both the numerator</w:t>
            </w:r>
            <w:r w:rsidR="00ED0AB3">
              <w:rPr>
                <w:rFonts w:ascii="Arial" w:hAnsi="Arial" w:cs="Arial"/>
                <w:color w:val="000000"/>
                <w:kern w:val="24"/>
                <w:sz w:val="22"/>
                <w:szCs w:val="22"/>
                <w:lang w:eastAsia="en-GB"/>
              </w:rPr>
              <w:t xml:space="preserve"> and denominator are suppressed. </w:t>
            </w:r>
            <w:r w:rsidR="00ED0AB3" w:rsidRPr="00ED0AB3">
              <w:rPr>
                <w:rFonts w:ascii="Arial" w:hAnsi="Arial" w:cs="Arial"/>
                <w:color w:val="000000"/>
                <w:kern w:val="24"/>
                <w:sz w:val="22"/>
                <w:szCs w:val="22"/>
                <w:lang w:eastAsia="en-GB"/>
              </w:rPr>
              <w:t xml:space="preserve">Indicator values and confidence intervals </w:t>
            </w:r>
            <w:r w:rsidR="00ED0AB3" w:rsidRPr="00ED0AB3">
              <w:rPr>
                <w:rFonts w:ascii="Arial" w:hAnsi="Arial" w:cs="Arial"/>
                <w:color w:val="000000"/>
                <w:kern w:val="24"/>
                <w:sz w:val="22"/>
                <w:szCs w:val="22"/>
                <w:lang w:eastAsia="en-GB"/>
              </w:rPr>
              <w:lastRenderedPageBreak/>
              <w:t xml:space="preserve">calculated from suppressed figures </w:t>
            </w:r>
            <w:r w:rsidR="00ED0AB3">
              <w:rPr>
                <w:rFonts w:ascii="Arial" w:hAnsi="Arial" w:cs="Arial"/>
                <w:color w:val="000000"/>
                <w:kern w:val="24"/>
                <w:sz w:val="22"/>
                <w:szCs w:val="22"/>
                <w:lang w:eastAsia="en-GB"/>
              </w:rPr>
              <w:t>are suppressed</w:t>
            </w:r>
            <w:r w:rsidR="00ED0AB3" w:rsidRPr="00ED0AB3">
              <w:rPr>
                <w:rFonts w:ascii="Arial" w:hAnsi="Arial" w:cs="Arial"/>
                <w:color w:val="000000"/>
                <w:kern w:val="24"/>
                <w:sz w:val="22"/>
                <w:szCs w:val="22"/>
                <w:lang w:eastAsia="en-GB"/>
              </w:rPr>
              <w:t>. Percentages are rounded to one decimal place before publication.</w:t>
            </w:r>
          </w:p>
        </w:tc>
        <w:tc>
          <w:tcPr>
            <w:tcW w:w="3047" w:type="dxa"/>
          </w:tcPr>
          <w:p w14:paraId="3C3529D2" w14:textId="26F8C9FC"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lastRenderedPageBreak/>
              <w:t>The indicator has defined components necessary to construct the indicator</w:t>
            </w:r>
            <w:r w:rsidR="00C82B37">
              <w:rPr>
                <w:rFonts w:ascii="Arial" w:eastAsiaTheme="minorEastAsia" w:hAnsi="Arial" w:cs="Arial"/>
                <w:color w:val="000000" w:themeColor="dark1"/>
                <w:kern w:val="24"/>
                <w:sz w:val="22"/>
                <w:szCs w:val="22"/>
              </w:rPr>
              <w:t>, including numerator and denominator</w:t>
            </w:r>
            <w:r w:rsidR="00CC6DF8">
              <w:rPr>
                <w:rFonts w:ascii="Arial" w:eastAsiaTheme="minorEastAsia" w:hAnsi="Arial" w:cs="Arial"/>
                <w:color w:val="000000" w:themeColor="dark1"/>
                <w:kern w:val="24"/>
                <w:sz w:val="22"/>
                <w:szCs w:val="22"/>
              </w:rPr>
              <w:t>.</w:t>
            </w:r>
          </w:p>
          <w:p w14:paraId="42FC7796" w14:textId="5A354569" w:rsidR="00455B14" w:rsidRPr="006E1387" w:rsidRDefault="00455B14" w:rsidP="00455B14">
            <w:pPr>
              <w:spacing w:before="120" w:after="120"/>
              <w:rPr>
                <w:rFonts w:ascii="Arial" w:hAnsi="Arial" w:cs="Arial"/>
                <w:color w:val="000000"/>
                <w:kern w:val="24"/>
                <w:sz w:val="22"/>
                <w:szCs w:val="22"/>
                <w:lang w:eastAsia="en-GB"/>
              </w:rPr>
            </w:pPr>
          </w:p>
        </w:tc>
      </w:tr>
      <w:tr w:rsidR="00455B14" w:rsidRPr="006E1387" w14:paraId="23FEA25E" w14:textId="6A849BFE" w:rsidTr="00455B14">
        <w:tc>
          <w:tcPr>
            <w:tcW w:w="1878" w:type="dxa"/>
          </w:tcPr>
          <w:p w14:paraId="05670B1F" w14:textId="657854F2"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 xml:space="preserve">Feasibility  </w:t>
            </w:r>
          </w:p>
        </w:tc>
        <w:tc>
          <w:tcPr>
            <w:tcW w:w="4092" w:type="dxa"/>
          </w:tcPr>
          <w:p w14:paraId="23202A2C" w14:textId="1471160A" w:rsidR="002B4762" w:rsidRPr="006E1387" w:rsidRDefault="000747EF" w:rsidP="00ED0AB3">
            <w:pPr>
              <w:spacing w:before="120" w:after="120"/>
              <w:rPr>
                <w:rFonts w:ascii="Arial" w:hAnsi="Arial" w:cs="Arial"/>
                <w:sz w:val="22"/>
                <w:szCs w:val="22"/>
              </w:rPr>
            </w:pPr>
            <w:r>
              <w:rPr>
                <w:rFonts w:ascii="Arial" w:hAnsi="Arial" w:cs="Arial"/>
                <w:sz w:val="22"/>
                <w:szCs w:val="22"/>
              </w:rPr>
              <w:t>The data comes from long running data sources (NHFD</w:t>
            </w:r>
            <w:r>
              <w:rPr>
                <w:rStyle w:val="FootnoteReference"/>
                <w:rFonts w:ascii="Arial" w:hAnsi="Arial" w:cs="Arial"/>
                <w:sz w:val="22"/>
                <w:szCs w:val="22"/>
              </w:rPr>
              <w:footnoteReference w:id="4"/>
            </w:r>
            <w:r>
              <w:rPr>
                <w:rFonts w:ascii="Arial" w:hAnsi="Arial" w:cs="Arial"/>
                <w:sz w:val="22"/>
                <w:szCs w:val="22"/>
              </w:rPr>
              <w:t xml:space="preserve">), </w:t>
            </w:r>
            <w:r w:rsidRPr="00A563C8">
              <w:rPr>
                <w:rFonts w:ascii="Arial" w:hAnsi="Arial" w:cs="Arial"/>
                <w:sz w:val="22"/>
                <w:szCs w:val="22"/>
              </w:rPr>
              <w:t xml:space="preserve">however no published data in the </w:t>
            </w:r>
            <w:r>
              <w:rPr>
                <w:rFonts w:ascii="Arial" w:hAnsi="Arial" w:cs="Arial"/>
                <w:sz w:val="22"/>
                <w:szCs w:val="22"/>
              </w:rPr>
              <w:t>NHSOF</w:t>
            </w:r>
            <w:r w:rsidRPr="00A563C8">
              <w:rPr>
                <w:rFonts w:ascii="Arial" w:hAnsi="Arial" w:cs="Arial"/>
                <w:sz w:val="22"/>
                <w:szCs w:val="22"/>
              </w:rPr>
              <w:t xml:space="preserve"> since </w:t>
            </w:r>
            <w:r>
              <w:rPr>
                <w:rFonts w:ascii="Arial" w:hAnsi="Arial" w:cs="Arial"/>
                <w:sz w:val="22"/>
                <w:szCs w:val="22"/>
              </w:rPr>
              <w:t>2017</w:t>
            </w:r>
            <w:r w:rsidRPr="00A563C8">
              <w:rPr>
                <w:rFonts w:ascii="Arial" w:hAnsi="Arial" w:cs="Arial"/>
                <w:sz w:val="22"/>
                <w:szCs w:val="22"/>
              </w:rPr>
              <w:t xml:space="preserve">. NHS Digital have </w:t>
            </w:r>
            <w:r w:rsidR="00D4516F">
              <w:rPr>
                <w:rFonts w:ascii="Arial" w:hAnsi="Arial" w:cs="Arial"/>
                <w:sz w:val="22"/>
                <w:szCs w:val="22"/>
              </w:rPr>
              <w:t>advised</w:t>
            </w:r>
            <w:r w:rsidR="00D4516F" w:rsidRPr="00A563C8">
              <w:rPr>
                <w:rFonts w:ascii="Arial" w:hAnsi="Arial" w:cs="Arial"/>
                <w:sz w:val="22"/>
                <w:szCs w:val="22"/>
              </w:rPr>
              <w:t xml:space="preserve"> </w:t>
            </w:r>
            <w:r w:rsidRPr="00A563C8">
              <w:rPr>
                <w:rFonts w:ascii="Arial" w:hAnsi="Arial" w:cs="Arial"/>
                <w:sz w:val="22"/>
                <w:szCs w:val="22"/>
              </w:rPr>
              <w:t>that no active development is taking place for this indicator.</w:t>
            </w:r>
          </w:p>
        </w:tc>
        <w:tc>
          <w:tcPr>
            <w:tcW w:w="3047" w:type="dxa"/>
          </w:tcPr>
          <w:p w14:paraId="6CB2BD43" w14:textId="77777777" w:rsidR="00455B14" w:rsidRDefault="00455B14" w:rsidP="00873503">
            <w:pPr>
              <w:spacing w:before="120" w:after="120"/>
              <w:rPr>
                <w:rFonts w:ascii="Arial" w:eastAsiaTheme="minorEastAsia" w:hAnsi="Arial" w:cs="Arial"/>
                <w:color w:val="000000" w:themeColor="dark1"/>
                <w:kern w:val="24"/>
                <w:sz w:val="22"/>
                <w:szCs w:val="22"/>
                <w:lang w:eastAsia="en-GB"/>
              </w:rPr>
            </w:pPr>
            <w:r w:rsidRPr="006E1387">
              <w:rPr>
                <w:rFonts w:ascii="Arial" w:eastAsiaTheme="minorEastAsia" w:hAnsi="Arial" w:cs="Arial"/>
                <w:color w:val="000000" w:themeColor="dark1"/>
                <w:kern w:val="24"/>
                <w:sz w:val="22"/>
                <w:szCs w:val="22"/>
                <w:lang w:eastAsia="en-GB"/>
              </w:rPr>
              <w:t xml:space="preserve">The indicator uses existing data fields </w:t>
            </w:r>
            <w:r w:rsidR="00AB6032" w:rsidRPr="006E1387">
              <w:rPr>
                <w:rFonts w:ascii="Arial" w:eastAsiaTheme="minorEastAsia" w:hAnsi="Arial" w:cs="Arial"/>
                <w:color w:val="000000" w:themeColor="dark1"/>
                <w:kern w:val="24"/>
                <w:sz w:val="22"/>
                <w:szCs w:val="22"/>
                <w:lang w:eastAsia="en-GB"/>
              </w:rPr>
              <w:t xml:space="preserve">within </w:t>
            </w:r>
            <w:r w:rsidR="00873503">
              <w:rPr>
                <w:rFonts w:ascii="Arial" w:eastAsiaTheme="minorEastAsia" w:hAnsi="Arial" w:cs="Arial"/>
                <w:color w:val="000000" w:themeColor="dark1"/>
                <w:kern w:val="24"/>
                <w:sz w:val="22"/>
                <w:szCs w:val="22"/>
                <w:lang w:eastAsia="en-GB"/>
              </w:rPr>
              <w:t>published data.</w:t>
            </w:r>
          </w:p>
          <w:p w14:paraId="7C614BB1" w14:textId="3BA9650C" w:rsidR="000747EF" w:rsidRPr="006E1387" w:rsidRDefault="0038079E" w:rsidP="00873503">
            <w:pPr>
              <w:spacing w:before="120" w:after="120"/>
              <w:rPr>
                <w:rFonts w:ascii="Arial" w:eastAsiaTheme="minorEastAsia" w:hAnsi="Arial" w:cs="Arial"/>
                <w:color w:val="000000" w:themeColor="dark1"/>
                <w:kern w:val="24"/>
                <w:sz w:val="22"/>
                <w:szCs w:val="22"/>
                <w:lang w:eastAsia="en-GB"/>
              </w:rPr>
            </w:pPr>
            <w:r w:rsidRPr="00043819">
              <w:rPr>
                <w:rFonts w:ascii="Arial" w:eastAsiaTheme="minorEastAsia" w:hAnsi="Arial" w:cs="Arial"/>
                <w:color w:val="000000" w:themeColor="dark1"/>
                <w:kern w:val="24"/>
                <w:sz w:val="22"/>
                <w:szCs w:val="22"/>
                <w:lang w:eastAsia="en-GB"/>
              </w:rPr>
              <w:t>We have been advised by NHS Digital that no active development is taking place on this indicator.</w:t>
            </w:r>
            <w:r>
              <w:rPr>
                <w:rFonts w:ascii="Arial" w:eastAsiaTheme="minorEastAsia" w:hAnsi="Arial" w:cs="Arial"/>
                <w:color w:val="000000" w:themeColor="dark1"/>
                <w:kern w:val="24"/>
                <w:sz w:val="22"/>
                <w:szCs w:val="22"/>
                <w:lang w:eastAsia="en-GB"/>
              </w:rPr>
              <w:t xml:space="preserve"> </w:t>
            </w:r>
          </w:p>
        </w:tc>
      </w:tr>
      <w:tr w:rsidR="00455B14" w:rsidRPr="006E1387" w14:paraId="211AFDFC" w14:textId="3BA1BF23" w:rsidTr="00455B14">
        <w:tc>
          <w:tcPr>
            <w:tcW w:w="1878" w:type="dxa"/>
          </w:tcPr>
          <w:p w14:paraId="7AA7B574"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Acceptability</w:t>
            </w:r>
          </w:p>
        </w:tc>
        <w:tc>
          <w:tcPr>
            <w:tcW w:w="4092" w:type="dxa"/>
          </w:tcPr>
          <w:p w14:paraId="25FCF178" w14:textId="0ED16D09" w:rsidR="009F3187" w:rsidRDefault="002D1E0F" w:rsidP="00D70974">
            <w:pPr>
              <w:spacing w:before="120" w:after="120"/>
              <w:rPr>
                <w:rFonts w:ascii="Arial" w:hAnsi="Arial" w:cs="Arial"/>
                <w:sz w:val="22"/>
                <w:szCs w:val="22"/>
              </w:rPr>
            </w:pPr>
            <w:r>
              <w:rPr>
                <w:rFonts w:ascii="Arial" w:hAnsi="Arial" w:cs="Arial"/>
                <w:sz w:val="22"/>
                <w:szCs w:val="22"/>
              </w:rPr>
              <w:t xml:space="preserve">Data </w:t>
            </w:r>
            <w:r w:rsidR="00842C77">
              <w:rPr>
                <w:rFonts w:ascii="Arial" w:hAnsi="Arial" w:cs="Arial"/>
                <w:sz w:val="22"/>
                <w:szCs w:val="22"/>
              </w:rPr>
              <w:t>was</w:t>
            </w:r>
            <w:r>
              <w:rPr>
                <w:rFonts w:ascii="Arial" w:hAnsi="Arial" w:cs="Arial"/>
                <w:sz w:val="22"/>
                <w:szCs w:val="22"/>
              </w:rPr>
              <w:t xml:space="preserve"> showing improvement over time, and multiple geographical and further breakdowns are available.</w:t>
            </w:r>
            <w:r w:rsidR="000E7232">
              <w:rPr>
                <w:rFonts w:ascii="Arial" w:hAnsi="Arial" w:cs="Arial"/>
                <w:sz w:val="22"/>
                <w:szCs w:val="22"/>
              </w:rPr>
              <w:t xml:space="preserve"> Some lower level breakdowns are suppressed due to small numbers.</w:t>
            </w:r>
          </w:p>
          <w:p w14:paraId="2117977B" w14:textId="51945442" w:rsidR="000747EF" w:rsidRPr="006E1387" w:rsidRDefault="000E7232" w:rsidP="001241EE">
            <w:pPr>
              <w:spacing w:before="120" w:after="120"/>
              <w:rPr>
                <w:rFonts w:cs="Arial"/>
                <w:sz w:val="22"/>
                <w:szCs w:val="22"/>
              </w:rPr>
            </w:pPr>
            <w:r w:rsidRPr="00B91763">
              <w:rPr>
                <w:rFonts w:ascii="Arial" w:hAnsi="Arial" w:cs="Arial"/>
                <w:sz w:val="22"/>
                <w:szCs w:val="22"/>
              </w:rPr>
              <w:t xml:space="preserve">Category 4 and 5 patients are excluded since the definition of recovery would class all of these patients as ‘recovered’, hence their exclusion.   </w:t>
            </w:r>
            <w:r>
              <w:rPr>
                <w:rFonts w:ascii="Arial" w:hAnsi="Arial" w:cs="Arial"/>
                <w:sz w:val="22"/>
                <w:szCs w:val="22"/>
              </w:rPr>
              <w:t>Correspondence with NHS Digital has confirmed that c</w:t>
            </w:r>
            <w:r w:rsidRPr="00B91763">
              <w:rPr>
                <w:rFonts w:ascii="Arial" w:hAnsi="Arial" w:cs="Arial"/>
                <w:sz w:val="22"/>
                <w:szCs w:val="22"/>
              </w:rPr>
              <w:t>oncern has been expressed over this exclusion because a large proportion of those aged 80+ are in category 4 and 5; nonetheless this seems appropriate</w:t>
            </w:r>
            <w:r>
              <w:rPr>
                <w:rFonts w:ascii="Arial" w:hAnsi="Arial" w:cs="Arial"/>
                <w:sz w:val="22"/>
                <w:szCs w:val="22"/>
              </w:rPr>
              <w:t>.</w:t>
            </w:r>
          </w:p>
        </w:tc>
        <w:tc>
          <w:tcPr>
            <w:tcW w:w="3047" w:type="dxa"/>
          </w:tcPr>
          <w:p w14:paraId="29506238" w14:textId="3E6B25C0"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assesses performance that is attributable to or within the control of the audience</w:t>
            </w:r>
            <w:r w:rsidR="00CB08E8">
              <w:rPr>
                <w:rFonts w:ascii="Arial" w:eastAsiaTheme="minorEastAsia" w:hAnsi="Arial" w:cs="Arial"/>
                <w:color w:val="000000" w:themeColor="dark1"/>
                <w:kern w:val="24"/>
                <w:sz w:val="22"/>
                <w:szCs w:val="22"/>
              </w:rPr>
              <w:t>, both in a clinical and public health setting</w:t>
            </w:r>
            <w:r w:rsidR="00AB6032" w:rsidRPr="006E1387">
              <w:rPr>
                <w:rFonts w:ascii="Arial" w:eastAsiaTheme="minorEastAsia" w:hAnsi="Arial" w:cs="Arial"/>
                <w:color w:val="000000" w:themeColor="dark1"/>
                <w:kern w:val="24"/>
                <w:sz w:val="22"/>
                <w:szCs w:val="22"/>
              </w:rPr>
              <w:t>.</w:t>
            </w:r>
          </w:p>
          <w:p w14:paraId="472E62AD" w14:textId="14006EFD" w:rsidR="002223A6" w:rsidRPr="006E1387" w:rsidRDefault="00455B14" w:rsidP="00455B14">
            <w:pPr>
              <w:spacing w:before="120" w:after="120"/>
              <w:rPr>
                <w:rFonts w:ascii="Arial" w:eastAsiaTheme="minorEastAsia" w:hAnsi="Arial" w:cs="Arial"/>
                <w:color w:val="000000" w:themeColor="dark1"/>
                <w:kern w:val="24"/>
                <w:sz w:val="22"/>
                <w:szCs w:val="22"/>
                <w:lang w:eastAsia="en-GB"/>
              </w:rPr>
            </w:pPr>
            <w:r w:rsidRPr="006E1387">
              <w:rPr>
                <w:rFonts w:ascii="Arial" w:eastAsiaTheme="minorEastAsia" w:hAnsi="Arial" w:cs="Arial"/>
                <w:color w:val="000000" w:themeColor="dark1"/>
                <w:kern w:val="24"/>
                <w:sz w:val="22"/>
                <w:szCs w:val="22"/>
                <w:lang w:eastAsia="en-GB"/>
              </w:rPr>
              <w:t>The results of the indicator can be used to improve practice</w:t>
            </w:r>
            <w:r w:rsidR="009B0E59" w:rsidRPr="006E1387">
              <w:rPr>
                <w:rFonts w:ascii="Arial" w:eastAsiaTheme="minorEastAsia" w:hAnsi="Arial" w:cs="Arial"/>
                <w:color w:val="000000" w:themeColor="dark1"/>
                <w:kern w:val="24"/>
                <w:sz w:val="22"/>
                <w:szCs w:val="22"/>
                <w:lang w:eastAsia="en-GB"/>
              </w:rPr>
              <w:t>.</w:t>
            </w:r>
          </w:p>
        </w:tc>
      </w:tr>
      <w:tr w:rsidR="00842C77" w:rsidRPr="006E1387" w14:paraId="515852F3" w14:textId="598C7331" w:rsidTr="00455B14">
        <w:tc>
          <w:tcPr>
            <w:tcW w:w="1878" w:type="dxa"/>
          </w:tcPr>
          <w:p w14:paraId="5DC1BD3A" w14:textId="17F33E7B" w:rsidR="00842C77" w:rsidRPr="006E1387" w:rsidRDefault="00842C77" w:rsidP="00842C77">
            <w:pPr>
              <w:spacing w:before="120" w:after="120"/>
              <w:rPr>
                <w:rFonts w:ascii="Arial" w:hAnsi="Arial" w:cs="Arial"/>
                <w:color w:val="000000"/>
                <w:kern w:val="24"/>
                <w:sz w:val="22"/>
                <w:szCs w:val="22"/>
              </w:rPr>
            </w:pPr>
            <w:r w:rsidRPr="006E1387">
              <w:rPr>
                <w:rFonts w:ascii="Arial" w:hAnsi="Arial" w:cs="Arial"/>
                <w:color w:val="000000"/>
                <w:kern w:val="24"/>
                <w:sz w:val="22"/>
                <w:szCs w:val="22"/>
              </w:rPr>
              <w:t>Risk</w:t>
            </w:r>
          </w:p>
        </w:tc>
        <w:tc>
          <w:tcPr>
            <w:tcW w:w="4092" w:type="dxa"/>
          </w:tcPr>
          <w:p w14:paraId="6C854FEE" w14:textId="1D1D299F" w:rsidR="00842C77" w:rsidRPr="006E1387" w:rsidRDefault="00842C77" w:rsidP="00842C77">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No further risks identified.</w:t>
            </w:r>
          </w:p>
        </w:tc>
        <w:tc>
          <w:tcPr>
            <w:tcW w:w="3047" w:type="dxa"/>
          </w:tcPr>
          <w:p w14:paraId="7C2C11AA" w14:textId="73834107" w:rsidR="00842C77" w:rsidRPr="006E1387" w:rsidRDefault="00842C77" w:rsidP="00842C77">
            <w:pPr>
              <w:pStyle w:val="NICEnormal"/>
              <w:spacing w:before="120" w:after="120" w:line="240" w:lineRule="auto"/>
              <w:rPr>
                <w:rFonts w:cs="Arial"/>
                <w:color w:val="000000"/>
                <w:kern w:val="24"/>
                <w:sz w:val="22"/>
                <w:szCs w:val="22"/>
                <w:lang w:eastAsia="en-GB"/>
              </w:rPr>
            </w:pPr>
            <w:r>
              <w:rPr>
                <w:rFonts w:cs="Arial"/>
                <w:color w:val="000000"/>
                <w:kern w:val="24"/>
                <w:sz w:val="22"/>
                <w:szCs w:val="22"/>
                <w:lang w:eastAsia="en-GB"/>
              </w:rPr>
              <w:t>No further risks identified.</w:t>
            </w:r>
          </w:p>
        </w:tc>
      </w:tr>
    </w:tbl>
    <w:p w14:paraId="37D9A2F5" w14:textId="084C27AB" w:rsidR="004A517E" w:rsidRDefault="004A517E">
      <w:pPr>
        <w:rPr>
          <w:rFonts w:ascii="Arial" w:hAnsi="Arial"/>
          <w:lang w:val="en-US"/>
        </w:rPr>
      </w:pPr>
    </w:p>
    <w:p w14:paraId="0B5B6DD2" w14:textId="3BC8AB6C" w:rsidR="001241EE" w:rsidRPr="003279AF" w:rsidRDefault="00FB5006" w:rsidP="00FB5006">
      <w:pPr>
        <w:pStyle w:val="Paragraph"/>
      </w:pPr>
      <w:r>
        <w:rPr>
          <w:b/>
        </w:rPr>
        <w:t>S</w:t>
      </w:r>
      <w:r w:rsidR="00424B4D" w:rsidRPr="00C01907">
        <w:rPr>
          <w:b/>
        </w:rPr>
        <w:t>ummary:</w:t>
      </w:r>
      <w:r w:rsidR="00424B4D" w:rsidRPr="00424B4D">
        <w:t xml:space="preserve"> </w:t>
      </w:r>
      <w:bookmarkStart w:id="1" w:name="_Hlk96692161"/>
      <w:r>
        <w:rPr>
          <w:bCs/>
        </w:rPr>
        <w:t>Indicator to be provisionally renewed.</w:t>
      </w:r>
      <w:bookmarkEnd w:id="1"/>
    </w:p>
    <w:p w14:paraId="4D90C6CA" w14:textId="77777777" w:rsidR="001241EE" w:rsidRDefault="001241EE" w:rsidP="001241EE">
      <w:pPr>
        <w:pStyle w:val="Paragraphnonumbers"/>
        <w:rPr>
          <w:b/>
        </w:rPr>
      </w:pPr>
      <w:r>
        <w:rPr>
          <w:b/>
        </w:rPr>
        <w:t xml:space="preserve">NHS Digital Indicator reference: </w:t>
      </w:r>
    </w:p>
    <w:p w14:paraId="46270162" w14:textId="4350781A" w:rsidR="001241EE" w:rsidRDefault="001241EE" w:rsidP="001241EE">
      <w:pPr>
        <w:pStyle w:val="Paragraphnonumbers"/>
      </w:pPr>
      <w:r>
        <w:t>NHS Outcomes Framework – 3.5.ii</w:t>
      </w:r>
      <w:r w:rsidRPr="00FC18B4">
        <w:t xml:space="preserve"> </w:t>
      </w:r>
      <w:r w:rsidRPr="001241EE">
        <w:t>Hip fracture: Proportion of patients recovering to their previous levels of mobility / walking ability at 120 days</w:t>
      </w:r>
    </w:p>
    <w:p w14:paraId="1BF46F38" w14:textId="77777777" w:rsidR="001241EE" w:rsidRDefault="001241EE" w:rsidP="00424B4D">
      <w:pPr>
        <w:pStyle w:val="Paragraph"/>
      </w:pPr>
    </w:p>
    <w:sectPr w:rsidR="001241EE" w:rsidSect="00192B09">
      <w:headerReference w:type="default" r:id="rId8"/>
      <w:footerReference w:type="default" r:id="rId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4AE2E" w14:textId="77777777" w:rsidR="00ED6F53" w:rsidRDefault="00ED6F53" w:rsidP="00446BEE">
      <w:r>
        <w:separator/>
      </w:r>
    </w:p>
  </w:endnote>
  <w:endnote w:type="continuationSeparator" w:id="0">
    <w:p w14:paraId="1EE071A7" w14:textId="77777777" w:rsidR="00ED6F53" w:rsidRDefault="00ED6F5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ECCB9" w14:textId="77777777" w:rsidR="001A21E9" w:rsidRDefault="001A21E9" w:rsidP="001A21E9">
    <w:pPr>
      <w:pStyle w:val="Footer"/>
    </w:pPr>
    <w:r>
      <w:t xml:space="preserve">IAP00516 </w:t>
    </w:r>
    <w:r w:rsidRPr="001A21E9">
      <w:t>Hip fracture: proportion of patients recovering to their previous levels of mobility/walking ability at 120 days</w:t>
    </w:r>
    <w:r w:rsidR="009B0E59">
      <w:t xml:space="preserve">: Validity assessment </w:t>
    </w:r>
    <w:r>
      <w:t>March 2022</w:t>
    </w:r>
  </w:p>
  <w:p w14:paraId="0042B07A" w14:textId="58C5B9AE" w:rsidR="00BB14CA" w:rsidRPr="008C1C95" w:rsidRDefault="009B0E59" w:rsidP="001A21E9">
    <w:pPr>
      <w:pStyle w:val="Footer"/>
    </w:pPr>
    <w:r>
      <w:tab/>
    </w:r>
    <w:r>
      <w:tab/>
    </w:r>
    <w:r w:rsidR="00BB14CA">
      <w:fldChar w:fldCharType="begin"/>
    </w:r>
    <w:r w:rsidR="00BB14CA">
      <w:instrText xml:space="preserve"> PAGE </w:instrText>
    </w:r>
    <w:r w:rsidR="00BB14CA">
      <w:fldChar w:fldCharType="separate"/>
    </w:r>
    <w:r w:rsidR="00EE2E4B">
      <w:rPr>
        <w:noProof/>
      </w:rPr>
      <w:t>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EE2E4B">
      <w:rPr>
        <w:noProof/>
      </w:rPr>
      <w:t>4</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7BEBC" w14:textId="77777777" w:rsidR="00ED6F53" w:rsidRDefault="00ED6F53" w:rsidP="00446BEE">
      <w:r>
        <w:separator/>
      </w:r>
    </w:p>
  </w:footnote>
  <w:footnote w:type="continuationSeparator" w:id="0">
    <w:p w14:paraId="28DE568C" w14:textId="77777777" w:rsidR="00ED6F53" w:rsidRDefault="00ED6F53" w:rsidP="00446BEE">
      <w:r>
        <w:continuationSeparator/>
      </w:r>
    </w:p>
  </w:footnote>
  <w:footnote w:id="1">
    <w:p w14:paraId="3CDD62BB" w14:textId="189AAFDB" w:rsidR="00ED0AB3" w:rsidRDefault="00636B55" w:rsidP="00ED0AB3">
      <w:pPr>
        <w:pStyle w:val="FootnoteText"/>
      </w:pPr>
      <w:r>
        <w:rPr>
          <w:rStyle w:val="FootnoteReference"/>
        </w:rPr>
        <w:footnoteRef/>
      </w:r>
      <w:r>
        <w:t xml:space="preserve"> </w:t>
      </w:r>
      <w:r w:rsidR="00ED0AB3" w:rsidRPr="00ED0AB3">
        <w:t xml:space="preserve">NHS Digital. </w:t>
      </w:r>
      <w:r w:rsidR="00ED0AB3">
        <w:t>CCG</w:t>
      </w:r>
      <w:r w:rsidR="00ED0AB3" w:rsidRPr="00ED0AB3">
        <w:t xml:space="preserve"> outcomes </w:t>
      </w:r>
      <w:r w:rsidR="00ED0AB3">
        <w:t>indicator set</w:t>
      </w:r>
      <w:r w:rsidR="00ED0AB3" w:rsidRPr="00ED0AB3">
        <w:t xml:space="preserve">, Indicator Quality Statement, Domain </w:t>
      </w:r>
      <w:r w:rsidR="00ED0AB3">
        <w:t>3</w:t>
      </w:r>
      <w:r w:rsidR="00ED0AB3" w:rsidRPr="00ED0AB3">
        <w:t xml:space="preserve">. </w:t>
      </w:r>
      <w:r w:rsidR="00ED0AB3">
        <w:t>3.1</w:t>
      </w:r>
      <w:r w:rsidR="00D70974">
        <w:t>0ii</w:t>
      </w:r>
    </w:p>
    <w:p w14:paraId="49A3C76C" w14:textId="5C158EDB" w:rsidR="00636B55" w:rsidRDefault="00D70974" w:rsidP="00ED0AB3">
      <w:pPr>
        <w:pStyle w:val="FootnoteText"/>
      </w:pPr>
      <w:r w:rsidRPr="00D70974">
        <w:t>Hip fracture: proportion of patients recovering to their previous levels of mobility/walking ability at 120 days</w:t>
      </w:r>
      <w:r w:rsidR="00ED0AB3" w:rsidRPr="00ED0AB3">
        <w:t xml:space="preserve">. Version </w:t>
      </w:r>
      <w:r w:rsidR="00ED0AB3">
        <w:t>1.</w:t>
      </w:r>
      <w:r w:rsidR="000A2303">
        <w:t>3</w:t>
      </w:r>
      <w:r w:rsidR="00ED0AB3" w:rsidRPr="00ED0AB3">
        <w:t xml:space="preserve">, </w:t>
      </w:r>
      <w:r w:rsidR="000A2303">
        <w:t>September</w:t>
      </w:r>
      <w:r w:rsidR="00ED0AB3" w:rsidRPr="00ED0AB3">
        <w:t xml:space="preserve"> 201</w:t>
      </w:r>
      <w:r w:rsidR="000A2303">
        <w:t>9</w:t>
      </w:r>
    </w:p>
  </w:footnote>
  <w:footnote w:id="2">
    <w:p w14:paraId="287220AC" w14:textId="5FB14662" w:rsidR="00380F5C" w:rsidRDefault="00380F5C" w:rsidP="00380F5C">
      <w:pPr>
        <w:pStyle w:val="FootnoteText"/>
      </w:pPr>
      <w:r>
        <w:rPr>
          <w:rStyle w:val="FootnoteReference"/>
        </w:rPr>
        <w:footnoteRef/>
      </w:r>
      <w:r>
        <w:t xml:space="preserve"> </w:t>
      </w:r>
      <w:r w:rsidR="00B92350">
        <w:t>Hip fracture in adults</w:t>
      </w:r>
      <w:r>
        <w:t>,</w:t>
      </w:r>
      <w:r w:rsidR="00ED0AB3">
        <w:t xml:space="preserve"> last updated 16 May 2017</w:t>
      </w:r>
      <w:r>
        <w:t xml:space="preserve"> </w:t>
      </w:r>
      <w:hyperlink r:id="rId1" w:history="1">
        <w:r w:rsidR="00ED0AB3" w:rsidRPr="00194626">
          <w:rPr>
            <w:rStyle w:val="Hyperlink"/>
          </w:rPr>
          <w:t>https://www.nice.org.uk/guidance/qs16</w:t>
        </w:r>
      </w:hyperlink>
      <w:r w:rsidR="00ED0AB3">
        <w:t xml:space="preserve"> </w:t>
      </w:r>
    </w:p>
  </w:footnote>
  <w:footnote w:id="3">
    <w:p w14:paraId="3D5C292C" w14:textId="033BD7B6" w:rsidR="00380F5C" w:rsidRDefault="00380F5C" w:rsidP="00380F5C">
      <w:pPr>
        <w:pStyle w:val="FootnoteText"/>
      </w:pPr>
      <w:r>
        <w:rPr>
          <w:rStyle w:val="FootnoteReference"/>
        </w:rPr>
        <w:footnoteRef/>
      </w:r>
      <w:r>
        <w:t xml:space="preserve"> </w:t>
      </w:r>
      <w:r w:rsidR="00ED0AB3" w:rsidRPr="00ED0AB3">
        <w:t>Hip fracture: management</w:t>
      </w:r>
      <w:r w:rsidR="00B92350">
        <w:t xml:space="preserve">, last updated </w:t>
      </w:r>
      <w:r w:rsidR="00ED0AB3">
        <w:t>10 May 2017</w:t>
      </w:r>
      <w:r>
        <w:t xml:space="preserve">, </w:t>
      </w:r>
      <w:hyperlink r:id="rId2" w:history="1">
        <w:r w:rsidR="00ED0AB3" w:rsidRPr="00194626">
          <w:rPr>
            <w:rStyle w:val="Hyperlink"/>
          </w:rPr>
          <w:t>https://www.nice.org.uk/Guidance/CG124</w:t>
        </w:r>
      </w:hyperlink>
      <w:r w:rsidR="00ED0AB3">
        <w:t xml:space="preserve"> </w:t>
      </w:r>
    </w:p>
  </w:footnote>
  <w:footnote w:id="4">
    <w:p w14:paraId="291F46F0" w14:textId="77777777" w:rsidR="000747EF" w:rsidRDefault="000747EF" w:rsidP="000747EF">
      <w:pPr>
        <w:pStyle w:val="FootnoteText"/>
      </w:pPr>
      <w:r>
        <w:rPr>
          <w:rStyle w:val="FootnoteReference"/>
        </w:rPr>
        <w:footnoteRef/>
      </w:r>
      <w:r>
        <w:t xml:space="preserve"> National Hip Fracture Database, </w:t>
      </w:r>
      <w:hyperlink r:id="rId3" w:history="1">
        <w:r w:rsidRPr="00447922">
          <w:rPr>
            <w:rStyle w:val="Hyperlink"/>
          </w:rPr>
          <w:t>https://www.nhfd.co.uk/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E1FB0" w14:textId="77777777" w:rsidR="00BB14CA" w:rsidRPr="00482C01" w:rsidRDefault="00BB14CA" w:rsidP="00670FFB">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0"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10"/>
  </w:num>
  <w:num w:numId="3">
    <w:abstractNumId w:val="26"/>
  </w:num>
  <w:num w:numId="4">
    <w:abstractNumId w:val="11"/>
  </w:num>
  <w:num w:numId="5">
    <w:abstractNumId w:val="23"/>
  </w:num>
  <w:num w:numId="6">
    <w:abstractNumId w:val="1"/>
  </w:num>
  <w:num w:numId="7">
    <w:abstractNumId w:val="9"/>
  </w:num>
  <w:num w:numId="8">
    <w:abstractNumId w:val="21"/>
  </w:num>
  <w:num w:numId="9">
    <w:abstractNumId w:val="22"/>
  </w:num>
  <w:num w:numId="10">
    <w:abstractNumId w:val="4"/>
  </w:num>
  <w:num w:numId="11">
    <w:abstractNumId w:val="6"/>
  </w:num>
  <w:num w:numId="12">
    <w:abstractNumId w:val="2"/>
  </w:num>
  <w:num w:numId="13">
    <w:abstractNumId w:val="29"/>
  </w:num>
  <w:num w:numId="14">
    <w:abstractNumId w:val="13"/>
  </w:num>
  <w:num w:numId="15">
    <w:abstractNumId w:val="8"/>
  </w:num>
  <w:num w:numId="16">
    <w:abstractNumId w:val="18"/>
  </w:num>
  <w:num w:numId="17">
    <w:abstractNumId w:val="15"/>
  </w:num>
  <w:num w:numId="18">
    <w:abstractNumId w:val="20"/>
  </w:num>
  <w:num w:numId="19">
    <w:abstractNumId w:val="24"/>
  </w:num>
  <w:num w:numId="20">
    <w:abstractNumId w:val="5"/>
  </w:num>
  <w:num w:numId="21">
    <w:abstractNumId w:val="27"/>
  </w:num>
  <w:num w:numId="22">
    <w:abstractNumId w:val="0"/>
  </w:num>
  <w:num w:numId="23">
    <w:abstractNumId w:val="3"/>
  </w:num>
  <w:num w:numId="24">
    <w:abstractNumId w:val="25"/>
  </w:num>
  <w:num w:numId="25">
    <w:abstractNumId w:val="17"/>
  </w:num>
  <w:num w:numId="26">
    <w:abstractNumId w:val="16"/>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4"/>
  </w:num>
  <w:num w:numId="30">
    <w:abstractNumId w:val="12"/>
  </w:num>
  <w:num w:numId="31">
    <w:abstractNumId w:val="4"/>
  </w:num>
  <w:num w:numId="32">
    <w:abstractNumId w:val="4"/>
  </w:num>
  <w:num w:numId="33">
    <w:abstractNumId w:val="4"/>
  </w:num>
  <w:num w:numId="34">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4"/>
  </w:num>
  <w:num w:numId="37">
    <w:abstractNumId w:val="4"/>
  </w:num>
  <w:num w:numId="38">
    <w:abstractNumId w:val="28"/>
  </w:num>
  <w:num w:numId="39">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414CD"/>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47EF"/>
    <w:rsid w:val="000769BB"/>
    <w:rsid w:val="00077062"/>
    <w:rsid w:val="00077DF9"/>
    <w:rsid w:val="00077EEC"/>
    <w:rsid w:val="0008047F"/>
    <w:rsid w:val="00081BFA"/>
    <w:rsid w:val="00081C69"/>
    <w:rsid w:val="000853CB"/>
    <w:rsid w:val="000910A7"/>
    <w:rsid w:val="00094BC2"/>
    <w:rsid w:val="00094C1B"/>
    <w:rsid w:val="000963D1"/>
    <w:rsid w:val="000A16C2"/>
    <w:rsid w:val="000A2303"/>
    <w:rsid w:val="000A638C"/>
    <w:rsid w:val="000A7163"/>
    <w:rsid w:val="000B1301"/>
    <w:rsid w:val="000B1CBF"/>
    <w:rsid w:val="000B33BD"/>
    <w:rsid w:val="000B34B8"/>
    <w:rsid w:val="000B5939"/>
    <w:rsid w:val="000B5EBE"/>
    <w:rsid w:val="000C1F24"/>
    <w:rsid w:val="000C22B9"/>
    <w:rsid w:val="000C4D57"/>
    <w:rsid w:val="000C4EE8"/>
    <w:rsid w:val="000C7A5D"/>
    <w:rsid w:val="000D04B0"/>
    <w:rsid w:val="000D1487"/>
    <w:rsid w:val="000D3776"/>
    <w:rsid w:val="000E0E0D"/>
    <w:rsid w:val="000E4899"/>
    <w:rsid w:val="000E7232"/>
    <w:rsid w:val="000E7E3C"/>
    <w:rsid w:val="000F3B49"/>
    <w:rsid w:val="000F6502"/>
    <w:rsid w:val="001043B0"/>
    <w:rsid w:val="001066B8"/>
    <w:rsid w:val="00110A94"/>
    <w:rsid w:val="00110AD8"/>
    <w:rsid w:val="00112FAE"/>
    <w:rsid w:val="001131E2"/>
    <w:rsid w:val="001134E7"/>
    <w:rsid w:val="00121C0F"/>
    <w:rsid w:val="001241EE"/>
    <w:rsid w:val="00124CBD"/>
    <w:rsid w:val="001252AE"/>
    <w:rsid w:val="00125557"/>
    <w:rsid w:val="00127023"/>
    <w:rsid w:val="001306F4"/>
    <w:rsid w:val="00130EC7"/>
    <w:rsid w:val="00134FDA"/>
    <w:rsid w:val="00135081"/>
    <w:rsid w:val="001352C4"/>
    <w:rsid w:val="00136466"/>
    <w:rsid w:val="001368F7"/>
    <w:rsid w:val="00140B46"/>
    <w:rsid w:val="00140D83"/>
    <w:rsid w:val="001413FC"/>
    <w:rsid w:val="00145D3C"/>
    <w:rsid w:val="001503E8"/>
    <w:rsid w:val="00154516"/>
    <w:rsid w:val="00155A83"/>
    <w:rsid w:val="00156264"/>
    <w:rsid w:val="00156529"/>
    <w:rsid w:val="001579DA"/>
    <w:rsid w:val="00161EBC"/>
    <w:rsid w:val="00165770"/>
    <w:rsid w:val="00165B01"/>
    <w:rsid w:val="00166C1A"/>
    <w:rsid w:val="0017169E"/>
    <w:rsid w:val="00172EAB"/>
    <w:rsid w:val="0017396B"/>
    <w:rsid w:val="00175BE8"/>
    <w:rsid w:val="00175F5D"/>
    <w:rsid w:val="00177200"/>
    <w:rsid w:val="001779E5"/>
    <w:rsid w:val="00182263"/>
    <w:rsid w:val="0018281C"/>
    <w:rsid w:val="00185F6B"/>
    <w:rsid w:val="00187570"/>
    <w:rsid w:val="00192188"/>
    <w:rsid w:val="00192B09"/>
    <w:rsid w:val="001936A7"/>
    <w:rsid w:val="00193D4B"/>
    <w:rsid w:val="00194E6C"/>
    <w:rsid w:val="00196653"/>
    <w:rsid w:val="00196E29"/>
    <w:rsid w:val="001976DA"/>
    <w:rsid w:val="001A056C"/>
    <w:rsid w:val="001A21E9"/>
    <w:rsid w:val="001A23E4"/>
    <w:rsid w:val="001A281B"/>
    <w:rsid w:val="001A3011"/>
    <w:rsid w:val="001A48E7"/>
    <w:rsid w:val="001A73CD"/>
    <w:rsid w:val="001B06E1"/>
    <w:rsid w:val="001B1619"/>
    <w:rsid w:val="001B187B"/>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5AA1"/>
    <w:rsid w:val="001E6F20"/>
    <w:rsid w:val="001F0C37"/>
    <w:rsid w:val="001F1315"/>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0F4"/>
    <w:rsid w:val="00222257"/>
    <w:rsid w:val="002223A6"/>
    <w:rsid w:val="002229AD"/>
    <w:rsid w:val="00223C3E"/>
    <w:rsid w:val="00224AEE"/>
    <w:rsid w:val="00225FF4"/>
    <w:rsid w:val="00230A13"/>
    <w:rsid w:val="002331C6"/>
    <w:rsid w:val="00236B76"/>
    <w:rsid w:val="002408EA"/>
    <w:rsid w:val="00241410"/>
    <w:rsid w:val="00243681"/>
    <w:rsid w:val="002549B2"/>
    <w:rsid w:val="002563DF"/>
    <w:rsid w:val="0026014A"/>
    <w:rsid w:val="0026108E"/>
    <w:rsid w:val="002614ED"/>
    <w:rsid w:val="00265142"/>
    <w:rsid w:val="00266AA6"/>
    <w:rsid w:val="00266B50"/>
    <w:rsid w:val="00270605"/>
    <w:rsid w:val="00271804"/>
    <w:rsid w:val="00271857"/>
    <w:rsid w:val="00276AC9"/>
    <w:rsid w:val="00277ED2"/>
    <w:rsid w:val="00280F8A"/>
    <w:rsid w:val="00286537"/>
    <w:rsid w:val="00286C3A"/>
    <w:rsid w:val="00287467"/>
    <w:rsid w:val="00291A5B"/>
    <w:rsid w:val="00292B2C"/>
    <w:rsid w:val="0029330E"/>
    <w:rsid w:val="00296E2E"/>
    <w:rsid w:val="002A23A7"/>
    <w:rsid w:val="002A5503"/>
    <w:rsid w:val="002A6812"/>
    <w:rsid w:val="002A7339"/>
    <w:rsid w:val="002A7A24"/>
    <w:rsid w:val="002B3735"/>
    <w:rsid w:val="002B4762"/>
    <w:rsid w:val="002B565A"/>
    <w:rsid w:val="002B71D2"/>
    <w:rsid w:val="002C0DA9"/>
    <w:rsid w:val="002C1A7E"/>
    <w:rsid w:val="002C2893"/>
    <w:rsid w:val="002C292E"/>
    <w:rsid w:val="002C361E"/>
    <w:rsid w:val="002C3718"/>
    <w:rsid w:val="002C4126"/>
    <w:rsid w:val="002C5955"/>
    <w:rsid w:val="002C5BFD"/>
    <w:rsid w:val="002C67A8"/>
    <w:rsid w:val="002C7316"/>
    <w:rsid w:val="002C73DF"/>
    <w:rsid w:val="002D028E"/>
    <w:rsid w:val="002D12BB"/>
    <w:rsid w:val="002D1E0F"/>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0F6B"/>
    <w:rsid w:val="003015B5"/>
    <w:rsid w:val="0030244C"/>
    <w:rsid w:val="00303058"/>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5698"/>
    <w:rsid w:val="00365EBC"/>
    <w:rsid w:val="00367685"/>
    <w:rsid w:val="00367A82"/>
    <w:rsid w:val="00370ACD"/>
    <w:rsid w:val="00371E29"/>
    <w:rsid w:val="003722FA"/>
    <w:rsid w:val="003731E6"/>
    <w:rsid w:val="00373EA4"/>
    <w:rsid w:val="00374EA0"/>
    <w:rsid w:val="00374EB6"/>
    <w:rsid w:val="00375AE7"/>
    <w:rsid w:val="00376C2A"/>
    <w:rsid w:val="00377277"/>
    <w:rsid w:val="00377304"/>
    <w:rsid w:val="0038079E"/>
    <w:rsid w:val="00380F5C"/>
    <w:rsid w:val="00381BEA"/>
    <w:rsid w:val="00381FB7"/>
    <w:rsid w:val="00382495"/>
    <w:rsid w:val="00384141"/>
    <w:rsid w:val="003856AA"/>
    <w:rsid w:val="00385FD5"/>
    <w:rsid w:val="00386007"/>
    <w:rsid w:val="003861AC"/>
    <w:rsid w:val="003862A5"/>
    <w:rsid w:val="00390249"/>
    <w:rsid w:val="00391F56"/>
    <w:rsid w:val="003953C7"/>
    <w:rsid w:val="003A03DC"/>
    <w:rsid w:val="003A1975"/>
    <w:rsid w:val="003A1DE1"/>
    <w:rsid w:val="003A39A0"/>
    <w:rsid w:val="003A3E2A"/>
    <w:rsid w:val="003A4CBB"/>
    <w:rsid w:val="003B028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4B4D"/>
    <w:rsid w:val="004271A0"/>
    <w:rsid w:val="0042742A"/>
    <w:rsid w:val="004306C0"/>
    <w:rsid w:val="00431F8B"/>
    <w:rsid w:val="00440CCA"/>
    <w:rsid w:val="00442D76"/>
    <w:rsid w:val="004440AF"/>
    <w:rsid w:val="00445CB9"/>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6D9C"/>
    <w:rsid w:val="004B7792"/>
    <w:rsid w:val="004C101D"/>
    <w:rsid w:val="004C3670"/>
    <w:rsid w:val="004C3BFD"/>
    <w:rsid w:val="004C5C89"/>
    <w:rsid w:val="004D1267"/>
    <w:rsid w:val="004D26AD"/>
    <w:rsid w:val="004D2897"/>
    <w:rsid w:val="004D3529"/>
    <w:rsid w:val="004D39E2"/>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068A2"/>
    <w:rsid w:val="00510FAD"/>
    <w:rsid w:val="00511471"/>
    <w:rsid w:val="00511887"/>
    <w:rsid w:val="005127C1"/>
    <w:rsid w:val="005138B7"/>
    <w:rsid w:val="005143BA"/>
    <w:rsid w:val="00523BB4"/>
    <w:rsid w:val="005243EC"/>
    <w:rsid w:val="005249CF"/>
    <w:rsid w:val="00525DD1"/>
    <w:rsid w:val="00527A29"/>
    <w:rsid w:val="005343E1"/>
    <w:rsid w:val="005353CB"/>
    <w:rsid w:val="00535CCD"/>
    <w:rsid w:val="00545970"/>
    <w:rsid w:val="00550783"/>
    <w:rsid w:val="005508EE"/>
    <w:rsid w:val="005536FB"/>
    <w:rsid w:val="00555CC8"/>
    <w:rsid w:val="00556B58"/>
    <w:rsid w:val="005577FA"/>
    <w:rsid w:val="0056425E"/>
    <w:rsid w:val="00565745"/>
    <w:rsid w:val="00566CCC"/>
    <w:rsid w:val="00566FFF"/>
    <w:rsid w:val="0056705D"/>
    <w:rsid w:val="00571370"/>
    <w:rsid w:val="00575207"/>
    <w:rsid w:val="00577C83"/>
    <w:rsid w:val="00580FF4"/>
    <w:rsid w:val="0058190A"/>
    <w:rsid w:val="00583913"/>
    <w:rsid w:val="005842A7"/>
    <w:rsid w:val="00584C95"/>
    <w:rsid w:val="00584CC9"/>
    <w:rsid w:val="00585C10"/>
    <w:rsid w:val="00585FCF"/>
    <w:rsid w:val="00586210"/>
    <w:rsid w:val="00586316"/>
    <w:rsid w:val="00590E29"/>
    <w:rsid w:val="00591414"/>
    <w:rsid w:val="005935C0"/>
    <w:rsid w:val="00596607"/>
    <w:rsid w:val="005A014D"/>
    <w:rsid w:val="005A188D"/>
    <w:rsid w:val="005A1A5C"/>
    <w:rsid w:val="005A4AD8"/>
    <w:rsid w:val="005A50D3"/>
    <w:rsid w:val="005A576F"/>
    <w:rsid w:val="005A64F3"/>
    <w:rsid w:val="005A6AB3"/>
    <w:rsid w:val="005B0095"/>
    <w:rsid w:val="005B5C8B"/>
    <w:rsid w:val="005B6D38"/>
    <w:rsid w:val="005B73E7"/>
    <w:rsid w:val="005C05E1"/>
    <w:rsid w:val="005C3893"/>
    <w:rsid w:val="005C5E41"/>
    <w:rsid w:val="005C7DB5"/>
    <w:rsid w:val="005D15B9"/>
    <w:rsid w:val="005D1E0A"/>
    <w:rsid w:val="005D352A"/>
    <w:rsid w:val="005D4C95"/>
    <w:rsid w:val="005E0AC1"/>
    <w:rsid w:val="005E2508"/>
    <w:rsid w:val="005E437F"/>
    <w:rsid w:val="005E58ED"/>
    <w:rsid w:val="005E62A7"/>
    <w:rsid w:val="005E6B30"/>
    <w:rsid w:val="005F25FD"/>
    <w:rsid w:val="005F3989"/>
    <w:rsid w:val="005F3C5C"/>
    <w:rsid w:val="005F5AFD"/>
    <w:rsid w:val="005F6BB8"/>
    <w:rsid w:val="005F6F0A"/>
    <w:rsid w:val="005F7681"/>
    <w:rsid w:val="00601291"/>
    <w:rsid w:val="0060351B"/>
    <w:rsid w:val="00604865"/>
    <w:rsid w:val="00607959"/>
    <w:rsid w:val="0061221F"/>
    <w:rsid w:val="00614078"/>
    <w:rsid w:val="006150A0"/>
    <w:rsid w:val="0061798B"/>
    <w:rsid w:val="0062228B"/>
    <w:rsid w:val="00624430"/>
    <w:rsid w:val="00624F1C"/>
    <w:rsid w:val="00625AEE"/>
    <w:rsid w:val="00627687"/>
    <w:rsid w:val="006276D1"/>
    <w:rsid w:val="006279C2"/>
    <w:rsid w:val="00630A5B"/>
    <w:rsid w:val="00636B55"/>
    <w:rsid w:val="00637F2A"/>
    <w:rsid w:val="00642C45"/>
    <w:rsid w:val="0064313B"/>
    <w:rsid w:val="006434DF"/>
    <w:rsid w:val="00645411"/>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0627"/>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3D61"/>
    <w:rsid w:val="006D4325"/>
    <w:rsid w:val="006D55A6"/>
    <w:rsid w:val="006D6BD0"/>
    <w:rsid w:val="006E09CB"/>
    <w:rsid w:val="006E1387"/>
    <w:rsid w:val="006E2124"/>
    <w:rsid w:val="006E23A2"/>
    <w:rsid w:val="006E299B"/>
    <w:rsid w:val="006E303F"/>
    <w:rsid w:val="006E46C1"/>
    <w:rsid w:val="006E4E37"/>
    <w:rsid w:val="006E5D76"/>
    <w:rsid w:val="006F17D4"/>
    <w:rsid w:val="006F255A"/>
    <w:rsid w:val="006F2843"/>
    <w:rsid w:val="006F6463"/>
    <w:rsid w:val="0070542C"/>
    <w:rsid w:val="007067D1"/>
    <w:rsid w:val="00713287"/>
    <w:rsid w:val="007136A7"/>
    <w:rsid w:val="007139DD"/>
    <w:rsid w:val="007143AC"/>
    <w:rsid w:val="00716007"/>
    <w:rsid w:val="00716835"/>
    <w:rsid w:val="00716ACF"/>
    <w:rsid w:val="007210C5"/>
    <w:rsid w:val="007250F1"/>
    <w:rsid w:val="00726FF0"/>
    <w:rsid w:val="00727230"/>
    <w:rsid w:val="00730AA4"/>
    <w:rsid w:val="0073113B"/>
    <w:rsid w:val="00732C44"/>
    <w:rsid w:val="00734CC7"/>
    <w:rsid w:val="00736348"/>
    <w:rsid w:val="00736448"/>
    <w:rsid w:val="00736D41"/>
    <w:rsid w:val="00736E0A"/>
    <w:rsid w:val="00737F84"/>
    <w:rsid w:val="00740203"/>
    <w:rsid w:val="007434C4"/>
    <w:rsid w:val="007455E3"/>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B1A6C"/>
    <w:rsid w:val="007B5378"/>
    <w:rsid w:val="007C1642"/>
    <w:rsid w:val="007C33F3"/>
    <w:rsid w:val="007C40AD"/>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1948"/>
    <w:rsid w:val="008330FB"/>
    <w:rsid w:val="0083313E"/>
    <w:rsid w:val="008331BB"/>
    <w:rsid w:val="008338B5"/>
    <w:rsid w:val="00833D43"/>
    <w:rsid w:val="00840FF7"/>
    <w:rsid w:val="00841169"/>
    <w:rsid w:val="00842C77"/>
    <w:rsid w:val="00843F79"/>
    <w:rsid w:val="00844032"/>
    <w:rsid w:val="008443D8"/>
    <w:rsid w:val="008445E7"/>
    <w:rsid w:val="00844854"/>
    <w:rsid w:val="00847D3A"/>
    <w:rsid w:val="00855549"/>
    <w:rsid w:val="0086032D"/>
    <w:rsid w:val="00861B3D"/>
    <w:rsid w:val="00862879"/>
    <w:rsid w:val="00865CE7"/>
    <w:rsid w:val="0086701C"/>
    <w:rsid w:val="00867262"/>
    <w:rsid w:val="00870BDD"/>
    <w:rsid w:val="008717F1"/>
    <w:rsid w:val="00873503"/>
    <w:rsid w:val="00876D05"/>
    <w:rsid w:val="00876F5C"/>
    <w:rsid w:val="00880ED3"/>
    <w:rsid w:val="00883721"/>
    <w:rsid w:val="00885163"/>
    <w:rsid w:val="00890137"/>
    <w:rsid w:val="008904D0"/>
    <w:rsid w:val="008924E3"/>
    <w:rsid w:val="0089270D"/>
    <w:rsid w:val="008A1DAE"/>
    <w:rsid w:val="008A247E"/>
    <w:rsid w:val="008A2C2A"/>
    <w:rsid w:val="008A35A2"/>
    <w:rsid w:val="008A3D62"/>
    <w:rsid w:val="008A6605"/>
    <w:rsid w:val="008A6A0C"/>
    <w:rsid w:val="008B183A"/>
    <w:rsid w:val="008B4B98"/>
    <w:rsid w:val="008B613C"/>
    <w:rsid w:val="008C183F"/>
    <w:rsid w:val="008C1C95"/>
    <w:rsid w:val="008C3D9F"/>
    <w:rsid w:val="008C4122"/>
    <w:rsid w:val="008C669E"/>
    <w:rsid w:val="008D2A77"/>
    <w:rsid w:val="008D2EC9"/>
    <w:rsid w:val="008D62F8"/>
    <w:rsid w:val="008D652E"/>
    <w:rsid w:val="008D6A3E"/>
    <w:rsid w:val="008E1B3C"/>
    <w:rsid w:val="008E4419"/>
    <w:rsid w:val="008E56A4"/>
    <w:rsid w:val="008E5BA8"/>
    <w:rsid w:val="008E664D"/>
    <w:rsid w:val="008E6FCA"/>
    <w:rsid w:val="008F0DEF"/>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E8B"/>
    <w:rsid w:val="009460E7"/>
    <w:rsid w:val="00947483"/>
    <w:rsid w:val="00947FDB"/>
    <w:rsid w:val="00952219"/>
    <w:rsid w:val="009535CF"/>
    <w:rsid w:val="009539B0"/>
    <w:rsid w:val="009543A4"/>
    <w:rsid w:val="00955F17"/>
    <w:rsid w:val="009562D0"/>
    <w:rsid w:val="00957124"/>
    <w:rsid w:val="00960B9B"/>
    <w:rsid w:val="00960CC3"/>
    <w:rsid w:val="00960E2F"/>
    <w:rsid w:val="0096180D"/>
    <w:rsid w:val="00961E3B"/>
    <w:rsid w:val="00962360"/>
    <w:rsid w:val="009669AD"/>
    <w:rsid w:val="00966EB0"/>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97F53"/>
    <w:rsid w:val="009A23F7"/>
    <w:rsid w:val="009A2B2A"/>
    <w:rsid w:val="009A38DA"/>
    <w:rsid w:val="009A3F7F"/>
    <w:rsid w:val="009A4775"/>
    <w:rsid w:val="009A75C4"/>
    <w:rsid w:val="009B0897"/>
    <w:rsid w:val="009B0E59"/>
    <w:rsid w:val="009B276A"/>
    <w:rsid w:val="009B3223"/>
    <w:rsid w:val="009B4063"/>
    <w:rsid w:val="009B52E5"/>
    <w:rsid w:val="009B5C5F"/>
    <w:rsid w:val="009C0968"/>
    <w:rsid w:val="009C1354"/>
    <w:rsid w:val="009C2FB9"/>
    <w:rsid w:val="009C3C0C"/>
    <w:rsid w:val="009C3CDC"/>
    <w:rsid w:val="009C5ADA"/>
    <w:rsid w:val="009C6214"/>
    <w:rsid w:val="009C77BF"/>
    <w:rsid w:val="009D02ED"/>
    <w:rsid w:val="009D1D56"/>
    <w:rsid w:val="009D1EB8"/>
    <w:rsid w:val="009D1F4E"/>
    <w:rsid w:val="009D49AA"/>
    <w:rsid w:val="009D4FBB"/>
    <w:rsid w:val="009D7602"/>
    <w:rsid w:val="009E21EF"/>
    <w:rsid w:val="009E3151"/>
    <w:rsid w:val="009E680B"/>
    <w:rsid w:val="009F1902"/>
    <w:rsid w:val="009F3187"/>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94A"/>
    <w:rsid w:val="00A426B6"/>
    <w:rsid w:val="00A426BE"/>
    <w:rsid w:val="00A526EF"/>
    <w:rsid w:val="00A53E97"/>
    <w:rsid w:val="00A54F81"/>
    <w:rsid w:val="00A60794"/>
    <w:rsid w:val="00A611CE"/>
    <w:rsid w:val="00A614C6"/>
    <w:rsid w:val="00A61511"/>
    <w:rsid w:val="00A62410"/>
    <w:rsid w:val="00A67F5B"/>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3DB3"/>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18C6"/>
    <w:rsid w:val="00B0269C"/>
    <w:rsid w:val="00B02E55"/>
    <w:rsid w:val="00B03527"/>
    <w:rsid w:val="00B0389A"/>
    <w:rsid w:val="00B0538C"/>
    <w:rsid w:val="00B06D4E"/>
    <w:rsid w:val="00B07503"/>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4C8C"/>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2350"/>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FC8"/>
    <w:rsid w:val="00BC7ABB"/>
    <w:rsid w:val="00BD079D"/>
    <w:rsid w:val="00BD16C0"/>
    <w:rsid w:val="00BD2A8E"/>
    <w:rsid w:val="00BD3051"/>
    <w:rsid w:val="00BD38BB"/>
    <w:rsid w:val="00BD4879"/>
    <w:rsid w:val="00BD50F7"/>
    <w:rsid w:val="00BD674E"/>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1907"/>
    <w:rsid w:val="00C026AC"/>
    <w:rsid w:val="00C0570D"/>
    <w:rsid w:val="00C130C8"/>
    <w:rsid w:val="00C13168"/>
    <w:rsid w:val="00C13F60"/>
    <w:rsid w:val="00C14404"/>
    <w:rsid w:val="00C17D6A"/>
    <w:rsid w:val="00C203C9"/>
    <w:rsid w:val="00C22E43"/>
    <w:rsid w:val="00C23238"/>
    <w:rsid w:val="00C235DF"/>
    <w:rsid w:val="00C2539E"/>
    <w:rsid w:val="00C273F2"/>
    <w:rsid w:val="00C278DE"/>
    <w:rsid w:val="00C2796B"/>
    <w:rsid w:val="00C3004B"/>
    <w:rsid w:val="00C31F4C"/>
    <w:rsid w:val="00C3209A"/>
    <w:rsid w:val="00C32ADC"/>
    <w:rsid w:val="00C35755"/>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2AC"/>
    <w:rsid w:val="00C803FD"/>
    <w:rsid w:val="00C80EB4"/>
    <w:rsid w:val="00C8156F"/>
    <w:rsid w:val="00C82B37"/>
    <w:rsid w:val="00C86682"/>
    <w:rsid w:val="00C90846"/>
    <w:rsid w:val="00C92700"/>
    <w:rsid w:val="00C92E3F"/>
    <w:rsid w:val="00C94681"/>
    <w:rsid w:val="00CA129E"/>
    <w:rsid w:val="00CA20B5"/>
    <w:rsid w:val="00CA3562"/>
    <w:rsid w:val="00CA371D"/>
    <w:rsid w:val="00CA6681"/>
    <w:rsid w:val="00CA77AE"/>
    <w:rsid w:val="00CB08E8"/>
    <w:rsid w:val="00CB0A27"/>
    <w:rsid w:val="00CB2154"/>
    <w:rsid w:val="00CB35D9"/>
    <w:rsid w:val="00CB4A8A"/>
    <w:rsid w:val="00CB60DD"/>
    <w:rsid w:val="00CB6E1F"/>
    <w:rsid w:val="00CB7E4D"/>
    <w:rsid w:val="00CC04DE"/>
    <w:rsid w:val="00CC12E7"/>
    <w:rsid w:val="00CC3F84"/>
    <w:rsid w:val="00CC6DF8"/>
    <w:rsid w:val="00CC6E2D"/>
    <w:rsid w:val="00CD24A8"/>
    <w:rsid w:val="00CD315A"/>
    <w:rsid w:val="00CD319A"/>
    <w:rsid w:val="00CD5502"/>
    <w:rsid w:val="00CE0526"/>
    <w:rsid w:val="00CE1ED9"/>
    <w:rsid w:val="00CE3665"/>
    <w:rsid w:val="00CE4F42"/>
    <w:rsid w:val="00CF0BB4"/>
    <w:rsid w:val="00CF1333"/>
    <w:rsid w:val="00CF1BB4"/>
    <w:rsid w:val="00CF2FF8"/>
    <w:rsid w:val="00CF3F6B"/>
    <w:rsid w:val="00CF4851"/>
    <w:rsid w:val="00CF58B7"/>
    <w:rsid w:val="00CF5DD6"/>
    <w:rsid w:val="00D0069F"/>
    <w:rsid w:val="00D007C0"/>
    <w:rsid w:val="00D05493"/>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16F"/>
    <w:rsid w:val="00D45804"/>
    <w:rsid w:val="00D46BC7"/>
    <w:rsid w:val="00D47082"/>
    <w:rsid w:val="00D51245"/>
    <w:rsid w:val="00D532B8"/>
    <w:rsid w:val="00D54B6F"/>
    <w:rsid w:val="00D54E73"/>
    <w:rsid w:val="00D56B66"/>
    <w:rsid w:val="00D575A3"/>
    <w:rsid w:val="00D613A6"/>
    <w:rsid w:val="00D617A6"/>
    <w:rsid w:val="00D650EA"/>
    <w:rsid w:val="00D70974"/>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008C"/>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5EE7"/>
    <w:rsid w:val="00DF1EC1"/>
    <w:rsid w:val="00DF343E"/>
    <w:rsid w:val="00DF67C3"/>
    <w:rsid w:val="00DF6CEB"/>
    <w:rsid w:val="00E0098A"/>
    <w:rsid w:val="00E009D9"/>
    <w:rsid w:val="00E027D1"/>
    <w:rsid w:val="00E03F71"/>
    <w:rsid w:val="00E045EE"/>
    <w:rsid w:val="00E06ED0"/>
    <w:rsid w:val="00E1082D"/>
    <w:rsid w:val="00E130CB"/>
    <w:rsid w:val="00E14934"/>
    <w:rsid w:val="00E172BE"/>
    <w:rsid w:val="00E2160E"/>
    <w:rsid w:val="00E24E02"/>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D07B2"/>
    <w:rsid w:val="00ED0AB3"/>
    <w:rsid w:val="00ED246E"/>
    <w:rsid w:val="00ED379C"/>
    <w:rsid w:val="00ED4D08"/>
    <w:rsid w:val="00ED5834"/>
    <w:rsid w:val="00ED6AAF"/>
    <w:rsid w:val="00ED6F53"/>
    <w:rsid w:val="00EE065C"/>
    <w:rsid w:val="00EE093B"/>
    <w:rsid w:val="00EE2E4B"/>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5246"/>
    <w:rsid w:val="00F307D6"/>
    <w:rsid w:val="00F30E65"/>
    <w:rsid w:val="00F31A8E"/>
    <w:rsid w:val="00F32C2D"/>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1FCA"/>
    <w:rsid w:val="00F63D66"/>
    <w:rsid w:val="00F64504"/>
    <w:rsid w:val="00F6458C"/>
    <w:rsid w:val="00F6478A"/>
    <w:rsid w:val="00F6661C"/>
    <w:rsid w:val="00F6682D"/>
    <w:rsid w:val="00F701C7"/>
    <w:rsid w:val="00F7531F"/>
    <w:rsid w:val="00F754B1"/>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97069"/>
    <w:rsid w:val="00FA464E"/>
    <w:rsid w:val="00FA60EE"/>
    <w:rsid w:val="00FB2379"/>
    <w:rsid w:val="00FB25E5"/>
    <w:rsid w:val="00FB2FB0"/>
    <w:rsid w:val="00FB3848"/>
    <w:rsid w:val="00FB5006"/>
    <w:rsid w:val="00FB5293"/>
    <w:rsid w:val="00FB5446"/>
    <w:rsid w:val="00FC0D46"/>
    <w:rsid w:val="00FC10ED"/>
    <w:rsid w:val="00FC1841"/>
    <w:rsid w:val="00FC2D11"/>
    <w:rsid w:val="00FC373B"/>
    <w:rsid w:val="00FC6230"/>
    <w:rsid w:val="00FD0268"/>
    <w:rsid w:val="00FD05BA"/>
    <w:rsid w:val="00FD0638"/>
    <w:rsid w:val="00FD2A0A"/>
    <w:rsid w:val="00FD3934"/>
    <w:rsid w:val="00FD40F7"/>
    <w:rsid w:val="00FD4823"/>
    <w:rsid w:val="00FD5913"/>
    <w:rsid w:val="00FD612F"/>
    <w:rsid w:val="00FE0558"/>
    <w:rsid w:val="00FE0BF6"/>
    <w:rsid w:val="00FE11E8"/>
    <w:rsid w:val="00FE29B5"/>
    <w:rsid w:val="00FE32EB"/>
    <w:rsid w:val="00FE3AFF"/>
    <w:rsid w:val="00FE7F98"/>
    <w:rsid w:val="00FF065B"/>
    <w:rsid w:val="00FF23E1"/>
    <w:rsid w:val="00FF49E7"/>
    <w:rsid w:val="00FF4AF6"/>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DE1"/>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customStyle="1" w:styleId="UnresolvedMention1">
    <w:name w:val="Unresolved Mention1"/>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title">
    <w:name w:val="product-title"/>
    <w:basedOn w:val="Normal"/>
    <w:rsid w:val="00380F5C"/>
    <w:pPr>
      <w:spacing w:before="100" w:beforeAutospacing="1" w:after="100" w:afterAutospacing="1"/>
    </w:pPr>
    <w:rPr>
      <w:lang w:eastAsia="en-GB"/>
    </w:rPr>
  </w:style>
  <w:style w:type="character" w:customStyle="1" w:styleId="prod-title">
    <w:name w:val="prod-title"/>
    <w:basedOn w:val="DefaultParagraphFont"/>
    <w:rsid w:val="00380F5C"/>
  </w:style>
  <w:style w:type="character" w:customStyle="1" w:styleId="published-date">
    <w:name w:val="published-date"/>
    <w:basedOn w:val="DefaultParagraphFont"/>
    <w:rsid w:val="00380F5C"/>
  </w:style>
  <w:style w:type="character" w:customStyle="1" w:styleId="UnresolvedMention2">
    <w:name w:val="Unresolved Mention2"/>
    <w:basedOn w:val="DefaultParagraphFont"/>
    <w:uiPriority w:val="99"/>
    <w:semiHidden/>
    <w:unhideWhenUsed/>
    <w:rsid w:val="00D709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04286708">
      <w:bodyDiv w:val="1"/>
      <w:marLeft w:val="0"/>
      <w:marRight w:val="0"/>
      <w:marTop w:val="0"/>
      <w:marBottom w:val="0"/>
      <w:divBdr>
        <w:top w:val="none" w:sz="0" w:space="0" w:color="auto"/>
        <w:left w:val="none" w:sz="0" w:space="0" w:color="auto"/>
        <w:bottom w:val="none" w:sz="0" w:space="0" w:color="auto"/>
        <w:right w:val="none" w:sz="0" w:space="0" w:color="auto"/>
      </w:divBdr>
      <w:divsChild>
        <w:div w:id="740562340">
          <w:marLeft w:val="0"/>
          <w:marRight w:val="0"/>
          <w:marTop w:val="0"/>
          <w:marBottom w:val="0"/>
          <w:divBdr>
            <w:top w:val="none" w:sz="0" w:space="0" w:color="auto"/>
            <w:left w:val="none" w:sz="0" w:space="0" w:color="auto"/>
            <w:bottom w:val="none" w:sz="0" w:space="0" w:color="auto"/>
            <w:right w:val="none" w:sz="0" w:space="0" w:color="auto"/>
          </w:divBdr>
        </w:div>
      </w:divsChild>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nhfd.co.uk/" TargetMode="External"/><Relationship Id="rId2" Type="http://schemas.openxmlformats.org/officeDocument/2006/relationships/hyperlink" Target="https://www.nice.org.uk/Guidance/CG124" TargetMode="External"/><Relationship Id="rId1" Type="http://schemas.openxmlformats.org/officeDocument/2006/relationships/hyperlink" Target="https://www.nice.org.uk/guidance/qs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6AB59-623B-4C7E-9979-B023A84A4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2022-02-28T13:57:00Z</dcterms:created>
  <dcterms:modified xsi:type="dcterms:W3CDTF">2022-03-16T21:13:00Z</dcterms:modified>
</cp:coreProperties>
</file>