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8672E" w14:textId="0F51F35C" w:rsidR="00B23F61" w:rsidRPr="00B23F61" w:rsidRDefault="00B23F61" w:rsidP="00B23F61">
      <w:pPr>
        <w:spacing w:after="0" w:line="240" w:lineRule="auto"/>
        <w:jc w:val="center"/>
        <w:rPr>
          <w:rFonts w:ascii="Arial" w:eastAsia="Calibri" w:hAnsi="Arial" w:cs="Arial"/>
          <w:b/>
          <w:bCs/>
          <w:sz w:val="24"/>
          <w:szCs w:val="24"/>
        </w:rPr>
      </w:pPr>
      <w:r w:rsidRPr="00B23F61">
        <w:rPr>
          <w:rFonts w:ascii="Arial" w:eastAsia="Calibri" w:hAnsi="Arial" w:cs="Arial"/>
          <w:b/>
          <w:bCs/>
          <w:sz w:val="24"/>
          <w:szCs w:val="24"/>
        </w:rPr>
        <w:t>NHS Digital</w:t>
      </w:r>
    </w:p>
    <w:p w14:paraId="003B2F66" w14:textId="77777777" w:rsidR="00B23F61" w:rsidRPr="00B23F61" w:rsidRDefault="00B23F61" w:rsidP="00B23F61">
      <w:pPr>
        <w:spacing w:after="0" w:line="240" w:lineRule="auto"/>
        <w:jc w:val="center"/>
        <w:rPr>
          <w:rFonts w:ascii="Arial" w:eastAsia="Calibri" w:hAnsi="Arial" w:cs="Arial"/>
          <w:b/>
          <w:bCs/>
          <w:sz w:val="24"/>
          <w:szCs w:val="24"/>
        </w:rPr>
      </w:pPr>
      <w:r w:rsidRPr="00B23F61">
        <w:rPr>
          <w:rFonts w:ascii="Arial" w:eastAsia="Calibri" w:hAnsi="Arial" w:cs="Arial"/>
          <w:b/>
          <w:bCs/>
          <w:sz w:val="24"/>
          <w:szCs w:val="24"/>
        </w:rPr>
        <w:t>Indicator Supporting Documentation</w:t>
      </w:r>
    </w:p>
    <w:p w14:paraId="30BFFC65" w14:textId="7C50267B" w:rsidR="001155F9" w:rsidRPr="001155F9" w:rsidRDefault="00B23F61" w:rsidP="001155F9">
      <w:pPr>
        <w:spacing w:after="0" w:line="240" w:lineRule="auto"/>
        <w:jc w:val="center"/>
        <w:rPr>
          <w:rFonts w:ascii="Arial" w:eastAsia="Calibri" w:hAnsi="Arial" w:cs="Arial"/>
          <w:b/>
          <w:bCs/>
          <w:sz w:val="24"/>
          <w:szCs w:val="24"/>
        </w:rPr>
      </w:pPr>
      <w:r w:rsidRPr="00B23F61">
        <w:rPr>
          <w:rFonts w:ascii="Arial" w:eastAsia="Calibri" w:hAnsi="Arial" w:cs="Arial"/>
          <w:b/>
          <w:bCs/>
          <w:sz w:val="24"/>
          <w:szCs w:val="24"/>
        </w:rPr>
        <w:t>IAP00517 The proportion of patients recovering to their previous levels of mobility / walking ability at 120 days (CCGOIS)</w:t>
      </w:r>
    </w:p>
    <w:tbl>
      <w:tblPr>
        <w:tblStyle w:val="TableGrid"/>
        <w:tblW w:w="0" w:type="auto"/>
        <w:tblLook w:val="04A0" w:firstRow="1" w:lastRow="0" w:firstColumn="1" w:lastColumn="0" w:noHBand="0" w:noVBand="1"/>
      </w:tblPr>
      <w:tblGrid>
        <w:gridCol w:w="2972"/>
        <w:gridCol w:w="6882"/>
      </w:tblGrid>
      <w:tr w:rsidR="002F17C8" w:rsidRPr="00B23F61" w14:paraId="3A53C02C" w14:textId="77777777" w:rsidTr="002F17C8">
        <w:tc>
          <w:tcPr>
            <w:tcW w:w="2972" w:type="dxa"/>
          </w:tcPr>
          <w:p w14:paraId="5E840F15" w14:textId="307AA350" w:rsidR="002F17C8" w:rsidRPr="00B23F61" w:rsidRDefault="002F17C8" w:rsidP="002F17C8">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hAnsi="Arial" w:cs="Arial"/>
                <w:b/>
                <w:sz w:val="24"/>
                <w:szCs w:val="24"/>
              </w:rPr>
              <w:lastRenderedPageBreak/>
              <w:t>Title</w:t>
            </w:r>
          </w:p>
        </w:tc>
        <w:tc>
          <w:tcPr>
            <w:tcW w:w="6882" w:type="dxa"/>
          </w:tcPr>
          <w:p w14:paraId="0B439264" w14:textId="64FAA047" w:rsidR="002F17C8" w:rsidRPr="00B23F61" w:rsidRDefault="002F17C8" w:rsidP="002F17C8">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hAnsi="Arial" w:cs="Arial"/>
                <w:sz w:val="24"/>
                <w:szCs w:val="24"/>
              </w:rPr>
              <w:t>Hip fracture: proportion of patients recovering to their previous levels of mobility / walking ability at 120 days</w:t>
            </w:r>
          </w:p>
        </w:tc>
      </w:tr>
      <w:tr w:rsidR="002F17C8" w:rsidRPr="00B23F61" w14:paraId="48196DDC" w14:textId="77777777" w:rsidTr="002F17C8">
        <w:tc>
          <w:tcPr>
            <w:tcW w:w="2972" w:type="dxa"/>
          </w:tcPr>
          <w:p w14:paraId="3A003A84" w14:textId="3FB7DCF2" w:rsidR="002F17C8" w:rsidRPr="00B23F61" w:rsidRDefault="002F17C8" w:rsidP="002F17C8">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hAnsi="Arial" w:cs="Arial"/>
                <w:b/>
                <w:sz w:val="24"/>
                <w:szCs w:val="24"/>
              </w:rPr>
              <w:t>Set or domain</w:t>
            </w:r>
          </w:p>
        </w:tc>
        <w:tc>
          <w:tcPr>
            <w:tcW w:w="6882" w:type="dxa"/>
          </w:tcPr>
          <w:p w14:paraId="35D1AE53" w14:textId="0BA4191E" w:rsidR="002F17C8" w:rsidRPr="00B23F61" w:rsidRDefault="002F17C8" w:rsidP="002F17C8">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hAnsi="Arial" w:cs="Arial"/>
                <w:sz w:val="24"/>
                <w:szCs w:val="24"/>
              </w:rPr>
              <w:t>CCG OIS</w:t>
            </w:r>
          </w:p>
        </w:tc>
      </w:tr>
      <w:tr w:rsidR="002F17C8" w:rsidRPr="00B23F61" w14:paraId="37772C72" w14:textId="77777777" w:rsidTr="002F17C8">
        <w:tc>
          <w:tcPr>
            <w:tcW w:w="2972" w:type="dxa"/>
          </w:tcPr>
          <w:p w14:paraId="722F6DEF" w14:textId="71F0F584" w:rsidR="002F17C8" w:rsidRPr="00B23F61" w:rsidRDefault="002F17C8" w:rsidP="002F17C8">
            <w:pPr>
              <w:keepNext/>
              <w:spacing w:before="140" w:after="280"/>
              <w:outlineLvl w:val="0"/>
              <w:rPr>
                <w:rFonts w:ascii="Arial" w:hAnsi="Arial" w:cs="Arial"/>
                <w:b/>
                <w:sz w:val="24"/>
                <w:szCs w:val="24"/>
              </w:rPr>
            </w:pPr>
            <w:r w:rsidRPr="00B23F61">
              <w:rPr>
                <w:rFonts w:ascii="Arial" w:hAnsi="Arial" w:cs="Arial"/>
                <w:b/>
                <w:sz w:val="24"/>
                <w:szCs w:val="24"/>
              </w:rPr>
              <w:t>Topic area</w:t>
            </w:r>
          </w:p>
        </w:tc>
        <w:tc>
          <w:tcPr>
            <w:tcW w:w="6882" w:type="dxa"/>
          </w:tcPr>
          <w:p w14:paraId="209962FC" w14:textId="4407BC91" w:rsidR="002F17C8" w:rsidRPr="00B23F61" w:rsidRDefault="002F17C8" w:rsidP="002F17C8">
            <w:pPr>
              <w:keepNext/>
              <w:spacing w:before="140" w:after="280"/>
              <w:outlineLvl w:val="0"/>
              <w:rPr>
                <w:rFonts w:ascii="Arial" w:hAnsi="Arial" w:cs="Arial"/>
                <w:sz w:val="24"/>
                <w:szCs w:val="24"/>
              </w:rPr>
            </w:pPr>
            <w:r w:rsidRPr="00B23F61">
              <w:rPr>
                <w:rFonts w:ascii="Arial" w:hAnsi="Arial" w:cs="Arial"/>
                <w:sz w:val="24"/>
                <w:szCs w:val="24"/>
              </w:rPr>
              <w:t>Hip fracture</w:t>
            </w:r>
          </w:p>
        </w:tc>
      </w:tr>
      <w:tr w:rsidR="002F17C8" w:rsidRPr="00B23F61" w14:paraId="518F31C6" w14:textId="77777777" w:rsidTr="002F17C8">
        <w:tc>
          <w:tcPr>
            <w:tcW w:w="2972" w:type="dxa"/>
          </w:tcPr>
          <w:p w14:paraId="2FA5315C" w14:textId="7D75608D" w:rsidR="002F17C8" w:rsidRPr="00B23F61" w:rsidRDefault="002F17C8" w:rsidP="002F17C8">
            <w:pPr>
              <w:keepNext/>
              <w:spacing w:before="140" w:after="280"/>
              <w:outlineLvl w:val="0"/>
              <w:rPr>
                <w:rFonts w:ascii="Arial" w:hAnsi="Arial" w:cs="Arial"/>
                <w:b/>
                <w:sz w:val="24"/>
                <w:szCs w:val="24"/>
              </w:rPr>
            </w:pPr>
            <w:r w:rsidRPr="00B23F61">
              <w:rPr>
                <w:rFonts w:ascii="Arial" w:hAnsi="Arial" w:cs="Arial"/>
                <w:b/>
                <w:sz w:val="24"/>
                <w:szCs w:val="24"/>
              </w:rPr>
              <w:t>Definition</w:t>
            </w:r>
          </w:p>
        </w:tc>
        <w:tc>
          <w:tcPr>
            <w:tcW w:w="6882" w:type="dxa"/>
          </w:tcPr>
          <w:p w14:paraId="1B060972" w14:textId="77777777" w:rsidR="002F17C8" w:rsidRPr="00B23F61" w:rsidRDefault="002F17C8" w:rsidP="002F17C8">
            <w:pPr>
              <w:spacing w:before="240" w:after="140"/>
              <w:textboxTightWrap w:val="lastLineOnly"/>
              <w:rPr>
                <w:rFonts w:ascii="Arial" w:hAnsi="Arial" w:cs="Arial"/>
                <w:sz w:val="24"/>
                <w:szCs w:val="24"/>
              </w:rPr>
            </w:pPr>
            <w:r w:rsidRPr="00B23F61">
              <w:rPr>
                <w:rFonts w:ascii="Arial" w:hAnsi="Arial" w:cs="Arial"/>
                <w:sz w:val="24"/>
                <w:szCs w:val="24"/>
              </w:rPr>
              <w:t>The indicators measure the proportion of patients aged 60 or over recovering to a level of mobility at (</w:t>
            </w:r>
            <w:proofErr w:type="spellStart"/>
            <w:r w:rsidRPr="00B23F61">
              <w:rPr>
                <w:rFonts w:ascii="Arial" w:hAnsi="Arial" w:cs="Arial"/>
                <w:sz w:val="24"/>
                <w:szCs w:val="24"/>
              </w:rPr>
              <w:t>i</w:t>
            </w:r>
            <w:proofErr w:type="spellEnd"/>
            <w:r w:rsidRPr="00B23F61">
              <w:rPr>
                <w:rFonts w:ascii="Arial" w:hAnsi="Arial" w:cs="Arial"/>
                <w:sz w:val="24"/>
                <w:szCs w:val="24"/>
              </w:rPr>
              <w:t xml:space="preserve">) 30 and (ii) 120 days after their hip fracture, which was better, the same or only one mobility category worse than mobility category prior to the hip fracture. </w:t>
            </w:r>
          </w:p>
          <w:p w14:paraId="51A51695" w14:textId="77777777" w:rsidR="002F17C8" w:rsidRPr="00B23F61" w:rsidRDefault="002F17C8" w:rsidP="002F17C8">
            <w:pPr>
              <w:spacing w:before="240" w:after="140"/>
              <w:textboxTightWrap w:val="lastLineOnly"/>
              <w:rPr>
                <w:rFonts w:ascii="Arial" w:hAnsi="Arial" w:cs="Arial"/>
                <w:sz w:val="24"/>
                <w:szCs w:val="24"/>
              </w:rPr>
            </w:pPr>
            <w:r w:rsidRPr="00B23F61">
              <w:rPr>
                <w:rFonts w:ascii="Arial" w:hAnsi="Arial" w:cs="Arial"/>
                <w:sz w:val="24"/>
                <w:szCs w:val="24"/>
              </w:rPr>
              <w:t xml:space="preserve">The indicators are reported annually by calendar year from 2013 onwards, are reported at CCG, and national level, where national is an aggregation of all the England CCG values. </w:t>
            </w:r>
          </w:p>
          <w:p w14:paraId="45602680" w14:textId="77777777" w:rsidR="002F17C8" w:rsidRPr="00B23F61" w:rsidRDefault="002F17C8" w:rsidP="002F17C8">
            <w:pPr>
              <w:spacing w:before="240" w:after="140"/>
              <w:textboxTightWrap w:val="lastLineOnly"/>
              <w:rPr>
                <w:rFonts w:ascii="Arial" w:hAnsi="Arial" w:cs="Arial"/>
                <w:sz w:val="24"/>
                <w:szCs w:val="24"/>
              </w:rPr>
            </w:pPr>
            <w:r w:rsidRPr="00B23F61">
              <w:rPr>
                <w:rFonts w:ascii="Arial" w:hAnsi="Arial" w:cs="Arial"/>
                <w:sz w:val="24"/>
                <w:szCs w:val="24"/>
              </w:rPr>
              <w:t xml:space="preserve">It excludes patients whose pre-fracture mobility was classified as category 4 or 5, or patients who have no pre-fracture mobility category recorded or where the mobility category at 30 or 120 days post admission was not recorded. </w:t>
            </w:r>
          </w:p>
          <w:p w14:paraId="6F635A61" w14:textId="14B1C436" w:rsidR="002F17C8" w:rsidRPr="00B23F61" w:rsidRDefault="002F17C8" w:rsidP="002F17C8">
            <w:pPr>
              <w:keepNext/>
              <w:spacing w:before="140" w:after="280"/>
              <w:outlineLvl w:val="0"/>
              <w:rPr>
                <w:rFonts w:ascii="Arial" w:hAnsi="Arial" w:cs="Arial"/>
                <w:sz w:val="24"/>
                <w:szCs w:val="24"/>
              </w:rPr>
            </w:pPr>
            <w:r w:rsidRPr="00B23F61">
              <w:rPr>
                <w:rFonts w:ascii="Arial" w:hAnsi="Arial" w:cs="Arial"/>
                <w:sz w:val="24"/>
                <w:szCs w:val="24"/>
              </w:rPr>
              <w:t xml:space="preserve">The indicator is calculated using data from the National Hip Fracture Database (NHFD).  </w:t>
            </w:r>
          </w:p>
        </w:tc>
      </w:tr>
    </w:tbl>
    <w:p w14:paraId="31F94364" w14:textId="429B1B56" w:rsidR="002F17C8" w:rsidRPr="00B23F61" w:rsidRDefault="002F17C8" w:rsidP="006F558B">
      <w:pPr>
        <w:keepNext/>
        <w:spacing w:before="140" w:after="280" w:line="240" w:lineRule="auto"/>
        <w:outlineLvl w:val="0"/>
        <w:rPr>
          <w:rFonts w:ascii="Arial" w:eastAsia="MS Mincho" w:hAnsi="Arial" w:cs="Arial"/>
          <w:b/>
          <w:bCs/>
          <w:spacing w:val="-14"/>
          <w:kern w:val="28"/>
          <w:sz w:val="24"/>
          <w:szCs w:val="24"/>
          <w14:ligatures w14:val="standardContextual"/>
        </w:rPr>
      </w:pPr>
    </w:p>
    <w:tbl>
      <w:tblPr>
        <w:tblStyle w:val="TableGrid"/>
        <w:tblW w:w="0" w:type="auto"/>
        <w:tblLook w:val="04A0" w:firstRow="1" w:lastRow="0" w:firstColumn="1" w:lastColumn="0" w:noHBand="0" w:noVBand="1"/>
      </w:tblPr>
      <w:tblGrid>
        <w:gridCol w:w="4927"/>
        <w:gridCol w:w="4927"/>
      </w:tblGrid>
      <w:tr w:rsidR="00C36310" w:rsidRPr="00B23F61" w14:paraId="7D97183B" w14:textId="77777777" w:rsidTr="00C36310">
        <w:tc>
          <w:tcPr>
            <w:tcW w:w="4927" w:type="dxa"/>
          </w:tcPr>
          <w:p w14:paraId="32FC8F84" w14:textId="754CEAD4" w:rsidR="00C36310" w:rsidRPr="00B23F61" w:rsidRDefault="00C36310" w:rsidP="006F558B">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eastAsia="MS Mincho" w:hAnsi="Arial" w:cs="Arial"/>
                <w:b/>
                <w:bCs/>
                <w:spacing w:val="-14"/>
                <w:kern w:val="28"/>
                <w:sz w:val="24"/>
                <w:szCs w:val="24"/>
                <w14:ligatures w14:val="standardContextual"/>
              </w:rPr>
              <w:lastRenderedPageBreak/>
              <w:t>Section 1</w:t>
            </w:r>
          </w:p>
        </w:tc>
        <w:tc>
          <w:tcPr>
            <w:tcW w:w="4927" w:type="dxa"/>
          </w:tcPr>
          <w:p w14:paraId="1E1A9A1D" w14:textId="2465D770" w:rsidR="00C36310" w:rsidRPr="00B23F61" w:rsidRDefault="00C36310" w:rsidP="006F558B">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eastAsia="MS Mincho" w:hAnsi="Arial" w:cs="Arial"/>
                <w:b/>
                <w:bCs/>
                <w:spacing w:val="-14"/>
                <w:kern w:val="28"/>
                <w:sz w:val="24"/>
                <w:szCs w:val="24"/>
                <w14:ligatures w14:val="standardContextual"/>
              </w:rPr>
              <w:t>Rationale</w:t>
            </w:r>
          </w:p>
        </w:tc>
      </w:tr>
      <w:tr w:rsidR="00C36310" w:rsidRPr="00B23F61" w14:paraId="436130A1" w14:textId="77777777" w:rsidTr="00C36310">
        <w:tc>
          <w:tcPr>
            <w:tcW w:w="4927" w:type="dxa"/>
          </w:tcPr>
          <w:p w14:paraId="28899D80" w14:textId="7499207E" w:rsidR="00C36310" w:rsidRPr="00B23F61" w:rsidRDefault="00C36310" w:rsidP="006F558B">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hAnsi="Arial" w:cs="Arial"/>
                <w:b/>
                <w:sz w:val="24"/>
                <w:szCs w:val="24"/>
              </w:rPr>
              <w:t>Purpose</w:t>
            </w:r>
          </w:p>
        </w:tc>
        <w:tc>
          <w:tcPr>
            <w:tcW w:w="4927" w:type="dxa"/>
          </w:tcPr>
          <w:p w14:paraId="426BF9F6" w14:textId="045FDF72" w:rsidR="00C36310" w:rsidRPr="00B23F61" w:rsidRDefault="00C36310" w:rsidP="006F558B">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hAnsi="Arial" w:cs="Arial"/>
                <w:sz w:val="24"/>
                <w:szCs w:val="24"/>
              </w:rPr>
              <w:t>Identifying levels of mobility at 30 and 120 days are indicators of the effectiveness of rehabilitation after discharge from the hospital admission. The time required for recovery from hip fracture surgery means that, if previous levels of mobility are likely to be regained, this will require appropriate rehabilitation services to be provided some time after discharge. The indicator is therefore an important measure of the effectiveness of rehabilitation within the wider local healthcare system outside of the inpatient setting, and the quality and availability of this are matters within the purview of CCG commissioning. CCGs can use this indicator to track their scores over time and compare themselves with other CCGs.</w:t>
            </w:r>
          </w:p>
        </w:tc>
      </w:tr>
      <w:tr w:rsidR="00C36310" w:rsidRPr="00B23F61" w14:paraId="3FE1FC9A" w14:textId="77777777" w:rsidTr="00C36310">
        <w:tc>
          <w:tcPr>
            <w:tcW w:w="4927" w:type="dxa"/>
          </w:tcPr>
          <w:p w14:paraId="0293574D" w14:textId="493957D1" w:rsidR="00C36310" w:rsidRPr="00B23F61" w:rsidRDefault="00C36310" w:rsidP="006F558B">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eastAsia="MS Mincho" w:hAnsi="Arial" w:cs="Arial"/>
                <w:b/>
                <w:bCs/>
                <w:spacing w:val="-14"/>
                <w:kern w:val="28"/>
                <w:sz w:val="24"/>
                <w:szCs w:val="24"/>
                <w14:ligatures w14:val="standardContextual"/>
              </w:rPr>
              <w:t>Sponsor</w:t>
            </w:r>
          </w:p>
        </w:tc>
        <w:tc>
          <w:tcPr>
            <w:tcW w:w="4927" w:type="dxa"/>
          </w:tcPr>
          <w:p w14:paraId="6988CB09" w14:textId="2E366AF3" w:rsidR="00C36310" w:rsidRPr="00B23F61" w:rsidRDefault="00C36310" w:rsidP="006F558B">
            <w:pPr>
              <w:keepNext/>
              <w:spacing w:before="140" w:after="280"/>
              <w:outlineLvl w:val="0"/>
              <w:rPr>
                <w:rFonts w:ascii="Arial" w:eastAsia="MS Mincho" w:hAnsi="Arial" w:cs="Arial"/>
                <w:b/>
                <w:bCs/>
                <w:spacing w:val="-14"/>
                <w:kern w:val="28"/>
                <w:sz w:val="24"/>
                <w:szCs w:val="24"/>
                <w14:ligatures w14:val="standardContextual"/>
              </w:rPr>
            </w:pPr>
            <w:r w:rsidRPr="00B23F61">
              <w:rPr>
                <w:rFonts w:ascii="Arial" w:hAnsi="Arial" w:cs="Arial"/>
                <w:sz w:val="24"/>
                <w:szCs w:val="24"/>
              </w:rPr>
              <w:t>NHS England, Contact name tbc.</w:t>
            </w:r>
          </w:p>
        </w:tc>
      </w:tr>
      <w:tr w:rsidR="00C36310" w:rsidRPr="00B23F61" w14:paraId="03FDAEF9" w14:textId="77777777" w:rsidTr="00C36310">
        <w:tc>
          <w:tcPr>
            <w:tcW w:w="4927" w:type="dxa"/>
          </w:tcPr>
          <w:p w14:paraId="16633218" w14:textId="77777777" w:rsidR="00C36310" w:rsidRPr="00B23F61" w:rsidRDefault="00C36310" w:rsidP="00C36310">
            <w:pPr>
              <w:spacing w:before="240" w:after="140"/>
              <w:textboxTightWrap w:val="lastLineOnly"/>
              <w:rPr>
                <w:rFonts w:ascii="Arial" w:hAnsi="Arial" w:cs="Arial"/>
                <w:bCs/>
                <w:sz w:val="24"/>
                <w:szCs w:val="24"/>
              </w:rPr>
            </w:pPr>
            <w:r w:rsidRPr="00B23F61">
              <w:rPr>
                <w:rFonts w:ascii="Arial" w:hAnsi="Arial" w:cs="Arial"/>
                <w:bCs/>
                <w:sz w:val="24"/>
                <w:szCs w:val="24"/>
              </w:rPr>
              <w:t>Evidence and Policy base</w:t>
            </w:r>
          </w:p>
          <w:p w14:paraId="5BA472BD" w14:textId="7685718C" w:rsidR="00C36310" w:rsidRPr="00B23F61" w:rsidRDefault="00C36310" w:rsidP="00C36310">
            <w:pPr>
              <w:keepNext/>
              <w:spacing w:before="140" w:after="280"/>
              <w:outlineLvl w:val="0"/>
              <w:rPr>
                <w:rFonts w:ascii="Arial" w:eastAsia="MS Mincho" w:hAnsi="Arial" w:cs="Arial"/>
                <w:bCs/>
                <w:spacing w:val="-14"/>
                <w:kern w:val="28"/>
                <w:sz w:val="24"/>
                <w:szCs w:val="24"/>
                <w14:ligatures w14:val="standardContextual"/>
              </w:rPr>
            </w:pPr>
            <w:r w:rsidRPr="00B23F61">
              <w:rPr>
                <w:rFonts w:ascii="Arial" w:hAnsi="Arial" w:cs="Arial"/>
                <w:bCs/>
                <w:sz w:val="24"/>
                <w:szCs w:val="24"/>
              </w:rPr>
              <w:t>Including related national incentives, critical business question, NICE quality standard and set or domain rationale, if appropriate</w:t>
            </w:r>
          </w:p>
        </w:tc>
        <w:tc>
          <w:tcPr>
            <w:tcW w:w="4927" w:type="dxa"/>
          </w:tcPr>
          <w:p w14:paraId="669F32B4" w14:textId="77777777" w:rsidR="00C36310" w:rsidRPr="00C36310" w:rsidRDefault="00C36310" w:rsidP="00C36310">
            <w:pPr>
              <w:keepNext/>
              <w:spacing w:before="140" w:after="280"/>
              <w:outlineLvl w:val="0"/>
              <w:rPr>
                <w:rFonts w:ascii="Arial" w:hAnsi="Arial" w:cs="Arial"/>
                <w:bCs/>
                <w:sz w:val="24"/>
                <w:szCs w:val="24"/>
              </w:rPr>
            </w:pPr>
            <w:r w:rsidRPr="00C36310">
              <w:rPr>
                <w:rFonts w:ascii="Arial" w:hAnsi="Arial" w:cs="Arial"/>
                <w:bCs/>
                <w:sz w:val="24"/>
                <w:szCs w:val="24"/>
              </w:rPr>
              <w:t>The rapid restoration of physical and self-care functions is critical to recovery from hip fracture, particularly where the goal is to return the patient to preoperative levels of function and residence. Loss of pre-fracture mobility and independence currently results in between a quarter and one third of such patients requiring a permanent change in residence. Early surgery, good perioperative care, supported multidisciplinary rehabilitation and falls risk intervention can reduce hospital stay, improve early return to function affecting both readmission rates and the levels of Social Care or NHS Continuing care-funded care support. Mortality following hip fracture is high (as a result of comorbidities).</w:t>
            </w:r>
          </w:p>
          <w:p w14:paraId="04690A0C" w14:textId="77777777" w:rsidR="00C36310" w:rsidRPr="00C36310" w:rsidRDefault="00C36310" w:rsidP="00C36310">
            <w:pPr>
              <w:keepNext/>
              <w:spacing w:before="140" w:after="280"/>
              <w:outlineLvl w:val="0"/>
              <w:rPr>
                <w:rFonts w:ascii="Arial" w:hAnsi="Arial" w:cs="Arial"/>
                <w:bCs/>
                <w:sz w:val="24"/>
                <w:szCs w:val="24"/>
              </w:rPr>
            </w:pPr>
            <w:r w:rsidRPr="00C36310">
              <w:rPr>
                <w:rFonts w:ascii="Arial" w:hAnsi="Arial" w:cs="Arial"/>
                <w:bCs/>
                <w:sz w:val="24"/>
                <w:szCs w:val="24"/>
              </w:rPr>
              <w:t xml:space="preserve">The indicators form part of domain 3 of the CCG OIS. The Fragility Fractures Programme at DH was initiated in 2009, clinically led by NCD for Trauma Care, Prof Keith Willett, and the NCD for Older People, Prof David Oliver. The issues the programme sought to address were the </w:t>
            </w:r>
            <w:r w:rsidRPr="00C36310">
              <w:rPr>
                <w:rFonts w:ascii="Arial" w:hAnsi="Arial" w:cs="Arial"/>
                <w:bCs/>
                <w:sz w:val="24"/>
                <w:szCs w:val="24"/>
              </w:rPr>
              <w:lastRenderedPageBreak/>
              <w:t>care of hip fracture patients and the prevention of fractures amongst the high risk population. The programme looked for system architecture improvements that would improve the priority given across the NHS to those at risk of fragility fractures, and reduce the effect of delays, co-morbidities and lengthy stays in hospitals or care facilities.</w:t>
            </w:r>
          </w:p>
          <w:p w14:paraId="4ED2B1D9" w14:textId="4CB31BFE" w:rsidR="00C36310" w:rsidRPr="00B23F61" w:rsidRDefault="00C36310" w:rsidP="00C36310">
            <w:pPr>
              <w:keepNext/>
              <w:spacing w:before="140" w:after="280"/>
              <w:outlineLvl w:val="0"/>
              <w:rPr>
                <w:rFonts w:ascii="Arial" w:eastAsia="MS Mincho" w:hAnsi="Arial" w:cs="Arial"/>
                <w:bCs/>
                <w:spacing w:val="-14"/>
                <w:kern w:val="28"/>
                <w:sz w:val="24"/>
                <w:szCs w:val="24"/>
                <w14:ligatures w14:val="standardContextual"/>
              </w:rPr>
            </w:pPr>
            <w:r w:rsidRPr="00AE777C">
              <w:rPr>
                <w:rFonts w:ascii="Arial" w:hAnsi="Arial" w:cs="Arial"/>
                <w:bCs/>
                <w:sz w:val="24"/>
                <w:szCs w:val="24"/>
              </w:rPr>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Outcomes indicators have been chosen on the basis that they contribute to the overarching aims of the five domains in the NHS Outcomes Framework and it is intended as a tool for CCGs to drive local improvement and set priorities.</w:t>
            </w:r>
            <w:r w:rsidRPr="00B23F61">
              <w:rPr>
                <w:rFonts w:ascii="Arial" w:eastAsia="MS Mincho" w:hAnsi="Arial" w:cs="Arial"/>
                <w:bCs/>
                <w:spacing w:val="-14"/>
                <w:kern w:val="28"/>
                <w:sz w:val="24"/>
                <w:szCs w:val="24"/>
                <w14:ligatures w14:val="standardContextual"/>
              </w:rPr>
              <w:t xml:space="preserve">  </w:t>
            </w:r>
          </w:p>
        </w:tc>
      </w:tr>
    </w:tbl>
    <w:p w14:paraId="53747B12" w14:textId="77777777" w:rsidR="002F17C8" w:rsidRPr="00B23F61" w:rsidRDefault="002F17C8" w:rsidP="006F558B">
      <w:pPr>
        <w:keepNext/>
        <w:spacing w:before="140" w:after="280" w:line="240" w:lineRule="auto"/>
        <w:outlineLvl w:val="0"/>
        <w:rPr>
          <w:rFonts w:ascii="Arial" w:eastAsia="MS Mincho" w:hAnsi="Arial" w:cs="Arial"/>
          <w:b/>
          <w:bCs/>
          <w:spacing w:val="-14"/>
          <w:kern w:val="28"/>
          <w:sz w:val="24"/>
          <w:szCs w:val="24"/>
          <w14:ligatures w14:val="standardContextual"/>
        </w:rPr>
      </w:pPr>
    </w:p>
    <w:tbl>
      <w:tblPr>
        <w:tblStyle w:val="TableGrid1"/>
        <w:tblW w:w="0" w:type="auto"/>
        <w:tblInd w:w="108" w:type="dxa"/>
        <w:tblBorders>
          <w:top w:val="single" w:sz="18" w:space="0" w:color="003360"/>
          <w:left w:val="single" w:sz="18" w:space="0" w:color="003360"/>
          <w:bottom w:val="single" w:sz="18" w:space="0" w:color="003360"/>
          <w:right w:val="single" w:sz="18" w:space="0" w:color="003360"/>
          <w:insideH w:val="single" w:sz="4" w:space="0" w:color="003360"/>
          <w:insideV w:val="single" w:sz="4" w:space="0" w:color="003360"/>
        </w:tblBorders>
        <w:tblLook w:val="04A0" w:firstRow="1" w:lastRow="0" w:firstColumn="1" w:lastColumn="0" w:noHBand="0" w:noVBand="1"/>
      </w:tblPr>
      <w:tblGrid>
        <w:gridCol w:w="823"/>
        <w:gridCol w:w="2239"/>
        <w:gridCol w:w="6648"/>
      </w:tblGrid>
      <w:tr w:rsidR="002F17C8" w:rsidRPr="00B23F61" w14:paraId="4F7ED678" w14:textId="77777777" w:rsidTr="002F17C8">
        <w:tc>
          <w:tcPr>
            <w:tcW w:w="823" w:type="dxa"/>
            <w:tcBorders>
              <w:right w:val="nil"/>
            </w:tcBorders>
          </w:tcPr>
          <w:p w14:paraId="50FD613B" w14:textId="77777777" w:rsidR="006F558B" w:rsidRPr="00B23F61" w:rsidRDefault="006F558B" w:rsidP="006F558B">
            <w:pPr>
              <w:numPr>
                <w:ilvl w:val="1"/>
                <w:numId w:val="1"/>
              </w:numPr>
              <w:spacing w:before="240" w:after="180"/>
              <w:ind w:left="459" w:hanging="459"/>
              <w:textboxTightWrap w:val="lastLineOnly"/>
              <w:rPr>
                <w:b/>
                <w:sz w:val="24"/>
                <w:szCs w:val="24"/>
              </w:rPr>
            </w:pPr>
          </w:p>
        </w:tc>
        <w:tc>
          <w:tcPr>
            <w:tcW w:w="2239" w:type="dxa"/>
            <w:tcBorders>
              <w:top w:val="single" w:sz="4" w:space="0" w:color="003360"/>
              <w:left w:val="nil"/>
              <w:bottom w:val="single" w:sz="4" w:space="0" w:color="003360"/>
            </w:tcBorders>
          </w:tcPr>
          <w:p w14:paraId="2387F76A" w14:textId="77777777" w:rsidR="006F558B" w:rsidRPr="00B23F61" w:rsidRDefault="006F558B" w:rsidP="006F558B">
            <w:pPr>
              <w:spacing w:before="240" w:after="140"/>
              <w:textboxTightWrap w:val="lastLineOnly"/>
              <w:rPr>
                <w:b/>
                <w:sz w:val="24"/>
                <w:szCs w:val="24"/>
              </w:rPr>
            </w:pPr>
            <w:r w:rsidRPr="00B23F61">
              <w:rPr>
                <w:b/>
                <w:sz w:val="24"/>
                <w:szCs w:val="24"/>
              </w:rPr>
              <w:t>Evidence and Policy base</w:t>
            </w:r>
          </w:p>
          <w:p w14:paraId="322B7553" w14:textId="77777777" w:rsidR="006F558B" w:rsidRPr="00B23F61" w:rsidRDefault="006F558B" w:rsidP="006F558B">
            <w:pPr>
              <w:spacing w:after="140"/>
              <w:textboxTightWrap w:val="lastLineOnly"/>
              <w:rPr>
                <w:sz w:val="24"/>
                <w:szCs w:val="24"/>
              </w:rPr>
            </w:pPr>
            <w:r w:rsidRPr="00B23F61">
              <w:rPr>
                <w:sz w:val="24"/>
                <w:szCs w:val="24"/>
              </w:rPr>
              <w:t>Including related national incentives, critical business question, NICE quality standard and set or domain rationale, if appropriate</w:t>
            </w:r>
          </w:p>
        </w:tc>
        <w:tc>
          <w:tcPr>
            <w:tcW w:w="6648" w:type="dxa"/>
          </w:tcPr>
          <w:p w14:paraId="7792A2DC" w14:textId="2323F9C2" w:rsidR="006F558B" w:rsidRPr="00B23F61" w:rsidRDefault="006F558B" w:rsidP="006F558B">
            <w:pPr>
              <w:spacing w:before="240" w:after="140"/>
              <w:textboxTightWrap w:val="lastLineOnly"/>
              <w:rPr>
                <w:sz w:val="24"/>
                <w:szCs w:val="24"/>
              </w:rPr>
            </w:pPr>
            <w:r w:rsidRPr="00B23F61">
              <w:rPr>
                <w:sz w:val="24"/>
                <w:szCs w:val="24"/>
              </w:rPr>
              <w:t xml:space="preserve"> </w:t>
            </w:r>
          </w:p>
        </w:tc>
      </w:tr>
    </w:tbl>
    <w:p w14:paraId="33557C89" w14:textId="77777777" w:rsidR="00A74435" w:rsidRPr="00B23F61" w:rsidRDefault="00A74435" w:rsidP="006F558B">
      <w:pPr>
        <w:spacing w:after="140" w:line="240" w:lineRule="auto"/>
        <w:textboxTightWrap w:val="lastLineOnly"/>
        <w:rPr>
          <w:rFonts w:ascii="Arial" w:eastAsia="Times New Roman" w:hAnsi="Arial" w:cs="Arial"/>
          <w:sz w:val="24"/>
          <w:szCs w:val="24"/>
        </w:rPr>
      </w:pPr>
    </w:p>
    <w:tbl>
      <w:tblPr>
        <w:tblStyle w:val="TableGrid"/>
        <w:tblW w:w="0" w:type="auto"/>
        <w:tblLook w:val="04A0" w:firstRow="1" w:lastRow="0" w:firstColumn="1" w:lastColumn="0" w:noHBand="0" w:noVBand="1"/>
      </w:tblPr>
      <w:tblGrid>
        <w:gridCol w:w="4927"/>
        <w:gridCol w:w="4927"/>
      </w:tblGrid>
      <w:tr w:rsidR="00A74435" w:rsidRPr="00B23F61" w14:paraId="21B6400F" w14:textId="77777777" w:rsidTr="00A74435">
        <w:tc>
          <w:tcPr>
            <w:tcW w:w="4927" w:type="dxa"/>
          </w:tcPr>
          <w:p w14:paraId="0CB10B2A" w14:textId="39E25380" w:rsidR="00A74435" w:rsidRPr="00B23F61" w:rsidRDefault="00A74435" w:rsidP="00A74435">
            <w:pPr>
              <w:pStyle w:val="ListParagraph"/>
              <w:numPr>
                <w:ilvl w:val="0"/>
                <w:numId w:val="1"/>
              </w:numPr>
              <w:spacing w:after="140"/>
              <w:textboxTightWrap w:val="lastLineOnly"/>
              <w:rPr>
                <w:rFonts w:ascii="Arial" w:hAnsi="Arial" w:cs="Arial"/>
                <w:sz w:val="24"/>
                <w:szCs w:val="24"/>
              </w:rPr>
            </w:pPr>
            <w:r w:rsidRPr="00B23F61">
              <w:rPr>
                <w:rFonts w:ascii="Arial" w:hAnsi="Arial" w:cs="Arial"/>
                <w:sz w:val="24"/>
                <w:szCs w:val="24"/>
              </w:rPr>
              <w:t xml:space="preserve">Data </w:t>
            </w:r>
          </w:p>
        </w:tc>
        <w:tc>
          <w:tcPr>
            <w:tcW w:w="4927" w:type="dxa"/>
          </w:tcPr>
          <w:p w14:paraId="7F05EF32" w14:textId="77777777" w:rsidR="00A74435" w:rsidRPr="00B23F61" w:rsidRDefault="00A74435" w:rsidP="006F558B">
            <w:pPr>
              <w:spacing w:after="140"/>
              <w:textboxTightWrap w:val="lastLineOnly"/>
              <w:rPr>
                <w:rFonts w:ascii="Arial" w:hAnsi="Arial" w:cs="Arial"/>
                <w:sz w:val="24"/>
                <w:szCs w:val="24"/>
              </w:rPr>
            </w:pPr>
          </w:p>
        </w:tc>
      </w:tr>
      <w:tr w:rsidR="00A74435" w:rsidRPr="00B23F61" w14:paraId="6CEBE398" w14:textId="77777777" w:rsidTr="00F04920">
        <w:tc>
          <w:tcPr>
            <w:tcW w:w="4927" w:type="dxa"/>
            <w:tcBorders>
              <w:top w:val="single" w:sz="4" w:space="0" w:color="003360"/>
              <w:left w:val="nil"/>
              <w:bottom w:val="single" w:sz="4" w:space="0" w:color="003360"/>
            </w:tcBorders>
          </w:tcPr>
          <w:p w14:paraId="67C452B1" w14:textId="2642329A" w:rsidR="00A74435" w:rsidRPr="00B23F61" w:rsidRDefault="00A74435" w:rsidP="00A74435">
            <w:pPr>
              <w:spacing w:after="140"/>
              <w:textboxTightWrap w:val="lastLineOnly"/>
              <w:rPr>
                <w:rFonts w:ascii="Arial" w:hAnsi="Arial" w:cs="Arial"/>
                <w:sz w:val="24"/>
                <w:szCs w:val="24"/>
              </w:rPr>
            </w:pPr>
            <w:r w:rsidRPr="00B23F61">
              <w:rPr>
                <w:rFonts w:ascii="Arial" w:hAnsi="Arial" w:cs="Arial"/>
                <w:b/>
                <w:sz w:val="24"/>
                <w:szCs w:val="24"/>
              </w:rPr>
              <w:t>Data source</w:t>
            </w:r>
          </w:p>
        </w:tc>
        <w:tc>
          <w:tcPr>
            <w:tcW w:w="4927" w:type="dxa"/>
          </w:tcPr>
          <w:p w14:paraId="71A548EF" w14:textId="549C0520" w:rsidR="00A74435" w:rsidRPr="00B23F61" w:rsidRDefault="00A74435" w:rsidP="00A74435">
            <w:pPr>
              <w:spacing w:after="140"/>
              <w:textboxTightWrap w:val="lastLineOnly"/>
              <w:rPr>
                <w:rFonts w:ascii="Arial" w:hAnsi="Arial" w:cs="Arial"/>
                <w:sz w:val="24"/>
                <w:szCs w:val="24"/>
              </w:rPr>
            </w:pPr>
            <w:r w:rsidRPr="00B23F61">
              <w:rPr>
                <w:rFonts w:ascii="Arial" w:hAnsi="Arial" w:cs="Arial"/>
                <w:sz w:val="24"/>
                <w:szCs w:val="24"/>
              </w:rPr>
              <w:t>National Hip Fracture Database (NHFD)</w:t>
            </w:r>
          </w:p>
        </w:tc>
      </w:tr>
      <w:tr w:rsidR="00A74435" w:rsidRPr="00B23F61" w14:paraId="25234082" w14:textId="77777777" w:rsidTr="00A74435">
        <w:tc>
          <w:tcPr>
            <w:tcW w:w="4927" w:type="dxa"/>
          </w:tcPr>
          <w:p w14:paraId="30873847" w14:textId="77777777" w:rsidR="00A74435" w:rsidRPr="00B23F61" w:rsidRDefault="00A74435" w:rsidP="00A74435">
            <w:pPr>
              <w:spacing w:after="140"/>
              <w:textboxTightWrap w:val="lastLineOnly"/>
              <w:rPr>
                <w:rFonts w:ascii="Arial" w:hAnsi="Arial" w:cs="Arial"/>
                <w:sz w:val="24"/>
                <w:szCs w:val="24"/>
              </w:rPr>
            </w:pPr>
          </w:p>
        </w:tc>
        <w:tc>
          <w:tcPr>
            <w:tcW w:w="4927" w:type="dxa"/>
          </w:tcPr>
          <w:p w14:paraId="73006A1A" w14:textId="77777777" w:rsidR="00A74435" w:rsidRPr="00A74435" w:rsidRDefault="00A74435" w:rsidP="00A74435">
            <w:pPr>
              <w:spacing w:after="140"/>
              <w:textboxTightWrap w:val="lastLineOnly"/>
              <w:rPr>
                <w:rFonts w:ascii="Arial" w:hAnsi="Arial" w:cs="Arial"/>
                <w:sz w:val="24"/>
                <w:szCs w:val="24"/>
              </w:rPr>
            </w:pPr>
            <w:r w:rsidRPr="00A74435">
              <w:rPr>
                <w:rFonts w:ascii="Arial" w:hAnsi="Arial" w:cs="Arial"/>
                <w:sz w:val="24"/>
                <w:szCs w:val="24"/>
              </w:rPr>
              <w:t xml:space="preserve">The National Hip Fracture Database (NHFD) is a clinically led, web-based quality improvement initiative commissioned by the Healthcare Quality Improvement </w:t>
            </w:r>
            <w:r w:rsidRPr="00A74435">
              <w:rPr>
                <w:rFonts w:ascii="Arial" w:hAnsi="Arial" w:cs="Arial"/>
                <w:sz w:val="24"/>
                <w:szCs w:val="24"/>
              </w:rPr>
              <w:lastRenderedPageBreak/>
              <w:t>Partnership (HQIP) and managed by the Royal College of Physicians (RCP).</w:t>
            </w:r>
          </w:p>
          <w:p w14:paraId="71F36998" w14:textId="77777777" w:rsidR="00A74435" w:rsidRPr="00A74435" w:rsidRDefault="00A74435" w:rsidP="00A74435">
            <w:pPr>
              <w:spacing w:after="140"/>
              <w:textboxTightWrap w:val="lastLineOnly"/>
              <w:rPr>
                <w:rFonts w:ascii="Arial" w:hAnsi="Arial" w:cs="Arial"/>
                <w:sz w:val="24"/>
                <w:szCs w:val="24"/>
              </w:rPr>
            </w:pPr>
            <w:r w:rsidRPr="00A74435">
              <w:rPr>
                <w:rFonts w:ascii="Arial" w:hAnsi="Arial" w:cs="Arial"/>
                <w:sz w:val="24"/>
                <w:szCs w:val="24"/>
              </w:rPr>
              <w:t>All 182 eligible hospitals in England, Wales and Northern Ireland are now regularly submitting data to NHFD, the largest hip fracture database in the world, with:</w:t>
            </w:r>
          </w:p>
          <w:p w14:paraId="2226D9B1" w14:textId="77777777" w:rsidR="00A74435" w:rsidRPr="00A74435" w:rsidRDefault="00A74435" w:rsidP="00A74435">
            <w:pPr>
              <w:spacing w:after="140"/>
              <w:textboxTightWrap w:val="lastLineOnly"/>
              <w:rPr>
                <w:rFonts w:ascii="Arial" w:hAnsi="Arial" w:cs="Arial"/>
                <w:sz w:val="24"/>
                <w:szCs w:val="24"/>
              </w:rPr>
            </w:pPr>
            <w:r w:rsidRPr="00A74435">
              <w:rPr>
                <w:rFonts w:ascii="Arial" w:hAnsi="Arial" w:cs="Arial"/>
                <w:sz w:val="24"/>
                <w:szCs w:val="24"/>
              </w:rPr>
              <w:t>• a third of a million cases recorded since its launch in 2007</w:t>
            </w:r>
          </w:p>
          <w:p w14:paraId="477A1D50" w14:textId="77777777" w:rsidR="00A74435" w:rsidRPr="00A74435" w:rsidRDefault="00A74435" w:rsidP="00A74435">
            <w:pPr>
              <w:spacing w:after="140"/>
              <w:textboxTightWrap w:val="lastLineOnly"/>
              <w:rPr>
                <w:rFonts w:ascii="Arial" w:hAnsi="Arial" w:cs="Arial"/>
                <w:sz w:val="24"/>
                <w:szCs w:val="24"/>
              </w:rPr>
            </w:pPr>
            <w:r w:rsidRPr="00A74435">
              <w:rPr>
                <w:rFonts w:ascii="Arial" w:hAnsi="Arial" w:cs="Arial"/>
                <w:sz w:val="24"/>
                <w:szCs w:val="24"/>
              </w:rPr>
              <w:t>• over 95% of all new hip fracture cases being documented</w:t>
            </w:r>
          </w:p>
          <w:p w14:paraId="4E86D196" w14:textId="32C360E0" w:rsidR="00A74435" w:rsidRPr="00B23F61" w:rsidRDefault="00A74435" w:rsidP="00A74435">
            <w:pPr>
              <w:spacing w:after="140"/>
              <w:textboxTightWrap w:val="lastLineOnly"/>
              <w:rPr>
                <w:rFonts w:ascii="Arial" w:hAnsi="Arial" w:cs="Arial"/>
                <w:sz w:val="24"/>
                <w:szCs w:val="24"/>
              </w:rPr>
            </w:pPr>
            <w:r w:rsidRPr="00B23F61">
              <w:rPr>
                <w:rFonts w:ascii="Arial" w:hAnsi="Arial" w:cs="Arial"/>
                <w:sz w:val="24"/>
                <w:szCs w:val="24"/>
              </w:rPr>
              <w:t>• 5,700 records being added every month.</w:t>
            </w:r>
          </w:p>
        </w:tc>
      </w:tr>
      <w:tr w:rsidR="00A74435" w:rsidRPr="00B23F61" w14:paraId="4BAF7808" w14:textId="77777777" w:rsidTr="00A74435">
        <w:tc>
          <w:tcPr>
            <w:tcW w:w="4927" w:type="dxa"/>
          </w:tcPr>
          <w:p w14:paraId="546E8CF9" w14:textId="67D91DBA" w:rsidR="00A74435" w:rsidRPr="00B23F61" w:rsidRDefault="00F546A6" w:rsidP="00A74435">
            <w:pPr>
              <w:spacing w:after="140"/>
              <w:textboxTightWrap w:val="lastLineOnly"/>
              <w:rPr>
                <w:rFonts w:ascii="Arial" w:hAnsi="Arial" w:cs="Arial"/>
                <w:sz w:val="24"/>
                <w:szCs w:val="24"/>
              </w:rPr>
            </w:pPr>
            <w:r w:rsidRPr="00B23F61">
              <w:rPr>
                <w:rFonts w:ascii="Arial" w:hAnsi="Arial" w:cs="Arial"/>
                <w:b/>
                <w:sz w:val="24"/>
                <w:szCs w:val="24"/>
              </w:rPr>
              <w:lastRenderedPageBreak/>
              <w:t>Data availability</w:t>
            </w:r>
          </w:p>
        </w:tc>
        <w:tc>
          <w:tcPr>
            <w:tcW w:w="4927" w:type="dxa"/>
          </w:tcPr>
          <w:p w14:paraId="1E339204" w14:textId="77777777" w:rsidR="00A74435" w:rsidRPr="00A74435" w:rsidRDefault="00A74435" w:rsidP="00A74435">
            <w:pPr>
              <w:spacing w:after="140"/>
              <w:textboxTightWrap w:val="lastLineOnly"/>
              <w:rPr>
                <w:rFonts w:ascii="Arial" w:hAnsi="Arial" w:cs="Arial"/>
                <w:sz w:val="24"/>
                <w:szCs w:val="24"/>
              </w:rPr>
            </w:pPr>
            <w:r w:rsidRPr="00A74435">
              <w:rPr>
                <w:rFonts w:ascii="Arial" w:hAnsi="Arial" w:cs="Arial"/>
                <w:sz w:val="24"/>
                <w:szCs w:val="24"/>
              </w:rPr>
              <w:t>The data is provided on request by Health Quality Improvement Partnership (HQIP). A data sharing agreement between the HSCIC and HQIP is set up.</w:t>
            </w:r>
          </w:p>
          <w:p w14:paraId="3B757247" w14:textId="77777777" w:rsidR="00A74435" w:rsidRPr="00A74435" w:rsidRDefault="00A74435" w:rsidP="00A74435">
            <w:pPr>
              <w:spacing w:after="140"/>
              <w:textboxTightWrap w:val="lastLineOnly"/>
              <w:rPr>
                <w:rFonts w:ascii="Arial" w:hAnsi="Arial" w:cs="Arial"/>
                <w:sz w:val="24"/>
                <w:szCs w:val="24"/>
              </w:rPr>
            </w:pPr>
            <w:r w:rsidRPr="00A74435">
              <w:rPr>
                <w:rFonts w:ascii="Arial" w:hAnsi="Arial" w:cs="Arial"/>
                <w:sz w:val="24"/>
                <w:szCs w:val="24"/>
              </w:rPr>
              <w:t>Data is expected to be available 6 months after the end of the reporting period (calendar year) to allow for a follow up period of 120 days</w:t>
            </w:r>
          </w:p>
          <w:p w14:paraId="30230CD1" w14:textId="23ADEAEE" w:rsidR="00A74435" w:rsidRPr="00B23F61" w:rsidRDefault="00A74435" w:rsidP="00A74435">
            <w:pPr>
              <w:spacing w:after="140"/>
              <w:textboxTightWrap w:val="lastLineOnly"/>
              <w:rPr>
                <w:rFonts w:ascii="Arial" w:hAnsi="Arial" w:cs="Arial"/>
                <w:sz w:val="24"/>
                <w:szCs w:val="24"/>
              </w:rPr>
            </w:pPr>
            <w:r w:rsidRPr="00B23F61">
              <w:rPr>
                <w:rFonts w:ascii="Arial" w:hAnsi="Arial" w:cs="Arial"/>
                <w:sz w:val="24"/>
                <w:szCs w:val="24"/>
              </w:rPr>
              <w:t xml:space="preserve">Data is supplied at CCG level by data sharing agreement and is not </w:t>
            </w:r>
            <w:proofErr w:type="spellStart"/>
            <w:r w:rsidRPr="00B23F61">
              <w:rPr>
                <w:rFonts w:ascii="Arial" w:hAnsi="Arial" w:cs="Arial"/>
                <w:sz w:val="24"/>
                <w:szCs w:val="24"/>
              </w:rPr>
              <w:t>publically</w:t>
            </w:r>
            <w:proofErr w:type="spellEnd"/>
            <w:r w:rsidRPr="00B23F61">
              <w:rPr>
                <w:rFonts w:ascii="Arial" w:hAnsi="Arial" w:cs="Arial"/>
                <w:sz w:val="24"/>
                <w:szCs w:val="24"/>
              </w:rPr>
              <w:t xml:space="preserve"> available.  </w:t>
            </w:r>
          </w:p>
        </w:tc>
      </w:tr>
    </w:tbl>
    <w:p w14:paraId="4FF69FDF" w14:textId="68AC4164" w:rsidR="006F558B" w:rsidRPr="00B23F61" w:rsidRDefault="006F558B" w:rsidP="006F558B">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br w:type="page"/>
      </w:r>
    </w:p>
    <w:p w14:paraId="339A6862" w14:textId="7BDD8DA5" w:rsidR="002F17C8" w:rsidRPr="00B23F61" w:rsidRDefault="002F17C8">
      <w:pPr>
        <w:rPr>
          <w:rFonts w:ascii="Arial" w:hAnsi="Arial" w:cs="Arial"/>
          <w:sz w:val="24"/>
          <w:szCs w:val="24"/>
        </w:rPr>
      </w:pPr>
      <w:r w:rsidRPr="00B23F61">
        <w:rPr>
          <w:rFonts w:ascii="Arial" w:hAnsi="Arial" w:cs="Arial"/>
          <w:sz w:val="24"/>
          <w:szCs w:val="24"/>
        </w:rPr>
        <w:lastRenderedPageBreak/>
        <w:br w:type="page"/>
      </w:r>
    </w:p>
    <w:p w14:paraId="16A641CF" w14:textId="77777777" w:rsidR="002F17C8" w:rsidRPr="00B23F61" w:rsidRDefault="002F17C8" w:rsidP="002F17C8">
      <w:pPr>
        <w:spacing w:before="240" w:after="140"/>
        <w:textboxTightWrap w:val="lastLineOnly"/>
        <w:rPr>
          <w:rFonts w:ascii="Arial" w:hAnsi="Arial" w:cs="Arial"/>
          <w:bCs/>
          <w:sz w:val="24"/>
          <w:szCs w:val="24"/>
        </w:rPr>
      </w:pPr>
      <w:r w:rsidRPr="00B23F61">
        <w:rPr>
          <w:rFonts w:ascii="Arial" w:hAnsi="Arial" w:cs="Arial"/>
          <w:bCs/>
          <w:sz w:val="24"/>
          <w:szCs w:val="24"/>
        </w:rPr>
        <w:lastRenderedPageBreak/>
        <w:t>The assumption is that more data will be submitted to NHFD. The risk is that walking ability at 120 days is timely and costly to collect.</w:t>
      </w:r>
    </w:p>
    <w:p w14:paraId="033761AB" w14:textId="77777777" w:rsidR="002F17C8" w:rsidRPr="00B23F61" w:rsidRDefault="002F17C8" w:rsidP="002F17C8">
      <w:pPr>
        <w:spacing w:before="240" w:after="140"/>
        <w:textboxTightWrap w:val="lastLineOnly"/>
        <w:rPr>
          <w:rFonts w:ascii="Arial" w:hAnsi="Arial" w:cs="Arial"/>
          <w:b/>
          <w:sz w:val="24"/>
          <w:szCs w:val="24"/>
        </w:rPr>
      </w:pPr>
      <w:r w:rsidRPr="00B23F61">
        <w:rPr>
          <w:rFonts w:ascii="Arial" w:hAnsi="Arial" w:cs="Arial"/>
          <w:b/>
          <w:sz w:val="24"/>
          <w:szCs w:val="24"/>
        </w:rPr>
        <w:t>Low recording rates of mobility category</w:t>
      </w:r>
    </w:p>
    <w:p w14:paraId="7EAA8AD3" w14:textId="77777777" w:rsidR="002F17C8" w:rsidRPr="00B23F61" w:rsidRDefault="002F17C8" w:rsidP="002F17C8">
      <w:pPr>
        <w:spacing w:before="240" w:after="140"/>
        <w:textboxTightWrap w:val="lastLineOnly"/>
        <w:rPr>
          <w:rFonts w:ascii="Arial" w:hAnsi="Arial" w:cs="Arial"/>
          <w:sz w:val="24"/>
          <w:szCs w:val="24"/>
        </w:rPr>
      </w:pPr>
      <w:r w:rsidRPr="00B23F61">
        <w:rPr>
          <w:rFonts w:ascii="Arial" w:hAnsi="Arial" w:cs="Arial"/>
          <w:sz w:val="24"/>
          <w:szCs w:val="24"/>
        </w:rPr>
        <w:t>When these indicators were previously discussed for inclusion in the NHS Outcomes Framework an issue was raised regarding low recording rates of mobility category at 30/120 days in the NHFD.</w:t>
      </w:r>
    </w:p>
    <w:p w14:paraId="6F9CB936" w14:textId="77777777" w:rsidR="002F17C8" w:rsidRPr="00B23F61" w:rsidRDefault="002F17C8" w:rsidP="002F17C8">
      <w:pPr>
        <w:spacing w:before="240" w:after="140"/>
        <w:textboxTightWrap w:val="lastLineOnly"/>
        <w:rPr>
          <w:rFonts w:ascii="Arial" w:hAnsi="Arial" w:cs="Arial"/>
          <w:sz w:val="24"/>
          <w:szCs w:val="24"/>
        </w:rPr>
      </w:pPr>
      <w:r w:rsidRPr="00B23F61">
        <w:rPr>
          <w:rFonts w:ascii="Arial" w:hAnsi="Arial" w:cs="Arial"/>
          <w:sz w:val="24"/>
          <w:szCs w:val="24"/>
        </w:rPr>
        <w:t xml:space="preserve">For a record to be included in either the 30 day or the 120 day analysis there must be a record of mobility status at both time of admission and at the 30/120 day point (after admission). </w:t>
      </w:r>
    </w:p>
    <w:p w14:paraId="6A7A476C" w14:textId="77777777" w:rsidR="002F17C8" w:rsidRPr="00B23F61" w:rsidRDefault="002F17C8" w:rsidP="002F17C8">
      <w:pPr>
        <w:spacing w:before="240" w:after="140"/>
        <w:textboxTightWrap w:val="lastLineOnly"/>
        <w:rPr>
          <w:rFonts w:ascii="Arial" w:hAnsi="Arial" w:cs="Arial"/>
          <w:sz w:val="24"/>
          <w:szCs w:val="24"/>
        </w:rPr>
      </w:pPr>
      <w:r w:rsidRPr="00B23F61">
        <w:rPr>
          <w:rFonts w:ascii="Arial" w:hAnsi="Arial" w:cs="Arial"/>
          <w:sz w:val="24"/>
          <w:szCs w:val="24"/>
        </w:rPr>
        <w:t xml:space="preserve">A sample analysis was undertaken on 2014 data to determine the numbers involved. </w:t>
      </w:r>
    </w:p>
    <w:p w14:paraId="7012EF58" w14:textId="77777777" w:rsidR="002F17C8" w:rsidRPr="00B23F61" w:rsidRDefault="002F17C8" w:rsidP="002F17C8">
      <w:pPr>
        <w:spacing w:before="240" w:after="140"/>
        <w:textboxTightWrap w:val="lastLineOnly"/>
        <w:rPr>
          <w:rFonts w:ascii="Arial" w:hAnsi="Arial" w:cs="Arial"/>
          <w:sz w:val="24"/>
          <w:szCs w:val="24"/>
        </w:rPr>
      </w:pPr>
      <w:r w:rsidRPr="00B23F61">
        <w:rPr>
          <w:rFonts w:ascii="Arial" w:hAnsi="Arial" w:cs="Arial"/>
          <w:sz w:val="24"/>
          <w:szCs w:val="24"/>
        </w:rPr>
        <w:t>The results can be seen in table 1 below.</w:t>
      </w:r>
    </w:p>
    <w:p w14:paraId="2174FF80" w14:textId="77777777" w:rsidR="002F17C8" w:rsidRPr="00B23F61" w:rsidRDefault="002F17C8" w:rsidP="002F17C8">
      <w:pPr>
        <w:spacing w:before="240" w:after="140"/>
        <w:textboxTightWrap w:val="lastLineOnly"/>
        <w:rPr>
          <w:rFonts w:ascii="Arial" w:hAnsi="Arial" w:cs="Arial"/>
          <w:sz w:val="24"/>
          <w:szCs w:val="24"/>
        </w:rPr>
      </w:pPr>
      <w:r w:rsidRPr="00B23F61">
        <w:rPr>
          <w:rFonts w:ascii="Arial" w:hAnsi="Arial" w:cs="Arial"/>
          <w:sz w:val="24"/>
          <w:szCs w:val="24"/>
        </w:rPr>
        <w:t>Table 1: Number of total patients with valid CCG and valid mobility categories (1, 2 or 3) from NHFD 2014</w:t>
      </w:r>
    </w:p>
    <w:p w14:paraId="207AA725" w14:textId="77777777" w:rsidR="002F17C8" w:rsidRPr="00B23F61" w:rsidRDefault="002F17C8" w:rsidP="002F17C8">
      <w:pPr>
        <w:spacing w:before="240" w:after="140"/>
        <w:textboxTightWrap w:val="lastLineOnly"/>
        <w:rPr>
          <w:rFonts w:ascii="Arial" w:hAnsi="Arial" w:cs="Arial"/>
          <w:sz w:val="24"/>
          <w:szCs w:val="24"/>
        </w:rPr>
      </w:pPr>
    </w:p>
    <w:tbl>
      <w:tblPr>
        <w:tblStyle w:val="TableGrid"/>
        <w:tblW w:w="6771" w:type="dxa"/>
        <w:tblLayout w:type="fixed"/>
        <w:tblLook w:val="04A0" w:firstRow="1" w:lastRow="0" w:firstColumn="1" w:lastColumn="0" w:noHBand="0" w:noVBand="1"/>
      </w:tblPr>
      <w:tblGrid>
        <w:gridCol w:w="774"/>
        <w:gridCol w:w="951"/>
        <w:gridCol w:w="1484"/>
        <w:gridCol w:w="1128"/>
        <w:gridCol w:w="1073"/>
        <w:gridCol w:w="1361"/>
      </w:tblGrid>
      <w:tr w:rsidR="002F17C8" w:rsidRPr="00B23F61" w14:paraId="0DF240DA" w14:textId="77777777" w:rsidTr="003F0339">
        <w:trPr>
          <w:trHeight w:val="285"/>
        </w:trPr>
        <w:tc>
          <w:tcPr>
            <w:tcW w:w="774" w:type="dxa"/>
            <w:noWrap/>
            <w:hideMark/>
          </w:tcPr>
          <w:p w14:paraId="1C6B0186" w14:textId="77777777" w:rsidR="002F17C8" w:rsidRPr="00B23F61" w:rsidRDefault="002F17C8" w:rsidP="002F17C8">
            <w:pPr>
              <w:rPr>
                <w:rFonts w:ascii="Arial" w:hAnsi="Arial" w:cs="Arial"/>
                <w:b/>
                <w:bCs/>
                <w:sz w:val="24"/>
                <w:szCs w:val="24"/>
                <w:lang w:eastAsia="en-GB"/>
              </w:rPr>
            </w:pPr>
            <w:r w:rsidRPr="00B23F61">
              <w:rPr>
                <w:rFonts w:ascii="Arial" w:hAnsi="Arial" w:cs="Arial"/>
                <w:b/>
                <w:bCs/>
                <w:sz w:val="24"/>
                <w:szCs w:val="24"/>
                <w:lang w:eastAsia="en-GB"/>
              </w:rPr>
              <w:t>Follow-up Period</w:t>
            </w:r>
          </w:p>
        </w:tc>
        <w:tc>
          <w:tcPr>
            <w:tcW w:w="951" w:type="dxa"/>
            <w:hideMark/>
          </w:tcPr>
          <w:p w14:paraId="5026254E" w14:textId="77777777" w:rsidR="002F17C8" w:rsidRPr="00B23F61" w:rsidRDefault="002F17C8" w:rsidP="002F17C8">
            <w:pPr>
              <w:rPr>
                <w:rFonts w:ascii="Arial" w:hAnsi="Arial" w:cs="Arial"/>
                <w:b/>
                <w:bCs/>
                <w:sz w:val="24"/>
                <w:szCs w:val="24"/>
                <w:lang w:eastAsia="en-GB"/>
              </w:rPr>
            </w:pPr>
            <w:r w:rsidRPr="00B23F61">
              <w:rPr>
                <w:rFonts w:ascii="Arial" w:hAnsi="Arial" w:cs="Arial"/>
                <w:b/>
                <w:bCs/>
                <w:sz w:val="24"/>
                <w:szCs w:val="24"/>
                <w:lang w:eastAsia="en-GB"/>
              </w:rPr>
              <w:t>Cases of Hip Fracture</w:t>
            </w:r>
          </w:p>
        </w:tc>
        <w:tc>
          <w:tcPr>
            <w:tcW w:w="1484" w:type="dxa"/>
            <w:noWrap/>
            <w:hideMark/>
          </w:tcPr>
          <w:p w14:paraId="627200F1" w14:textId="77777777" w:rsidR="002F17C8" w:rsidRPr="00B23F61" w:rsidRDefault="002F17C8" w:rsidP="002F17C8">
            <w:pPr>
              <w:rPr>
                <w:rFonts w:ascii="Arial" w:hAnsi="Arial" w:cs="Arial"/>
                <w:b/>
                <w:bCs/>
                <w:sz w:val="24"/>
                <w:szCs w:val="24"/>
                <w:lang w:eastAsia="en-GB"/>
              </w:rPr>
            </w:pPr>
            <w:r w:rsidRPr="00B23F61">
              <w:rPr>
                <w:rFonts w:ascii="Arial" w:hAnsi="Arial" w:cs="Arial"/>
                <w:b/>
                <w:bCs/>
                <w:sz w:val="24"/>
                <w:szCs w:val="24"/>
                <w:lang w:eastAsia="en-GB"/>
              </w:rPr>
              <w:t>Eligible for Indicator</w:t>
            </w:r>
          </w:p>
        </w:tc>
        <w:tc>
          <w:tcPr>
            <w:tcW w:w="1128" w:type="dxa"/>
            <w:noWrap/>
            <w:hideMark/>
          </w:tcPr>
          <w:p w14:paraId="4A9B1510" w14:textId="77777777" w:rsidR="002F17C8" w:rsidRPr="00B23F61" w:rsidRDefault="002F17C8" w:rsidP="002F17C8">
            <w:pPr>
              <w:rPr>
                <w:rFonts w:ascii="Arial" w:hAnsi="Arial" w:cs="Arial"/>
                <w:b/>
                <w:bCs/>
                <w:sz w:val="24"/>
                <w:szCs w:val="24"/>
                <w:lang w:eastAsia="en-GB"/>
              </w:rPr>
            </w:pPr>
            <w:r w:rsidRPr="00B23F61">
              <w:rPr>
                <w:rFonts w:ascii="Arial" w:hAnsi="Arial" w:cs="Arial"/>
                <w:b/>
                <w:bCs/>
                <w:sz w:val="24"/>
                <w:szCs w:val="24"/>
                <w:lang w:eastAsia="en-GB"/>
              </w:rPr>
              <w:t>Recovered (of eligible)</w:t>
            </w:r>
          </w:p>
        </w:tc>
        <w:tc>
          <w:tcPr>
            <w:tcW w:w="1073" w:type="dxa"/>
            <w:noWrap/>
            <w:hideMark/>
          </w:tcPr>
          <w:p w14:paraId="3A83D5CA" w14:textId="77777777" w:rsidR="002F17C8" w:rsidRPr="00B23F61" w:rsidRDefault="002F17C8" w:rsidP="002F17C8">
            <w:pPr>
              <w:rPr>
                <w:rFonts w:ascii="Arial" w:hAnsi="Arial" w:cs="Arial"/>
                <w:b/>
                <w:bCs/>
                <w:sz w:val="24"/>
                <w:szCs w:val="24"/>
                <w:lang w:eastAsia="en-GB"/>
              </w:rPr>
            </w:pPr>
            <w:r w:rsidRPr="00B23F61">
              <w:rPr>
                <w:rFonts w:ascii="Arial" w:hAnsi="Arial" w:cs="Arial"/>
                <w:b/>
                <w:bCs/>
                <w:sz w:val="24"/>
                <w:szCs w:val="24"/>
                <w:lang w:eastAsia="en-GB"/>
              </w:rPr>
              <w:t>Excluded</w:t>
            </w:r>
          </w:p>
        </w:tc>
        <w:tc>
          <w:tcPr>
            <w:tcW w:w="1361" w:type="dxa"/>
          </w:tcPr>
          <w:p w14:paraId="6EAD6B17" w14:textId="77777777" w:rsidR="002F17C8" w:rsidRPr="00B23F61" w:rsidRDefault="002F17C8" w:rsidP="002F17C8">
            <w:pPr>
              <w:rPr>
                <w:rFonts w:ascii="Arial" w:hAnsi="Arial" w:cs="Arial"/>
                <w:b/>
                <w:bCs/>
                <w:sz w:val="24"/>
                <w:szCs w:val="24"/>
                <w:lang w:eastAsia="en-GB"/>
              </w:rPr>
            </w:pPr>
            <w:r w:rsidRPr="00B23F61">
              <w:rPr>
                <w:rFonts w:ascii="Arial" w:hAnsi="Arial" w:cs="Arial"/>
                <w:b/>
                <w:bCs/>
                <w:sz w:val="24"/>
                <w:szCs w:val="24"/>
                <w:lang w:eastAsia="en-GB"/>
              </w:rPr>
              <w:t>Pre-fracture mobility score of 4 or 5 (filter, included in ‘Excluded’ total)</w:t>
            </w:r>
          </w:p>
        </w:tc>
      </w:tr>
      <w:tr w:rsidR="002F17C8" w:rsidRPr="00B23F61" w14:paraId="11D45D4A" w14:textId="77777777" w:rsidTr="003F0339">
        <w:trPr>
          <w:trHeight w:val="285"/>
        </w:trPr>
        <w:tc>
          <w:tcPr>
            <w:tcW w:w="774" w:type="dxa"/>
            <w:noWrap/>
            <w:hideMark/>
          </w:tcPr>
          <w:p w14:paraId="21AEA977" w14:textId="77777777" w:rsidR="002F17C8" w:rsidRPr="00B23F61" w:rsidRDefault="002F17C8" w:rsidP="002F17C8">
            <w:pPr>
              <w:rPr>
                <w:rFonts w:ascii="Arial" w:hAnsi="Arial" w:cs="Arial"/>
                <w:b/>
                <w:bCs/>
                <w:sz w:val="24"/>
                <w:szCs w:val="24"/>
                <w:lang w:eastAsia="en-GB"/>
              </w:rPr>
            </w:pPr>
            <w:r w:rsidRPr="00B23F61">
              <w:rPr>
                <w:rFonts w:ascii="Arial" w:hAnsi="Arial" w:cs="Arial"/>
                <w:b/>
                <w:bCs/>
                <w:sz w:val="24"/>
                <w:szCs w:val="24"/>
                <w:lang w:eastAsia="en-GB"/>
              </w:rPr>
              <w:t>30 Days</w:t>
            </w:r>
          </w:p>
        </w:tc>
        <w:tc>
          <w:tcPr>
            <w:tcW w:w="951" w:type="dxa"/>
            <w:noWrap/>
            <w:hideMark/>
          </w:tcPr>
          <w:p w14:paraId="44A7EB89"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57,680</w:t>
            </w:r>
          </w:p>
        </w:tc>
        <w:tc>
          <w:tcPr>
            <w:tcW w:w="1484" w:type="dxa"/>
            <w:noWrap/>
            <w:hideMark/>
          </w:tcPr>
          <w:p w14:paraId="7903AE2C"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9,880 (17.1%)</w:t>
            </w:r>
          </w:p>
        </w:tc>
        <w:tc>
          <w:tcPr>
            <w:tcW w:w="1128" w:type="dxa"/>
            <w:noWrap/>
            <w:hideMark/>
          </w:tcPr>
          <w:p w14:paraId="1D3DD229"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2,375 (24%)</w:t>
            </w:r>
          </w:p>
        </w:tc>
        <w:tc>
          <w:tcPr>
            <w:tcW w:w="1073" w:type="dxa"/>
            <w:noWrap/>
            <w:hideMark/>
          </w:tcPr>
          <w:p w14:paraId="67B43241"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47,800(82.9%)</w:t>
            </w:r>
          </w:p>
        </w:tc>
        <w:tc>
          <w:tcPr>
            <w:tcW w:w="1361" w:type="dxa"/>
          </w:tcPr>
          <w:p w14:paraId="06F8CCC5"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23,260 (40.3%)</w:t>
            </w:r>
          </w:p>
        </w:tc>
      </w:tr>
      <w:tr w:rsidR="002F17C8" w:rsidRPr="00B23F61" w14:paraId="5FD5D9DA" w14:textId="77777777" w:rsidTr="003F0339">
        <w:trPr>
          <w:trHeight w:val="300"/>
        </w:trPr>
        <w:tc>
          <w:tcPr>
            <w:tcW w:w="774" w:type="dxa"/>
            <w:noWrap/>
            <w:hideMark/>
          </w:tcPr>
          <w:p w14:paraId="1B0B8A72" w14:textId="77777777" w:rsidR="002F17C8" w:rsidRPr="00B23F61" w:rsidRDefault="002F17C8" w:rsidP="002F17C8">
            <w:pPr>
              <w:rPr>
                <w:rFonts w:ascii="Arial" w:hAnsi="Arial" w:cs="Arial"/>
                <w:b/>
                <w:bCs/>
                <w:sz w:val="24"/>
                <w:szCs w:val="24"/>
                <w:lang w:eastAsia="en-GB"/>
              </w:rPr>
            </w:pPr>
            <w:r w:rsidRPr="00B23F61">
              <w:rPr>
                <w:rFonts w:ascii="Arial" w:hAnsi="Arial" w:cs="Arial"/>
                <w:b/>
                <w:bCs/>
                <w:sz w:val="24"/>
                <w:szCs w:val="24"/>
                <w:lang w:eastAsia="en-GB"/>
              </w:rPr>
              <w:t>120 Days</w:t>
            </w:r>
          </w:p>
        </w:tc>
        <w:tc>
          <w:tcPr>
            <w:tcW w:w="951" w:type="dxa"/>
            <w:noWrap/>
            <w:hideMark/>
          </w:tcPr>
          <w:p w14:paraId="24CAF17C"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57,680</w:t>
            </w:r>
          </w:p>
        </w:tc>
        <w:tc>
          <w:tcPr>
            <w:tcW w:w="1484" w:type="dxa"/>
            <w:noWrap/>
            <w:hideMark/>
          </w:tcPr>
          <w:p w14:paraId="189EF31F"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 xml:space="preserve">  7,172(12.4%)</w:t>
            </w:r>
          </w:p>
        </w:tc>
        <w:tc>
          <w:tcPr>
            <w:tcW w:w="1128" w:type="dxa"/>
            <w:noWrap/>
            <w:hideMark/>
          </w:tcPr>
          <w:p w14:paraId="24E1B445"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3,609 (50.3%)</w:t>
            </w:r>
          </w:p>
        </w:tc>
        <w:tc>
          <w:tcPr>
            <w:tcW w:w="1073" w:type="dxa"/>
            <w:noWrap/>
            <w:hideMark/>
          </w:tcPr>
          <w:p w14:paraId="01CD83E7"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50,508(87.6%)</w:t>
            </w:r>
          </w:p>
        </w:tc>
        <w:tc>
          <w:tcPr>
            <w:tcW w:w="1361" w:type="dxa"/>
          </w:tcPr>
          <w:p w14:paraId="4449D74F" w14:textId="77777777" w:rsidR="002F17C8" w:rsidRPr="00B23F61" w:rsidRDefault="002F17C8" w:rsidP="002F17C8">
            <w:pPr>
              <w:rPr>
                <w:rFonts w:ascii="Arial" w:hAnsi="Arial" w:cs="Arial"/>
                <w:sz w:val="24"/>
                <w:szCs w:val="24"/>
                <w:lang w:eastAsia="en-GB"/>
              </w:rPr>
            </w:pPr>
            <w:r w:rsidRPr="00B23F61">
              <w:rPr>
                <w:rFonts w:ascii="Arial" w:hAnsi="Arial" w:cs="Arial"/>
                <w:sz w:val="24"/>
                <w:szCs w:val="24"/>
                <w:lang w:eastAsia="en-GB"/>
              </w:rPr>
              <w:t>23,260 (40.3%)</w:t>
            </w:r>
          </w:p>
        </w:tc>
      </w:tr>
    </w:tbl>
    <w:p w14:paraId="7D8FF490" w14:textId="44F96E87" w:rsidR="002F17C8" w:rsidRPr="00B23F61" w:rsidRDefault="002F17C8">
      <w:pPr>
        <w:rPr>
          <w:rFonts w:ascii="Arial" w:hAnsi="Arial" w:cs="Arial"/>
          <w:sz w:val="24"/>
          <w:szCs w:val="24"/>
        </w:rPr>
      </w:pPr>
      <w:r w:rsidRPr="00B23F61">
        <w:rPr>
          <w:rFonts w:ascii="Arial" w:hAnsi="Arial" w:cs="Arial"/>
          <w:sz w:val="24"/>
          <w:szCs w:val="24"/>
        </w:rPr>
        <w:t>Table 2: Breakdown of reasons for exclusion from hip fracture indicators 3.10.i and 3.10.ii from NHFD 2014</w:t>
      </w:r>
    </w:p>
    <w:p w14:paraId="30120E54" w14:textId="699AEC1B" w:rsidR="00D17276" w:rsidRPr="00B23F61" w:rsidRDefault="00D17276">
      <w:pPr>
        <w:rPr>
          <w:rFonts w:ascii="Arial" w:hAnsi="Arial" w:cs="Arial"/>
          <w:sz w:val="24"/>
          <w:szCs w:val="24"/>
        </w:rPr>
      </w:pPr>
      <w:r w:rsidRPr="00B23F61">
        <w:rPr>
          <w:rFonts w:ascii="Arial" w:hAnsi="Arial" w:cs="Arial"/>
          <w:sz w:val="24"/>
          <w:szCs w:val="24"/>
        </w:rPr>
        <w:t>3.4 Data quality</w:t>
      </w:r>
    </w:p>
    <w:tbl>
      <w:tblPr>
        <w:tblStyle w:val="TableGrid"/>
        <w:tblW w:w="0" w:type="auto"/>
        <w:tblLook w:val="04A0" w:firstRow="1" w:lastRow="0" w:firstColumn="1" w:lastColumn="0" w:noHBand="0" w:noVBand="1"/>
      </w:tblPr>
      <w:tblGrid>
        <w:gridCol w:w="1506"/>
        <w:gridCol w:w="1394"/>
        <w:gridCol w:w="1394"/>
        <w:gridCol w:w="1394"/>
        <w:gridCol w:w="2083"/>
        <w:gridCol w:w="2083"/>
      </w:tblGrid>
      <w:tr w:rsidR="00D17276" w:rsidRPr="00B23F61" w14:paraId="55879646" w14:textId="77777777" w:rsidTr="00D17276">
        <w:tc>
          <w:tcPr>
            <w:tcW w:w="1642" w:type="dxa"/>
          </w:tcPr>
          <w:p w14:paraId="722CC1E0" w14:textId="656D2177" w:rsidR="00D17276" w:rsidRPr="00B23F61" w:rsidRDefault="00D17276" w:rsidP="00D17276">
            <w:pPr>
              <w:rPr>
                <w:rFonts w:ascii="Arial" w:hAnsi="Arial" w:cs="Arial"/>
                <w:sz w:val="24"/>
                <w:szCs w:val="24"/>
              </w:rPr>
            </w:pPr>
            <w:r w:rsidRPr="00B23F61">
              <w:rPr>
                <w:rFonts w:ascii="Arial" w:hAnsi="Arial" w:cs="Arial"/>
                <w:b/>
                <w:bCs/>
                <w:sz w:val="24"/>
                <w:szCs w:val="24"/>
                <w:lang w:eastAsia="en-GB"/>
              </w:rPr>
              <w:t>Exclusion reasons</w:t>
            </w:r>
          </w:p>
        </w:tc>
        <w:tc>
          <w:tcPr>
            <w:tcW w:w="1642" w:type="dxa"/>
          </w:tcPr>
          <w:p w14:paraId="3A169AA6" w14:textId="26A9C193" w:rsidR="00D17276" w:rsidRPr="00B23F61" w:rsidRDefault="00D17276" w:rsidP="00D17276">
            <w:pPr>
              <w:rPr>
                <w:rFonts w:ascii="Arial" w:hAnsi="Arial" w:cs="Arial"/>
                <w:sz w:val="24"/>
                <w:szCs w:val="24"/>
              </w:rPr>
            </w:pPr>
            <w:r w:rsidRPr="00B23F61">
              <w:rPr>
                <w:rFonts w:ascii="Arial" w:hAnsi="Arial" w:cs="Arial"/>
                <w:b/>
                <w:bCs/>
                <w:sz w:val="24"/>
                <w:szCs w:val="24"/>
                <w:lang w:eastAsia="en-GB"/>
              </w:rPr>
              <w:t>Missing score pre-fracture</w:t>
            </w:r>
          </w:p>
        </w:tc>
        <w:tc>
          <w:tcPr>
            <w:tcW w:w="1642" w:type="dxa"/>
          </w:tcPr>
          <w:p w14:paraId="103797EB" w14:textId="5973FB18" w:rsidR="00D17276" w:rsidRPr="00B23F61" w:rsidRDefault="00D17276" w:rsidP="00D17276">
            <w:pPr>
              <w:rPr>
                <w:rFonts w:ascii="Arial" w:hAnsi="Arial" w:cs="Arial"/>
                <w:sz w:val="24"/>
                <w:szCs w:val="24"/>
              </w:rPr>
            </w:pPr>
            <w:r w:rsidRPr="00B23F61">
              <w:rPr>
                <w:rFonts w:ascii="Arial" w:hAnsi="Arial" w:cs="Arial"/>
                <w:b/>
                <w:bCs/>
                <w:sz w:val="24"/>
                <w:szCs w:val="24"/>
                <w:lang w:eastAsia="en-GB"/>
              </w:rPr>
              <w:t>Missing score at pre-fracture and 30/120 days</w:t>
            </w:r>
          </w:p>
        </w:tc>
        <w:tc>
          <w:tcPr>
            <w:tcW w:w="1642" w:type="dxa"/>
          </w:tcPr>
          <w:p w14:paraId="3FCBBC08" w14:textId="5174A7A0" w:rsidR="00D17276" w:rsidRPr="00B23F61" w:rsidRDefault="00D17276" w:rsidP="00D17276">
            <w:pPr>
              <w:rPr>
                <w:rFonts w:ascii="Arial" w:hAnsi="Arial" w:cs="Arial"/>
                <w:sz w:val="24"/>
                <w:szCs w:val="24"/>
              </w:rPr>
            </w:pPr>
            <w:r w:rsidRPr="00B23F61">
              <w:rPr>
                <w:rFonts w:ascii="Arial" w:hAnsi="Arial" w:cs="Arial"/>
                <w:b/>
                <w:bCs/>
                <w:sz w:val="24"/>
                <w:szCs w:val="24"/>
                <w:lang w:eastAsia="en-GB"/>
              </w:rPr>
              <w:t>Missing score  at 30/120 days only</w:t>
            </w:r>
          </w:p>
        </w:tc>
        <w:tc>
          <w:tcPr>
            <w:tcW w:w="1643" w:type="dxa"/>
          </w:tcPr>
          <w:p w14:paraId="05F95873" w14:textId="034F9226" w:rsidR="00D17276" w:rsidRPr="00B23F61" w:rsidRDefault="00D17276" w:rsidP="00D17276">
            <w:pPr>
              <w:rPr>
                <w:rFonts w:ascii="Arial" w:hAnsi="Arial" w:cs="Arial"/>
                <w:sz w:val="24"/>
                <w:szCs w:val="24"/>
              </w:rPr>
            </w:pPr>
            <w:r w:rsidRPr="00B23F61">
              <w:rPr>
                <w:rFonts w:ascii="Arial" w:hAnsi="Arial" w:cs="Arial"/>
                <w:b/>
                <w:bCs/>
                <w:sz w:val="24"/>
                <w:szCs w:val="24"/>
                <w:lang w:eastAsia="en-GB"/>
              </w:rPr>
              <w:t>Missing CCG Code(exclusion)</w:t>
            </w:r>
          </w:p>
        </w:tc>
        <w:tc>
          <w:tcPr>
            <w:tcW w:w="1643" w:type="dxa"/>
          </w:tcPr>
          <w:p w14:paraId="49C2E993" w14:textId="1EA67A4C" w:rsidR="00D17276" w:rsidRPr="00B23F61" w:rsidRDefault="00D17276" w:rsidP="00D17276">
            <w:pPr>
              <w:rPr>
                <w:rFonts w:ascii="Arial" w:hAnsi="Arial" w:cs="Arial"/>
                <w:sz w:val="24"/>
                <w:szCs w:val="24"/>
              </w:rPr>
            </w:pPr>
            <w:r w:rsidRPr="00B23F61">
              <w:rPr>
                <w:rFonts w:ascii="Arial" w:hAnsi="Arial" w:cs="Arial"/>
                <w:b/>
                <w:bCs/>
                <w:sz w:val="24"/>
                <w:szCs w:val="24"/>
                <w:lang w:eastAsia="en-GB"/>
              </w:rPr>
              <w:t>Invalid CCG Code(exclusion)</w:t>
            </w:r>
          </w:p>
        </w:tc>
      </w:tr>
      <w:tr w:rsidR="00D17276" w:rsidRPr="00B23F61" w14:paraId="7C95E008" w14:textId="77777777" w:rsidTr="00D17276">
        <w:tc>
          <w:tcPr>
            <w:tcW w:w="1642" w:type="dxa"/>
          </w:tcPr>
          <w:p w14:paraId="4D9CEE85" w14:textId="79F6E7D1" w:rsidR="00D17276" w:rsidRPr="00B23F61" w:rsidRDefault="00D17276" w:rsidP="00D17276">
            <w:pPr>
              <w:rPr>
                <w:rFonts w:ascii="Arial" w:hAnsi="Arial" w:cs="Arial"/>
                <w:sz w:val="24"/>
                <w:szCs w:val="24"/>
              </w:rPr>
            </w:pPr>
            <w:r w:rsidRPr="00B23F61">
              <w:rPr>
                <w:rFonts w:ascii="Arial" w:hAnsi="Arial" w:cs="Arial"/>
                <w:b/>
                <w:bCs/>
                <w:sz w:val="24"/>
                <w:szCs w:val="24"/>
                <w:lang w:eastAsia="en-GB"/>
              </w:rPr>
              <w:t>30 Days</w:t>
            </w:r>
          </w:p>
        </w:tc>
        <w:tc>
          <w:tcPr>
            <w:tcW w:w="1642" w:type="dxa"/>
          </w:tcPr>
          <w:p w14:paraId="18773E28" w14:textId="102832A4" w:rsidR="00D17276" w:rsidRPr="00B23F61" w:rsidRDefault="00D17276" w:rsidP="00D17276">
            <w:pPr>
              <w:rPr>
                <w:rFonts w:ascii="Arial" w:hAnsi="Arial" w:cs="Arial"/>
                <w:sz w:val="24"/>
                <w:szCs w:val="24"/>
              </w:rPr>
            </w:pPr>
            <w:r w:rsidRPr="00B23F61">
              <w:rPr>
                <w:rFonts w:ascii="Arial" w:hAnsi="Arial" w:cs="Arial"/>
                <w:sz w:val="24"/>
                <w:szCs w:val="24"/>
                <w:lang w:eastAsia="en-GB"/>
              </w:rPr>
              <w:t>697</w:t>
            </w:r>
          </w:p>
        </w:tc>
        <w:tc>
          <w:tcPr>
            <w:tcW w:w="1642" w:type="dxa"/>
          </w:tcPr>
          <w:p w14:paraId="31985634" w14:textId="712B7ED7" w:rsidR="00D17276" w:rsidRPr="00B23F61" w:rsidRDefault="00D17276" w:rsidP="00D17276">
            <w:pPr>
              <w:rPr>
                <w:rFonts w:ascii="Arial" w:hAnsi="Arial" w:cs="Arial"/>
                <w:sz w:val="24"/>
                <w:szCs w:val="24"/>
              </w:rPr>
            </w:pPr>
            <w:r w:rsidRPr="00B23F61">
              <w:rPr>
                <w:rFonts w:ascii="Arial" w:hAnsi="Arial" w:cs="Arial"/>
                <w:sz w:val="24"/>
                <w:szCs w:val="24"/>
                <w:lang w:eastAsia="en-GB"/>
              </w:rPr>
              <w:t>3,747</w:t>
            </w:r>
          </w:p>
        </w:tc>
        <w:tc>
          <w:tcPr>
            <w:tcW w:w="1642" w:type="dxa"/>
          </w:tcPr>
          <w:p w14:paraId="3C2FE248" w14:textId="2CADDFF7" w:rsidR="00D17276" w:rsidRPr="00B23F61" w:rsidRDefault="00D17276" w:rsidP="00D17276">
            <w:pPr>
              <w:rPr>
                <w:rFonts w:ascii="Arial" w:hAnsi="Arial" w:cs="Arial"/>
                <w:sz w:val="24"/>
                <w:szCs w:val="24"/>
              </w:rPr>
            </w:pPr>
            <w:r w:rsidRPr="00B23F61">
              <w:rPr>
                <w:rFonts w:ascii="Arial" w:hAnsi="Arial" w:cs="Arial"/>
                <w:b/>
                <w:sz w:val="24"/>
                <w:szCs w:val="24"/>
                <w:lang w:eastAsia="en-GB"/>
              </w:rPr>
              <w:t>35,968</w:t>
            </w:r>
          </w:p>
        </w:tc>
        <w:tc>
          <w:tcPr>
            <w:tcW w:w="1643" w:type="dxa"/>
          </w:tcPr>
          <w:p w14:paraId="1408B262" w14:textId="2575C2E6" w:rsidR="00D17276" w:rsidRPr="00B23F61" w:rsidRDefault="00D17276" w:rsidP="00D17276">
            <w:pPr>
              <w:rPr>
                <w:rFonts w:ascii="Arial" w:hAnsi="Arial" w:cs="Arial"/>
                <w:sz w:val="24"/>
                <w:szCs w:val="24"/>
              </w:rPr>
            </w:pPr>
            <w:r w:rsidRPr="00B23F61">
              <w:rPr>
                <w:rFonts w:ascii="Arial" w:hAnsi="Arial" w:cs="Arial"/>
                <w:sz w:val="24"/>
                <w:szCs w:val="24"/>
                <w:lang w:eastAsia="en-GB"/>
              </w:rPr>
              <w:t>2,590</w:t>
            </w:r>
          </w:p>
        </w:tc>
        <w:tc>
          <w:tcPr>
            <w:tcW w:w="1643" w:type="dxa"/>
          </w:tcPr>
          <w:p w14:paraId="2CB0255B" w14:textId="31C2C5ED" w:rsidR="00D17276" w:rsidRPr="00B23F61" w:rsidRDefault="00D17276" w:rsidP="00D17276">
            <w:pPr>
              <w:rPr>
                <w:rFonts w:ascii="Arial" w:hAnsi="Arial" w:cs="Arial"/>
                <w:sz w:val="24"/>
                <w:szCs w:val="24"/>
              </w:rPr>
            </w:pPr>
            <w:r w:rsidRPr="00B23F61">
              <w:rPr>
                <w:rFonts w:ascii="Arial" w:hAnsi="Arial" w:cs="Arial"/>
                <w:sz w:val="24"/>
                <w:szCs w:val="24"/>
                <w:lang w:eastAsia="en-GB"/>
              </w:rPr>
              <w:t>360</w:t>
            </w:r>
          </w:p>
        </w:tc>
      </w:tr>
      <w:tr w:rsidR="00D17276" w:rsidRPr="00B23F61" w14:paraId="29B8F768" w14:textId="77777777" w:rsidTr="00D17276">
        <w:tc>
          <w:tcPr>
            <w:tcW w:w="1642" w:type="dxa"/>
          </w:tcPr>
          <w:p w14:paraId="1CC09A27" w14:textId="182FDCCF" w:rsidR="00D17276" w:rsidRPr="00B23F61" w:rsidRDefault="00D17276" w:rsidP="00D17276">
            <w:pPr>
              <w:rPr>
                <w:rFonts w:ascii="Arial" w:hAnsi="Arial" w:cs="Arial"/>
                <w:sz w:val="24"/>
                <w:szCs w:val="24"/>
              </w:rPr>
            </w:pPr>
            <w:r w:rsidRPr="00B23F61">
              <w:rPr>
                <w:rFonts w:ascii="Arial" w:hAnsi="Arial" w:cs="Arial"/>
                <w:b/>
                <w:bCs/>
                <w:sz w:val="24"/>
                <w:szCs w:val="24"/>
                <w:lang w:eastAsia="en-GB"/>
              </w:rPr>
              <w:lastRenderedPageBreak/>
              <w:t>120 Days</w:t>
            </w:r>
          </w:p>
        </w:tc>
        <w:tc>
          <w:tcPr>
            <w:tcW w:w="1642" w:type="dxa"/>
          </w:tcPr>
          <w:p w14:paraId="23E69EC4" w14:textId="7F369E27" w:rsidR="00D17276" w:rsidRPr="00B23F61" w:rsidRDefault="00D17276" w:rsidP="00D17276">
            <w:pPr>
              <w:rPr>
                <w:rFonts w:ascii="Arial" w:hAnsi="Arial" w:cs="Arial"/>
                <w:sz w:val="24"/>
                <w:szCs w:val="24"/>
              </w:rPr>
            </w:pPr>
            <w:r w:rsidRPr="00B23F61">
              <w:rPr>
                <w:rFonts w:ascii="Arial" w:hAnsi="Arial" w:cs="Arial"/>
                <w:sz w:val="24"/>
                <w:szCs w:val="24"/>
                <w:lang w:eastAsia="en-GB"/>
              </w:rPr>
              <w:t>349</w:t>
            </w:r>
          </w:p>
        </w:tc>
        <w:tc>
          <w:tcPr>
            <w:tcW w:w="1642" w:type="dxa"/>
          </w:tcPr>
          <w:p w14:paraId="61657B73" w14:textId="6D5E3DC5" w:rsidR="00D17276" w:rsidRPr="00B23F61" w:rsidRDefault="00D17276" w:rsidP="00D17276">
            <w:pPr>
              <w:rPr>
                <w:rFonts w:ascii="Arial" w:hAnsi="Arial" w:cs="Arial"/>
                <w:sz w:val="24"/>
                <w:szCs w:val="24"/>
              </w:rPr>
            </w:pPr>
            <w:r w:rsidRPr="00B23F61">
              <w:rPr>
                <w:rFonts w:ascii="Arial" w:hAnsi="Arial" w:cs="Arial"/>
                <w:sz w:val="24"/>
                <w:szCs w:val="24"/>
                <w:lang w:eastAsia="en-GB"/>
              </w:rPr>
              <w:t>4,095</w:t>
            </w:r>
          </w:p>
        </w:tc>
        <w:tc>
          <w:tcPr>
            <w:tcW w:w="1642" w:type="dxa"/>
          </w:tcPr>
          <w:p w14:paraId="0D3DD81A" w14:textId="5374954B" w:rsidR="00D17276" w:rsidRPr="00B23F61" w:rsidRDefault="00D17276" w:rsidP="00D17276">
            <w:pPr>
              <w:rPr>
                <w:rFonts w:ascii="Arial" w:hAnsi="Arial" w:cs="Arial"/>
                <w:sz w:val="24"/>
                <w:szCs w:val="24"/>
              </w:rPr>
            </w:pPr>
            <w:r w:rsidRPr="00B23F61">
              <w:rPr>
                <w:rFonts w:ascii="Arial" w:hAnsi="Arial" w:cs="Arial"/>
                <w:b/>
                <w:sz w:val="24"/>
                <w:szCs w:val="24"/>
                <w:lang w:eastAsia="en-GB"/>
              </w:rPr>
              <w:t>27,248</w:t>
            </w:r>
          </w:p>
        </w:tc>
        <w:tc>
          <w:tcPr>
            <w:tcW w:w="1643" w:type="dxa"/>
          </w:tcPr>
          <w:p w14:paraId="18981173" w14:textId="3A903949" w:rsidR="00D17276" w:rsidRPr="00B23F61" w:rsidRDefault="00D17276" w:rsidP="00D17276">
            <w:pPr>
              <w:rPr>
                <w:rFonts w:ascii="Arial" w:hAnsi="Arial" w:cs="Arial"/>
                <w:sz w:val="24"/>
                <w:szCs w:val="24"/>
              </w:rPr>
            </w:pPr>
            <w:r w:rsidRPr="00B23F61">
              <w:rPr>
                <w:rFonts w:ascii="Arial" w:hAnsi="Arial" w:cs="Arial"/>
                <w:sz w:val="24"/>
                <w:szCs w:val="24"/>
                <w:lang w:eastAsia="en-GB"/>
              </w:rPr>
              <w:t>1,574</w:t>
            </w:r>
          </w:p>
        </w:tc>
        <w:tc>
          <w:tcPr>
            <w:tcW w:w="1643" w:type="dxa"/>
          </w:tcPr>
          <w:p w14:paraId="1CE21E81" w14:textId="49F27398" w:rsidR="00D17276" w:rsidRPr="00B23F61" w:rsidRDefault="00D17276" w:rsidP="00D17276">
            <w:pPr>
              <w:rPr>
                <w:rFonts w:ascii="Arial" w:hAnsi="Arial" w:cs="Arial"/>
                <w:sz w:val="24"/>
                <w:szCs w:val="24"/>
              </w:rPr>
            </w:pPr>
            <w:r w:rsidRPr="00B23F61">
              <w:rPr>
                <w:rFonts w:ascii="Arial" w:hAnsi="Arial" w:cs="Arial"/>
                <w:sz w:val="24"/>
                <w:szCs w:val="24"/>
                <w:lang w:eastAsia="en-GB"/>
              </w:rPr>
              <w:t>360</w:t>
            </w:r>
          </w:p>
        </w:tc>
      </w:tr>
    </w:tbl>
    <w:p w14:paraId="7760B520" w14:textId="77777777" w:rsidR="00D17276" w:rsidRPr="00B23F61" w:rsidRDefault="00D17276">
      <w:pPr>
        <w:rPr>
          <w:rFonts w:ascii="Arial" w:hAnsi="Arial" w:cs="Arial"/>
          <w:sz w:val="24"/>
          <w:szCs w:val="24"/>
        </w:rPr>
      </w:pPr>
    </w:p>
    <w:tbl>
      <w:tblPr>
        <w:tblStyle w:val="TableGrid1"/>
        <w:tblW w:w="9923" w:type="dxa"/>
        <w:tblInd w:w="108" w:type="dxa"/>
        <w:tblBorders>
          <w:top w:val="single" w:sz="18" w:space="0" w:color="003360"/>
          <w:left w:val="single" w:sz="18" w:space="0" w:color="003360"/>
          <w:bottom w:val="single" w:sz="18" w:space="0" w:color="003360"/>
          <w:right w:val="single" w:sz="18" w:space="0" w:color="003360"/>
          <w:insideH w:val="single" w:sz="4" w:space="0" w:color="003360"/>
          <w:insideV w:val="single" w:sz="4" w:space="0" w:color="003360"/>
        </w:tblBorders>
        <w:tblLayout w:type="fixed"/>
        <w:tblLook w:val="04A0" w:firstRow="1" w:lastRow="0" w:firstColumn="1" w:lastColumn="0" w:noHBand="0" w:noVBand="1"/>
      </w:tblPr>
      <w:tblGrid>
        <w:gridCol w:w="851"/>
        <w:gridCol w:w="2268"/>
        <w:gridCol w:w="6804"/>
      </w:tblGrid>
      <w:tr w:rsidR="002F17C8" w:rsidRPr="00B23F61" w14:paraId="25AA9FE5" w14:textId="77777777" w:rsidTr="006F558B">
        <w:tc>
          <w:tcPr>
            <w:tcW w:w="851" w:type="dxa"/>
            <w:tcBorders>
              <w:right w:val="nil"/>
            </w:tcBorders>
          </w:tcPr>
          <w:p w14:paraId="157D21A1" w14:textId="77777777" w:rsidR="006F558B" w:rsidRPr="00B23F61" w:rsidRDefault="006F558B" w:rsidP="006F558B">
            <w:pPr>
              <w:numPr>
                <w:ilvl w:val="1"/>
                <w:numId w:val="1"/>
              </w:numPr>
              <w:spacing w:before="240" w:after="180"/>
              <w:ind w:left="459" w:hanging="425"/>
              <w:textboxTightWrap w:val="lastLineOnly"/>
              <w:rPr>
                <w:b/>
                <w:sz w:val="24"/>
                <w:szCs w:val="24"/>
              </w:rPr>
            </w:pPr>
          </w:p>
        </w:tc>
        <w:tc>
          <w:tcPr>
            <w:tcW w:w="2268" w:type="dxa"/>
            <w:tcBorders>
              <w:top w:val="single" w:sz="4" w:space="0" w:color="003360"/>
              <w:left w:val="nil"/>
              <w:bottom w:val="single" w:sz="4" w:space="0" w:color="003360"/>
            </w:tcBorders>
          </w:tcPr>
          <w:p w14:paraId="7C7FDC0D" w14:textId="77777777" w:rsidR="006F558B" w:rsidRPr="00B23F61" w:rsidRDefault="006F558B" w:rsidP="006F558B">
            <w:pPr>
              <w:spacing w:before="240" w:after="140"/>
              <w:ind w:left="34"/>
              <w:textboxTightWrap w:val="lastLineOnly"/>
              <w:rPr>
                <w:b/>
                <w:sz w:val="24"/>
                <w:szCs w:val="24"/>
              </w:rPr>
            </w:pPr>
            <w:r w:rsidRPr="00B23F61">
              <w:rPr>
                <w:b/>
                <w:sz w:val="24"/>
                <w:szCs w:val="24"/>
              </w:rPr>
              <w:t>Quality assurance</w:t>
            </w:r>
          </w:p>
        </w:tc>
        <w:tc>
          <w:tcPr>
            <w:tcW w:w="6804" w:type="dxa"/>
          </w:tcPr>
          <w:p w14:paraId="5029D243" w14:textId="77777777" w:rsidR="006F558B" w:rsidRPr="00B23F61" w:rsidRDefault="006F558B" w:rsidP="006F558B">
            <w:pPr>
              <w:spacing w:before="240" w:after="140"/>
              <w:textboxTightWrap w:val="lastLineOnly"/>
              <w:rPr>
                <w:sz w:val="24"/>
                <w:szCs w:val="24"/>
              </w:rPr>
            </w:pPr>
            <w:r w:rsidRPr="00B23F61">
              <w:rPr>
                <w:sz w:val="24"/>
                <w:szCs w:val="24"/>
              </w:rPr>
              <w:t>The numerator, denominator and indicator value data supplied is sense checked before we publish it on our Portal.</w:t>
            </w:r>
          </w:p>
          <w:p w14:paraId="6F7431C6" w14:textId="77777777" w:rsidR="006F558B" w:rsidRPr="00B23F61" w:rsidRDefault="006F558B" w:rsidP="006F558B">
            <w:pPr>
              <w:spacing w:before="240" w:after="140"/>
              <w:textboxTightWrap w:val="lastLineOnly"/>
              <w:rPr>
                <w:sz w:val="24"/>
                <w:szCs w:val="24"/>
              </w:rPr>
            </w:pPr>
            <w:r w:rsidRPr="00B23F61">
              <w:rPr>
                <w:sz w:val="24"/>
                <w:szCs w:val="24"/>
              </w:rPr>
              <w:t>The confidence intervals are independently dual calculated by HSCIC analysts.</w:t>
            </w:r>
          </w:p>
          <w:p w14:paraId="57A6662D" w14:textId="77777777" w:rsidR="006F558B" w:rsidRPr="00B23F61" w:rsidRDefault="006F558B" w:rsidP="006F558B">
            <w:pPr>
              <w:spacing w:before="240" w:after="140"/>
              <w:textboxTightWrap w:val="lastLineOnly"/>
              <w:rPr>
                <w:sz w:val="24"/>
                <w:szCs w:val="24"/>
              </w:rPr>
            </w:pPr>
            <w:r w:rsidRPr="00B23F61">
              <w:rPr>
                <w:sz w:val="24"/>
                <w:szCs w:val="24"/>
              </w:rPr>
              <w:t>CCG rates with numerator and denominator are published by the HSCIC, with suppression of small numbers in the numerators &amp; denominators</w:t>
            </w:r>
          </w:p>
        </w:tc>
      </w:tr>
      <w:tr w:rsidR="002F17C8" w:rsidRPr="00B23F61" w14:paraId="71751B4C" w14:textId="77777777" w:rsidTr="006F558B">
        <w:tc>
          <w:tcPr>
            <w:tcW w:w="851" w:type="dxa"/>
            <w:tcBorders>
              <w:right w:val="nil"/>
            </w:tcBorders>
          </w:tcPr>
          <w:p w14:paraId="1DC4DBFA" w14:textId="77777777" w:rsidR="006F558B" w:rsidRPr="00B23F61" w:rsidRDefault="006F558B" w:rsidP="006F558B">
            <w:pPr>
              <w:numPr>
                <w:ilvl w:val="1"/>
                <w:numId w:val="1"/>
              </w:numPr>
              <w:spacing w:before="240" w:after="180"/>
              <w:ind w:left="459" w:hanging="425"/>
              <w:textboxTightWrap w:val="lastLineOnly"/>
              <w:rPr>
                <w:b/>
                <w:sz w:val="24"/>
                <w:szCs w:val="24"/>
              </w:rPr>
            </w:pPr>
          </w:p>
        </w:tc>
        <w:tc>
          <w:tcPr>
            <w:tcW w:w="2268" w:type="dxa"/>
            <w:tcBorders>
              <w:top w:val="single" w:sz="4" w:space="0" w:color="003360"/>
              <w:left w:val="nil"/>
              <w:bottom w:val="single" w:sz="4" w:space="0" w:color="003360"/>
            </w:tcBorders>
          </w:tcPr>
          <w:p w14:paraId="2437B9BF" w14:textId="77777777" w:rsidR="006F558B" w:rsidRPr="00B23F61" w:rsidRDefault="006F558B" w:rsidP="006F558B">
            <w:pPr>
              <w:spacing w:before="240" w:after="140"/>
              <w:ind w:left="34"/>
              <w:textboxTightWrap w:val="lastLineOnly"/>
              <w:rPr>
                <w:b/>
                <w:sz w:val="24"/>
                <w:szCs w:val="24"/>
              </w:rPr>
            </w:pPr>
            <w:r w:rsidRPr="00B23F61">
              <w:rPr>
                <w:b/>
                <w:sz w:val="24"/>
                <w:szCs w:val="24"/>
              </w:rPr>
              <w:t xml:space="preserve">Quality improvement plan </w:t>
            </w:r>
          </w:p>
          <w:p w14:paraId="08DDA982" w14:textId="77777777" w:rsidR="006F558B" w:rsidRPr="00B23F61" w:rsidRDefault="006F558B" w:rsidP="006F558B">
            <w:pPr>
              <w:spacing w:after="140"/>
              <w:ind w:left="34"/>
              <w:textboxTightWrap w:val="lastLineOnly"/>
              <w:rPr>
                <w:sz w:val="24"/>
                <w:szCs w:val="24"/>
              </w:rPr>
            </w:pPr>
            <w:r w:rsidRPr="00B23F61">
              <w:rPr>
                <w:sz w:val="24"/>
                <w:szCs w:val="24"/>
              </w:rPr>
              <w:t>If appropriate</w:t>
            </w:r>
          </w:p>
        </w:tc>
        <w:tc>
          <w:tcPr>
            <w:tcW w:w="6804" w:type="dxa"/>
          </w:tcPr>
          <w:p w14:paraId="3ABCA0E4" w14:textId="77777777" w:rsidR="006F558B" w:rsidRPr="00B23F61" w:rsidRDefault="006F558B" w:rsidP="006F558B">
            <w:pPr>
              <w:spacing w:before="240" w:after="140"/>
              <w:textboxTightWrap w:val="lastLineOnly"/>
              <w:rPr>
                <w:sz w:val="24"/>
                <w:szCs w:val="24"/>
              </w:rPr>
            </w:pPr>
            <w:r w:rsidRPr="00B23F61">
              <w:rPr>
                <w:sz w:val="24"/>
                <w:szCs w:val="24"/>
              </w:rPr>
              <w:t>Whilst the aim is to improve data quality in the recording of mobility status at 30 and120 days post fracture, while these metrics falls outside of the Best Practice Tariff, it is unlikely that quality will improve.</w:t>
            </w:r>
          </w:p>
        </w:tc>
      </w:tr>
      <w:tr w:rsidR="002F17C8" w:rsidRPr="00B23F61" w14:paraId="07554C13" w14:textId="77777777" w:rsidTr="006F558B">
        <w:tc>
          <w:tcPr>
            <w:tcW w:w="851" w:type="dxa"/>
            <w:tcBorders>
              <w:right w:val="nil"/>
            </w:tcBorders>
          </w:tcPr>
          <w:p w14:paraId="34A535F6" w14:textId="77777777" w:rsidR="006F558B" w:rsidRPr="00B23F61" w:rsidRDefault="006F558B" w:rsidP="006F558B">
            <w:pPr>
              <w:numPr>
                <w:ilvl w:val="1"/>
                <w:numId w:val="1"/>
              </w:numPr>
              <w:spacing w:before="240" w:after="180"/>
              <w:ind w:left="459" w:hanging="425"/>
              <w:textboxTightWrap w:val="lastLineOnly"/>
              <w:rPr>
                <w:b/>
                <w:sz w:val="24"/>
                <w:szCs w:val="24"/>
              </w:rPr>
            </w:pPr>
          </w:p>
        </w:tc>
        <w:tc>
          <w:tcPr>
            <w:tcW w:w="2268" w:type="dxa"/>
            <w:tcBorders>
              <w:top w:val="single" w:sz="4" w:space="0" w:color="003360"/>
              <w:left w:val="nil"/>
              <w:bottom w:val="single" w:sz="4" w:space="0" w:color="003360"/>
            </w:tcBorders>
          </w:tcPr>
          <w:p w14:paraId="4113E1E1" w14:textId="77777777" w:rsidR="006F558B" w:rsidRPr="00B23F61" w:rsidRDefault="006F558B" w:rsidP="006F558B">
            <w:pPr>
              <w:spacing w:before="240" w:after="140"/>
              <w:ind w:left="34"/>
              <w:textboxTightWrap w:val="lastLineOnly"/>
              <w:rPr>
                <w:b/>
                <w:sz w:val="24"/>
                <w:szCs w:val="24"/>
              </w:rPr>
            </w:pPr>
            <w:r w:rsidRPr="00B23F61">
              <w:rPr>
                <w:b/>
                <w:sz w:val="24"/>
                <w:szCs w:val="24"/>
              </w:rPr>
              <w:t>Data linkage</w:t>
            </w:r>
          </w:p>
        </w:tc>
        <w:tc>
          <w:tcPr>
            <w:tcW w:w="6804" w:type="dxa"/>
          </w:tcPr>
          <w:p w14:paraId="32CD4177" w14:textId="77777777" w:rsidR="006F558B" w:rsidRPr="00B23F61" w:rsidRDefault="006F558B" w:rsidP="006F558B">
            <w:pPr>
              <w:spacing w:before="240" w:after="140"/>
              <w:textboxTightWrap w:val="lastLineOnly"/>
              <w:rPr>
                <w:sz w:val="24"/>
                <w:szCs w:val="24"/>
              </w:rPr>
            </w:pPr>
            <w:r w:rsidRPr="00B23F61">
              <w:rPr>
                <w:sz w:val="24"/>
                <w:szCs w:val="24"/>
              </w:rPr>
              <w:t>None</w:t>
            </w:r>
          </w:p>
        </w:tc>
      </w:tr>
      <w:tr w:rsidR="002F17C8" w:rsidRPr="00B23F61" w14:paraId="29D58744" w14:textId="77777777" w:rsidTr="006F558B">
        <w:tc>
          <w:tcPr>
            <w:tcW w:w="851" w:type="dxa"/>
            <w:tcBorders>
              <w:right w:val="nil"/>
            </w:tcBorders>
          </w:tcPr>
          <w:p w14:paraId="6E542035" w14:textId="77777777" w:rsidR="006F558B" w:rsidRPr="00B23F61" w:rsidRDefault="006F558B" w:rsidP="006F558B">
            <w:pPr>
              <w:numPr>
                <w:ilvl w:val="1"/>
                <w:numId w:val="1"/>
              </w:numPr>
              <w:spacing w:before="240" w:after="180"/>
              <w:ind w:left="459" w:hanging="425"/>
              <w:textboxTightWrap w:val="lastLineOnly"/>
              <w:rPr>
                <w:b/>
                <w:sz w:val="24"/>
                <w:szCs w:val="24"/>
              </w:rPr>
            </w:pPr>
          </w:p>
        </w:tc>
        <w:tc>
          <w:tcPr>
            <w:tcW w:w="2268" w:type="dxa"/>
            <w:tcBorders>
              <w:top w:val="single" w:sz="4" w:space="0" w:color="003360"/>
              <w:left w:val="nil"/>
              <w:bottom w:val="single" w:sz="4" w:space="0" w:color="003360"/>
            </w:tcBorders>
          </w:tcPr>
          <w:p w14:paraId="2C649102" w14:textId="77777777" w:rsidR="006F558B" w:rsidRPr="00B23F61" w:rsidRDefault="006F558B" w:rsidP="006F558B">
            <w:pPr>
              <w:spacing w:before="240" w:after="140"/>
              <w:ind w:left="34"/>
              <w:textboxTightWrap w:val="lastLineOnly"/>
              <w:rPr>
                <w:b/>
                <w:sz w:val="24"/>
                <w:szCs w:val="24"/>
              </w:rPr>
            </w:pPr>
            <w:r w:rsidRPr="00B23F61">
              <w:rPr>
                <w:b/>
                <w:sz w:val="24"/>
                <w:szCs w:val="24"/>
              </w:rPr>
              <w:t>Quality of data linkage</w:t>
            </w:r>
          </w:p>
        </w:tc>
        <w:tc>
          <w:tcPr>
            <w:tcW w:w="6804" w:type="dxa"/>
          </w:tcPr>
          <w:p w14:paraId="291BC807" w14:textId="77777777" w:rsidR="006F558B" w:rsidRPr="00B23F61" w:rsidRDefault="006F558B" w:rsidP="006F558B">
            <w:pPr>
              <w:spacing w:before="240" w:after="140"/>
              <w:textboxTightWrap w:val="lastLineOnly"/>
              <w:rPr>
                <w:sz w:val="24"/>
                <w:szCs w:val="24"/>
              </w:rPr>
            </w:pPr>
            <w:r w:rsidRPr="00B23F61">
              <w:rPr>
                <w:sz w:val="24"/>
                <w:szCs w:val="24"/>
              </w:rPr>
              <w:t>N/A</w:t>
            </w:r>
          </w:p>
        </w:tc>
      </w:tr>
      <w:tr w:rsidR="002F17C8" w:rsidRPr="00B23F61" w14:paraId="1D57AE67" w14:textId="77777777" w:rsidTr="006F558B">
        <w:tc>
          <w:tcPr>
            <w:tcW w:w="851" w:type="dxa"/>
            <w:tcBorders>
              <w:right w:val="nil"/>
            </w:tcBorders>
          </w:tcPr>
          <w:p w14:paraId="7FB3038E" w14:textId="77777777" w:rsidR="006F558B" w:rsidRPr="00B23F61" w:rsidRDefault="006F558B" w:rsidP="006F558B">
            <w:pPr>
              <w:numPr>
                <w:ilvl w:val="1"/>
                <w:numId w:val="1"/>
              </w:numPr>
              <w:spacing w:before="240" w:after="180"/>
              <w:ind w:left="459" w:hanging="425"/>
              <w:textboxTightWrap w:val="lastLineOnly"/>
              <w:rPr>
                <w:b/>
                <w:sz w:val="24"/>
                <w:szCs w:val="24"/>
              </w:rPr>
            </w:pPr>
          </w:p>
        </w:tc>
        <w:tc>
          <w:tcPr>
            <w:tcW w:w="2268" w:type="dxa"/>
            <w:tcBorders>
              <w:top w:val="single" w:sz="4" w:space="0" w:color="003360"/>
              <w:left w:val="nil"/>
              <w:bottom w:val="single" w:sz="4" w:space="0" w:color="003360"/>
            </w:tcBorders>
          </w:tcPr>
          <w:p w14:paraId="119C6636" w14:textId="77777777" w:rsidR="006F558B" w:rsidRPr="00B23F61" w:rsidRDefault="006F558B" w:rsidP="006F558B">
            <w:pPr>
              <w:spacing w:before="240" w:after="140"/>
              <w:ind w:left="34"/>
              <w:textboxTightWrap w:val="lastLineOnly"/>
              <w:rPr>
                <w:b/>
                <w:sz w:val="24"/>
                <w:szCs w:val="24"/>
              </w:rPr>
            </w:pPr>
            <w:r w:rsidRPr="00B23F61">
              <w:rPr>
                <w:b/>
                <w:sz w:val="24"/>
                <w:szCs w:val="24"/>
              </w:rPr>
              <w:t>Data fields</w:t>
            </w:r>
          </w:p>
        </w:tc>
        <w:tc>
          <w:tcPr>
            <w:tcW w:w="6804" w:type="dxa"/>
          </w:tcPr>
          <w:p w14:paraId="3809D067" w14:textId="77777777" w:rsidR="006F558B" w:rsidRPr="00B23F61" w:rsidRDefault="006F558B" w:rsidP="006F558B">
            <w:pPr>
              <w:autoSpaceDE w:val="0"/>
              <w:autoSpaceDN w:val="0"/>
              <w:adjustRightInd w:val="0"/>
              <w:rPr>
                <w:sz w:val="24"/>
                <w:szCs w:val="24"/>
              </w:rPr>
            </w:pPr>
            <w:r w:rsidRPr="00B23F61">
              <w:rPr>
                <w:sz w:val="24"/>
                <w:szCs w:val="24"/>
              </w:rPr>
              <w:t>1. Age</w:t>
            </w:r>
            <w:r w:rsidRPr="00B23F61">
              <w:rPr>
                <w:sz w:val="24"/>
                <w:szCs w:val="24"/>
              </w:rPr>
              <w:br/>
              <w:t>2. Date and time of admission to A&amp;E</w:t>
            </w:r>
            <w:r w:rsidRPr="00B23F61">
              <w:rPr>
                <w:sz w:val="24"/>
                <w:szCs w:val="24"/>
              </w:rPr>
              <w:br/>
              <w:t>3. Discharge destination from acute orthopaedic ward</w:t>
            </w:r>
            <w:r w:rsidRPr="00B23F61">
              <w:rPr>
                <w:sz w:val="24"/>
                <w:szCs w:val="24"/>
              </w:rPr>
              <w:br/>
              <w:t>4. Discharge destination from hospital trust</w:t>
            </w:r>
            <w:r w:rsidRPr="00B23F61">
              <w:rPr>
                <w:sz w:val="24"/>
                <w:szCs w:val="24"/>
              </w:rPr>
              <w:br/>
              <w:t>5. Walking ability indoors</w:t>
            </w:r>
            <w:r w:rsidRPr="00B23F61">
              <w:rPr>
                <w:sz w:val="24"/>
                <w:szCs w:val="24"/>
              </w:rPr>
              <w:br/>
              <w:t>6. Walking ability outdoors</w:t>
            </w:r>
            <w:r w:rsidRPr="00B23F61">
              <w:rPr>
                <w:sz w:val="24"/>
                <w:szCs w:val="24"/>
              </w:rPr>
              <w:br/>
              <w:t xml:space="preserve">7. Accompanied to walk indoors </w:t>
            </w:r>
          </w:p>
          <w:p w14:paraId="6B8CCE64" w14:textId="77777777" w:rsidR="006F558B" w:rsidRPr="00B23F61" w:rsidRDefault="006F558B" w:rsidP="006F558B">
            <w:pPr>
              <w:autoSpaceDE w:val="0"/>
              <w:autoSpaceDN w:val="0"/>
              <w:adjustRightInd w:val="0"/>
              <w:rPr>
                <w:sz w:val="24"/>
                <w:szCs w:val="24"/>
              </w:rPr>
            </w:pPr>
            <w:r w:rsidRPr="00B23F61">
              <w:rPr>
                <w:sz w:val="24"/>
                <w:szCs w:val="24"/>
              </w:rPr>
              <w:t xml:space="preserve">8. Accompanied to walk outdoors </w:t>
            </w:r>
          </w:p>
          <w:p w14:paraId="13D6BD67" w14:textId="77777777" w:rsidR="006F558B" w:rsidRPr="00B23F61" w:rsidRDefault="006F558B" w:rsidP="006F558B">
            <w:pPr>
              <w:autoSpaceDE w:val="0"/>
              <w:autoSpaceDN w:val="0"/>
              <w:adjustRightInd w:val="0"/>
              <w:rPr>
                <w:sz w:val="24"/>
                <w:szCs w:val="24"/>
              </w:rPr>
            </w:pPr>
            <w:r w:rsidRPr="00B23F61">
              <w:rPr>
                <w:sz w:val="24"/>
                <w:szCs w:val="24"/>
              </w:rPr>
              <w:t xml:space="preserve">9. Walking ability indoors at 30 days </w:t>
            </w:r>
          </w:p>
          <w:p w14:paraId="302CE1A0" w14:textId="77777777" w:rsidR="006F558B" w:rsidRPr="00B23F61" w:rsidRDefault="006F558B" w:rsidP="006F558B">
            <w:pPr>
              <w:autoSpaceDE w:val="0"/>
              <w:autoSpaceDN w:val="0"/>
              <w:adjustRightInd w:val="0"/>
              <w:rPr>
                <w:sz w:val="24"/>
                <w:szCs w:val="24"/>
              </w:rPr>
            </w:pPr>
            <w:r w:rsidRPr="00B23F61">
              <w:rPr>
                <w:sz w:val="24"/>
                <w:szCs w:val="24"/>
              </w:rPr>
              <w:t xml:space="preserve">10. Walking ability outdoors at 30 days </w:t>
            </w:r>
          </w:p>
          <w:p w14:paraId="44D87C5C" w14:textId="77777777" w:rsidR="006F558B" w:rsidRPr="00B23F61" w:rsidRDefault="006F558B" w:rsidP="006F558B">
            <w:pPr>
              <w:autoSpaceDE w:val="0"/>
              <w:autoSpaceDN w:val="0"/>
              <w:adjustRightInd w:val="0"/>
              <w:rPr>
                <w:sz w:val="24"/>
                <w:szCs w:val="24"/>
              </w:rPr>
            </w:pPr>
            <w:r w:rsidRPr="00B23F61">
              <w:rPr>
                <w:sz w:val="24"/>
                <w:szCs w:val="24"/>
              </w:rPr>
              <w:t xml:space="preserve">11. Accompanied to walk indoors at 30 days </w:t>
            </w:r>
          </w:p>
          <w:p w14:paraId="4027A8F8" w14:textId="77777777" w:rsidR="006F558B" w:rsidRPr="00B23F61" w:rsidRDefault="006F558B" w:rsidP="006F558B">
            <w:pPr>
              <w:autoSpaceDE w:val="0"/>
              <w:autoSpaceDN w:val="0"/>
              <w:adjustRightInd w:val="0"/>
              <w:rPr>
                <w:sz w:val="24"/>
                <w:szCs w:val="24"/>
              </w:rPr>
            </w:pPr>
            <w:r w:rsidRPr="00B23F61">
              <w:rPr>
                <w:sz w:val="24"/>
                <w:szCs w:val="24"/>
              </w:rPr>
              <w:t xml:space="preserve">12. Accompanied to walk outdoors at 30 days </w:t>
            </w:r>
          </w:p>
          <w:p w14:paraId="4C89F9E0" w14:textId="77777777" w:rsidR="006F558B" w:rsidRPr="00B23F61" w:rsidRDefault="006F558B" w:rsidP="006F558B">
            <w:pPr>
              <w:autoSpaceDE w:val="0"/>
              <w:autoSpaceDN w:val="0"/>
              <w:adjustRightInd w:val="0"/>
              <w:rPr>
                <w:sz w:val="24"/>
                <w:szCs w:val="24"/>
              </w:rPr>
            </w:pPr>
            <w:r w:rsidRPr="00B23F61">
              <w:rPr>
                <w:sz w:val="24"/>
                <w:szCs w:val="24"/>
              </w:rPr>
              <w:t xml:space="preserve">13. Mobility at admission (derived from fields 5 to 8) </w:t>
            </w:r>
          </w:p>
          <w:p w14:paraId="6443E0A9" w14:textId="77777777" w:rsidR="006F558B" w:rsidRPr="00B23F61" w:rsidRDefault="006F558B" w:rsidP="006F558B">
            <w:pPr>
              <w:autoSpaceDE w:val="0"/>
              <w:autoSpaceDN w:val="0"/>
              <w:adjustRightInd w:val="0"/>
              <w:rPr>
                <w:sz w:val="24"/>
                <w:szCs w:val="24"/>
              </w:rPr>
            </w:pPr>
            <w:r w:rsidRPr="00B23F61">
              <w:rPr>
                <w:sz w:val="24"/>
                <w:szCs w:val="24"/>
              </w:rPr>
              <w:t xml:space="preserve">14. Mobility at 30 days (derived from fields 9 to 12) </w:t>
            </w:r>
          </w:p>
          <w:p w14:paraId="1B0EAEE1" w14:textId="77777777" w:rsidR="006F558B" w:rsidRPr="00B23F61" w:rsidRDefault="006F558B" w:rsidP="006F558B">
            <w:pPr>
              <w:autoSpaceDE w:val="0"/>
              <w:autoSpaceDN w:val="0"/>
              <w:adjustRightInd w:val="0"/>
              <w:rPr>
                <w:sz w:val="24"/>
                <w:szCs w:val="24"/>
              </w:rPr>
            </w:pPr>
          </w:p>
        </w:tc>
      </w:tr>
      <w:tr w:rsidR="002F17C8" w:rsidRPr="00B23F61" w14:paraId="4FD5E386" w14:textId="77777777" w:rsidTr="006F558B">
        <w:tc>
          <w:tcPr>
            <w:tcW w:w="851" w:type="dxa"/>
            <w:tcBorders>
              <w:right w:val="nil"/>
            </w:tcBorders>
          </w:tcPr>
          <w:p w14:paraId="47CA75E4" w14:textId="77777777" w:rsidR="006F558B" w:rsidRPr="00B23F61" w:rsidRDefault="006F558B" w:rsidP="006F558B">
            <w:pPr>
              <w:numPr>
                <w:ilvl w:val="1"/>
                <w:numId w:val="1"/>
              </w:numPr>
              <w:spacing w:before="240" w:after="180"/>
              <w:ind w:left="459" w:hanging="425"/>
              <w:textboxTightWrap w:val="lastLineOnly"/>
              <w:rPr>
                <w:b/>
                <w:sz w:val="24"/>
                <w:szCs w:val="24"/>
              </w:rPr>
            </w:pPr>
          </w:p>
        </w:tc>
        <w:tc>
          <w:tcPr>
            <w:tcW w:w="2268" w:type="dxa"/>
            <w:tcBorders>
              <w:top w:val="single" w:sz="4" w:space="0" w:color="003360"/>
              <w:left w:val="nil"/>
              <w:bottom w:val="single" w:sz="4" w:space="0" w:color="003360"/>
            </w:tcBorders>
          </w:tcPr>
          <w:p w14:paraId="3D1988D1" w14:textId="77777777" w:rsidR="006F558B" w:rsidRPr="00B23F61" w:rsidRDefault="006F558B" w:rsidP="006F558B">
            <w:pPr>
              <w:spacing w:before="240" w:after="140"/>
              <w:ind w:left="34"/>
              <w:textboxTightWrap w:val="lastLineOnly"/>
              <w:rPr>
                <w:b/>
                <w:sz w:val="24"/>
                <w:szCs w:val="24"/>
              </w:rPr>
            </w:pPr>
            <w:r w:rsidRPr="00B23F61">
              <w:rPr>
                <w:b/>
                <w:sz w:val="24"/>
                <w:szCs w:val="24"/>
              </w:rPr>
              <w:t>Data filters</w:t>
            </w:r>
          </w:p>
        </w:tc>
        <w:tc>
          <w:tcPr>
            <w:tcW w:w="6804" w:type="dxa"/>
          </w:tcPr>
          <w:p w14:paraId="17A27D5D" w14:textId="77777777" w:rsidR="006F558B" w:rsidRPr="00B23F61" w:rsidRDefault="006F558B" w:rsidP="006F558B">
            <w:pPr>
              <w:spacing w:before="240" w:after="140"/>
              <w:textboxTightWrap w:val="lastLineOnly"/>
              <w:rPr>
                <w:sz w:val="24"/>
                <w:szCs w:val="24"/>
              </w:rPr>
            </w:pPr>
            <w:r w:rsidRPr="00B23F61">
              <w:rPr>
                <w:sz w:val="24"/>
                <w:szCs w:val="24"/>
              </w:rPr>
              <w:t>1. Field: Age</w:t>
            </w:r>
          </w:p>
          <w:p w14:paraId="4FB01E8B" w14:textId="77777777" w:rsidR="006F558B" w:rsidRPr="00B23F61" w:rsidRDefault="006F558B" w:rsidP="006F558B">
            <w:pPr>
              <w:spacing w:before="240" w:after="140"/>
              <w:textboxTightWrap w:val="lastLineOnly"/>
              <w:rPr>
                <w:sz w:val="24"/>
                <w:szCs w:val="24"/>
              </w:rPr>
            </w:pPr>
            <w:r w:rsidRPr="00B23F61">
              <w:rPr>
                <w:sz w:val="24"/>
                <w:szCs w:val="24"/>
              </w:rPr>
              <w:t>Conditions: Between 60 and 110</w:t>
            </w:r>
          </w:p>
          <w:p w14:paraId="32909875" w14:textId="77777777" w:rsidR="006F558B" w:rsidRPr="00B23F61" w:rsidRDefault="006F558B" w:rsidP="006F558B">
            <w:pPr>
              <w:spacing w:before="240" w:after="140"/>
              <w:textboxTightWrap w:val="lastLineOnly"/>
              <w:rPr>
                <w:sz w:val="24"/>
                <w:szCs w:val="24"/>
              </w:rPr>
            </w:pPr>
            <w:r w:rsidRPr="00B23F61">
              <w:rPr>
                <w:sz w:val="24"/>
                <w:szCs w:val="24"/>
              </w:rPr>
              <w:t>Rationale: Restricts the data to patients aged 60 to 110 years inclusive.</w:t>
            </w:r>
          </w:p>
          <w:p w14:paraId="703591CC" w14:textId="77777777" w:rsidR="006F558B" w:rsidRPr="00B23F61" w:rsidRDefault="006F558B" w:rsidP="006F558B">
            <w:pPr>
              <w:spacing w:before="240" w:after="140"/>
              <w:textboxTightWrap w:val="lastLineOnly"/>
              <w:rPr>
                <w:sz w:val="24"/>
                <w:szCs w:val="24"/>
              </w:rPr>
            </w:pPr>
            <w:r w:rsidRPr="00B23F61">
              <w:rPr>
                <w:sz w:val="24"/>
                <w:szCs w:val="24"/>
              </w:rPr>
              <w:t>2. Field: Hospital admission date</w:t>
            </w:r>
          </w:p>
          <w:p w14:paraId="52274262" w14:textId="77777777" w:rsidR="006F558B" w:rsidRPr="00B23F61" w:rsidRDefault="006F558B" w:rsidP="006F558B">
            <w:pPr>
              <w:spacing w:before="240" w:after="140"/>
              <w:textboxTightWrap w:val="lastLineOnly"/>
              <w:rPr>
                <w:sz w:val="24"/>
                <w:szCs w:val="24"/>
              </w:rPr>
            </w:pPr>
            <w:r w:rsidRPr="00B23F61">
              <w:rPr>
                <w:sz w:val="24"/>
                <w:szCs w:val="24"/>
              </w:rPr>
              <w:lastRenderedPageBreak/>
              <w:t>Conditions: Between 1 January and 31 December inclusive for the year being reported</w:t>
            </w:r>
          </w:p>
          <w:p w14:paraId="472A8C6F" w14:textId="77777777" w:rsidR="006F558B" w:rsidRPr="00B23F61" w:rsidRDefault="006F558B" w:rsidP="006F558B">
            <w:pPr>
              <w:spacing w:before="240" w:after="140"/>
              <w:textboxTightWrap w:val="lastLineOnly"/>
              <w:rPr>
                <w:sz w:val="24"/>
                <w:szCs w:val="24"/>
              </w:rPr>
            </w:pPr>
            <w:r w:rsidRPr="00B23F61">
              <w:rPr>
                <w:sz w:val="24"/>
                <w:szCs w:val="24"/>
              </w:rPr>
              <w:t>Rationale: Selects only those admitted during the relevant calendar year.</w:t>
            </w:r>
          </w:p>
          <w:p w14:paraId="465A4834" w14:textId="77777777" w:rsidR="006F558B" w:rsidRPr="00B23F61" w:rsidRDefault="006F558B" w:rsidP="006F558B">
            <w:pPr>
              <w:spacing w:before="240" w:after="140"/>
              <w:textboxTightWrap w:val="lastLineOnly"/>
              <w:rPr>
                <w:sz w:val="24"/>
                <w:szCs w:val="24"/>
              </w:rPr>
            </w:pPr>
            <w:r w:rsidRPr="00B23F61">
              <w:rPr>
                <w:sz w:val="24"/>
                <w:szCs w:val="24"/>
              </w:rPr>
              <w:t>3. Field: Pre-fracture mobility category</w:t>
            </w:r>
          </w:p>
          <w:p w14:paraId="1090D07B" w14:textId="77777777" w:rsidR="006F558B" w:rsidRPr="00B23F61" w:rsidRDefault="006F558B" w:rsidP="006F558B">
            <w:pPr>
              <w:spacing w:before="240" w:after="140"/>
              <w:textboxTightWrap w:val="lastLineOnly"/>
              <w:rPr>
                <w:sz w:val="24"/>
                <w:szCs w:val="24"/>
              </w:rPr>
            </w:pPr>
            <w:r w:rsidRPr="00B23F61">
              <w:rPr>
                <w:sz w:val="24"/>
                <w:szCs w:val="24"/>
              </w:rPr>
              <w:t>Conditions: Equal to 1 or 2 or 3</w:t>
            </w:r>
          </w:p>
          <w:p w14:paraId="1E9AAD24" w14:textId="77777777" w:rsidR="006F558B" w:rsidRPr="00B23F61" w:rsidRDefault="006F558B" w:rsidP="006F558B">
            <w:pPr>
              <w:spacing w:before="240" w:after="140"/>
              <w:textboxTightWrap w:val="lastLineOnly"/>
              <w:rPr>
                <w:sz w:val="24"/>
                <w:szCs w:val="24"/>
              </w:rPr>
            </w:pPr>
            <w:r w:rsidRPr="00B23F61">
              <w:rPr>
                <w:sz w:val="24"/>
                <w:szCs w:val="24"/>
              </w:rPr>
              <w:t>Rationale: Excludes patients whose pre-fracture mobility was classified as category 4 or 5, or patients who have no pre-fracture mobility category recorded.</w:t>
            </w:r>
          </w:p>
          <w:p w14:paraId="2EF1093C" w14:textId="77777777" w:rsidR="006F558B" w:rsidRPr="00B23F61" w:rsidRDefault="006F558B" w:rsidP="006F558B">
            <w:pPr>
              <w:spacing w:before="240" w:after="140"/>
              <w:textboxTightWrap w:val="lastLineOnly"/>
              <w:rPr>
                <w:sz w:val="24"/>
                <w:szCs w:val="24"/>
              </w:rPr>
            </w:pPr>
            <w:r w:rsidRPr="00B23F61">
              <w:rPr>
                <w:sz w:val="24"/>
                <w:szCs w:val="24"/>
              </w:rPr>
              <w:t>4. Field: Mobility category 30/120 days post admission</w:t>
            </w:r>
          </w:p>
          <w:p w14:paraId="6FFBFD63" w14:textId="77777777" w:rsidR="006F558B" w:rsidRPr="00B23F61" w:rsidRDefault="006F558B" w:rsidP="006F558B">
            <w:pPr>
              <w:spacing w:before="240" w:after="140"/>
              <w:textboxTightWrap w:val="lastLineOnly"/>
              <w:rPr>
                <w:sz w:val="24"/>
                <w:szCs w:val="24"/>
              </w:rPr>
            </w:pPr>
            <w:r w:rsidRPr="00B23F61">
              <w:rPr>
                <w:sz w:val="24"/>
                <w:szCs w:val="24"/>
              </w:rPr>
              <w:t>Conditions: Is not NULL</w:t>
            </w:r>
          </w:p>
          <w:p w14:paraId="3134C0D1" w14:textId="77777777" w:rsidR="006F558B" w:rsidRPr="00B23F61" w:rsidRDefault="006F558B" w:rsidP="006F558B">
            <w:pPr>
              <w:spacing w:before="240" w:after="140"/>
              <w:textboxTightWrap w:val="lastLineOnly"/>
              <w:rPr>
                <w:sz w:val="24"/>
                <w:szCs w:val="24"/>
              </w:rPr>
            </w:pPr>
            <w:r w:rsidRPr="00B23F61">
              <w:rPr>
                <w:sz w:val="24"/>
                <w:szCs w:val="24"/>
              </w:rPr>
              <w:t>Rationale: Excludes records where mobility category 30 days post admission was not recorded.</w:t>
            </w:r>
          </w:p>
        </w:tc>
      </w:tr>
      <w:tr w:rsidR="002F17C8" w:rsidRPr="00B23F61" w14:paraId="46D269C0" w14:textId="77777777" w:rsidTr="006F558B">
        <w:tc>
          <w:tcPr>
            <w:tcW w:w="851" w:type="dxa"/>
            <w:tcBorders>
              <w:bottom w:val="single" w:sz="4" w:space="0" w:color="003360"/>
              <w:right w:val="nil"/>
            </w:tcBorders>
          </w:tcPr>
          <w:p w14:paraId="5B865E19" w14:textId="77777777" w:rsidR="006F558B" w:rsidRPr="00B23F61" w:rsidRDefault="006F558B" w:rsidP="006F558B">
            <w:pPr>
              <w:numPr>
                <w:ilvl w:val="1"/>
                <w:numId w:val="1"/>
              </w:numPr>
              <w:spacing w:before="240" w:after="180"/>
              <w:ind w:left="459" w:hanging="425"/>
              <w:textboxTightWrap w:val="lastLineOnly"/>
              <w:rPr>
                <w:b/>
                <w:sz w:val="24"/>
                <w:szCs w:val="24"/>
              </w:rPr>
            </w:pPr>
          </w:p>
        </w:tc>
        <w:tc>
          <w:tcPr>
            <w:tcW w:w="2268" w:type="dxa"/>
            <w:tcBorders>
              <w:top w:val="single" w:sz="4" w:space="0" w:color="003360"/>
              <w:left w:val="nil"/>
              <w:bottom w:val="single" w:sz="4" w:space="0" w:color="003360"/>
            </w:tcBorders>
          </w:tcPr>
          <w:p w14:paraId="4CD4DDCB" w14:textId="77777777" w:rsidR="006F558B" w:rsidRPr="00B23F61" w:rsidRDefault="006F558B" w:rsidP="006F558B">
            <w:pPr>
              <w:spacing w:before="240" w:after="140"/>
              <w:ind w:left="34"/>
              <w:textboxTightWrap w:val="lastLineOnly"/>
              <w:rPr>
                <w:b/>
                <w:sz w:val="24"/>
                <w:szCs w:val="24"/>
              </w:rPr>
            </w:pPr>
            <w:r w:rsidRPr="00B23F61">
              <w:rPr>
                <w:b/>
                <w:sz w:val="24"/>
                <w:szCs w:val="24"/>
              </w:rPr>
              <w:t xml:space="preserve">Justifications of inclusions and exclusions </w:t>
            </w:r>
          </w:p>
          <w:p w14:paraId="1D4D8020" w14:textId="77777777" w:rsidR="006F558B" w:rsidRPr="00B23F61" w:rsidRDefault="006F558B" w:rsidP="006F558B">
            <w:pPr>
              <w:spacing w:after="140"/>
              <w:ind w:left="34"/>
              <w:textboxTightWrap w:val="lastLineOnly"/>
              <w:rPr>
                <w:sz w:val="24"/>
                <w:szCs w:val="24"/>
              </w:rPr>
            </w:pPr>
            <w:r w:rsidRPr="00B23F61">
              <w:rPr>
                <w:sz w:val="24"/>
                <w:szCs w:val="24"/>
              </w:rPr>
              <w:t>and how these adhere to standard definitions</w:t>
            </w:r>
          </w:p>
        </w:tc>
        <w:tc>
          <w:tcPr>
            <w:tcW w:w="6804" w:type="dxa"/>
          </w:tcPr>
          <w:p w14:paraId="41391B20" w14:textId="77777777" w:rsidR="006F558B" w:rsidRPr="00B23F61" w:rsidRDefault="006F558B" w:rsidP="006F558B">
            <w:pPr>
              <w:spacing w:before="240" w:after="140"/>
              <w:textboxTightWrap w:val="lastLineOnly"/>
              <w:rPr>
                <w:sz w:val="24"/>
                <w:szCs w:val="24"/>
              </w:rPr>
            </w:pPr>
            <w:r w:rsidRPr="00B23F61">
              <w:rPr>
                <w:sz w:val="24"/>
                <w:szCs w:val="24"/>
              </w:rPr>
              <w:t>The indicator only includes patients aged 60 or over with a pre- hip fracture mobility score in either category 1, 2 or 3. This is because any patient in either category 4 or 5 cannot fall more than 1 mobility category and therefore will always be determined to have recovered.</w:t>
            </w:r>
          </w:p>
        </w:tc>
      </w:tr>
      <w:tr w:rsidR="002F17C8" w:rsidRPr="00B23F61" w14:paraId="66857739" w14:textId="77777777" w:rsidTr="006F558B">
        <w:tc>
          <w:tcPr>
            <w:tcW w:w="851" w:type="dxa"/>
            <w:tcBorders>
              <w:top w:val="single" w:sz="4" w:space="0" w:color="003360"/>
              <w:bottom w:val="single" w:sz="18" w:space="0" w:color="003360"/>
              <w:right w:val="nil"/>
            </w:tcBorders>
          </w:tcPr>
          <w:p w14:paraId="112FBD66" w14:textId="77777777" w:rsidR="006F558B" w:rsidRPr="00B23F61" w:rsidRDefault="006F558B" w:rsidP="006F558B">
            <w:pPr>
              <w:numPr>
                <w:ilvl w:val="1"/>
                <w:numId w:val="1"/>
              </w:numPr>
              <w:spacing w:before="240" w:after="180"/>
              <w:ind w:left="459" w:hanging="425"/>
              <w:textboxTightWrap w:val="lastLineOnly"/>
              <w:rPr>
                <w:b/>
                <w:sz w:val="24"/>
                <w:szCs w:val="24"/>
              </w:rPr>
            </w:pPr>
          </w:p>
        </w:tc>
        <w:tc>
          <w:tcPr>
            <w:tcW w:w="2268" w:type="dxa"/>
            <w:tcBorders>
              <w:top w:val="single" w:sz="4" w:space="0" w:color="003360"/>
              <w:left w:val="nil"/>
              <w:bottom w:val="single" w:sz="18" w:space="0" w:color="003360"/>
            </w:tcBorders>
          </w:tcPr>
          <w:p w14:paraId="6F81B2F1" w14:textId="77777777" w:rsidR="006F558B" w:rsidRPr="00B23F61" w:rsidRDefault="006F558B" w:rsidP="006F558B">
            <w:pPr>
              <w:spacing w:before="240" w:after="140"/>
              <w:ind w:left="34"/>
              <w:textboxTightWrap w:val="lastLineOnly"/>
              <w:rPr>
                <w:b/>
                <w:sz w:val="24"/>
                <w:szCs w:val="24"/>
              </w:rPr>
            </w:pPr>
            <w:r w:rsidRPr="00B23F61">
              <w:rPr>
                <w:b/>
                <w:sz w:val="24"/>
                <w:szCs w:val="24"/>
              </w:rPr>
              <w:t>Data processing</w:t>
            </w:r>
          </w:p>
        </w:tc>
        <w:tc>
          <w:tcPr>
            <w:tcW w:w="6804" w:type="dxa"/>
          </w:tcPr>
          <w:p w14:paraId="5DBAACED" w14:textId="77777777" w:rsidR="006F558B" w:rsidRPr="00B23F61" w:rsidRDefault="006F558B" w:rsidP="006F558B">
            <w:pPr>
              <w:spacing w:before="240" w:after="140"/>
              <w:textboxTightWrap w:val="lastLineOnly"/>
              <w:rPr>
                <w:sz w:val="24"/>
                <w:szCs w:val="24"/>
              </w:rPr>
            </w:pPr>
            <w:r w:rsidRPr="00B23F61">
              <w:rPr>
                <w:sz w:val="24"/>
                <w:szCs w:val="24"/>
              </w:rPr>
              <w:t>The NHFD current dataset records walking ability indoors, walking ability outdoors and whether a patient is accompanied to walk outdoors at admission and at 30 and 120 days post-admission.</w:t>
            </w:r>
          </w:p>
          <w:p w14:paraId="5D88F728" w14:textId="77777777" w:rsidR="006F558B" w:rsidRPr="00B23F61" w:rsidRDefault="006F558B" w:rsidP="006F558B">
            <w:pPr>
              <w:spacing w:before="240" w:after="140"/>
              <w:textboxTightWrap w:val="lastLineOnly"/>
              <w:rPr>
                <w:sz w:val="24"/>
                <w:szCs w:val="24"/>
              </w:rPr>
            </w:pPr>
            <w:r w:rsidRPr="00B23F61">
              <w:rPr>
                <w:sz w:val="24"/>
                <w:szCs w:val="24"/>
              </w:rPr>
              <w:t>For walking ability indoors the available options are:</w:t>
            </w:r>
          </w:p>
          <w:p w14:paraId="6A7EAB6C"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Regularly walked without aids</w:t>
            </w:r>
          </w:p>
          <w:p w14:paraId="18832BAC"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Regularly walked with one aid</w:t>
            </w:r>
          </w:p>
          <w:p w14:paraId="7B2F2C5D"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Regularly walked with two aids or frame</w:t>
            </w:r>
          </w:p>
          <w:p w14:paraId="5BC5E58B"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Wheelchair or bedbound</w:t>
            </w:r>
          </w:p>
          <w:p w14:paraId="5203E5C7" w14:textId="77777777" w:rsidR="006F558B" w:rsidRPr="00B23F61" w:rsidRDefault="006F558B" w:rsidP="006F558B">
            <w:pPr>
              <w:spacing w:before="240" w:after="140"/>
              <w:textboxTightWrap w:val="lastLineOnly"/>
              <w:rPr>
                <w:sz w:val="24"/>
                <w:szCs w:val="24"/>
              </w:rPr>
            </w:pPr>
            <w:r w:rsidRPr="00B23F61">
              <w:rPr>
                <w:sz w:val="24"/>
                <w:szCs w:val="24"/>
              </w:rPr>
              <w:t>For walking ability outdoors the available options are:</w:t>
            </w:r>
          </w:p>
          <w:p w14:paraId="7A92ECCA"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Regularly walked without aids</w:t>
            </w:r>
          </w:p>
          <w:p w14:paraId="7192F7FE"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Regularly walked with one aid</w:t>
            </w:r>
          </w:p>
          <w:p w14:paraId="2E40B9CB"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Regularly walked with two aids or frame</w:t>
            </w:r>
          </w:p>
          <w:p w14:paraId="04247798"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Electric buggy</w:t>
            </w:r>
          </w:p>
          <w:p w14:paraId="060CA357"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Wheelchair or bedbound</w:t>
            </w:r>
          </w:p>
          <w:p w14:paraId="2DE2FF06"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Never goes outdoors</w:t>
            </w:r>
          </w:p>
          <w:p w14:paraId="785E486B" w14:textId="77777777" w:rsidR="006F558B" w:rsidRPr="00B23F61" w:rsidRDefault="006F558B" w:rsidP="006F558B">
            <w:pPr>
              <w:spacing w:before="240" w:after="140"/>
              <w:textboxTightWrap w:val="lastLineOnly"/>
              <w:rPr>
                <w:sz w:val="24"/>
                <w:szCs w:val="24"/>
              </w:rPr>
            </w:pPr>
            <w:r w:rsidRPr="00B23F61">
              <w:rPr>
                <w:sz w:val="24"/>
                <w:szCs w:val="24"/>
              </w:rPr>
              <w:lastRenderedPageBreak/>
              <w:t>For whether the patient is accompanied to walk outdoors the available options are:</w:t>
            </w:r>
          </w:p>
          <w:p w14:paraId="540D1666"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No</w:t>
            </w:r>
          </w:p>
          <w:p w14:paraId="152125B1"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Yes</w:t>
            </w:r>
          </w:p>
          <w:p w14:paraId="33AFBA96"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Wheelchair or bedbound</w:t>
            </w:r>
          </w:p>
          <w:p w14:paraId="7795EAAD" w14:textId="77777777" w:rsidR="006F558B" w:rsidRPr="00B23F61" w:rsidRDefault="006F558B" w:rsidP="006F558B">
            <w:pPr>
              <w:numPr>
                <w:ilvl w:val="0"/>
                <w:numId w:val="2"/>
              </w:numPr>
              <w:spacing w:after="60"/>
              <w:ind w:left="573" w:hanging="284"/>
              <w:textboxTightWrap w:val="allLines"/>
              <w:rPr>
                <w:sz w:val="24"/>
                <w:szCs w:val="24"/>
              </w:rPr>
            </w:pPr>
            <w:r w:rsidRPr="00B23F61">
              <w:rPr>
                <w:sz w:val="24"/>
                <w:szCs w:val="24"/>
              </w:rPr>
              <w:t>Never goes outdoors</w:t>
            </w:r>
          </w:p>
          <w:p w14:paraId="4D58D50D" w14:textId="77777777" w:rsidR="006F558B" w:rsidRPr="00B23F61" w:rsidRDefault="006F558B" w:rsidP="006F558B">
            <w:pPr>
              <w:spacing w:before="240" w:after="140"/>
              <w:textboxTightWrap w:val="lastLineOnly"/>
              <w:rPr>
                <w:sz w:val="24"/>
                <w:szCs w:val="24"/>
              </w:rPr>
            </w:pPr>
            <w:r w:rsidRPr="00B23F61">
              <w:rPr>
                <w:sz w:val="24"/>
                <w:szCs w:val="24"/>
              </w:rPr>
              <w:t>For this outcome indicator patients with the above characteristics will be placed into five categories according to a simple algorithm for mobility. A summary of the category derivations from the above is provided below.</w:t>
            </w:r>
          </w:p>
          <w:p w14:paraId="63F22445" w14:textId="77777777" w:rsidR="006F558B" w:rsidRPr="00B23F61" w:rsidRDefault="006F558B" w:rsidP="006F558B">
            <w:pPr>
              <w:spacing w:before="240" w:after="140"/>
              <w:textboxTightWrap w:val="lastLineOnly"/>
              <w:rPr>
                <w:sz w:val="24"/>
                <w:szCs w:val="24"/>
              </w:rPr>
            </w:pPr>
          </w:p>
          <w:p w14:paraId="435672F8" w14:textId="77777777" w:rsidR="006F558B" w:rsidRPr="00B23F61" w:rsidRDefault="006F558B" w:rsidP="006F558B">
            <w:pPr>
              <w:spacing w:before="240" w:after="140"/>
              <w:textboxTightWrap w:val="lastLineOnly"/>
              <w:rPr>
                <w:sz w:val="24"/>
                <w:szCs w:val="24"/>
              </w:rPr>
            </w:pPr>
          </w:p>
        </w:tc>
      </w:tr>
    </w:tbl>
    <w:p w14:paraId="6ED32276" w14:textId="77777777" w:rsidR="00336B13" w:rsidRPr="00B23F61" w:rsidRDefault="00336B13" w:rsidP="006F558B">
      <w:pPr>
        <w:spacing w:after="140" w:line="240" w:lineRule="auto"/>
        <w:textboxTightWrap w:val="lastLineOnly"/>
        <w:rPr>
          <w:rFonts w:ascii="Arial" w:eastAsia="Times New Roman" w:hAnsi="Arial" w:cs="Arial"/>
          <w:sz w:val="24"/>
          <w:szCs w:val="24"/>
        </w:rPr>
      </w:pPr>
    </w:p>
    <w:p w14:paraId="293BAB76" w14:textId="6C5E0AD9" w:rsidR="006F558B" w:rsidRPr="00B23F61" w:rsidRDefault="006F558B" w:rsidP="006F558B">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br w:type="page"/>
      </w:r>
    </w:p>
    <w:tbl>
      <w:tblPr>
        <w:tblStyle w:val="TableGrid"/>
        <w:tblW w:w="0" w:type="auto"/>
        <w:tblLook w:val="04A0" w:firstRow="1" w:lastRow="0" w:firstColumn="1" w:lastColumn="0" w:noHBand="0" w:noVBand="1"/>
      </w:tblPr>
      <w:tblGrid>
        <w:gridCol w:w="4927"/>
        <w:gridCol w:w="4927"/>
      </w:tblGrid>
      <w:tr w:rsidR="00E40004" w:rsidRPr="00B23F61" w14:paraId="07EC3AE3" w14:textId="77777777" w:rsidTr="00E40004">
        <w:tc>
          <w:tcPr>
            <w:tcW w:w="4927" w:type="dxa"/>
          </w:tcPr>
          <w:p w14:paraId="6F3FDD0D" w14:textId="3F1AEF2C" w:rsidR="00E40004" w:rsidRPr="00B23F61" w:rsidRDefault="00E40004" w:rsidP="006F558B">
            <w:pPr>
              <w:spacing w:after="140"/>
              <w:textboxTightWrap w:val="lastLineOnly"/>
              <w:rPr>
                <w:rFonts w:ascii="Arial" w:hAnsi="Arial" w:cs="Arial"/>
                <w:sz w:val="24"/>
                <w:szCs w:val="24"/>
              </w:rPr>
            </w:pPr>
            <w:r w:rsidRPr="00B23F61">
              <w:rPr>
                <w:rFonts w:ascii="Arial" w:hAnsi="Arial" w:cs="Arial"/>
                <w:sz w:val="24"/>
                <w:szCs w:val="24"/>
              </w:rPr>
              <w:lastRenderedPageBreak/>
              <w:t>Section 3: Construction</w:t>
            </w:r>
          </w:p>
        </w:tc>
        <w:tc>
          <w:tcPr>
            <w:tcW w:w="4927" w:type="dxa"/>
          </w:tcPr>
          <w:p w14:paraId="00102F1E" w14:textId="77777777" w:rsidR="00E40004" w:rsidRPr="00B23F61" w:rsidRDefault="00E40004" w:rsidP="006F558B">
            <w:pPr>
              <w:spacing w:after="140"/>
              <w:textboxTightWrap w:val="lastLineOnly"/>
              <w:rPr>
                <w:rFonts w:ascii="Arial" w:hAnsi="Arial" w:cs="Arial"/>
                <w:sz w:val="24"/>
                <w:szCs w:val="24"/>
              </w:rPr>
            </w:pPr>
          </w:p>
        </w:tc>
      </w:tr>
      <w:tr w:rsidR="00E40004" w:rsidRPr="00B23F61" w14:paraId="766D9A84" w14:textId="77777777" w:rsidTr="00E40004">
        <w:tc>
          <w:tcPr>
            <w:tcW w:w="4927" w:type="dxa"/>
          </w:tcPr>
          <w:p w14:paraId="0C9BD7A8" w14:textId="65D6EC22" w:rsidR="00E40004" w:rsidRPr="00B23F61" w:rsidRDefault="00E40004" w:rsidP="006F558B">
            <w:pPr>
              <w:spacing w:after="140"/>
              <w:textboxTightWrap w:val="lastLineOnly"/>
              <w:rPr>
                <w:rFonts w:ascii="Arial" w:hAnsi="Arial" w:cs="Arial"/>
                <w:sz w:val="24"/>
                <w:szCs w:val="24"/>
              </w:rPr>
            </w:pPr>
            <w:r w:rsidRPr="00B23F61">
              <w:rPr>
                <w:rFonts w:ascii="Arial" w:hAnsi="Arial" w:cs="Arial"/>
                <w:b/>
                <w:sz w:val="24"/>
                <w:szCs w:val="24"/>
              </w:rPr>
              <w:t>Numerator</w:t>
            </w:r>
          </w:p>
        </w:tc>
        <w:tc>
          <w:tcPr>
            <w:tcW w:w="4927" w:type="dxa"/>
          </w:tcPr>
          <w:p w14:paraId="0CEAD2DD"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Count of all patients aged 60 or over recorded in the NHFD who have survived to 30 / 120 days and who have either:</w:t>
            </w:r>
          </w:p>
          <w:p w14:paraId="27A823EE"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w:t>
            </w:r>
            <w:r w:rsidRPr="00B23F61">
              <w:rPr>
                <w:rFonts w:ascii="Arial" w:hAnsi="Arial" w:cs="Arial"/>
                <w:sz w:val="24"/>
                <w:szCs w:val="24"/>
              </w:rPr>
              <w:tab/>
              <w:t xml:space="preserve">improved (lower mobility category after 30/120 days than pre- hip fracture) </w:t>
            </w:r>
          </w:p>
          <w:p w14:paraId="78772B69"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w:t>
            </w:r>
            <w:r w:rsidRPr="00B23F61">
              <w:rPr>
                <w:rFonts w:ascii="Arial" w:hAnsi="Arial" w:cs="Arial"/>
                <w:sz w:val="24"/>
                <w:szCs w:val="24"/>
              </w:rPr>
              <w:tab/>
              <w:t>remained the same (same mobility category after 30/120 days as pre- hip fracture)</w:t>
            </w:r>
          </w:p>
          <w:p w14:paraId="51AD0A36" w14:textId="0EC96611"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or deteriorated (only 1 mobility category higher after 30/120 days than pre- hip fracture).</w:t>
            </w:r>
          </w:p>
        </w:tc>
      </w:tr>
      <w:tr w:rsidR="00E40004" w:rsidRPr="00B23F61" w14:paraId="023D5166" w14:textId="77777777" w:rsidTr="00E40004">
        <w:tc>
          <w:tcPr>
            <w:tcW w:w="4927" w:type="dxa"/>
          </w:tcPr>
          <w:p w14:paraId="65CDACF7" w14:textId="05103B06" w:rsidR="00E40004" w:rsidRPr="00B23F61" w:rsidRDefault="00E40004" w:rsidP="006F558B">
            <w:pPr>
              <w:spacing w:after="140"/>
              <w:textboxTightWrap w:val="lastLineOnly"/>
              <w:rPr>
                <w:rFonts w:ascii="Arial" w:hAnsi="Arial" w:cs="Arial"/>
                <w:sz w:val="24"/>
                <w:szCs w:val="24"/>
              </w:rPr>
            </w:pPr>
            <w:r w:rsidRPr="00B23F61">
              <w:rPr>
                <w:rFonts w:ascii="Arial" w:hAnsi="Arial" w:cs="Arial"/>
                <w:b/>
                <w:sz w:val="24"/>
                <w:szCs w:val="24"/>
              </w:rPr>
              <w:t>Denominator</w:t>
            </w:r>
          </w:p>
        </w:tc>
        <w:tc>
          <w:tcPr>
            <w:tcW w:w="4927" w:type="dxa"/>
          </w:tcPr>
          <w:p w14:paraId="49943380"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Count of all patients aged 60 or over recorded in the NHFD as having had a hip fracture in the designated 12 month period plus 30/120 days for their follow-up where:</w:t>
            </w:r>
          </w:p>
          <w:p w14:paraId="55889FD2"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w:t>
            </w:r>
            <w:r w:rsidRPr="00B23F61">
              <w:rPr>
                <w:rFonts w:ascii="Arial" w:hAnsi="Arial" w:cs="Arial"/>
                <w:sz w:val="24"/>
                <w:szCs w:val="24"/>
              </w:rPr>
              <w:tab/>
              <w:t>The patient has survived to 30 / 120 days</w:t>
            </w:r>
          </w:p>
          <w:p w14:paraId="1E71790B" w14:textId="756831D3"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There is a completed data field for pre-hip fracture mobility and for mobility 30/120 days after the hip fracture</w:t>
            </w:r>
          </w:p>
        </w:tc>
      </w:tr>
      <w:tr w:rsidR="00E40004" w:rsidRPr="00B23F61" w14:paraId="21099ADE" w14:textId="77777777" w:rsidTr="00E40004">
        <w:tc>
          <w:tcPr>
            <w:tcW w:w="4927" w:type="dxa"/>
          </w:tcPr>
          <w:p w14:paraId="05686497" w14:textId="11C6BC0B" w:rsidR="00E40004" w:rsidRPr="00B23F61" w:rsidRDefault="00E40004" w:rsidP="006F558B">
            <w:pPr>
              <w:spacing w:after="140"/>
              <w:textboxTightWrap w:val="lastLineOnly"/>
              <w:rPr>
                <w:rFonts w:ascii="Arial" w:hAnsi="Arial" w:cs="Arial"/>
                <w:sz w:val="24"/>
                <w:szCs w:val="24"/>
              </w:rPr>
            </w:pPr>
            <w:r w:rsidRPr="00B23F61">
              <w:rPr>
                <w:rFonts w:ascii="Arial" w:hAnsi="Arial" w:cs="Arial"/>
                <w:b/>
                <w:sz w:val="24"/>
                <w:szCs w:val="24"/>
              </w:rPr>
              <w:t>Computation</w:t>
            </w:r>
          </w:p>
        </w:tc>
        <w:tc>
          <w:tcPr>
            <w:tcW w:w="4927" w:type="dxa"/>
          </w:tcPr>
          <w:p w14:paraId="10E7A09E" w14:textId="4F203EE7" w:rsidR="00E40004" w:rsidRPr="00B23F61" w:rsidRDefault="00E40004" w:rsidP="006F558B">
            <w:pPr>
              <w:spacing w:after="140"/>
              <w:textboxTightWrap w:val="lastLineOnly"/>
              <w:rPr>
                <w:rFonts w:ascii="Arial" w:hAnsi="Arial" w:cs="Arial"/>
                <w:sz w:val="24"/>
                <w:szCs w:val="24"/>
              </w:rPr>
            </w:pPr>
            <w:r w:rsidRPr="00B23F61">
              <w:rPr>
                <w:rFonts w:ascii="Arial" w:hAnsi="Arial" w:cs="Arial"/>
                <w:sz w:val="24"/>
                <w:szCs w:val="24"/>
              </w:rPr>
              <w:t>The indicator is aggregated by Clinical Commissioning Group (CCG) and is a numerator / denominator construct, reported as a percentage.</w:t>
            </w:r>
          </w:p>
        </w:tc>
      </w:tr>
      <w:tr w:rsidR="00E40004" w:rsidRPr="00B23F61" w14:paraId="567BB98C" w14:textId="77777777" w:rsidTr="00E40004">
        <w:tc>
          <w:tcPr>
            <w:tcW w:w="4927" w:type="dxa"/>
          </w:tcPr>
          <w:p w14:paraId="0886FA33" w14:textId="58DF9EBA" w:rsidR="00E40004" w:rsidRPr="00B23F61" w:rsidRDefault="00E40004" w:rsidP="006F558B">
            <w:pPr>
              <w:spacing w:after="140"/>
              <w:textboxTightWrap w:val="lastLineOnly"/>
              <w:rPr>
                <w:rFonts w:ascii="Arial" w:hAnsi="Arial" w:cs="Arial"/>
                <w:sz w:val="24"/>
                <w:szCs w:val="24"/>
              </w:rPr>
            </w:pPr>
            <w:r w:rsidRPr="00B23F61">
              <w:rPr>
                <w:rFonts w:ascii="Arial" w:hAnsi="Arial" w:cs="Arial"/>
                <w:b/>
                <w:sz w:val="24"/>
                <w:szCs w:val="24"/>
              </w:rPr>
              <w:t>Risk adjustment or standardisation type and methodology</w:t>
            </w:r>
          </w:p>
        </w:tc>
        <w:tc>
          <w:tcPr>
            <w:tcW w:w="4927" w:type="dxa"/>
          </w:tcPr>
          <w:p w14:paraId="0A5017C4" w14:textId="77777777" w:rsidR="00E40004" w:rsidRPr="00B23F61" w:rsidRDefault="00E40004" w:rsidP="006F558B">
            <w:pPr>
              <w:spacing w:after="140"/>
              <w:textboxTightWrap w:val="lastLineOnly"/>
              <w:rPr>
                <w:rFonts w:ascii="Arial" w:hAnsi="Arial" w:cs="Arial"/>
                <w:sz w:val="24"/>
                <w:szCs w:val="24"/>
              </w:rPr>
            </w:pPr>
            <w:r w:rsidRPr="00B23F61">
              <w:rPr>
                <w:rFonts w:ascii="Arial" w:hAnsi="Arial" w:cs="Arial"/>
                <w:sz w:val="24"/>
                <w:szCs w:val="24"/>
              </w:rPr>
              <w:t>None</w:t>
            </w:r>
          </w:p>
          <w:p w14:paraId="3D39338F" w14:textId="73F42B9E" w:rsidR="00E40004" w:rsidRPr="00B23F61" w:rsidRDefault="00E40004" w:rsidP="006F558B">
            <w:pPr>
              <w:spacing w:after="140"/>
              <w:textboxTightWrap w:val="lastLineOnly"/>
              <w:rPr>
                <w:rFonts w:ascii="Arial" w:hAnsi="Arial" w:cs="Arial"/>
                <w:sz w:val="24"/>
                <w:szCs w:val="24"/>
              </w:rPr>
            </w:pPr>
            <w:r w:rsidRPr="00B23F61">
              <w:rPr>
                <w:rFonts w:ascii="Arial" w:hAnsi="Arial" w:cs="Arial"/>
                <w:sz w:val="24"/>
                <w:szCs w:val="24"/>
              </w:rPr>
              <w:t>Variables and methodology:</w:t>
            </w:r>
          </w:p>
        </w:tc>
      </w:tr>
      <w:tr w:rsidR="00E40004" w:rsidRPr="00B23F61" w14:paraId="0A7E0F1F" w14:textId="77777777" w:rsidTr="00E40004">
        <w:tc>
          <w:tcPr>
            <w:tcW w:w="4927" w:type="dxa"/>
          </w:tcPr>
          <w:p w14:paraId="7ABFCE2B"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Justification of risk adjustment type and variables</w:t>
            </w:r>
          </w:p>
          <w:p w14:paraId="638A01AE" w14:textId="2B553013"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or why risk adjustment is not used</w:t>
            </w:r>
          </w:p>
        </w:tc>
        <w:tc>
          <w:tcPr>
            <w:tcW w:w="4927" w:type="dxa"/>
          </w:tcPr>
          <w:p w14:paraId="406F578A" w14:textId="4E2D8736" w:rsidR="00E40004" w:rsidRPr="00B23F61" w:rsidRDefault="00E40004" w:rsidP="006F558B">
            <w:pPr>
              <w:spacing w:after="140"/>
              <w:textboxTightWrap w:val="lastLineOnly"/>
              <w:rPr>
                <w:rFonts w:ascii="Arial" w:hAnsi="Arial" w:cs="Arial"/>
                <w:sz w:val="24"/>
                <w:szCs w:val="24"/>
              </w:rPr>
            </w:pPr>
            <w:r w:rsidRPr="00B23F61">
              <w:rPr>
                <w:rFonts w:ascii="Arial" w:hAnsi="Arial" w:cs="Arial"/>
                <w:sz w:val="24"/>
                <w:szCs w:val="24"/>
              </w:rPr>
              <w:t>The use of risk adjustment is not applicable as eligibility criteria are contained within the audit question (i.e. non-applicable patients are excluded as part of the calculation</w:t>
            </w:r>
          </w:p>
        </w:tc>
      </w:tr>
      <w:tr w:rsidR="00E40004" w:rsidRPr="00B23F61" w14:paraId="2B326CBB" w14:textId="77777777" w:rsidTr="00E40004">
        <w:tc>
          <w:tcPr>
            <w:tcW w:w="4927" w:type="dxa"/>
          </w:tcPr>
          <w:p w14:paraId="2116BE67" w14:textId="28B16390" w:rsidR="00E40004" w:rsidRPr="00B23F61" w:rsidRDefault="00E40004" w:rsidP="006F558B">
            <w:pPr>
              <w:spacing w:after="140"/>
              <w:textboxTightWrap w:val="lastLineOnly"/>
              <w:rPr>
                <w:rFonts w:ascii="Arial" w:hAnsi="Arial" w:cs="Arial"/>
                <w:sz w:val="24"/>
                <w:szCs w:val="24"/>
              </w:rPr>
            </w:pPr>
            <w:r w:rsidRPr="00B23F61">
              <w:rPr>
                <w:rFonts w:ascii="Arial" w:hAnsi="Arial" w:cs="Arial"/>
                <w:b/>
                <w:sz w:val="24"/>
                <w:szCs w:val="24"/>
              </w:rPr>
              <w:t>Confidence interval / control limit use and methodology</w:t>
            </w:r>
          </w:p>
        </w:tc>
        <w:tc>
          <w:tcPr>
            <w:tcW w:w="4927" w:type="dxa"/>
          </w:tcPr>
          <w:p w14:paraId="00933A5B" w14:textId="3F95BAFA" w:rsidR="00E40004" w:rsidRPr="00B23F61" w:rsidRDefault="00E40004" w:rsidP="006F558B">
            <w:pPr>
              <w:spacing w:after="140"/>
              <w:textboxTightWrap w:val="lastLineOnly"/>
              <w:rPr>
                <w:rFonts w:ascii="Arial" w:hAnsi="Arial" w:cs="Arial"/>
                <w:sz w:val="24"/>
                <w:szCs w:val="24"/>
              </w:rPr>
            </w:pPr>
            <w:r w:rsidRPr="00B23F61">
              <w:rPr>
                <w:rFonts w:ascii="Arial" w:hAnsi="Arial" w:cs="Arial"/>
                <w:sz w:val="24"/>
                <w:szCs w:val="24"/>
              </w:rPr>
              <w:t>Confidence Intervals</w:t>
            </w:r>
          </w:p>
        </w:tc>
      </w:tr>
      <w:tr w:rsidR="00E40004" w:rsidRPr="00B23F61" w14:paraId="5F2A15D1" w14:textId="77777777" w:rsidTr="00E40004">
        <w:tc>
          <w:tcPr>
            <w:tcW w:w="4927" w:type="dxa"/>
          </w:tcPr>
          <w:p w14:paraId="48821A33" w14:textId="77777777" w:rsidR="00E40004" w:rsidRPr="00B23F61" w:rsidRDefault="00E40004" w:rsidP="006F558B">
            <w:pPr>
              <w:spacing w:after="140"/>
              <w:textboxTightWrap w:val="lastLineOnly"/>
              <w:rPr>
                <w:rFonts w:ascii="Arial" w:hAnsi="Arial" w:cs="Arial"/>
                <w:sz w:val="24"/>
                <w:szCs w:val="24"/>
              </w:rPr>
            </w:pPr>
          </w:p>
        </w:tc>
        <w:tc>
          <w:tcPr>
            <w:tcW w:w="4927" w:type="dxa"/>
          </w:tcPr>
          <w:p w14:paraId="64FD90F5"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The confidence intervals follow the method for proportions as stated in the APHO technical briefing 3 - Commonly used public health statistics and their confidence intervals</w:t>
            </w:r>
          </w:p>
          <w:p w14:paraId="6EAF04BB"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 xml:space="preserve">95% confidence intervals are calculated using Wilson Score method1,2 using the following formulae: </w:t>
            </w:r>
          </w:p>
          <w:p w14:paraId="4B557DA8"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 xml:space="preserve"> </w:t>
            </w:r>
          </w:p>
          <w:p w14:paraId="29C27C76"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lastRenderedPageBreak/>
              <w:t xml:space="preserve"> </w:t>
            </w:r>
          </w:p>
          <w:p w14:paraId="252D79F5"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 xml:space="preserve">1 Wilson EB. Probable inference, the law of succession, and statistical inference. J Am Stat Assoc 1927; 22: 209–12. </w:t>
            </w:r>
          </w:p>
          <w:p w14:paraId="5CAC8398"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 xml:space="preserve">2 Newcombe RG, Altman DG. Proportions and their differences. In Altman DG et al. (eds). Statistics with confidence (2nd </w:t>
            </w:r>
            <w:proofErr w:type="spellStart"/>
            <w:r w:rsidRPr="00B23F61">
              <w:rPr>
                <w:rFonts w:ascii="Arial" w:hAnsi="Arial" w:cs="Arial"/>
                <w:sz w:val="24"/>
                <w:szCs w:val="24"/>
              </w:rPr>
              <w:t>edn</w:t>
            </w:r>
            <w:proofErr w:type="spellEnd"/>
            <w:r w:rsidRPr="00B23F61">
              <w:rPr>
                <w:rFonts w:ascii="Arial" w:hAnsi="Arial" w:cs="Arial"/>
                <w:sz w:val="24"/>
                <w:szCs w:val="24"/>
              </w:rPr>
              <w:t xml:space="preserve">). London: BMJ Books; 2000: 46–8. </w:t>
            </w:r>
          </w:p>
          <w:p w14:paraId="61414505"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 xml:space="preserve">where: </w:t>
            </w:r>
          </w:p>
          <w:p w14:paraId="2001B2C0"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 xml:space="preserve">q is 1– ( /100); p </w:t>
            </w:r>
          </w:p>
          <w:p w14:paraId="7C3332BC" w14:textId="77777777"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 xml:space="preserve">o is the numerator observed number of individuals in the sample; </w:t>
            </w:r>
          </w:p>
          <w:p w14:paraId="4233FAD2" w14:textId="532E3EF9"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n is the denominator total number of individuals in the sample.</w:t>
            </w:r>
          </w:p>
        </w:tc>
      </w:tr>
      <w:tr w:rsidR="00E40004" w:rsidRPr="00B23F61" w14:paraId="6AFAD040" w14:textId="77777777" w:rsidTr="00E40004">
        <w:tc>
          <w:tcPr>
            <w:tcW w:w="4927" w:type="dxa"/>
          </w:tcPr>
          <w:p w14:paraId="57D4F652" w14:textId="36A9AC5C" w:rsidR="00E40004" w:rsidRPr="00B23F61" w:rsidRDefault="00E40004" w:rsidP="006F558B">
            <w:pPr>
              <w:spacing w:after="140"/>
              <w:textboxTightWrap w:val="lastLineOnly"/>
              <w:rPr>
                <w:rFonts w:ascii="Arial" w:hAnsi="Arial" w:cs="Arial"/>
                <w:sz w:val="24"/>
                <w:szCs w:val="24"/>
              </w:rPr>
            </w:pPr>
            <w:r w:rsidRPr="00B23F61">
              <w:rPr>
                <w:rFonts w:ascii="Arial" w:hAnsi="Arial" w:cs="Arial"/>
                <w:b/>
                <w:sz w:val="24"/>
                <w:szCs w:val="24"/>
              </w:rPr>
              <w:lastRenderedPageBreak/>
              <w:t>Justification of confidence intervals / control limits used</w:t>
            </w:r>
          </w:p>
        </w:tc>
        <w:tc>
          <w:tcPr>
            <w:tcW w:w="4927" w:type="dxa"/>
          </w:tcPr>
          <w:p w14:paraId="1FFA938A" w14:textId="621C0C08" w:rsidR="00E40004" w:rsidRPr="00B23F61" w:rsidRDefault="00E40004" w:rsidP="00E40004">
            <w:pPr>
              <w:spacing w:after="140"/>
              <w:textboxTightWrap w:val="lastLineOnly"/>
              <w:rPr>
                <w:rFonts w:ascii="Arial" w:hAnsi="Arial" w:cs="Arial"/>
                <w:sz w:val="24"/>
                <w:szCs w:val="24"/>
              </w:rPr>
            </w:pPr>
            <w:r w:rsidRPr="00B23F61">
              <w:rPr>
                <w:rFonts w:ascii="Arial" w:hAnsi="Arial" w:cs="Arial"/>
                <w:sz w:val="24"/>
                <w:szCs w:val="24"/>
              </w:rPr>
              <w:t>The confidence intervals follow the method for proportions as stated in the APHO technical briefing 3 - Commonly used public health statistics and their confidence intervals</w:t>
            </w:r>
          </w:p>
        </w:tc>
      </w:tr>
    </w:tbl>
    <w:p w14:paraId="3222A05F" w14:textId="756F34A0" w:rsidR="00336B13" w:rsidRPr="00B23F61" w:rsidRDefault="00336B13" w:rsidP="006F558B">
      <w:pPr>
        <w:spacing w:after="140" w:line="240" w:lineRule="auto"/>
        <w:textboxTightWrap w:val="lastLineOnly"/>
        <w:rPr>
          <w:rFonts w:ascii="Arial" w:eastAsia="Times New Roman" w:hAnsi="Arial" w:cs="Arial"/>
          <w:sz w:val="24"/>
          <w:szCs w:val="24"/>
        </w:rPr>
      </w:pPr>
    </w:p>
    <w:tbl>
      <w:tblPr>
        <w:tblStyle w:val="TableGrid"/>
        <w:tblW w:w="0" w:type="auto"/>
        <w:tblLook w:val="04A0" w:firstRow="1" w:lastRow="0" w:firstColumn="1" w:lastColumn="0" w:noHBand="0" w:noVBand="1"/>
      </w:tblPr>
      <w:tblGrid>
        <w:gridCol w:w="4927"/>
        <w:gridCol w:w="4927"/>
      </w:tblGrid>
      <w:tr w:rsidR="00F546A6" w:rsidRPr="00B23F61" w14:paraId="425E5133" w14:textId="77777777" w:rsidTr="00F546A6">
        <w:tc>
          <w:tcPr>
            <w:tcW w:w="4927" w:type="dxa"/>
          </w:tcPr>
          <w:p w14:paraId="0C332786" w14:textId="435D71A1" w:rsidR="00F546A6" w:rsidRPr="00B23F61" w:rsidRDefault="00F546A6" w:rsidP="006F558B">
            <w:pPr>
              <w:spacing w:after="140"/>
              <w:textboxTightWrap w:val="lastLineOnly"/>
              <w:rPr>
                <w:rFonts w:ascii="Arial" w:hAnsi="Arial" w:cs="Arial"/>
                <w:sz w:val="24"/>
                <w:szCs w:val="24"/>
              </w:rPr>
            </w:pPr>
            <w:r w:rsidRPr="00B23F61">
              <w:rPr>
                <w:rFonts w:ascii="Arial" w:hAnsi="Arial" w:cs="Arial"/>
                <w:sz w:val="24"/>
                <w:szCs w:val="24"/>
              </w:rPr>
              <w:t>Presentation</w:t>
            </w:r>
          </w:p>
        </w:tc>
        <w:tc>
          <w:tcPr>
            <w:tcW w:w="4927" w:type="dxa"/>
          </w:tcPr>
          <w:p w14:paraId="217FE419" w14:textId="77777777" w:rsidR="00F546A6" w:rsidRPr="00B23F61" w:rsidRDefault="00F546A6" w:rsidP="006F558B">
            <w:pPr>
              <w:spacing w:after="140"/>
              <w:textboxTightWrap w:val="lastLineOnly"/>
              <w:rPr>
                <w:rFonts w:ascii="Arial" w:hAnsi="Arial" w:cs="Arial"/>
                <w:sz w:val="24"/>
                <w:szCs w:val="24"/>
              </w:rPr>
            </w:pPr>
          </w:p>
        </w:tc>
      </w:tr>
      <w:tr w:rsidR="00F546A6" w:rsidRPr="00B23F61" w14:paraId="7955D12F" w14:textId="77777777" w:rsidTr="00F546A6">
        <w:tc>
          <w:tcPr>
            <w:tcW w:w="4927" w:type="dxa"/>
          </w:tcPr>
          <w:p w14:paraId="375DDB42" w14:textId="77777777" w:rsidR="00F546A6" w:rsidRPr="00B23F61" w:rsidRDefault="00F546A6" w:rsidP="006F558B">
            <w:pPr>
              <w:spacing w:after="140"/>
              <w:textboxTightWrap w:val="lastLineOnly"/>
              <w:rPr>
                <w:rFonts w:ascii="Arial" w:hAnsi="Arial" w:cs="Arial"/>
                <w:sz w:val="24"/>
                <w:szCs w:val="24"/>
              </w:rPr>
            </w:pPr>
          </w:p>
        </w:tc>
        <w:tc>
          <w:tcPr>
            <w:tcW w:w="4927" w:type="dxa"/>
          </w:tcPr>
          <w:p w14:paraId="394B2B37" w14:textId="77777777" w:rsidR="00F546A6" w:rsidRPr="00F546A6" w:rsidRDefault="00F546A6" w:rsidP="00F546A6">
            <w:pPr>
              <w:spacing w:after="140"/>
              <w:textboxTightWrap w:val="lastLineOnly"/>
              <w:rPr>
                <w:rFonts w:ascii="Arial" w:hAnsi="Arial" w:cs="Arial"/>
                <w:sz w:val="24"/>
                <w:szCs w:val="24"/>
              </w:rPr>
            </w:pPr>
            <w:r w:rsidRPr="00F546A6">
              <w:rPr>
                <w:rFonts w:ascii="Arial" w:hAnsi="Arial" w:cs="Arial"/>
                <w:sz w:val="24"/>
                <w:szCs w:val="24"/>
              </w:rPr>
              <w:t>The calculated CCG indicators, including numerator and denominator, will be publicly available on the HSCIC indicator portal. Excel and csv files will be published for each of the indicators.</w:t>
            </w:r>
          </w:p>
          <w:p w14:paraId="13C5A3A4" w14:textId="77777777" w:rsidR="00F546A6" w:rsidRPr="00F546A6" w:rsidRDefault="00F546A6" w:rsidP="00F546A6">
            <w:pPr>
              <w:spacing w:after="140"/>
              <w:textboxTightWrap w:val="lastLineOnly"/>
              <w:rPr>
                <w:rFonts w:ascii="Arial" w:hAnsi="Arial" w:cs="Arial"/>
                <w:b/>
                <w:bCs/>
                <w:sz w:val="24"/>
                <w:szCs w:val="24"/>
              </w:rPr>
            </w:pPr>
            <w:bookmarkStart w:id="0" w:name="bookmark0"/>
            <w:bookmarkEnd w:id="0"/>
            <w:r w:rsidRPr="00F546A6">
              <w:rPr>
                <w:rFonts w:ascii="Arial" w:hAnsi="Arial" w:cs="Arial"/>
                <w:b/>
                <w:bCs/>
                <w:sz w:val="24"/>
                <w:szCs w:val="24"/>
              </w:rPr>
              <w:t>Excel and CSV output</w:t>
            </w:r>
          </w:p>
          <w:p w14:paraId="20238912" w14:textId="77777777" w:rsidR="00F546A6" w:rsidRPr="00F546A6" w:rsidRDefault="00F546A6" w:rsidP="00F546A6">
            <w:pPr>
              <w:spacing w:after="140"/>
              <w:textboxTightWrap w:val="lastLineOnly"/>
              <w:rPr>
                <w:rFonts w:ascii="Arial" w:hAnsi="Arial" w:cs="Arial"/>
                <w:b/>
                <w:bCs/>
                <w:sz w:val="24"/>
                <w:szCs w:val="24"/>
              </w:rPr>
            </w:pPr>
          </w:p>
          <w:p w14:paraId="0E4E3DC0" w14:textId="77777777" w:rsidR="00F546A6" w:rsidRPr="00F546A6" w:rsidRDefault="00F546A6" w:rsidP="00F546A6">
            <w:pPr>
              <w:spacing w:after="140"/>
              <w:textboxTightWrap w:val="lastLineOnly"/>
              <w:rPr>
                <w:rFonts w:ascii="Arial" w:hAnsi="Arial" w:cs="Arial"/>
                <w:b/>
                <w:bCs/>
                <w:sz w:val="24"/>
                <w:szCs w:val="24"/>
              </w:rPr>
            </w:pPr>
            <w:r w:rsidRPr="00F546A6">
              <w:rPr>
                <w:rFonts w:ascii="Arial" w:hAnsi="Arial" w:cs="Arial"/>
                <w:b/>
                <w:bCs/>
                <w:sz w:val="24"/>
                <w:szCs w:val="24"/>
              </w:rPr>
              <w:t>Period of coverage</w:t>
            </w:r>
          </w:p>
          <w:p w14:paraId="6AA3A9CB" w14:textId="77777777" w:rsidR="00F546A6" w:rsidRPr="00F546A6" w:rsidRDefault="00F546A6" w:rsidP="00F546A6">
            <w:pPr>
              <w:spacing w:after="140"/>
              <w:textboxTightWrap w:val="lastLineOnly"/>
              <w:rPr>
                <w:rFonts w:ascii="Arial" w:hAnsi="Arial" w:cs="Arial"/>
                <w:b/>
                <w:bCs/>
                <w:sz w:val="24"/>
                <w:szCs w:val="24"/>
              </w:rPr>
            </w:pPr>
          </w:p>
          <w:p w14:paraId="23B5AFAF" w14:textId="77777777" w:rsidR="00F546A6" w:rsidRPr="00F546A6" w:rsidRDefault="00F546A6" w:rsidP="00F546A6">
            <w:pPr>
              <w:spacing w:after="140"/>
              <w:textboxTightWrap w:val="lastLineOnly"/>
              <w:rPr>
                <w:rFonts w:ascii="Arial" w:hAnsi="Arial" w:cs="Arial"/>
                <w:sz w:val="24"/>
                <w:szCs w:val="24"/>
              </w:rPr>
            </w:pPr>
            <w:r w:rsidRPr="00F546A6">
              <w:rPr>
                <w:rFonts w:ascii="Arial" w:hAnsi="Arial" w:cs="Arial"/>
                <w:sz w:val="24"/>
                <w:szCs w:val="24"/>
              </w:rPr>
              <w:t>01/01 to 31/12 of the respective year</w:t>
            </w:r>
          </w:p>
          <w:p w14:paraId="0C218560" w14:textId="77777777" w:rsidR="00F546A6" w:rsidRPr="00F546A6" w:rsidRDefault="00F546A6" w:rsidP="00F546A6">
            <w:pPr>
              <w:spacing w:after="140"/>
              <w:textboxTightWrap w:val="lastLineOnly"/>
              <w:rPr>
                <w:rFonts w:ascii="Arial" w:hAnsi="Arial" w:cs="Arial"/>
                <w:sz w:val="24"/>
                <w:szCs w:val="24"/>
              </w:rPr>
            </w:pPr>
          </w:p>
          <w:p w14:paraId="7D065B35" w14:textId="77777777" w:rsidR="00F546A6" w:rsidRPr="00F546A6" w:rsidRDefault="00F546A6" w:rsidP="00F546A6">
            <w:pPr>
              <w:spacing w:after="140"/>
              <w:textboxTightWrap w:val="lastLineOnly"/>
              <w:rPr>
                <w:rFonts w:ascii="Arial" w:hAnsi="Arial" w:cs="Arial"/>
                <w:sz w:val="24"/>
                <w:szCs w:val="24"/>
              </w:rPr>
            </w:pPr>
            <w:r w:rsidRPr="00F546A6">
              <w:rPr>
                <w:rFonts w:ascii="Arial" w:hAnsi="Arial" w:cs="Arial"/>
                <w:sz w:val="24"/>
                <w:szCs w:val="24"/>
              </w:rPr>
              <w:t>Indicator value</w:t>
            </w:r>
          </w:p>
          <w:p w14:paraId="77E60E51" w14:textId="77777777" w:rsidR="00F546A6" w:rsidRPr="00F546A6" w:rsidRDefault="00F546A6" w:rsidP="00F546A6">
            <w:pPr>
              <w:spacing w:after="140"/>
              <w:textboxTightWrap w:val="lastLineOnly"/>
              <w:rPr>
                <w:rFonts w:ascii="Arial" w:hAnsi="Arial" w:cs="Arial"/>
                <w:sz w:val="24"/>
                <w:szCs w:val="24"/>
              </w:rPr>
            </w:pPr>
          </w:p>
          <w:p w14:paraId="4FC02240" w14:textId="77777777" w:rsidR="00F546A6" w:rsidRPr="00F546A6" w:rsidRDefault="00F546A6" w:rsidP="00F546A6">
            <w:pPr>
              <w:spacing w:after="140"/>
              <w:textboxTightWrap w:val="lastLineOnly"/>
              <w:rPr>
                <w:rFonts w:ascii="Arial" w:hAnsi="Arial" w:cs="Arial"/>
                <w:sz w:val="24"/>
                <w:szCs w:val="24"/>
              </w:rPr>
            </w:pPr>
            <w:r w:rsidRPr="00F546A6">
              <w:rPr>
                <w:rFonts w:ascii="Arial" w:hAnsi="Arial" w:cs="Arial"/>
                <w:sz w:val="24"/>
                <w:szCs w:val="24"/>
              </w:rPr>
              <w:t>Percentage of admitted patients whose mobility category at 30 days was lower, the same or only one mobility category higher than the pre-fracture mobility category</w:t>
            </w:r>
          </w:p>
          <w:p w14:paraId="18EECF96" w14:textId="77777777" w:rsidR="00F546A6" w:rsidRPr="00F546A6" w:rsidRDefault="00F546A6" w:rsidP="00F546A6">
            <w:pPr>
              <w:spacing w:after="140"/>
              <w:textboxTightWrap w:val="lastLineOnly"/>
              <w:rPr>
                <w:rFonts w:ascii="Arial" w:hAnsi="Arial" w:cs="Arial"/>
                <w:sz w:val="24"/>
                <w:szCs w:val="24"/>
              </w:rPr>
            </w:pPr>
          </w:p>
          <w:p w14:paraId="1C9E7B45" w14:textId="77777777" w:rsidR="00F546A6" w:rsidRPr="00F546A6" w:rsidRDefault="00F546A6" w:rsidP="00F546A6">
            <w:pPr>
              <w:spacing w:after="140"/>
              <w:textboxTightWrap w:val="lastLineOnly"/>
              <w:rPr>
                <w:rFonts w:ascii="Arial" w:hAnsi="Arial" w:cs="Arial"/>
                <w:sz w:val="24"/>
                <w:szCs w:val="24"/>
              </w:rPr>
            </w:pPr>
            <w:r w:rsidRPr="00F546A6">
              <w:rPr>
                <w:rFonts w:ascii="Arial" w:hAnsi="Arial" w:cs="Arial"/>
                <w:sz w:val="24"/>
                <w:szCs w:val="24"/>
              </w:rPr>
              <w:lastRenderedPageBreak/>
              <w:t>Denominator</w:t>
            </w:r>
          </w:p>
          <w:p w14:paraId="06EBCE60" w14:textId="77777777" w:rsidR="00F546A6" w:rsidRPr="00F546A6" w:rsidRDefault="00F546A6" w:rsidP="00F546A6">
            <w:pPr>
              <w:spacing w:after="140"/>
              <w:textboxTightWrap w:val="lastLineOnly"/>
              <w:rPr>
                <w:rFonts w:ascii="Arial" w:hAnsi="Arial" w:cs="Arial"/>
                <w:sz w:val="24"/>
                <w:szCs w:val="24"/>
              </w:rPr>
            </w:pPr>
          </w:p>
          <w:p w14:paraId="1F58F738" w14:textId="77777777" w:rsidR="00F546A6" w:rsidRPr="00F546A6" w:rsidRDefault="00F546A6" w:rsidP="00F546A6">
            <w:pPr>
              <w:spacing w:after="140"/>
              <w:textboxTightWrap w:val="lastLineOnly"/>
              <w:rPr>
                <w:rFonts w:ascii="Arial" w:hAnsi="Arial" w:cs="Arial"/>
                <w:sz w:val="24"/>
                <w:szCs w:val="24"/>
              </w:rPr>
            </w:pPr>
            <w:r w:rsidRPr="00F546A6">
              <w:rPr>
                <w:rFonts w:ascii="Arial" w:hAnsi="Arial" w:cs="Arial"/>
                <w:sz w:val="24"/>
                <w:szCs w:val="24"/>
              </w:rPr>
              <w:t>Number of admitted patients with a mobility score of 1, 2 or 3 recorded at admission, and a mobility score recorded at 30 days</w:t>
            </w:r>
          </w:p>
          <w:p w14:paraId="3310D79E" w14:textId="77777777" w:rsidR="00F546A6" w:rsidRPr="00F546A6" w:rsidRDefault="00F546A6" w:rsidP="00F546A6">
            <w:pPr>
              <w:spacing w:after="140"/>
              <w:textboxTightWrap w:val="lastLineOnly"/>
              <w:rPr>
                <w:rFonts w:ascii="Arial" w:hAnsi="Arial" w:cs="Arial"/>
                <w:sz w:val="24"/>
                <w:szCs w:val="24"/>
              </w:rPr>
            </w:pPr>
          </w:p>
          <w:p w14:paraId="282C8BB0" w14:textId="77777777" w:rsidR="00F546A6" w:rsidRPr="00F546A6" w:rsidRDefault="00F546A6" w:rsidP="00F546A6">
            <w:pPr>
              <w:spacing w:after="140"/>
              <w:textboxTightWrap w:val="lastLineOnly"/>
              <w:rPr>
                <w:rFonts w:ascii="Arial" w:hAnsi="Arial" w:cs="Arial"/>
                <w:sz w:val="24"/>
                <w:szCs w:val="24"/>
              </w:rPr>
            </w:pPr>
            <w:r w:rsidRPr="00F546A6">
              <w:rPr>
                <w:rFonts w:ascii="Arial" w:hAnsi="Arial" w:cs="Arial"/>
                <w:sz w:val="24"/>
                <w:szCs w:val="24"/>
              </w:rPr>
              <w:t>Numerator</w:t>
            </w:r>
          </w:p>
          <w:p w14:paraId="4FF796C2" w14:textId="77777777" w:rsidR="00F546A6" w:rsidRPr="00F546A6" w:rsidRDefault="00F546A6" w:rsidP="00F546A6">
            <w:pPr>
              <w:spacing w:after="140"/>
              <w:textboxTightWrap w:val="lastLineOnly"/>
              <w:rPr>
                <w:rFonts w:ascii="Arial" w:hAnsi="Arial" w:cs="Arial"/>
                <w:sz w:val="24"/>
                <w:szCs w:val="24"/>
              </w:rPr>
            </w:pPr>
          </w:p>
          <w:p w14:paraId="26B142A1" w14:textId="685F76AD" w:rsidR="00F546A6" w:rsidRPr="00B23F61" w:rsidRDefault="00F546A6" w:rsidP="00F546A6">
            <w:pPr>
              <w:spacing w:after="140"/>
              <w:textboxTightWrap w:val="lastLineOnly"/>
              <w:rPr>
                <w:rFonts w:ascii="Arial" w:hAnsi="Arial" w:cs="Arial"/>
                <w:sz w:val="24"/>
                <w:szCs w:val="24"/>
              </w:rPr>
            </w:pPr>
            <w:r w:rsidRPr="00B23F61">
              <w:rPr>
                <w:rFonts w:ascii="Arial" w:hAnsi="Arial" w:cs="Arial"/>
                <w:sz w:val="24"/>
                <w:szCs w:val="24"/>
              </w:rPr>
              <w:t>Number of patients in the extract whose mobility category at 30 days was lower, the same or only one mobility category higher than mobility category at admission</w:t>
            </w:r>
          </w:p>
        </w:tc>
      </w:tr>
      <w:tr w:rsidR="00F546A6" w:rsidRPr="00B23F61" w14:paraId="222C9217" w14:textId="77777777" w:rsidTr="00F546A6">
        <w:tc>
          <w:tcPr>
            <w:tcW w:w="4927" w:type="dxa"/>
          </w:tcPr>
          <w:p w14:paraId="33574E0D" w14:textId="77777777" w:rsidR="008700B6" w:rsidRPr="00B23F61" w:rsidRDefault="008700B6" w:rsidP="008700B6">
            <w:pPr>
              <w:spacing w:after="140"/>
              <w:textboxTightWrap w:val="lastLineOnly"/>
              <w:rPr>
                <w:rFonts w:ascii="Arial" w:hAnsi="Arial" w:cs="Arial"/>
                <w:sz w:val="24"/>
                <w:szCs w:val="24"/>
              </w:rPr>
            </w:pPr>
            <w:r w:rsidRPr="00B23F61">
              <w:rPr>
                <w:rFonts w:ascii="Arial" w:hAnsi="Arial" w:cs="Arial"/>
                <w:sz w:val="24"/>
                <w:szCs w:val="24"/>
              </w:rPr>
              <w:lastRenderedPageBreak/>
              <w:t>Contextual information provided alongside indicator</w:t>
            </w:r>
          </w:p>
          <w:p w14:paraId="6C46E8D7" w14:textId="375A0DA8" w:rsidR="00F546A6" w:rsidRPr="00B23F61" w:rsidRDefault="008700B6" w:rsidP="008700B6">
            <w:pPr>
              <w:spacing w:after="140"/>
              <w:textboxTightWrap w:val="lastLineOnly"/>
              <w:rPr>
                <w:rFonts w:ascii="Arial" w:hAnsi="Arial" w:cs="Arial"/>
                <w:sz w:val="24"/>
                <w:szCs w:val="24"/>
              </w:rPr>
            </w:pPr>
            <w:r w:rsidRPr="00B23F61">
              <w:rPr>
                <w:rFonts w:ascii="Arial" w:hAnsi="Arial" w:cs="Arial"/>
                <w:sz w:val="24"/>
                <w:szCs w:val="24"/>
              </w:rPr>
              <w:t>with justification</w:t>
            </w:r>
          </w:p>
        </w:tc>
        <w:tc>
          <w:tcPr>
            <w:tcW w:w="4927" w:type="dxa"/>
          </w:tcPr>
          <w:p w14:paraId="775F682E" w14:textId="7A74FFD6" w:rsidR="00F546A6" w:rsidRPr="00B23F61" w:rsidRDefault="008700B6" w:rsidP="006F558B">
            <w:pPr>
              <w:spacing w:after="140"/>
              <w:textboxTightWrap w:val="lastLineOnly"/>
              <w:rPr>
                <w:rFonts w:ascii="Arial" w:hAnsi="Arial" w:cs="Arial"/>
                <w:sz w:val="24"/>
                <w:szCs w:val="24"/>
              </w:rPr>
            </w:pPr>
            <w:r w:rsidRPr="00B23F61">
              <w:rPr>
                <w:rFonts w:ascii="Arial" w:hAnsi="Arial" w:cs="Arial"/>
                <w:sz w:val="24"/>
                <w:szCs w:val="24"/>
              </w:rPr>
              <w:t>None. NHFD do not currently produce any follow-up contextual information.</w:t>
            </w:r>
          </w:p>
        </w:tc>
      </w:tr>
      <w:tr w:rsidR="00F546A6" w:rsidRPr="00B23F61" w14:paraId="368FAD79" w14:textId="77777777" w:rsidTr="00F546A6">
        <w:tc>
          <w:tcPr>
            <w:tcW w:w="4927" w:type="dxa"/>
          </w:tcPr>
          <w:p w14:paraId="1647589F" w14:textId="77777777" w:rsidR="008700B6" w:rsidRPr="008700B6" w:rsidRDefault="008700B6" w:rsidP="008700B6">
            <w:pPr>
              <w:spacing w:after="140"/>
              <w:textboxTightWrap w:val="lastLineOnly"/>
              <w:rPr>
                <w:rFonts w:ascii="Arial" w:hAnsi="Arial" w:cs="Arial"/>
                <w:b/>
                <w:sz w:val="24"/>
                <w:szCs w:val="24"/>
              </w:rPr>
            </w:pPr>
            <w:r w:rsidRPr="008700B6">
              <w:rPr>
                <w:rFonts w:ascii="Arial" w:hAnsi="Arial" w:cs="Arial"/>
                <w:b/>
                <w:sz w:val="24"/>
                <w:szCs w:val="24"/>
              </w:rPr>
              <w:t>Use of bandings, benchmarks or targets</w:t>
            </w:r>
          </w:p>
          <w:p w14:paraId="22ED4D0E" w14:textId="4A1F7D37" w:rsidR="00F546A6" w:rsidRPr="00B23F61" w:rsidRDefault="008700B6" w:rsidP="008700B6">
            <w:pPr>
              <w:spacing w:after="140"/>
              <w:textboxTightWrap w:val="lastLineOnly"/>
              <w:rPr>
                <w:rFonts w:ascii="Arial" w:hAnsi="Arial" w:cs="Arial"/>
                <w:sz w:val="24"/>
                <w:szCs w:val="24"/>
              </w:rPr>
            </w:pPr>
            <w:r w:rsidRPr="00B23F61">
              <w:rPr>
                <w:rFonts w:ascii="Arial" w:hAnsi="Arial" w:cs="Arial"/>
                <w:sz w:val="24"/>
                <w:szCs w:val="24"/>
              </w:rPr>
              <w:t>with justification</w:t>
            </w:r>
          </w:p>
        </w:tc>
        <w:tc>
          <w:tcPr>
            <w:tcW w:w="4927" w:type="dxa"/>
          </w:tcPr>
          <w:p w14:paraId="04B1DD9E" w14:textId="4B2EA358" w:rsidR="00F546A6" w:rsidRPr="00B23F61" w:rsidRDefault="008700B6" w:rsidP="006F558B">
            <w:pPr>
              <w:spacing w:after="140"/>
              <w:textboxTightWrap w:val="lastLineOnly"/>
              <w:rPr>
                <w:rFonts w:ascii="Arial" w:hAnsi="Arial" w:cs="Arial"/>
                <w:sz w:val="24"/>
                <w:szCs w:val="24"/>
              </w:rPr>
            </w:pPr>
            <w:r w:rsidRPr="00B23F61">
              <w:rPr>
                <w:rFonts w:ascii="Arial" w:hAnsi="Arial" w:cs="Arial"/>
                <w:sz w:val="24"/>
                <w:szCs w:val="24"/>
              </w:rPr>
              <w:t>None.  Due to issues with data completeness it would not be appropriate to apply bandings to this indicator.  Additionally, as there is no mandate to record this information it would be difficult to justify any benchmarking or banding of indicator values.</w:t>
            </w:r>
          </w:p>
        </w:tc>
      </w:tr>
      <w:tr w:rsidR="008700B6" w:rsidRPr="00B23F61" w14:paraId="45A196B5" w14:textId="77777777" w:rsidTr="00D60EFF">
        <w:tc>
          <w:tcPr>
            <w:tcW w:w="4927" w:type="dxa"/>
          </w:tcPr>
          <w:p w14:paraId="40FEC1D7" w14:textId="34BB9F19" w:rsidR="008700B6" w:rsidRPr="00B23F61" w:rsidRDefault="008700B6" w:rsidP="008700B6">
            <w:pPr>
              <w:spacing w:after="140"/>
              <w:textboxTightWrap w:val="lastLineOnly"/>
              <w:rPr>
                <w:rFonts w:ascii="Arial" w:hAnsi="Arial" w:cs="Arial"/>
                <w:sz w:val="24"/>
                <w:szCs w:val="24"/>
              </w:rPr>
            </w:pPr>
            <w:r w:rsidRPr="00B23F61">
              <w:rPr>
                <w:rFonts w:ascii="Arial" w:hAnsi="Arial" w:cs="Arial"/>
                <w:b/>
                <w:sz w:val="24"/>
                <w:szCs w:val="24"/>
              </w:rPr>
              <w:t>Interpretation guidelines</w:t>
            </w:r>
          </w:p>
        </w:tc>
        <w:tc>
          <w:tcPr>
            <w:tcW w:w="4927" w:type="dxa"/>
            <w:tcBorders>
              <w:bottom w:val="single" w:sz="4" w:space="0" w:color="003360"/>
            </w:tcBorders>
          </w:tcPr>
          <w:p w14:paraId="0469E696"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A high percentage is desirable to indicate that patients with a fragility fracture are receiving the best care possible for their condition.</w:t>
            </w:r>
          </w:p>
          <w:p w14:paraId="6DBFB094"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For a patient to be eligible for inclusion in the indicator there must be a record of mobility status at both time of admission and at 30 and 120 days after admission.</w:t>
            </w:r>
          </w:p>
          <w:p w14:paraId="6DE5FE6C"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 xml:space="preserve">Currently the data completeness for this indicator is poor. In 2013 over 57,000 patients living England were captured within NHFD as being admitted with a hip fracture. Of these, 48,749 patients met the initial indicator criteria of being aged 60 or above, having a valid CCG and a valid mobility score prior to their admission. Of these patients, 21,430 were excluded from the analysis as their pre-fracture mobility score was in either category 4 or 5 and a further 18,896 were excluded as they did not have a valid mobility score at 30 or 120 days post </w:t>
            </w:r>
            <w:r w:rsidRPr="00B23F61">
              <w:rPr>
                <w:rFonts w:ascii="Arial" w:hAnsi="Arial" w:cs="Arial"/>
                <w:sz w:val="24"/>
                <w:szCs w:val="24"/>
              </w:rPr>
              <w:lastRenderedPageBreak/>
              <w:t>admission. This leaves less than 9,000 records that are eligible for inclusion in the indicator calculation.</w:t>
            </w:r>
          </w:p>
          <w:p w14:paraId="085F2881" w14:textId="2B5E5B5D" w:rsidR="008700B6" w:rsidRPr="00B23F61" w:rsidRDefault="008700B6" w:rsidP="008700B6">
            <w:pPr>
              <w:spacing w:after="140"/>
              <w:textboxTightWrap w:val="lastLineOnly"/>
              <w:rPr>
                <w:rFonts w:ascii="Arial" w:hAnsi="Arial" w:cs="Arial"/>
                <w:sz w:val="24"/>
                <w:szCs w:val="24"/>
              </w:rPr>
            </w:pPr>
            <w:r w:rsidRPr="00B23F61">
              <w:rPr>
                <w:rFonts w:ascii="Arial" w:hAnsi="Arial" w:cs="Arial"/>
                <w:sz w:val="24"/>
                <w:szCs w:val="24"/>
              </w:rPr>
              <w:t>The reliability of the indicator is therefore questionable, as there is no guarantee that the small percentage of records that are captured in the data are representative of the overall population. This fact must be kept in mind when interpreting the indicator values, as they could potentially be misleading.</w:t>
            </w:r>
          </w:p>
        </w:tc>
      </w:tr>
      <w:tr w:rsidR="008700B6" w:rsidRPr="00B23F61" w14:paraId="0F24A68A" w14:textId="77777777" w:rsidTr="00F546A6">
        <w:tc>
          <w:tcPr>
            <w:tcW w:w="4927" w:type="dxa"/>
          </w:tcPr>
          <w:p w14:paraId="631F8048" w14:textId="77777777" w:rsidR="008700B6" w:rsidRPr="00B23F61" w:rsidRDefault="008700B6" w:rsidP="008700B6">
            <w:pPr>
              <w:spacing w:after="140"/>
              <w:textboxTightWrap w:val="lastLineOnly"/>
              <w:rPr>
                <w:rFonts w:ascii="Arial" w:hAnsi="Arial" w:cs="Arial"/>
                <w:sz w:val="24"/>
                <w:szCs w:val="24"/>
              </w:rPr>
            </w:pPr>
          </w:p>
        </w:tc>
        <w:tc>
          <w:tcPr>
            <w:tcW w:w="4927" w:type="dxa"/>
          </w:tcPr>
          <w:p w14:paraId="4A8944E3" w14:textId="3FCAD19F" w:rsidR="008700B6" w:rsidRPr="00B23F61" w:rsidRDefault="008700B6" w:rsidP="008700B6">
            <w:pPr>
              <w:spacing w:after="140"/>
              <w:textboxTightWrap w:val="lastLineOnly"/>
              <w:rPr>
                <w:rFonts w:ascii="Arial" w:hAnsi="Arial" w:cs="Arial"/>
                <w:sz w:val="24"/>
                <w:szCs w:val="24"/>
              </w:rPr>
            </w:pPr>
            <w:r w:rsidRPr="00B23F61">
              <w:rPr>
                <w:rFonts w:ascii="Arial" w:hAnsi="Arial" w:cs="Arial"/>
                <w:sz w:val="24"/>
                <w:szCs w:val="24"/>
              </w:rPr>
              <w:t>None.  Due to issues with data completeness it would not be appropriate to apply bandings to this indicator.  Additionally, as there is no mandate to record this information it would be difficult to justify any benchmarking or banding of indicator values.</w:t>
            </w:r>
          </w:p>
        </w:tc>
      </w:tr>
      <w:tr w:rsidR="008700B6" w:rsidRPr="00B23F61" w14:paraId="6CF79DDE" w14:textId="77777777" w:rsidTr="008700B6">
        <w:tc>
          <w:tcPr>
            <w:tcW w:w="4927" w:type="dxa"/>
          </w:tcPr>
          <w:p w14:paraId="0C15A918" w14:textId="2249DF13" w:rsidR="008700B6" w:rsidRPr="00B23F61" w:rsidRDefault="008700B6" w:rsidP="008700B6">
            <w:pPr>
              <w:spacing w:after="140"/>
              <w:textboxTightWrap w:val="lastLineOnly"/>
              <w:rPr>
                <w:rFonts w:ascii="Arial" w:hAnsi="Arial" w:cs="Arial"/>
                <w:sz w:val="24"/>
                <w:szCs w:val="24"/>
              </w:rPr>
            </w:pPr>
            <w:r w:rsidRPr="00B23F61">
              <w:rPr>
                <w:rFonts w:ascii="Arial" w:hAnsi="Arial" w:cs="Arial"/>
                <w:sz w:val="24"/>
                <w:szCs w:val="24"/>
              </w:rPr>
              <w:t>Interpretation</w:t>
            </w:r>
          </w:p>
        </w:tc>
        <w:tc>
          <w:tcPr>
            <w:tcW w:w="4927" w:type="dxa"/>
          </w:tcPr>
          <w:p w14:paraId="56BE4646"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A high percentage is desirable to indicate that patients with a fragility fracture are receiving the best care possible for their condition.</w:t>
            </w:r>
          </w:p>
          <w:p w14:paraId="5C9ADE71"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For a patient to be eligible for inclusion in the indicator there must be a record of mobility status at both time of admission and at 30 and 120 days after admission.</w:t>
            </w:r>
          </w:p>
          <w:p w14:paraId="3C548E49"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Currently the data completeness for this indicator is poor. In 2013 over 57,000 patients living England were captured within NHFD as being admitted with a hip fracture. Of these, 48,749 patients met the initial indicator criteria of being aged 60 or above, having a valid CCG and a valid mobility score prior to their admission. Of these patients, 21,430 were excluded from the analysis as their pre-fracture mobility score was in either category 4 or 5 and a further 18,896 were excluded as they did not have a valid mobility score at 30 or 120 days post admission. This leaves less than 9,000 records that are eligible for inclusion in the indicator calculation.</w:t>
            </w:r>
          </w:p>
          <w:p w14:paraId="3604B099" w14:textId="12E35C51" w:rsidR="008700B6" w:rsidRPr="00B23F61" w:rsidRDefault="008700B6" w:rsidP="008700B6">
            <w:pPr>
              <w:spacing w:after="140"/>
              <w:textboxTightWrap w:val="lastLineOnly"/>
              <w:rPr>
                <w:rFonts w:ascii="Arial" w:hAnsi="Arial" w:cs="Arial"/>
                <w:sz w:val="24"/>
                <w:szCs w:val="24"/>
              </w:rPr>
            </w:pPr>
            <w:r w:rsidRPr="00B23F61">
              <w:rPr>
                <w:rFonts w:ascii="Arial" w:hAnsi="Arial" w:cs="Arial"/>
                <w:sz w:val="24"/>
                <w:szCs w:val="24"/>
              </w:rPr>
              <w:t xml:space="preserve">The reliability of the indicator is therefore questionable, as there is no guarantee that the small percentage of records that are captured in the data are representative of </w:t>
            </w:r>
            <w:r w:rsidRPr="00B23F61">
              <w:rPr>
                <w:rFonts w:ascii="Arial" w:hAnsi="Arial" w:cs="Arial"/>
                <w:sz w:val="24"/>
                <w:szCs w:val="24"/>
              </w:rPr>
              <w:lastRenderedPageBreak/>
              <w:t>the overall population. This fact must be kept in mind when interpreting the indicator values, as they could potentially be misleading.</w:t>
            </w:r>
          </w:p>
        </w:tc>
      </w:tr>
      <w:tr w:rsidR="008700B6" w:rsidRPr="00B23F61" w14:paraId="699B5CF8" w14:textId="77777777" w:rsidTr="008700B6">
        <w:tc>
          <w:tcPr>
            <w:tcW w:w="4927" w:type="dxa"/>
          </w:tcPr>
          <w:p w14:paraId="61A11272" w14:textId="2CA35F41" w:rsidR="008700B6" w:rsidRPr="00B23F61" w:rsidRDefault="008700B6" w:rsidP="008700B6">
            <w:pPr>
              <w:spacing w:after="140"/>
              <w:textboxTightWrap w:val="lastLineOnly"/>
              <w:rPr>
                <w:rFonts w:ascii="Arial" w:hAnsi="Arial" w:cs="Arial"/>
                <w:sz w:val="24"/>
                <w:szCs w:val="24"/>
              </w:rPr>
            </w:pPr>
            <w:r w:rsidRPr="00B23F61">
              <w:rPr>
                <w:rFonts w:ascii="Arial" w:hAnsi="Arial" w:cs="Arial"/>
                <w:b/>
                <w:sz w:val="24"/>
                <w:szCs w:val="24"/>
              </w:rPr>
              <w:lastRenderedPageBreak/>
              <w:t>Limitations and potential bias</w:t>
            </w:r>
          </w:p>
        </w:tc>
        <w:tc>
          <w:tcPr>
            <w:tcW w:w="4927" w:type="dxa"/>
          </w:tcPr>
          <w:p w14:paraId="1435658D"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Despite the inclusion of “previous” levels of mobility in the title there is no expectation within the indicator that patients will get back to the exact same level of mobility.  HSCIC had recommended the description “effective” recovery.</w:t>
            </w:r>
          </w:p>
          <w:p w14:paraId="5F8588EB" w14:textId="77777777" w:rsidR="008700B6" w:rsidRPr="00B23F61" w:rsidRDefault="008700B6" w:rsidP="008700B6">
            <w:pPr>
              <w:numPr>
                <w:ilvl w:val="0"/>
                <w:numId w:val="3"/>
              </w:numPr>
              <w:spacing w:before="240" w:after="140"/>
              <w:textboxTightWrap w:val="allLines"/>
              <w:rPr>
                <w:rFonts w:ascii="Arial" w:hAnsi="Arial" w:cs="Arial"/>
                <w:b/>
                <w:sz w:val="24"/>
                <w:szCs w:val="24"/>
              </w:rPr>
            </w:pPr>
            <w:r w:rsidRPr="00B23F61">
              <w:rPr>
                <w:rFonts w:ascii="Arial" w:hAnsi="Arial" w:cs="Arial"/>
                <w:b/>
                <w:sz w:val="24"/>
                <w:szCs w:val="24"/>
              </w:rPr>
              <w:t xml:space="preserve">Low recording rates of mobility category </w:t>
            </w:r>
            <w:r w:rsidRPr="00B23F61">
              <w:rPr>
                <w:rFonts w:ascii="Arial" w:hAnsi="Arial" w:cs="Arial"/>
                <w:sz w:val="24"/>
                <w:szCs w:val="24"/>
              </w:rPr>
              <w:t>(see section 3.4)</w:t>
            </w:r>
          </w:p>
          <w:p w14:paraId="20E29024"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Although the majority of trusts complete the pre-injury mobility scoring at the time of the admission, the 30 and 120 day follow-up is generally done by phone or letter. It is self-reported and some hospitals do not undertake any follow-up. However, it is hoped that with the inclusion of these indicators in the CCG OIS CCGs will 'encourage' an increase in their follow-up reporting.</w:t>
            </w:r>
          </w:p>
          <w:p w14:paraId="7B4D9007" w14:textId="289728D1"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It is proposed to highlight this issue in the Indicator Quality Statement. This is already being done for the NHS Outcomes indicators 3.5.i and 3.5.ii.</w:t>
            </w:r>
          </w:p>
        </w:tc>
      </w:tr>
      <w:tr w:rsidR="008700B6" w:rsidRPr="00B23F61" w14:paraId="69A87B4E" w14:textId="77777777" w:rsidTr="00AE35DE">
        <w:tc>
          <w:tcPr>
            <w:tcW w:w="4927" w:type="dxa"/>
          </w:tcPr>
          <w:p w14:paraId="42F9CD5E" w14:textId="77777777" w:rsidR="008700B6" w:rsidRPr="00B23F61" w:rsidRDefault="008700B6" w:rsidP="008700B6">
            <w:pPr>
              <w:spacing w:after="140"/>
              <w:textboxTightWrap w:val="lastLineOnly"/>
              <w:rPr>
                <w:rFonts w:ascii="Arial" w:hAnsi="Arial" w:cs="Arial"/>
                <w:b/>
                <w:sz w:val="24"/>
                <w:szCs w:val="24"/>
              </w:rPr>
            </w:pPr>
          </w:p>
        </w:tc>
        <w:tc>
          <w:tcPr>
            <w:tcW w:w="4927" w:type="dxa"/>
            <w:tcBorders>
              <w:bottom w:val="single" w:sz="4" w:space="0" w:color="003360"/>
            </w:tcBorders>
          </w:tcPr>
          <w:p w14:paraId="453F7318" w14:textId="77777777" w:rsidR="008700B6" w:rsidRPr="00B23F61" w:rsidRDefault="008700B6" w:rsidP="008700B6">
            <w:pPr>
              <w:spacing w:before="240" w:after="140"/>
              <w:textboxTightWrap w:val="lastLineOnly"/>
              <w:rPr>
                <w:rFonts w:ascii="Arial" w:hAnsi="Arial" w:cs="Arial"/>
                <w:sz w:val="24"/>
                <w:szCs w:val="24"/>
              </w:rPr>
            </w:pPr>
          </w:p>
          <w:p w14:paraId="2E2F26E7" w14:textId="7A4AF310" w:rsidR="008700B6" w:rsidRPr="00B23F61" w:rsidRDefault="008700B6" w:rsidP="008700B6">
            <w:pPr>
              <w:spacing w:before="240" w:after="140"/>
              <w:textboxTightWrap w:val="allLines"/>
              <w:rPr>
                <w:rFonts w:ascii="Arial" w:hAnsi="Arial" w:cs="Arial"/>
                <w:b/>
                <w:sz w:val="24"/>
                <w:szCs w:val="24"/>
              </w:rPr>
            </w:pPr>
            <w:r w:rsidRPr="00B23F61">
              <w:rPr>
                <w:rFonts w:ascii="Arial" w:hAnsi="Arial" w:cs="Arial"/>
                <w:b/>
                <w:sz w:val="24"/>
                <w:szCs w:val="24"/>
              </w:rPr>
              <w:t>Possible selection bias</w:t>
            </w:r>
          </w:p>
          <w:p w14:paraId="61F434D2" w14:textId="6A250A2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To discover whether the 15% (12% for 120 day outcome) of records eligible for inclusion in the indicator values were representative of the total number of patients in the NHFD, an analysis has been carried out on 2012 NHFD data to look at the distribution of total patients by age and gender and compare them to the distribution of patients with a valid mobility score at point of admission as well as the 30/120 day point.</w:t>
            </w:r>
          </w:p>
          <w:p w14:paraId="709B5260" w14:textId="77777777" w:rsidR="008700B6" w:rsidRPr="00B23F61" w:rsidRDefault="008700B6" w:rsidP="008700B6">
            <w:pPr>
              <w:spacing w:before="240" w:after="140"/>
              <w:textboxTightWrap w:val="lastLineOnly"/>
              <w:rPr>
                <w:rFonts w:ascii="Arial" w:hAnsi="Arial" w:cs="Arial"/>
                <w:sz w:val="24"/>
                <w:szCs w:val="24"/>
              </w:rPr>
            </w:pPr>
            <w:r w:rsidRPr="00B23F61">
              <w:rPr>
                <w:rFonts w:ascii="Arial" w:hAnsi="Arial" w:cs="Arial"/>
                <w:sz w:val="24"/>
                <w:szCs w:val="24"/>
              </w:rPr>
              <w:t>The table and chart below show the results:</w:t>
            </w:r>
          </w:p>
          <w:p w14:paraId="04486DC9" w14:textId="77777777" w:rsidR="008700B6" w:rsidRPr="00B23F61" w:rsidRDefault="008700B6" w:rsidP="008700B6">
            <w:pPr>
              <w:spacing w:before="240" w:after="140"/>
              <w:textboxTightWrap w:val="lastLineOnly"/>
              <w:rPr>
                <w:rFonts w:ascii="Arial" w:hAnsi="Arial" w:cs="Arial"/>
                <w:sz w:val="24"/>
                <w:szCs w:val="24"/>
              </w:rPr>
            </w:pPr>
          </w:p>
        </w:tc>
      </w:tr>
    </w:tbl>
    <w:p w14:paraId="4642CF57" w14:textId="0C192822" w:rsidR="00336B13" w:rsidRPr="00B23F61" w:rsidRDefault="00336B13" w:rsidP="006F558B">
      <w:pPr>
        <w:spacing w:after="140" w:line="240" w:lineRule="auto"/>
        <w:textboxTightWrap w:val="lastLineOnly"/>
        <w:rPr>
          <w:rFonts w:ascii="Arial" w:eastAsia="Times New Roman" w:hAnsi="Arial" w:cs="Arial"/>
          <w:sz w:val="24"/>
          <w:szCs w:val="24"/>
        </w:rPr>
      </w:pPr>
    </w:p>
    <w:p w14:paraId="3C254691" w14:textId="07044981" w:rsidR="00336B13" w:rsidRPr="00B23F61" w:rsidRDefault="008700B6" w:rsidP="006F558B">
      <w:pPr>
        <w:spacing w:after="140" w:line="240" w:lineRule="auto"/>
        <w:textboxTightWrap w:val="lastLineOnly"/>
        <w:rPr>
          <w:rFonts w:ascii="Arial" w:eastAsia="Times New Roman" w:hAnsi="Arial" w:cs="Arial"/>
          <w:sz w:val="24"/>
          <w:szCs w:val="24"/>
        </w:rPr>
      </w:pPr>
      <w:r w:rsidRPr="00B23F61">
        <w:rPr>
          <w:rFonts w:ascii="Arial" w:hAnsi="Arial" w:cs="Arial"/>
          <w:noProof/>
          <w:sz w:val="24"/>
          <w:szCs w:val="24"/>
          <w:lang w:eastAsia="en-GB"/>
        </w:rPr>
        <w:drawing>
          <wp:inline distT="0" distB="0" distL="0" distR="0" wp14:anchorId="5C597DF5" wp14:editId="340B6418">
            <wp:extent cx="4781550" cy="2406911"/>
            <wp:effectExtent l="0" t="0" r="0" b="0"/>
            <wp:docPr id="1" name="Picture 1" descr="This table shows the results by gender, age and % of patients by da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6825" cy="2409566"/>
                    </a:xfrm>
                    <a:prstGeom prst="rect">
                      <a:avLst/>
                    </a:prstGeom>
                    <a:noFill/>
                    <a:ln>
                      <a:noFill/>
                    </a:ln>
                  </pic:spPr>
                </pic:pic>
              </a:graphicData>
            </a:graphic>
          </wp:inline>
        </w:drawing>
      </w:r>
    </w:p>
    <w:p w14:paraId="4A849B80" w14:textId="5C4E5BD5" w:rsidR="008700B6" w:rsidRPr="00B23F61" w:rsidRDefault="008700B6" w:rsidP="006F558B">
      <w:pPr>
        <w:spacing w:after="140" w:line="240" w:lineRule="auto"/>
        <w:textboxTightWrap w:val="lastLineOnly"/>
        <w:rPr>
          <w:rFonts w:ascii="Arial" w:eastAsia="Times New Roman" w:hAnsi="Arial" w:cs="Arial"/>
          <w:sz w:val="24"/>
          <w:szCs w:val="24"/>
        </w:rPr>
      </w:pPr>
    </w:p>
    <w:p w14:paraId="4525EE85" w14:textId="5B3C2C9F" w:rsidR="008700B6" w:rsidRPr="00B23F61" w:rsidRDefault="008700B6" w:rsidP="006F558B">
      <w:pPr>
        <w:spacing w:after="140" w:line="240" w:lineRule="auto"/>
        <w:textboxTightWrap w:val="lastLineOnly"/>
        <w:rPr>
          <w:rFonts w:ascii="Arial" w:eastAsia="Times New Roman" w:hAnsi="Arial" w:cs="Arial"/>
          <w:sz w:val="24"/>
          <w:szCs w:val="24"/>
        </w:rPr>
      </w:pPr>
    </w:p>
    <w:p w14:paraId="2E88B477" w14:textId="4D8017DD" w:rsidR="008700B6" w:rsidRPr="00B23F61" w:rsidRDefault="008700B6" w:rsidP="006F558B">
      <w:pPr>
        <w:spacing w:after="140" w:line="240" w:lineRule="auto"/>
        <w:textboxTightWrap w:val="lastLineOnly"/>
        <w:rPr>
          <w:rFonts w:ascii="Arial" w:eastAsia="Times New Roman" w:hAnsi="Arial" w:cs="Arial"/>
          <w:sz w:val="24"/>
          <w:szCs w:val="24"/>
        </w:rPr>
      </w:pPr>
    </w:p>
    <w:p w14:paraId="462062EF" w14:textId="19FEFCEC" w:rsidR="008700B6" w:rsidRPr="00B23F61" w:rsidRDefault="008700B6" w:rsidP="006F558B">
      <w:pPr>
        <w:spacing w:after="140" w:line="240" w:lineRule="auto"/>
        <w:textboxTightWrap w:val="lastLineOnly"/>
        <w:rPr>
          <w:rFonts w:ascii="Arial" w:eastAsia="Times New Roman" w:hAnsi="Arial" w:cs="Arial"/>
          <w:sz w:val="24"/>
          <w:szCs w:val="24"/>
        </w:rPr>
      </w:pPr>
      <w:r w:rsidRPr="00B23F61">
        <w:rPr>
          <w:rFonts w:ascii="Arial" w:hAnsi="Arial" w:cs="Arial"/>
          <w:noProof/>
          <w:sz w:val="24"/>
          <w:szCs w:val="24"/>
          <w:lang w:eastAsia="en-GB"/>
        </w:rPr>
        <w:drawing>
          <wp:inline distT="0" distB="0" distL="0" distR="0" wp14:anchorId="4CBB8EAE" wp14:editId="14BF7F52">
            <wp:extent cx="3716976" cy="2471723"/>
            <wp:effectExtent l="0" t="0" r="0" b="5080"/>
            <wp:docPr id="2" name="Picture 2" descr="This graph shows the age, gender and valid scores by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161" cy="2476501"/>
                    </a:xfrm>
                    <a:prstGeom prst="rect">
                      <a:avLst/>
                    </a:prstGeom>
                    <a:noFill/>
                    <a:ln>
                      <a:noFill/>
                    </a:ln>
                  </pic:spPr>
                </pic:pic>
              </a:graphicData>
            </a:graphic>
          </wp:inline>
        </w:drawing>
      </w:r>
    </w:p>
    <w:p w14:paraId="6639AA52" w14:textId="1D519B5C" w:rsidR="008700B6" w:rsidRPr="00B23F61" w:rsidRDefault="008700B6" w:rsidP="006F558B">
      <w:pPr>
        <w:spacing w:after="140" w:line="240" w:lineRule="auto"/>
        <w:textboxTightWrap w:val="lastLineOnly"/>
        <w:rPr>
          <w:rFonts w:ascii="Arial" w:eastAsia="Times New Roman" w:hAnsi="Arial" w:cs="Arial"/>
          <w:sz w:val="24"/>
          <w:szCs w:val="24"/>
        </w:rPr>
      </w:pPr>
    </w:p>
    <w:p w14:paraId="0A9C524A" w14:textId="77777777" w:rsidR="008700B6" w:rsidRPr="008700B6" w:rsidRDefault="008700B6" w:rsidP="008700B6">
      <w:pPr>
        <w:spacing w:after="140" w:line="240" w:lineRule="auto"/>
        <w:textboxTightWrap w:val="lastLineOnly"/>
        <w:rPr>
          <w:rFonts w:ascii="Arial" w:eastAsia="Times New Roman" w:hAnsi="Arial" w:cs="Arial"/>
          <w:sz w:val="24"/>
          <w:szCs w:val="24"/>
        </w:rPr>
      </w:pPr>
      <w:r w:rsidRPr="008700B6">
        <w:rPr>
          <w:rFonts w:ascii="Arial" w:eastAsia="Times New Roman" w:hAnsi="Arial" w:cs="Arial"/>
          <w:sz w:val="24"/>
          <w:szCs w:val="24"/>
        </w:rPr>
        <w:t>The distribution of patients is similar for each of the male age groups. The proportion of females who are 90+ is higher overall than the number of eligible patients for the 2 indicator values (18% compared to 10% respectively).</w:t>
      </w:r>
    </w:p>
    <w:p w14:paraId="2A0DA8F7" w14:textId="77777777" w:rsidR="008700B6" w:rsidRPr="008700B6" w:rsidRDefault="008700B6" w:rsidP="008700B6">
      <w:pPr>
        <w:spacing w:after="140" w:line="240" w:lineRule="auto"/>
        <w:textboxTightWrap w:val="lastLineOnly"/>
        <w:rPr>
          <w:rFonts w:ascii="Arial" w:eastAsia="Times New Roman" w:hAnsi="Arial" w:cs="Arial"/>
          <w:sz w:val="24"/>
          <w:szCs w:val="24"/>
        </w:rPr>
      </w:pPr>
      <w:r w:rsidRPr="008700B6">
        <w:rPr>
          <w:rFonts w:ascii="Arial" w:eastAsia="Times New Roman" w:hAnsi="Arial" w:cs="Arial"/>
          <w:sz w:val="24"/>
          <w:szCs w:val="24"/>
        </w:rPr>
        <w:t>This can be highlighted in the indicator quality statement.</w:t>
      </w:r>
    </w:p>
    <w:p w14:paraId="5EC1E49F" w14:textId="22EA5357" w:rsidR="008700B6" w:rsidRPr="00B23F61" w:rsidRDefault="008700B6" w:rsidP="006F558B">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t>Small numbers when broken down by CCG</w:t>
      </w:r>
    </w:p>
    <w:p w14:paraId="7708967E" w14:textId="77777777" w:rsidR="008700B6" w:rsidRPr="00B23F61" w:rsidRDefault="008700B6" w:rsidP="008700B6">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t>After all filters have been applied to the original hip fracture data only 8,700 records or 15% of the total number of patient records (6,700 records for the 120 day analysis – 12% of total records)  are included from which to calculate the overall indicator values from.</w:t>
      </w:r>
    </w:p>
    <w:p w14:paraId="1F826154" w14:textId="77777777" w:rsidR="008700B6" w:rsidRPr="00B23F61" w:rsidRDefault="008700B6" w:rsidP="008700B6">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t>When this is additionally broken down by CCG there is an issue with small numbers. As the calculation of the indicator does not involve a standardisation method this won’t be an issue for this.</w:t>
      </w:r>
    </w:p>
    <w:p w14:paraId="67DC893D" w14:textId="77777777" w:rsidR="008700B6" w:rsidRPr="00B23F61" w:rsidRDefault="008700B6" w:rsidP="008700B6">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lastRenderedPageBreak/>
        <w:t>However, if we would apply the appropriate disclosure controls (where the numerator is &lt;5) a large number of indicator values for CCGs would have to be disclosed.</w:t>
      </w:r>
    </w:p>
    <w:p w14:paraId="1289CC12" w14:textId="77777777" w:rsidR="008700B6" w:rsidRPr="00B23F61" w:rsidRDefault="008700B6" w:rsidP="008700B6">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t>Please see table 2 below for further information.</w:t>
      </w:r>
    </w:p>
    <w:p w14:paraId="128C086D" w14:textId="746F1BAE" w:rsidR="008700B6" w:rsidRPr="00B23F61" w:rsidRDefault="008700B6" w:rsidP="008700B6">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t>Table 2</w:t>
      </w:r>
    </w:p>
    <w:p w14:paraId="6585E5EF" w14:textId="5CD2E840" w:rsidR="008700B6" w:rsidRPr="00B23F61" w:rsidRDefault="008700B6" w:rsidP="008700B6">
      <w:pPr>
        <w:spacing w:after="140" w:line="240" w:lineRule="auto"/>
        <w:textboxTightWrap w:val="lastLineOnly"/>
        <w:rPr>
          <w:rFonts w:ascii="Arial" w:eastAsia="Times New Roman" w:hAnsi="Arial" w:cs="Arial"/>
          <w:sz w:val="24"/>
          <w:szCs w:val="24"/>
        </w:rPr>
      </w:pPr>
    </w:p>
    <w:p w14:paraId="2224C4B4" w14:textId="2DEBE870" w:rsidR="008700B6" w:rsidRPr="00B23F61" w:rsidRDefault="008700B6" w:rsidP="008700B6">
      <w:pPr>
        <w:spacing w:after="140" w:line="240" w:lineRule="auto"/>
        <w:textboxTightWrap w:val="lastLineOnly"/>
        <w:rPr>
          <w:rFonts w:ascii="Arial" w:eastAsia="Times New Roman" w:hAnsi="Arial" w:cs="Arial"/>
          <w:sz w:val="24"/>
          <w:szCs w:val="24"/>
        </w:rPr>
      </w:pPr>
      <w:r w:rsidRPr="00B23F61">
        <w:rPr>
          <w:rFonts w:ascii="Arial" w:hAnsi="Arial" w:cs="Arial"/>
          <w:noProof/>
          <w:sz w:val="24"/>
          <w:szCs w:val="24"/>
          <w:lang w:eastAsia="en-GB"/>
        </w:rPr>
        <w:drawing>
          <wp:inline distT="0" distB="0" distL="0" distR="0" wp14:anchorId="4C22EE39" wp14:editId="7C0E2365">
            <wp:extent cx="4286992" cy="1537897"/>
            <wp:effectExtent l="0" t="0" r="0" b="5715"/>
            <wp:docPr id="3" name="Picture 3" descr="This table shows the number of CCGs by da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6099" cy="1541164"/>
                    </a:xfrm>
                    <a:prstGeom prst="rect">
                      <a:avLst/>
                    </a:prstGeom>
                    <a:noFill/>
                    <a:ln>
                      <a:noFill/>
                    </a:ln>
                  </pic:spPr>
                </pic:pic>
              </a:graphicData>
            </a:graphic>
          </wp:inline>
        </w:drawing>
      </w:r>
    </w:p>
    <w:p w14:paraId="5EB4FC1C" w14:textId="77777777" w:rsidR="008700B6" w:rsidRPr="008700B6" w:rsidRDefault="008700B6" w:rsidP="008700B6">
      <w:pPr>
        <w:spacing w:after="140" w:line="240" w:lineRule="auto"/>
        <w:textboxTightWrap w:val="lastLineOnly"/>
        <w:rPr>
          <w:rFonts w:ascii="Arial" w:eastAsia="Times New Roman" w:hAnsi="Arial" w:cs="Arial"/>
          <w:sz w:val="24"/>
          <w:szCs w:val="24"/>
        </w:rPr>
      </w:pPr>
      <w:r w:rsidRPr="008700B6">
        <w:rPr>
          <w:rFonts w:ascii="Arial" w:eastAsia="Times New Roman" w:hAnsi="Arial" w:cs="Arial"/>
          <w:sz w:val="24"/>
          <w:szCs w:val="24"/>
        </w:rPr>
        <w:t>The distribution of patients is similar for each of the male age groups. The proportion of females who are 90+ is higher overall than the number of eligible patients for the 2 indicator values (18% compared to 10% respectively).</w:t>
      </w:r>
    </w:p>
    <w:p w14:paraId="60389B28" w14:textId="77777777" w:rsidR="008700B6" w:rsidRPr="008700B6" w:rsidRDefault="008700B6" w:rsidP="008700B6">
      <w:pPr>
        <w:spacing w:after="140" w:line="240" w:lineRule="auto"/>
        <w:textboxTightWrap w:val="lastLineOnly"/>
        <w:rPr>
          <w:rFonts w:ascii="Arial" w:eastAsia="Times New Roman" w:hAnsi="Arial" w:cs="Arial"/>
          <w:sz w:val="24"/>
          <w:szCs w:val="24"/>
        </w:rPr>
      </w:pPr>
      <w:r w:rsidRPr="008700B6">
        <w:rPr>
          <w:rFonts w:ascii="Arial" w:eastAsia="Times New Roman" w:hAnsi="Arial" w:cs="Arial"/>
          <w:sz w:val="24"/>
          <w:szCs w:val="24"/>
        </w:rPr>
        <w:t>This can be highlighted in the indicator quality statement.</w:t>
      </w:r>
    </w:p>
    <w:p w14:paraId="4E40EE59" w14:textId="2C8D9569" w:rsidR="008700B6" w:rsidRPr="00B23F61" w:rsidRDefault="002D21C3" w:rsidP="008700B6">
      <w:pPr>
        <w:spacing w:after="140" w:line="240" w:lineRule="auto"/>
        <w:textboxTightWrap w:val="lastLineOnly"/>
        <w:rPr>
          <w:rFonts w:ascii="Arial" w:eastAsia="Times New Roman" w:hAnsi="Arial" w:cs="Arial"/>
          <w:b/>
          <w:bCs/>
          <w:sz w:val="24"/>
          <w:szCs w:val="24"/>
        </w:rPr>
      </w:pPr>
      <w:r w:rsidRPr="00B23F61">
        <w:rPr>
          <w:rFonts w:ascii="Arial" w:eastAsia="Times New Roman" w:hAnsi="Arial" w:cs="Arial"/>
          <w:b/>
          <w:bCs/>
          <w:sz w:val="24"/>
          <w:szCs w:val="24"/>
        </w:rPr>
        <w:t>Small numbers when broken down by CCG</w:t>
      </w:r>
    </w:p>
    <w:p w14:paraId="0878C81A" w14:textId="77777777" w:rsidR="002D21C3" w:rsidRPr="002D21C3" w:rsidRDefault="002D21C3" w:rsidP="002D21C3">
      <w:pPr>
        <w:spacing w:after="140" w:line="240" w:lineRule="auto"/>
        <w:textboxTightWrap w:val="lastLineOnly"/>
        <w:rPr>
          <w:rFonts w:ascii="Arial" w:eastAsia="Times New Roman" w:hAnsi="Arial" w:cs="Arial"/>
          <w:sz w:val="24"/>
          <w:szCs w:val="24"/>
        </w:rPr>
      </w:pPr>
      <w:r w:rsidRPr="002D21C3">
        <w:rPr>
          <w:rFonts w:ascii="Arial" w:eastAsia="Times New Roman" w:hAnsi="Arial" w:cs="Arial"/>
          <w:sz w:val="24"/>
          <w:szCs w:val="24"/>
        </w:rPr>
        <w:t>After all filters have been applied to the original hip fracture data only 8,700 records or 15% of the total number of patient records (6,700 records for the 120 day analysis – 12% of total records)  are included from which to calculate the overall indicator values from.</w:t>
      </w:r>
    </w:p>
    <w:p w14:paraId="1CA135AF" w14:textId="77777777" w:rsidR="002D21C3" w:rsidRPr="002D21C3" w:rsidRDefault="002D21C3" w:rsidP="002D21C3">
      <w:pPr>
        <w:spacing w:after="140" w:line="240" w:lineRule="auto"/>
        <w:textboxTightWrap w:val="lastLineOnly"/>
        <w:rPr>
          <w:rFonts w:ascii="Arial" w:eastAsia="Times New Roman" w:hAnsi="Arial" w:cs="Arial"/>
          <w:sz w:val="24"/>
          <w:szCs w:val="24"/>
        </w:rPr>
      </w:pPr>
      <w:r w:rsidRPr="002D21C3">
        <w:rPr>
          <w:rFonts w:ascii="Arial" w:eastAsia="Times New Roman" w:hAnsi="Arial" w:cs="Arial"/>
          <w:sz w:val="24"/>
          <w:szCs w:val="24"/>
        </w:rPr>
        <w:t>When this is additionally broken down by CCG there is an issue with small numbers. As the calculation of the indicator does not involve a standardisation method this won’t be an issue for this.</w:t>
      </w:r>
    </w:p>
    <w:p w14:paraId="6F9542CD" w14:textId="77777777" w:rsidR="002D21C3" w:rsidRPr="002D21C3" w:rsidRDefault="002D21C3" w:rsidP="002D21C3">
      <w:pPr>
        <w:spacing w:after="140" w:line="240" w:lineRule="auto"/>
        <w:textboxTightWrap w:val="lastLineOnly"/>
        <w:rPr>
          <w:rFonts w:ascii="Arial" w:eastAsia="Times New Roman" w:hAnsi="Arial" w:cs="Arial"/>
          <w:sz w:val="24"/>
          <w:szCs w:val="24"/>
        </w:rPr>
      </w:pPr>
      <w:r w:rsidRPr="002D21C3">
        <w:rPr>
          <w:rFonts w:ascii="Arial" w:eastAsia="Times New Roman" w:hAnsi="Arial" w:cs="Arial"/>
          <w:sz w:val="24"/>
          <w:szCs w:val="24"/>
        </w:rPr>
        <w:t>However, if we would apply the appropriate disclosure controls (where the numerator is &lt;5) a large number of indicator values for CCGs would have to be disclosed.</w:t>
      </w:r>
    </w:p>
    <w:p w14:paraId="4C30B692" w14:textId="77777777" w:rsidR="002D21C3" w:rsidRPr="002D21C3" w:rsidRDefault="002D21C3" w:rsidP="002D21C3">
      <w:pPr>
        <w:spacing w:after="140" w:line="240" w:lineRule="auto"/>
        <w:textboxTightWrap w:val="lastLineOnly"/>
        <w:rPr>
          <w:rFonts w:ascii="Arial" w:eastAsia="Times New Roman" w:hAnsi="Arial" w:cs="Arial"/>
          <w:sz w:val="24"/>
          <w:szCs w:val="24"/>
        </w:rPr>
      </w:pPr>
      <w:r w:rsidRPr="002D21C3">
        <w:rPr>
          <w:rFonts w:ascii="Arial" w:eastAsia="Times New Roman" w:hAnsi="Arial" w:cs="Arial"/>
          <w:sz w:val="24"/>
          <w:szCs w:val="24"/>
        </w:rPr>
        <w:t>Please see table 2 below for further information.</w:t>
      </w:r>
    </w:p>
    <w:p w14:paraId="03D8E1E0" w14:textId="77777777" w:rsidR="002D21C3" w:rsidRPr="002D21C3" w:rsidRDefault="002D21C3" w:rsidP="002D21C3">
      <w:pPr>
        <w:spacing w:after="140" w:line="240" w:lineRule="auto"/>
        <w:textboxTightWrap w:val="lastLineOnly"/>
        <w:rPr>
          <w:rFonts w:ascii="Arial" w:eastAsia="Times New Roman" w:hAnsi="Arial" w:cs="Arial"/>
          <w:b/>
          <w:sz w:val="24"/>
          <w:szCs w:val="24"/>
        </w:rPr>
      </w:pPr>
      <w:r w:rsidRPr="002D21C3">
        <w:rPr>
          <w:rFonts w:ascii="Arial" w:eastAsia="Times New Roman" w:hAnsi="Arial" w:cs="Arial"/>
          <w:b/>
          <w:sz w:val="24"/>
          <w:szCs w:val="24"/>
        </w:rPr>
        <w:t>Table 2</w:t>
      </w:r>
    </w:p>
    <w:p w14:paraId="00C2E788" w14:textId="12AAECF2" w:rsidR="002D21C3" w:rsidRPr="00B23F61" w:rsidRDefault="002D21C3" w:rsidP="008700B6">
      <w:pPr>
        <w:spacing w:after="140" w:line="240" w:lineRule="auto"/>
        <w:textboxTightWrap w:val="lastLineOnly"/>
        <w:rPr>
          <w:rFonts w:ascii="Arial" w:eastAsia="Times New Roman" w:hAnsi="Arial" w:cs="Arial"/>
          <w:sz w:val="24"/>
          <w:szCs w:val="24"/>
        </w:rPr>
      </w:pPr>
      <w:r w:rsidRPr="00B23F61">
        <w:rPr>
          <w:rFonts w:ascii="Arial" w:hAnsi="Arial" w:cs="Arial"/>
          <w:noProof/>
          <w:sz w:val="24"/>
          <w:szCs w:val="24"/>
          <w:lang w:eastAsia="en-GB"/>
        </w:rPr>
        <w:drawing>
          <wp:inline distT="0" distB="0" distL="0" distR="0" wp14:anchorId="4250BD48" wp14:editId="1A239C8D">
            <wp:extent cx="4286992" cy="1537897"/>
            <wp:effectExtent l="0" t="0" r="0" b="5715"/>
            <wp:docPr id="18" name="Picture 18" descr="This table shows the number of CCGs by da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6099" cy="1541164"/>
                    </a:xfrm>
                    <a:prstGeom prst="rect">
                      <a:avLst/>
                    </a:prstGeom>
                    <a:noFill/>
                    <a:ln>
                      <a:noFill/>
                    </a:ln>
                  </pic:spPr>
                </pic:pic>
              </a:graphicData>
            </a:graphic>
          </wp:inline>
        </w:drawing>
      </w:r>
    </w:p>
    <w:p w14:paraId="781A9AD6" w14:textId="77777777" w:rsidR="002D21C3" w:rsidRPr="002D21C3" w:rsidRDefault="002D21C3" w:rsidP="002D21C3">
      <w:pPr>
        <w:spacing w:after="140" w:line="240" w:lineRule="auto"/>
        <w:textboxTightWrap w:val="lastLineOnly"/>
        <w:rPr>
          <w:rFonts w:ascii="Arial" w:eastAsia="Times New Roman" w:hAnsi="Arial" w:cs="Arial"/>
          <w:sz w:val="24"/>
          <w:szCs w:val="24"/>
        </w:rPr>
      </w:pPr>
      <w:r w:rsidRPr="002D21C3">
        <w:rPr>
          <w:rFonts w:ascii="Arial" w:eastAsia="Times New Roman" w:hAnsi="Arial" w:cs="Arial"/>
          <w:sz w:val="24"/>
          <w:szCs w:val="24"/>
        </w:rPr>
        <w:t>The table shows that 24% and 15% of CCGs for the 30-day and 120-day indicator respectively have no data.  For another 30% (35% for the 120-day indicator) values would have to be suppressed.</w:t>
      </w:r>
    </w:p>
    <w:p w14:paraId="2442868F" w14:textId="7121E989" w:rsidR="008700B6" w:rsidRPr="00B23F61" w:rsidRDefault="002D21C3" w:rsidP="002D21C3">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t>Therefore only around 50% of CCGs where the numerator is 5 or greater would have an indicator value published for 2012.</w:t>
      </w:r>
    </w:p>
    <w:p w14:paraId="3D092DCC" w14:textId="7A705EA4" w:rsidR="002D21C3" w:rsidRPr="00B23F61" w:rsidRDefault="002D21C3" w:rsidP="002D21C3">
      <w:pPr>
        <w:spacing w:after="140" w:line="240" w:lineRule="auto"/>
        <w:textboxTightWrap w:val="lastLineOnly"/>
        <w:rPr>
          <w:rFonts w:ascii="Arial" w:eastAsia="Times New Roman" w:hAnsi="Arial" w:cs="Arial"/>
          <w:b/>
          <w:sz w:val="24"/>
          <w:szCs w:val="24"/>
        </w:rPr>
      </w:pPr>
      <w:r w:rsidRPr="00B23F61">
        <w:rPr>
          <w:rFonts w:ascii="Arial" w:eastAsia="Times New Roman" w:hAnsi="Arial" w:cs="Arial"/>
          <w:b/>
          <w:sz w:val="24"/>
          <w:szCs w:val="24"/>
        </w:rPr>
        <w:lastRenderedPageBreak/>
        <w:t>Improvement actions</w:t>
      </w:r>
    </w:p>
    <w:p w14:paraId="610E9E1F" w14:textId="77777777" w:rsidR="002D21C3" w:rsidRPr="002D21C3" w:rsidRDefault="002D21C3" w:rsidP="002D21C3">
      <w:pPr>
        <w:spacing w:after="140" w:line="240" w:lineRule="auto"/>
        <w:textboxTightWrap w:val="lastLineOnly"/>
        <w:rPr>
          <w:rFonts w:ascii="Arial" w:eastAsia="Times New Roman" w:hAnsi="Arial" w:cs="Arial"/>
          <w:bCs/>
          <w:sz w:val="24"/>
          <w:szCs w:val="24"/>
        </w:rPr>
      </w:pPr>
      <w:r w:rsidRPr="002D21C3">
        <w:rPr>
          <w:rFonts w:ascii="Arial" w:eastAsia="Times New Roman" w:hAnsi="Arial" w:cs="Arial"/>
          <w:bCs/>
          <w:sz w:val="24"/>
          <w:szCs w:val="24"/>
        </w:rPr>
        <w:t>The indicators measure the proportion of patients who recover effective mobility following a hospital admission for a hip fracture. In order to be considered as recovering to previous levels of mobility in, a patient must have a mobility score at 30 or 120 days, no more than 1 category lower than their mobility score prior to the fracture. Clinically this is considered to be a good outcome.</w:t>
      </w:r>
    </w:p>
    <w:p w14:paraId="43EBB715" w14:textId="0E80BF8C" w:rsidR="002D21C3" w:rsidRPr="00B23F61" w:rsidRDefault="002D21C3" w:rsidP="002D21C3">
      <w:pPr>
        <w:spacing w:after="140" w:line="240" w:lineRule="auto"/>
        <w:textboxTightWrap w:val="lastLineOnly"/>
        <w:rPr>
          <w:rFonts w:ascii="Arial" w:eastAsia="Times New Roman" w:hAnsi="Arial" w:cs="Arial"/>
          <w:bCs/>
          <w:sz w:val="24"/>
          <w:szCs w:val="24"/>
        </w:rPr>
      </w:pPr>
      <w:r w:rsidRPr="00B23F61">
        <w:rPr>
          <w:rFonts w:ascii="Arial" w:eastAsia="Times New Roman" w:hAnsi="Arial" w:cs="Arial"/>
          <w:bCs/>
          <w:sz w:val="24"/>
          <w:szCs w:val="24"/>
        </w:rPr>
        <w:t>It is expected that Clinical Commissioning Groups will use this to identify how improvements in care can be made.</w:t>
      </w:r>
    </w:p>
    <w:p w14:paraId="7C410CC3" w14:textId="2A3D4838" w:rsidR="002D21C3" w:rsidRPr="00B23F61" w:rsidRDefault="002D21C3" w:rsidP="002D21C3">
      <w:pPr>
        <w:spacing w:after="140" w:line="240" w:lineRule="auto"/>
        <w:textboxTightWrap w:val="lastLineOnly"/>
        <w:rPr>
          <w:rFonts w:ascii="Arial" w:eastAsia="Times New Roman" w:hAnsi="Arial" w:cs="Arial"/>
          <w:b/>
          <w:bCs/>
          <w:sz w:val="24"/>
          <w:szCs w:val="24"/>
        </w:rPr>
      </w:pPr>
      <w:r w:rsidRPr="00B23F61">
        <w:rPr>
          <w:rFonts w:ascii="Arial" w:eastAsia="Times New Roman" w:hAnsi="Arial" w:cs="Arial"/>
          <w:b/>
          <w:bCs/>
          <w:sz w:val="24"/>
          <w:szCs w:val="24"/>
        </w:rPr>
        <w:t>Evidence of variability</w:t>
      </w:r>
    </w:p>
    <w:p w14:paraId="0C08527B" w14:textId="73C45B9D" w:rsidR="002D21C3" w:rsidRPr="00B23F61" w:rsidRDefault="002D21C3" w:rsidP="002D21C3">
      <w:pPr>
        <w:spacing w:after="140" w:line="240" w:lineRule="auto"/>
        <w:textboxTightWrap w:val="lastLineOnly"/>
        <w:rPr>
          <w:rFonts w:ascii="Arial" w:eastAsia="Times New Roman" w:hAnsi="Arial" w:cs="Arial"/>
          <w:bCs/>
          <w:sz w:val="24"/>
          <w:szCs w:val="24"/>
        </w:rPr>
      </w:pPr>
      <w:r w:rsidRPr="00B23F61">
        <w:rPr>
          <w:rFonts w:ascii="Arial" w:hAnsi="Arial" w:cs="Arial"/>
          <w:noProof/>
          <w:sz w:val="24"/>
          <w:szCs w:val="24"/>
          <w:lang w:eastAsia="en-GB"/>
        </w:rPr>
        <w:drawing>
          <wp:inline distT="0" distB="0" distL="0" distR="0" wp14:anchorId="4EFB8DFF" wp14:editId="26536BA4">
            <wp:extent cx="4061361" cy="3336966"/>
            <wp:effectExtent l="0" t="0" r="15875" b="15875"/>
            <wp:docPr id="26" name="Chart 26" descr="This graph shows evidence of variabil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1A6C24" w14:textId="7DACAF6A" w:rsidR="002D21C3" w:rsidRPr="00B23F61" w:rsidRDefault="002D21C3" w:rsidP="002D21C3">
      <w:pPr>
        <w:spacing w:after="140" w:line="240" w:lineRule="auto"/>
        <w:textboxTightWrap w:val="lastLineOnly"/>
        <w:rPr>
          <w:rFonts w:ascii="Arial" w:eastAsia="Times New Roman" w:hAnsi="Arial" w:cs="Arial"/>
          <w:bCs/>
          <w:sz w:val="24"/>
          <w:szCs w:val="24"/>
        </w:rPr>
      </w:pPr>
      <w:r w:rsidRPr="00B23F61">
        <w:rPr>
          <w:rFonts w:ascii="Arial" w:eastAsia="Times New Roman" w:hAnsi="Arial" w:cs="Arial"/>
          <w:bCs/>
          <w:sz w:val="24"/>
          <w:szCs w:val="24"/>
        </w:rPr>
        <w:t>Risks</w:t>
      </w:r>
    </w:p>
    <w:p w14:paraId="25AA4953" w14:textId="10CBB0B9" w:rsidR="002D21C3" w:rsidRPr="00B23F61" w:rsidRDefault="002D21C3" w:rsidP="002D21C3">
      <w:pPr>
        <w:spacing w:after="140" w:line="240" w:lineRule="auto"/>
        <w:textboxTightWrap w:val="lastLineOnly"/>
        <w:rPr>
          <w:rFonts w:ascii="Arial" w:eastAsia="Times New Roman" w:hAnsi="Arial" w:cs="Arial"/>
          <w:bCs/>
          <w:sz w:val="24"/>
          <w:szCs w:val="24"/>
        </w:rPr>
      </w:pPr>
    </w:p>
    <w:p w14:paraId="71476C31" w14:textId="585DF2A4" w:rsidR="002D21C3" w:rsidRPr="00B23F61" w:rsidRDefault="002D21C3" w:rsidP="002D21C3">
      <w:pPr>
        <w:spacing w:after="140" w:line="240" w:lineRule="auto"/>
        <w:textboxTightWrap w:val="lastLineOnly"/>
        <w:rPr>
          <w:rFonts w:ascii="Arial" w:eastAsia="Times New Roman" w:hAnsi="Arial" w:cs="Arial"/>
          <w:b/>
          <w:sz w:val="24"/>
          <w:szCs w:val="24"/>
        </w:rPr>
      </w:pPr>
      <w:r w:rsidRPr="00B23F61">
        <w:rPr>
          <w:rFonts w:ascii="Arial" w:eastAsia="Times New Roman" w:hAnsi="Arial" w:cs="Arial"/>
          <w:b/>
          <w:sz w:val="24"/>
          <w:szCs w:val="24"/>
        </w:rPr>
        <w:t xml:space="preserve">Similar existing indicators </w:t>
      </w:r>
    </w:p>
    <w:p w14:paraId="7F20284A" w14:textId="3A92C741" w:rsidR="002D21C3" w:rsidRPr="00B23F61" w:rsidRDefault="002D21C3" w:rsidP="002D21C3">
      <w:pPr>
        <w:spacing w:after="140" w:line="240" w:lineRule="auto"/>
        <w:textboxTightWrap w:val="lastLineOnly"/>
        <w:rPr>
          <w:rFonts w:ascii="Arial" w:eastAsia="Times New Roman" w:hAnsi="Arial" w:cs="Arial"/>
          <w:bCs/>
          <w:sz w:val="24"/>
          <w:szCs w:val="24"/>
        </w:rPr>
      </w:pPr>
      <w:r w:rsidRPr="00B23F61">
        <w:rPr>
          <w:rFonts w:ascii="Arial" w:eastAsia="Times New Roman" w:hAnsi="Arial" w:cs="Arial"/>
          <w:bCs/>
          <w:sz w:val="24"/>
          <w:szCs w:val="24"/>
        </w:rPr>
        <w:t>The two indicators proposed for inclusion in the CCG OIS are already part of the NHS Outcomes Framework (3.5.i and 3.5.ii).</w:t>
      </w:r>
    </w:p>
    <w:p w14:paraId="2BF2E4ED" w14:textId="655598FC" w:rsidR="002D21C3" w:rsidRPr="00B23F61" w:rsidRDefault="002D21C3" w:rsidP="002D21C3">
      <w:pPr>
        <w:spacing w:after="140" w:line="240" w:lineRule="auto"/>
        <w:textboxTightWrap w:val="lastLineOnly"/>
        <w:rPr>
          <w:rFonts w:ascii="Arial" w:eastAsia="Times New Roman" w:hAnsi="Arial" w:cs="Arial"/>
          <w:b/>
          <w:bCs/>
          <w:sz w:val="24"/>
          <w:szCs w:val="24"/>
        </w:rPr>
      </w:pPr>
      <w:r w:rsidRPr="00B23F61">
        <w:rPr>
          <w:rFonts w:ascii="Arial" w:eastAsia="Times New Roman" w:hAnsi="Arial" w:cs="Arial"/>
          <w:b/>
          <w:bCs/>
          <w:sz w:val="24"/>
          <w:szCs w:val="24"/>
        </w:rPr>
        <w:t>Coherence and comparability</w:t>
      </w:r>
    </w:p>
    <w:p w14:paraId="1FDAE87F" w14:textId="59CEDACC" w:rsidR="002D21C3" w:rsidRPr="00B23F61" w:rsidRDefault="002D21C3" w:rsidP="002D21C3">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t>Although the calculation methodology is the same as for the already existing NHS Outcomes Framework indicators 3.5.i and 3.5.ii the inclusion in the CCG OIS means that the indicator values will be available at CCG level. The NHS Outcomes Framework indicators are currently published at national level (England) and broken down by age, gender, Deprivation quintile, lower tier local authority, region, provider (hospital) and mobility category at admission.</w:t>
      </w:r>
    </w:p>
    <w:p w14:paraId="1857A459" w14:textId="38E87314" w:rsidR="002D21C3" w:rsidRPr="00B23F61" w:rsidRDefault="002D21C3" w:rsidP="002D21C3">
      <w:pPr>
        <w:spacing w:after="140" w:line="240" w:lineRule="auto"/>
        <w:textboxTightWrap w:val="lastLineOnly"/>
        <w:rPr>
          <w:rFonts w:ascii="Arial" w:eastAsia="Times New Roman" w:hAnsi="Arial" w:cs="Arial"/>
          <w:bCs/>
          <w:sz w:val="24"/>
          <w:szCs w:val="24"/>
        </w:rPr>
      </w:pPr>
      <w:r w:rsidRPr="00B23F61">
        <w:rPr>
          <w:rFonts w:ascii="Arial" w:eastAsia="Times New Roman" w:hAnsi="Arial" w:cs="Arial"/>
          <w:b/>
          <w:bCs/>
          <w:sz w:val="24"/>
          <w:szCs w:val="24"/>
        </w:rPr>
        <w:t>Undesired behaviours and/or gaming</w:t>
      </w:r>
    </w:p>
    <w:p w14:paraId="34660EB7" w14:textId="0E2787F3" w:rsidR="002D21C3" w:rsidRPr="00B23F61" w:rsidRDefault="002D21C3" w:rsidP="002D21C3">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t xml:space="preserve">Failing to record a score at either 30 or 120 days will exclude any patients and so not record a score for a CCG, or, recording patients at either mobility category 4 or 5 to begin with will </w:t>
      </w:r>
      <w:r w:rsidRPr="00B23F61">
        <w:rPr>
          <w:rFonts w:ascii="Arial" w:eastAsia="Times New Roman" w:hAnsi="Arial" w:cs="Arial"/>
          <w:sz w:val="24"/>
          <w:szCs w:val="24"/>
        </w:rPr>
        <w:lastRenderedPageBreak/>
        <w:t>also ensure any follow up scores are not used. Either of these tactics could be used to exclude cases from negatively affecting a CCGs overall score.</w:t>
      </w:r>
    </w:p>
    <w:p w14:paraId="1D9737E4" w14:textId="70C886B4" w:rsidR="002D21C3" w:rsidRPr="00B23F61" w:rsidRDefault="002D21C3" w:rsidP="002D21C3">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b/>
          <w:sz w:val="24"/>
          <w:szCs w:val="24"/>
        </w:rPr>
        <w:t>Approach to indicator review</w:t>
      </w:r>
    </w:p>
    <w:p w14:paraId="6B277448" w14:textId="77777777" w:rsidR="002D21C3" w:rsidRPr="002D21C3" w:rsidRDefault="002D21C3" w:rsidP="002D21C3">
      <w:pPr>
        <w:spacing w:after="140" w:line="240" w:lineRule="auto"/>
        <w:textboxTightWrap w:val="lastLineOnly"/>
        <w:rPr>
          <w:rFonts w:ascii="Arial" w:eastAsia="Times New Roman" w:hAnsi="Arial" w:cs="Arial"/>
          <w:sz w:val="24"/>
          <w:szCs w:val="24"/>
        </w:rPr>
      </w:pPr>
      <w:r w:rsidRPr="002D21C3">
        <w:rPr>
          <w:rFonts w:ascii="Arial" w:eastAsia="Times New Roman" w:hAnsi="Arial" w:cs="Arial"/>
          <w:sz w:val="24"/>
          <w:szCs w:val="24"/>
        </w:rPr>
        <w:t xml:space="preserve">The time period for when the indicator is to be reviewed will be set by the indicator Governance Board (IGB). </w:t>
      </w:r>
    </w:p>
    <w:p w14:paraId="63A4E8D0" w14:textId="77777777" w:rsidR="002D21C3" w:rsidRPr="002D21C3" w:rsidRDefault="002D21C3" w:rsidP="002D21C3">
      <w:pPr>
        <w:spacing w:after="140" w:line="240" w:lineRule="auto"/>
        <w:textboxTightWrap w:val="lastLineOnly"/>
        <w:rPr>
          <w:rFonts w:ascii="Arial" w:eastAsia="Times New Roman" w:hAnsi="Arial" w:cs="Arial"/>
          <w:sz w:val="24"/>
          <w:szCs w:val="24"/>
        </w:rPr>
      </w:pPr>
      <w:r w:rsidRPr="002D21C3">
        <w:rPr>
          <w:rFonts w:ascii="Arial" w:eastAsia="Times New Roman" w:hAnsi="Arial" w:cs="Arial"/>
          <w:sz w:val="24"/>
          <w:szCs w:val="24"/>
        </w:rPr>
        <w:t>The indicator itself will be reviewed as part of NHS England’s annual CCG OIS review.</w:t>
      </w:r>
    </w:p>
    <w:p w14:paraId="5B289752" w14:textId="3F421854" w:rsidR="002D21C3" w:rsidRPr="00B23F61" w:rsidRDefault="002D21C3" w:rsidP="002D21C3">
      <w:pPr>
        <w:spacing w:after="140" w:line="240" w:lineRule="auto"/>
        <w:textboxTightWrap w:val="lastLineOnly"/>
        <w:rPr>
          <w:rFonts w:ascii="Arial" w:eastAsia="Times New Roman" w:hAnsi="Arial" w:cs="Arial"/>
          <w:sz w:val="24"/>
          <w:szCs w:val="24"/>
        </w:rPr>
      </w:pPr>
    </w:p>
    <w:p w14:paraId="65AC2BCD" w14:textId="77777777" w:rsidR="002D21C3" w:rsidRPr="00B23F61" w:rsidRDefault="002D21C3" w:rsidP="002D21C3">
      <w:pPr>
        <w:spacing w:after="140" w:line="240" w:lineRule="auto"/>
        <w:textboxTightWrap w:val="lastLineOnly"/>
        <w:rPr>
          <w:rFonts w:ascii="Arial" w:eastAsia="Times New Roman" w:hAnsi="Arial" w:cs="Arial"/>
          <w:sz w:val="24"/>
          <w:szCs w:val="24"/>
        </w:rPr>
      </w:pPr>
    </w:p>
    <w:p w14:paraId="5D3479E6" w14:textId="413541E6" w:rsidR="002D21C3" w:rsidRPr="00B23F61" w:rsidRDefault="002D21C3" w:rsidP="002D21C3">
      <w:pPr>
        <w:spacing w:after="140" w:line="240" w:lineRule="auto"/>
        <w:textboxTightWrap w:val="lastLineOnly"/>
        <w:rPr>
          <w:rFonts w:ascii="Arial" w:eastAsia="Times New Roman" w:hAnsi="Arial" w:cs="Arial"/>
          <w:b/>
          <w:sz w:val="24"/>
          <w:szCs w:val="24"/>
        </w:rPr>
      </w:pPr>
    </w:p>
    <w:p w14:paraId="332DEA20" w14:textId="77777777" w:rsidR="002D21C3" w:rsidRPr="00B23F61" w:rsidRDefault="002D21C3" w:rsidP="002D21C3">
      <w:pPr>
        <w:spacing w:after="140" w:line="240" w:lineRule="auto"/>
        <w:textboxTightWrap w:val="lastLineOnly"/>
        <w:rPr>
          <w:rFonts w:ascii="Arial" w:eastAsia="Times New Roman" w:hAnsi="Arial" w:cs="Arial"/>
          <w:sz w:val="24"/>
          <w:szCs w:val="24"/>
        </w:rPr>
      </w:pPr>
    </w:p>
    <w:p w14:paraId="1BEA9CB7" w14:textId="34AE1F34" w:rsidR="008700B6" w:rsidRPr="00B23F61" w:rsidRDefault="008700B6" w:rsidP="008700B6">
      <w:pPr>
        <w:spacing w:after="140" w:line="240" w:lineRule="auto"/>
        <w:textboxTightWrap w:val="lastLineOnly"/>
        <w:rPr>
          <w:rFonts w:ascii="Arial" w:eastAsia="Times New Roman" w:hAnsi="Arial" w:cs="Arial"/>
          <w:sz w:val="24"/>
          <w:szCs w:val="24"/>
        </w:rPr>
      </w:pPr>
    </w:p>
    <w:p w14:paraId="111AF7FD" w14:textId="52A8607A" w:rsidR="008700B6" w:rsidRPr="00B23F61" w:rsidRDefault="008700B6" w:rsidP="008700B6">
      <w:pPr>
        <w:spacing w:after="140" w:line="240" w:lineRule="auto"/>
        <w:textboxTightWrap w:val="lastLineOnly"/>
        <w:rPr>
          <w:rFonts w:ascii="Arial" w:eastAsia="Times New Roman" w:hAnsi="Arial" w:cs="Arial"/>
          <w:sz w:val="24"/>
          <w:szCs w:val="24"/>
        </w:rPr>
      </w:pPr>
    </w:p>
    <w:p w14:paraId="208A11AC" w14:textId="6BD4B5CB" w:rsidR="008700B6" w:rsidRPr="00B23F61" w:rsidRDefault="008700B6" w:rsidP="008700B6">
      <w:pPr>
        <w:spacing w:after="140" w:line="240" w:lineRule="auto"/>
        <w:textboxTightWrap w:val="lastLineOnly"/>
        <w:rPr>
          <w:rFonts w:ascii="Arial" w:eastAsia="Times New Roman" w:hAnsi="Arial" w:cs="Arial"/>
          <w:sz w:val="24"/>
          <w:szCs w:val="24"/>
        </w:rPr>
      </w:pPr>
    </w:p>
    <w:p w14:paraId="5A4F236E" w14:textId="77777777" w:rsidR="008700B6" w:rsidRPr="00B23F61" w:rsidRDefault="008700B6" w:rsidP="008700B6">
      <w:pPr>
        <w:spacing w:after="140" w:line="240" w:lineRule="auto"/>
        <w:textboxTightWrap w:val="lastLineOnly"/>
        <w:rPr>
          <w:rFonts w:ascii="Arial" w:eastAsia="Times New Roman" w:hAnsi="Arial" w:cs="Arial"/>
          <w:sz w:val="24"/>
          <w:szCs w:val="24"/>
        </w:rPr>
      </w:pPr>
    </w:p>
    <w:p w14:paraId="2D1FBF56" w14:textId="35FC0A5A" w:rsidR="008700B6" w:rsidRPr="00B23F61" w:rsidRDefault="008700B6" w:rsidP="006F558B">
      <w:pPr>
        <w:spacing w:after="140" w:line="240" w:lineRule="auto"/>
        <w:textboxTightWrap w:val="lastLineOnly"/>
        <w:rPr>
          <w:rFonts w:ascii="Arial" w:eastAsia="Times New Roman" w:hAnsi="Arial" w:cs="Arial"/>
          <w:b/>
          <w:bCs/>
          <w:sz w:val="24"/>
          <w:szCs w:val="24"/>
        </w:rPr>
      </w:pPr>
    </w:p>
    <w:p w14:paraId="2125FCCF" w14:textId="49604A12" w:rsidR="008700B6" w:rsidRPr="00B23F61" w:rsidRDefault="008700B6" w:rsidP="006F558B">
      <w:pPr>
        <w:spacing w:after="140" w:line="240" w:lineRule="auto"/>
        <w:textboxTightWrap w:val="lastLineOnly"/>
        <w:rPr>
          <w:rFonts w:ascii="Arial" w:eastAsia="Times New Roman" w:hAnsi="Arial" w:cs="Arial"/>
          <w:b/>
          <w:bCs/>
          <w:sz w:val="24"/>
          <w:szCs w:val="24"/>
        </w:rPr>
      </w:pPr>
    </w:p>
    <w:p w14:paraId="0E066936" w14:textId="77777777" w:rsidR="008700B6" w:rsidRPr="00B23F61" w:rsidRDefault="008700B6" w:rsidP="006F558B">
      <w:pPr>
        <w:spacing w:after="140" w:line="240" w:lineRule="auto"/>
        <w:textboxTightWrap w:val="lastLineOnly"/>
        <w:rPr>
          <w:rFonts w:ascii="Arial" w:eastAsia="Times New Roman" w:hAnsi="Arial" w:cs="Arial"/>
          <w:b/>
          <w:bCs/>
          <w:sz w:val="24"/>
          <w:szCs w:val="24"/>
        </w:rPr>
      </w:pPr>
    </w:p>
    <w:p w14:paraId="14E4F262" w14:textId="2E334A02" w:rsidR="008700B6" w:rsidRPr="00B23F61" w:rsidRDefault="008700B6" w:rsidP="006F558B">
      <w:pPr>
        <w:spacing w:after="140" w:line="240" w:lineRule="auto"/>
        <w:textboxTightWrap w:val="lastLineOnly"/>
        <w:rPr>
          <w:rFonts w:ascii="Arial" w:eastAsia="Times New Roman" w:hAnsi="Arial" w:cs="Arial"/>
          <w:sz w:val="24"/>
          <w:szCs w:val="24"/>
        </w:rPr>
      </w:pPr>
    </w:p>
    <w:p w14:paraId="00AAEF3E" w14:textId="77777777" w:rsidR="008700B6" w:rsidRPr="00B23F61" w:rsidRDefault="008700B6" w:rsidP="006F558B">
      <w:pPr>
        <w:spacing w:after="140" w:line="240" w:lineRule="auto"/>
        <w:textboxTightWrap w:val="lastLineOnly"/>
        <w:rPr>
          <w:rFonts w:ascii="Arial" w:eastAsia="Times New Roman" w:hAnsi="Arial" w:cs="Arial"/>
          <w:sz w:val="24"/>
          <w:szCs w:val="24"/>
        </w:rPr>
      </w:pPr>
    </w:p>
    <w:p w14:paraId="0E83ABAF" w14:textId="77777777" w:rsidR="00336B13" w:rsidRPr="00B23F61" w:rsidRDefault="00336B13" w:rsidP="006F558B">
      <w:pPr>
        <w:spacing w:after="140" w:line="240" w:lineRule="auto"/>
        <w:textboxTightWrap w:val="lastLineOnly"/>
        <w:rPr>
          <w:rFonts w:ascii="Arial" w:eastAsia="Times New Roman" w:hAnsi="Arial" w:cs="Arial"/>
          <w:sz w:val="24"/>
          <w:szCs w:val="24"/>
        </w:rPr>
      </w:pPr>
    </w:p>
    <w:p w14:paraId="1A05B3DE" w14:textId="77777777" w:rsidR="006F558B" w:rsidRPr="00B23F61" w:rsidRDefault="006F558B" w:rsidP="006F558B">
      <w:pPr>
        <w:spacing w:after="140" w:line="240" w:lineRule="auto"/>
        <w:textboxTightWrap w:val="lastLineOnly"/>
        <w:rPr>
          <w:rFonts w:ascii="Arial" w:eastAsia="Times New Roman" w:hAnsi="Arial" w:cs="Arial"/>
          <w:sz w:val="24"/>
          <w:szCs w:val="24"/>
        </w:rPr>
      </w:pPr>
      <w:r w:rsidRPr="00B23F61">
        <w:rPr>
          <w:rFonts w:ascii="Arial" w:eastAsia="Times New Roman" w:hAnsi="Arial" w:cs="Arial"/>
          <w:sz w:val="24"/>
          <w:szCs w:val="24"/>
        </w:rPr>
        <w:br w:type="page"/>
      </w:r>
    </w:p>
    <w:p w14:paraId="7B0D777A" w14:textId="77777777" w:rsidR="006F558B" w:rsidRPr="00B23F61" w:rsidRDefault="006F558B" w:rsidP="006F558B">
      <w:pPr>
        <w:spacing w:after="140" w:line="240" w:lineRule="auto"/>
        <w:textboxTightWrap w:val="lastLineOnly"/>
        <w:rPr>
          <w:rFonts w:ascii="Arial" w:eastAsia="Times New Roman" w:hAnsi="Arial" w:cs="Arial"/>
          <w:sz w:val="24"/>
          <w:szCs w:val="24"/>
        </w:rPr>
      </w:pPr>
    </w:p>
    <w:p w14:paraId="7AA603C1" w14:textId="1B02A38C" w:rsidR="00304ACE" w:rsidRPr="00B23F61" w:rsidRDefault="00304ACE">
      <w:pPr>
        <w:rPr>
          <w:rFonts w:ascii="Arial" w:hAnsi="Arial" w:cs="Arial"/>
          <w:sz w:val="24"/>
          <w:szCs w:val="24"/>
        </w:rPr>
      </w:pPr>
      <w:r w:rsidRPr="00B23F61">
        <w:rPr>
          <w:rFonts w:ascii="Arial" w:hAnsi="Arial" w:cs="Arial"/>
          <w:sz w:val="24"/>
          <w:szCs w:val="24"/>
        </w:rPr>
        <w:br w:type="page"/>
      </w:r>
    </w:p>
    <w:p w14:paraId="2FB79A1D" w14:textId="77777777" w:rsidR="00304ACE" w:rsidRPr="00B23F61" w:rsidRDefault="00304ACE" w:rsidP="002F17C8">
      <w:pPr>
        <w:pStyle w:val="Title"/>
        <w:rPr>
          <w:rFonts w:ascii="Arial" w:eastAsia="+mn-ea" w:hAnsi="Arial" w:cs="Arial"/>
          <w:color w:val="auto"/>
          <w:sz w:val="24"/>
          <w:szCs w:val="24"/>
        </w:rPr>
      </w:pPr>
      <w:r w:rsidRPr="00B23F61">
        <w:rPr>
          <w:rFonts w:ascii="Arial" w:eastAsia="+mn-ea" w:hAnsi="Arial" w:cs="Arial"/>
          <w:color w:val="auto"/>
          <w:sz w:val="24"/>
          <w:szCs w:val="24"/>
        </w:rPr>
        <w:lastRenderedPageBreak/>
        <w:t>MRG Assessment Summary (</w:t>
      </w:r>
      <w:sdt>
        <w:sdtPr>
          <w:rPr>
            <w:rStyle w:val="Title2"/>
            <w:rFonts w:ascii="Arial" w:hAnsi="Arial" w:cs="Arial"/>
            <w:color w:val="auto"/>
            <w:sz w:val="24"/>
            <w:szCs w:val="24"/>
          </w:rPr>
          <w:id w:val="882825154"/>
          <w:placeholder>
            <w:docPart w:val="EF431B80B1C144F58BB9C4C0664B0C93"/>
          </w:placeholder>
          <w:date w:fullDate="2015-07-23T00:00:00Z">
            <w:dateFormat w:val="dd/MM/yyyy"/>
            <w:lid w:val="en-GB"/>
            <w:storeMappedDataAs w:val="dateTime"/>
            <w:calendar w:val="gregorian"/>
          </w:date>
        </w:sdtPr>
        <w:sdtEndPr>
          <w:rPr>
            <w:rStyle w:val="DefaultParagraphFont"/>
            <w:rFonts w:eastAsia="+mn-ea"/>
          </w:rPr>
        </w:sdtEndPr>
        <w:sdtContent>
          <w:r w:rsidRPr="00B23F61">
            <w:rPr>
              <w:rStyle w:val="Title2"/>
              <w:rFonts w:ascii="Arial" w:hAnsi="Arial" w:cs="Arial"/>
              <w:color w:val="auto"/>
              <w:sz w:val="24"/>
              <w:szCs w:val="24"/>
            </w:rPr>
            <w:t>23/07/2015</w:t>
          </w:r>
        </w:sdtContent>
      </w:sdt>
      <w:r w:rsidRPr="00B23F61">
        <w:rPr>
          <w:rFonts w:ascii="Arial" w:eastAsia="+mn-ea" w:hAnsi="Arial" w:cs="Arial"/>
          <w:color w:val="auto"/>
          <w:sz w:val="24"/>
          <w:szCs w:val="24"/>
        </w:rPr>
        <w:t>)</w:t>
      </w:r>
    </w:p>
    <w:p w14:paraId="31A01E02"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2693"/>
        <w:gridCol w:w="7372"/>
      </w:tblGrid>
      <w:tr w:rsidR="002F17C8" w:rsidRPr="00B23F61" w14:paraId="4D82503D" w14:textId="77777777" w:rsidTr="002F17C8">
        <w:trPr>
          <w:trHeight w:val="545"/>
        </w:trPr>
        <w:tc>
          <w:tcPr>
            <w:tcW w:w="2693" w:type="dxa"/>
            <w:vAlign w:val="center"/>
          </w:tcPr>
          <w:p w14:paraId="66ABF38A"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IAS Reference Code</w:t>
            </w:r>
          </w:p>
        </w:tc>
        <w:tc>
          <w:tcPr>
            <w:tcW w:w="7372" w:type="dxa"/>
            <w:vAlign w:val="center"/>
          </w:tcPr>
          <w:p w14:paraId="6DAAD38A"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IAP00517</w:t>
            </w:r>
          </w:p>
        </w:tc>
      </w:tr>
      <w:tr w:rsidR="002F17C8" w:rsidRPr="00B23F61" w14:paraId="18473263" w14:textId="77777777" w:rsidTr="002F17C8">
        <w:trPr>
          <w:trHeight w:val="619"/>
        </w:trPr>
        <w:tc>
          <w:tcPr>
            <w:tcW w:w="2693" w:type="dxa"/>
            <w:tcBorders>
              <w:bottom w:val="single" w:sz="4" w:space="0" w:color="00B050"/>
            </w:tcBorders>
            <w:vAlign w:val="center"/>
          </w:tcPr>
          <w:p w14:paraId="1B4D1EC9"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Title</w:t>
            </w:r>
          </w:p>
        </w:tc>
        <w:tc>
          <w:tcPr>
            <w:tcW w:w="7372" w:type="dxa"/>
            <w:tcBorders>
              <w:bottom w:val="single" w:sz="4" w:space="0" w:color="00B050"/>
            </w:tcBorders>
            <w:vAlign w:val="center"/>
          </w:tcPr>
          <w:p w14:paraId="78A2CAB3" w14:textId="022DD71B" w:rsidR="00304ACE" w:rsidRPr="00B23F61" w:rsidRDefault="00304ACE" w:rsidP="002F17C8">
            <w:pPr>
              <w:pStyle w:val="NormalWeb"/>
              <w:spacing w:before="0" w:beforeAutospacing="0" w:after="0" w:afterAutospacing="0"/>
              <w:ind w:left="142"/>
              <w:rPr>
                <w:rFonts w:ascii="Arial" w:eastAsia="+mn-ea" w:hAnsi="Arial" w:cs="Arial"/>
                <w:b/>
                <w:position w:val="1"/>
              </w:rPr>
            </w:pPr>
            <w:r w:rsidRPr="00B23F61">
              <w:rPr>
                <w:rFonts w:ascii="Arial" w:eastAsia="+mn-ea" w:hAnsi="Arial" w:cs="Arial"/>
                <w:b/>
                <w:position w:val="1"/>
              </w:rPr>
              <w:t>Hip fracture: proportion of patients recovering to their previous levels of mobility / walking ability at 120 days</w:t>
            </w:r>
          </w:p>
        </w:tc>
      </w:tr>
      <w:tr w:rsidR="002F17C8" w:rsidRPr="00B23F61" w14:paraId="05BADFF1" w14:textId="77777777" w:rsidTr="002F17C8">
        <w:trPr>
          <w:trHeight w:val="557"/>
        </w:trPr>
        <w:tc>
          <w:tcPr>
            <w:tcW w:w="2693" w:type="dxa"/>
            <w:tcBorders>
              <w:top w:val="single" w:sz="4" w:space="0" w:color="00B050"/>
              <w:bottom w:val="nil"/>
            </w:tcBorders>
            <w:vAlign w:val="center"/>
          </w:tcPr>
          <w:p w14:paraId="7E64AF17"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Set / Framework</w:t>
            </w:r>
          </w:p>
        </w:tc>
        <w:tc>
          <w:tcPr>
            <w:tcW w:w="7372" w:type="dxa"/>
            <w:tcBorders>
              <w:top w:val="single" w:sz="4" w:space="0" w:color="00B050"/>
              <w:bottom w:val="nil"/>
            </w:tcBorders>
            <w:vAlign w:val="center"/>
          </w:tcPr>
          <w:p w14:paraId="779E0F38"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CCGOIS</w:t>
            </w:r>
          </w:p>
        </w:tc>
      </w:tr>
      <w:tr w:rsidR="002F17C8" w:rsidRPr="00B23F61" w14:paraId="3BC7E544" w14:textId="77777777" w:rsidTr="002F17C8">
        <w:trPr>
          <w:trHeight w:val="557"/>
        </w:trPr>
        <w:tc>
          <w:tcPr>
            <w:tcW w:w="2693" w:type="dxa"/>
            <w:tcBorders>
              <w:top w:val="single" w:sz="4" w:space="0" w:color="00B050"/>
              <w:bottom w:val="single" w:sz="4" w:space="0" w:color="00B050"/>
            </w:tcBorders>
            <w:vAlign w:val="center"/>
          </w:tcPr>
          <w:p w14:paraId="6D2DD91F"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Reason for assessment</w:t>
            </w:r>
          </w:p>
        </w:tc>
        <w:tc>
          <w:tcPr>
            <w:tcW w:w="7372" w:type="dxa"/>
            <w:tcBorders>
              <w:top w:val="single" w:sz="4" w:space="0" w:color="00B050"/>
              <w:bottom w:val="single" w:sz="4" w:space="0" w:color="00B050"/>
            </w:tcBorders>
            <w:vAlign w:val="center"/>
          </w:tcPr>
          <w:sdt>
            <w:sdtPr>
              <w:rPr>
                <w:rFonts w:ascii="Arial" w:eastAsia="+mn-ea" w:hAnsi="Arial" w:cs="Arial"/>
                <w:position w:val="1"/>
              </w:rPr>
              <w:alias w:val="Reason for assessment"/>
              <w:tag w:val="Reason for assessment"/>
              <w:id w:val="-1914615537"/>
              <w:placeholder>
                <w:docPart w:val="BF43E0C393394D30AE64D705C2F73741"/>
              </w:placeholder>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p w14:paraId="12EF596C"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Initial assurance</w:t>
                </w:r>
              </w:p>
            </w:sdtContent>
          </w:sdt>
          <w:p w14:paraId="03465217" w14:textId="77777777" w:rsidR="00304ACE" w:rsidRPr="00B23F61" w:rsidRDefault="00304ACE" w:rsidP="00304ACE">
            <w:pPr>
              <w:pStyle w:val="NormalWeb"/>
              <w:numPr>
                <w:ilvl w:val="0"/>
                <w:numId w:val="4"/>
              </w:numPr>
              <w:spacing w:before="0" w:beforeAutospacing="0" w:after="0" w:afterAutospacing="0"/>
              <w:rPr>
                <w:rFonts w:ascii="Arial" w:eastAsia="+mn-ea" w:hAnsi="Arial" w:cs="Arial"/>
                <w:position w:val="1"/>
              </w:rPr>
            </w:pPr>
            <w:r w:rsidRPr="00B23F61">
              <w:rPr>
                <w:rFonts w:ascii="Arial" w:eastAsia="+mn-ea" w:hAnsi="Arial" w:cs="Arial"/>
                <w:position w:val="1"/>
              </w:rPr>
              <w:t>Earlier application in 2014 concluded at MRG stage.  Updated application put forward for re-assessment in 2015</w:t>
            </w:r>
          </w:p>
        </w:tc>
      </w:tr>
      <w:tr w:rsidR="00304ACE" w:rsidRPr="00B23F61" w14:paraId="0F6C9E8C" w14:textId="77777777" w:rsidTr="002F17C8">
        <w:trPr>
          <w:trHeight w:val="557"/>
        </w:trPr>
        <w:tc>
          <w:tcPr>
            <w:tcW w:w="2693" w:type="dxa"/>
            <w:tcBorders>
              <w:top w:val="single" w:sz="4" w:space="0" w:color="00B050"/>
              <w:bottom w:val="nil"/>
            </w:tcBorders>
            <w:vAlign w:val="center"/>
          </w:tcPr>
          <w:p w14:paraId="7EB34249"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Iteration</w:t>
            </w:r>
          </w:p>
        </w:tc>
        <w:sdt>
          <w:sdtPr>
            <w:rPr>
              <w:rFonts w:ascii="Arial" w:eastAsia="+mn-ea" w:hAnsi="Arial" w:cs="Arial"/>
              <w:position w:val="1"/>
            </w:rPr>
            <w:id w:val="-1395736090"/>
            <w:placeholder>
              <w:docPart w:val="A048D7EADE3A43798B4548C4600E57AF"/>
            </w:placeholder>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EndPr/>
          <w:sdtContent>
            <w:tc>
              <w:tcPr>
                <w:tcW w:w="7372" w:type="dxa"/>
                <w:tcBorders>
                  <w:top w:val="single" w:sz="4" w:space="0" w:color="00B050"/>
                  <w:bottom w:val="nil"/>
                </w:tcBorders>
                <w:vAlign w:val="center"/>
              </w:tcPr>
              <w:p w14:paraId="3E02E088"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1st MRG meeting</w:t>
                </w:r>
              </w:p>
            </w:tc>
          </w:sdtContent>
        </w:sdt>
      </w:tr>
    </w:tbl>
    <w:p w14:paraId="550B0BDE"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p>
    <w:p w14:paraId="23D32788" w14:textId="77777777" w:rsidR="00304ACE" w:rsidRPr="00B23F61" w:rsidRDefault="00304ACE" w:rsidP="002F17C8">
      <w:pPr>
        <w:spacing w:before="240"/>
        <w:rPr>
          <w:rFonts w:ascii="Arial" w:eastAsia="+mn-ea" w:hAnsi="Arial" w:cs="Arial"/>
          <w:b/>
          <w:position w:val="1"/>
          <w:sz w:val="24"/>
          <w:szCs w:val="24"/>
        </w:rPr>
      </w:pPr>
      <w:r w:rsidRPr="00B23F61">
        <w:rPr>
          <w:rFonts w:ascii="Arial" w:eastAsia="+mn-ea" w:hAnsi="Arial" w:cs="Arial"/>
          <w:b/>
          <w:position w:val="1"/>
          <w:sz w:val="24"/>
          <w:szCs w:val="24"/>
        </w:rPr>
        <w:t>Assurance Rating by MRG</w:t>
      </w:r>
    </w:p>
    <w:p w14:paraId="01D0DE01" w14:textId="77777777" w:rsidR="00304ACE" w:rsidRPr="00B23F61" w:rsidRDefault="00304ACE" w:rsidP="002F17C8">
      <w:pPr>
        <w:spacing w:before="240"/>
        <w:rPr>
          <w:rFonts w:ascii="Arial" w:eastAsia="+mn-ea" w:hAnsi="Arial" w:cs="Arial"/>
          <w:b/>
          <w:position w:val="1"/>
          <w:sz w:val="24"/>
          <w:szCs w:val="24"/>
        </w:rPr>
      </w:pPr>
      <w:r w:rsidRPr="00B23F61">
        <w:rPr>
          <w:rFonts w:ascii="Arial" w:eastAsia="+mn-ea" w:hAnsi="Arial" w:cs="Arial"/>
          <w:b/>
          <w:position w:val="1"/>
          <w:sz w:val="24"/>
          <w:szCs w:val="24"/>
        </w:rPr>
        <w:t xml:space="preserve">Summary Recommendation </w:t>
      </w:r>
    </w:p>
    <w:sdt>
      <w:sdtPr>
        <w:rPr>
          <w:rFonts w:ascii="Arial" w:hAnsi="Arial" w:cs="Arial"/>
          <w:sz w:val="24"/>
          <w:szCs w:val="24"/>
          <w:lang w:eastAsia="en-GB"/>
        </w:rPr>
        <w:alias w:val="Summary Recommendation to IGB"/>
        <w:tag w:val="Summary Recommendation to IGB"/>
        <w:id w:val="2031983090"/>
        <w:placeholder>
          <w:docPart w:val="3AC701F83D274110A804C18D22600FA8"/>
        </w:placeholder>
        <w:text w:multiLine="1"/>
      </w:sdtPr>
      <w:sdtEndPr/>
      <w:sdtContent>
        <w:p w14:paraId="44E187C8" w14:textId="77777777" w:rsidR="00304ACE" w:rsidRPr="00B23F61" w:rsidRDefault="00304ACE" w:rsidP="002F17C8">
          <w:pPr>
            <w:spacing w:before="240"/>
            <w:rPr>
              <w:rFonts w:ascii="Arial" w:hAnsi="Arial" w:cs="Arial"/>
              <w:sz w:val="24"/>
              <w:szCs w:val="24"/>
              <w:lang w:eastAsia="en-GB"/>
            </w:rPr>
          </w:pPr>
          <w:r w:rsidRPr="00B23F61">
            <w:rPr>
              <w:rFonts w:ascii="Arial" w:hAnsi="Arial" w:cs="Arial"/>
              <w:sz w:val="24"/>
              <w:szCs w:val="24"/>
              <w:lang w:eastAsia="en-GB"/>
            </w:rPr>
            <w:t>Although the indicator adequately met most assurance criteria, the indicator was rated “Not fit for purpose” on the grounds that the data quality is very poor, with no incentive or mechanism to improve it. MRG do not endorse the indicator for inclusion in the National Library of Quality Assured Indicators.</w:t>
          </w:r>
        </w:p>
      </w:sdtContent>
    </w:sdt>
    <w:p w14:paraId="1B22DF13" w14:textId="77777777" w:rsidR="00304ACE" w:rsidRPr="00B23F61" w:rsidRDefault="00304ACE" w:rsidP="002F17C8">
      <w:pPr>
        <w:spacing w:before="240"/>
        <w:rPr>
          <w:rFonts w:ascii="Arial" w:eastAsia="+mn-ea" w:hAnsi="Arial" w:cs="Arial"/>
          <w:b/>
          <w:position w:val="1"/>
          <w:sz w:val="24"/>
          <w:szCs w:val="24"/>
          <w:lang w:eastAsia="en-GB"/>
        </w:rPr>
      </w:pPr>
      <w:r w:rsidRPr="00B23F61">
        <w:rPr>
          <w:rFonts w:ascii="Arial" w:eastAsia="+mn-ea" w:hAnsi="Arial" w:cs="Arial"/>
          <w:b/>
          <w:position w:val="1"/>
          <w:sz w:val="24"/>
          <w:szCs w:val="24"/>
          <w:lang w:eastAsia="en-GB"/>
        </w:rPr>
        <w:t xml:space="preserve"> </w:t>
      </w:r>
      <w:r w:rsidRPr="00B23F61">
        <w:rPr>
          <w:rFonts w:ascii="Arial" w:eastAsia="+mn-ea" w:hAnsi="Arial" w:cs="Arial"/>
          <w:b/>
          <w:position w:val="1"/>
          <w:sz w:val="24"/>
          <w:szCs w:val="24"/>
          <w:lang w:eastAsia="en-GB"/>
        </w:rPr>
        <w:br w:type="page"/>
      </w:r>
    </w:p>
    <w:p w14:paraId="23D49719" w14:textId="77777777" w:rsidR="00304ACE" w:rsidRPr="00B23F61" w:rsidRDefault="00304ACE" w:rsidP="002F17C8">
      <w:pPr>
        <w:pStyle w:val="Title"/>
        <w:rPr>
          <w:rFonts w:ascii="Arial" w:eastAsia="+mn-ea" w:hAnsi="Arial" w:cs="Arial"/>
          <w:color w:val="auto"/>
          <w:sz w:val="24"/>
          <w:szCs w:val="24"/>
        </w:rPr>
      </w:pPr>
      <w:r w:rsidRPr="00B23F61">
        <w:rPr>
          <w:rFonts w:ascii="Arial" w:eastAsia="+mn-ea" w:hAnsi="Arial" w:cs="Arial"/>
          <w:color w:val="auto"/>
          <w:sz w:val="24"/>
          <w:szCs w:val="24"/>
        </w:rPr>
        <w:lastRenderedPageBreak/>
        <w:br/>
        <w:t>IGB Assessment Summary (</w:t>
      </w:r>
      <w:sdt>
        <w:sdtPr>
          <w:rPr>
            <w:rStyle w:val="Title2"/>
            <w:rFonts w:ascii="Arial" w:hAnsi="Arial" w:cs="Arial"/>
            <w:color w:val="auto"/>
            <w:sz w:val="24"/>
            <w:szCs w:val="24"/>
          </w:rPr>
          <w:id w:val="-357049371"/>
          <w:placeholder>
            <w:docPart w:val="EF431B80B1C144F58BB9C4C0664B0C93"/>
          </w:placeholder>
          <w:date w:fullDate="2015-08-13T00:00:00Z">
            <w:dateFormat w:val="dd/MM/yyyy"/>
            <w:lid w:val="en-GB"/>
            <w:storeMappedDataAs w:val="dateTime"/>
            <w:calendar w:val="gregorian"/>
          </w:date>
        </w:sdtPr>
        <w:sdtEndPr>
          <w:rPr>
            <w:rStyle w:val="DefaultParagraphFont"/>
            <w:rFonts w:eastAsia="+mn-ea"/>
          </w:rPr>
        </w:sdtEndPr>
        <w:sdtContent>
          <w:r w:rsidRPr="00B23F61">
            <w:rPr>
              <w:rStyle w:val="Title2"/>
              <w:rFonts w:ascii="Arial" w:hAnsi="Arial" w:cs="Arial"/>
              <w:color w:val="auto"/>
              <w:sz w:val="24"/>
              <w:szCs w:val="24"/>
            </w:rPr>
            <w:t>13/08/2015</w:t>
          </w:r>
        </w:sdtContent>
      </w:sdt>
      <w:r w:rsidRPr="00B23F61">
        <w:rPr>
          <w:rFonts w:ascii="Arial" w:eastAsia="+mn-ea" w:hAnsi="Arial" w:cs="Arial"/>
          <w:color w:val="auto"/>
          <w:sz w:val="24"/>
          <w:szCs w:val="24"/>
        </w:rPr>
        <w:t>)</w:t>
      </w:r>
    </w:p>
    <w:p w14:paraId="2DB56097"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2693"/>
        <w:gridCol w:w="7372"/>
      </w:tblGrid>
      <w:tr w:rsidR="002F17C8" w:rsidRPr="00B23F61" w14:paraId="45E40AE5" w14:textId="77777777" w:rsidTr="002F17C8">
        <w:trPr>
          <w:trHeight w:val="545"/>
        </w:trPr>
        <w:tc>
          <w:tcPr>
            <w:tcW w:w="2693" w:type="dxa"/>
            <w:vAlign w:val="center"/>
          </w:tcPr>
          <w:p w14:paraId="224757C6"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IAS Reference Code</w:t>
            </w:r>
          </w:p>
        </w:tc>
        <w:tc>
          <w:tcPr>
            <w:tcW w:w="7372" w:type="dxa"/>
            <w:vAlign w:val="center"/>
          </w:tcPr>
          <w:p w14:paraId="25FF1562"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IAP00517</w:t>
            </w:r>
          </w:p>
        </w:tc>
      </w:tr>
      <w:tr w:rsidR="002F17C8" w:rsidRPr="00B23F61" w14:paraId="4F6D7271" w14:textId="77777777" w:rsidTr="002F17C8">
        <w:trPr>
          <w:trHeight w:val="619"/>
        </w:trPr>
        <w:tc>
          <w:tcPr>
            <w:tcW w:w="2693" w:type="dxa"/>
            <w:tcBorders>
              <w:bottom w:val="single" w:sz="4" w:space="0" w:color="00B050"/>
            </w:tcBorders>
            <w:vAlign w:val="center"/>
          </w:tcPr>
          <w:p w14:paraId="5882D92B"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Title</w:t>
            </w:r>
          </w:p>
        </w:tc>
        <w:tc>
          <w:tcPr>
            <w:tcW w:w="7372" w:type="dxa"/>
            <w:tcBorders>
              <w:bottom w:val="single" w:sz="4" w:space="0" w:color="00B050"/>
            </w:tcBorders>
            <w:vAlign w:val="center"/>
          </w:tcPr>
          <w:p w14:paraId="2ED228A1" w14:textId="56AF4D21" w:rsidR="00304ACE" w:rsidRPr="00B23F61" w:rsidRDefault="00304ACE" w:rsidP="002F17C8">
            <w:pPr>
              <w:pStyle w:val="NormalWeb"/>
              <w:spacing w:before="0" w:beforeAutospacing="0" w:after="0" w:afterAutospacing="0"/>
              <w:ind w:left="142"/>
              <w:rPr>
                <w:rFonts w:ascii="Arial" w:eastAsia="+mn-ea" w:hAnsi="Arial" w:cs="Arial"/>
                <w:b/>
                <w:position w:val="1"/>
              </w:rPr>
            </w:pPr>
            <w:r w:rsidRPr="00B23F61">
              <w:rPr>
                <w:rFonts w:ascii="Arial" w:eastAsia="+mn-ea" w:hAnsi="Arial" w:cs="Arial"/>
                <w:b/>
                <w:position w:val="1"/>
              </w:rPr>
              <w:t>Hip fracture: proportion of patients recovering to their previous levels of mobility / walking ability at 120 days</w:t>
            </w:r>
          </w:p>
        </w:tc>
      </w:tr>
      <w:tr w:rsidR="002F17C8" w:rsidRPr="00B23F61" w14:paraId="112BFC42" w14:textId="77777777" w:rsidTr="002F17C8">
        <w:trPr>
          <w:trHeight w:val="557"/>
        </w:trPr>
        <w:tc>
          <w:tcPr>
            <w:tcW w:w="2693" w:type="dxa"/>
            <w:tcBorders>
              <w:top w:val="single" w:sz="4" w:space="0" w:color="00B050"/>
              <w:bottom w:val="nil"/>
            </w:tcBorders>
            <w:vAlign w:val="center"/>
          </w:tcPr>
          <w:p w14:paraId="34CC3D9B"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Set / Framework</w:t>
            </w:r>
          </w:p>
        </w:tc>
        <w:tc>
          <w:tcPr>
            <w:tcW w:w="7372" w:type="dxa"/>
            <w:tcBorders>
              <w:top w:val="single" w:sz="4" w:space="0" w:color="00B050"/>
              <w:bottom w:val="nil"/>
            </w:tcBorders>
            <w:vAlign w:val="center"/>
          </w:tcPr>
          <w:p w14:paraId="1A643402"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CCGOIS</w:t>
            </w:r>
          </w:p>
        </w:tc>
      </w:tr>
      <w:tr w:rsidR="002F17C8" w:rsidRPr="00B23F61" w14:paraId="1FDDE1B5" w14:textId="77777777" w:rsidTr="002F17C8">
        <w:trPr>
          <w:trHeight w:val="557"/>
        </w:trPr>
        <w:tc>
          <w:tcPr>
            <w:tcW w:w="2693" w:type="dxa"/>
            <w:tcBorders>
              <w:top w:val="single" w:sz="4" w:space="0" w:color="00B050"/>
              <w:bottom w:val="nil"/>
            </w:tcBorders>
            <w:vAlign w:val="center"/>
          </w:tcPr>
          <w:p w14:paraId="5F79270C"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Reason for assessment</w:t>
            </w:r>
          </w:p>
        </w:tc>
        <w:sdt>
          <w:sdtPr>
            <w:rPr>
              <w:rFonts w:ascii="Arial" w:eastAsia="+mn-ea" w:hAnsi="Arial" w:cs="Arial"/>
              <w:position w:val="1"/>
            </w:rPr>
            <w:alias w:val="Reason for assessment"/>
            <w:tag w:val="Reason for assessment"/>
            <w:id w:val="-620992618"/>
            <w:placeholder>
              <w:docPart w:val="29C692C9AD1246B79AA3F94819118267"/>
            </w:placeholder>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7372" w:type="dxa"/>
                <w:tcBorders>
                  <w:top w:val="single" w:sz="4" w:space="0" w:color="00B050"/>
                  <w:bottom w:val="nil"/>
                </w:tcBorders>
                <w:vAlign w:val="center"/>
              </w:tcPr>
              <w:p w14:paraId="45DBE49B"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Initial assurance</w:t>
                </w:r>
              </w:p>
            </w:tc>
          </w:sdtContent>
        </w:sdt>
      </w:tr>
    </w:tbl>
    <w:p w14:paraId="1E28969A" w14:textId="77777777" w:rsidR="00304ACE" w:rsidRPr="00B23F61" w:rsidRDefault="00304ACE" w:rsidP="002F17C8">
      <w:pPr>
        <w:spacing w:before="240"/>
        <w:rPr>
          <w:rFonts w:ascii="Arial" w:eastAsia="+mn-ea" w:hAnsi="Arial" w:cs="Arial"/>
          <w:b/>
          <w:position w:val="1"/>
          <w:sz w:val="24"/>
          <w:szCs w:val="24"/>
        </w:rPr>
      </w:pPr>
      <w:r w:rsidRPr="00B23F61">
        <w:rPr>
          <w:rFonts w:ascii="Arial" w:eastAsia="+mn-ea" w:hAnsi="Arial" w:cs="Arial"/>
          <w:b/>
          <w:position w:val="1"/>
          <w:sz w:val="24"/>
          <w:szCs w:val="24"/>
        </w:rPr>
        <w:t>Summary of discussion</w:t>
      </w:r>
    </w:p>
    <w:sdt>
      <w:sdtPr>
        <w:rPr>
          <w:rFonts w:ascii="Arial" w:hAnsi="Arial" w:cs="Arial"/>
          <w:sz w:val="24"/>
          <w:szCs w:val="24"/>
          <w:lang w:eastAsia="en-GB"/>
        </w:rPr>
        <w:id w:val="291569838"/>
        <w:placeholder>
          <w:docPart w:val="6D27B478B36646DFBE8F9D047B8A60ED"/>
        </w:placeholder>
        <w:text/>
      </w:sdtPr>
      <w:sdtEndPr/>
      <w:sdtContent>
        <w:p w14:paraId="16264E1E" w14:textId="77777777" w:rsidR="00304ACE" w:rsidRPr="00B23F61" w:rsidRDefault="00304ACE" w:rsidP="002F17C8">
          <w:pPr>
            <w:spacing w:before="240"/>
            <w:rPr>
              <w:rFonts w:ascii="Arial" w:hAnsi="Arial" w:cs="Arial"/>
              <w:sz w:val="24"/>
              <w:szCs w:val="24"/>
              <w:lang w:eastAsia="en-GB"/>
            </w:rPr>
          </w:pPr>
          <w:r w:rsidRPr="00B23F61">
            <w:rPr>
              <w:rFonts w:ascii="Arial" w:hAnsi="Arial" w:cs="Arial"/>
              <w:sz w:val="24"/>
              <w:szCs w:val="24"/>
              <w:lang w:eastAsia="en-GB"/>
            </w:rPr>
            <w:t xml:space="preserve">The indicator is put forward for use in the NHS Outcomes Framework and CCG Outcomes Indicator Set.  The indicator derived for use in the NHSOF (i.e. for reporting at the national level) had been previously assured and as such was put forward for review.  The indicator had not previously been presented to IGB for assurance as a CCG level indicator.  IGB noted MRG’s concern around the poor data quality of the indicators and suggested that feedback was need to be given to NICE around the lack of mandate to collect some of the data fields used in the indicator.  IGB accepted MRG’s conclusion that the methodology in general was fine, but requested that the overall conclusion be that the indicators are identified with a use with caution flag rather than be labelled not fit for purpose.  This is on the basis that the Library’s primary purpose is to hold quality methodologies and in terms of the Library, data quality is of lesser </w:t>
          </w:r>
          <w:proofErr w:type="spellStart"/>
          <w:r w:rsidRPr="00B23F61">
            <w:rPr>
              <w:rFonts w:ascii="Arial" w:hAnsi="Arial" w:cs="Arial"/>
              <w:sz w:val="24"/>
              <w:szCs w:val="24"/>
              <w:lang w:eastAsia="en-GB"/>
            </w:rPr>
            <w:t>concern.The</w:t>
          </w:r>
          <w:proofErr w:type="spellEnd"/>
          <w:r w:rsidRPr="00B23F61">
            <w:rPr>
              <w:rFonts w:ascii="Arial" w:hAnsi="Arial" w:cs="Arial"/>
              <w:sz w:val="24"/>
              <w:szCs w:val="24"/>
              <w:lang w:eastAsia="en-GB"/>
            </w:rPr>
            <w:t xml:space="preserve"> indicators are to be included in the Library with an assurance level of “use with caution” However any associated indicator quality statement published when the indicator produced requires a clear warning of the limitations data quality has on interpretation and use. Correspondence will be sent by IGB to SCCI and NICE observing the lack of mandate to collect date in some of the fields used in the indicator methodology.</w:t>
          </w:r>
        </w:p>
      </w:sdtContent>
    </w:sdt>
    <w:p w14:paraId="568F82E7" w14:textId="77777777" w:rsidR="00304ACE" w:rsidRPr="00B23F61" w:rsidRDefault="00304ACE" w:rsidP="002F17C8">
      <w:pPr>
        <w:spacing w:before="240"/>
        <w:rPr>
          <w:rFonts w:ascii="Arial" w:eastAsia="+mn-ea" w:hAnsi="Arial" w:cs="Arial"/>
          <w:b/>
          <w:position w:val="1"/>
          <w:sz w:val="24"/>
          <w:szCs w:val="24"/>
          <w:lang w:eastAsia="en-GB"/>
        </w:rPr>
      </w:pPr>
    </w:p>
    <w:p w14:paraId="5A9DC5FD" w14:textId="77777777" w:rsidR="00304ACE" w:rsidRPr="00B23F61" w:rsidRDefault="00304ACE" w:rsidP="002F17C8">
      <w:pPr>
        <w:spacing w:before="240"/>
        <w:rPr>
          <w:rFonts w:ascii="Arial" w:eastAsia="+mn-ea" w:hAnsi="Arial" w:cs="Arial"/>
          <w:b/>
          <w:position w:val="1"/>
          <w:sz w:val="24"/>
          <w:szCs w:val="24"/>
          <w:lang w:eastAsia="en-GB"/>
        </w:rPr>
      </w:pPr>
      <w:r w:rsidRPr="00B23F61">
        <w:rPr>
          <w:rFonts w:ascii="Arial" w:eastAsia="+mn-ea" w:hAnsi="Arial" w:cs="Arial"/>
          <w:b/>
          <w:position w:val="1"/>
          <w:sz w:val="24"/>
          <w:szCs w:val="24"/>
          <w:lang w:eastAsia="en-GB"/>
        </w:rPr>
        <w:t>IGB Actions</w:t>
      </w: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3260"/>
        <w:gridCol w:w="6805"/>
      </w:tblGrid>
      <w:tr w:rsidR="002F17C8" w:rsidRPr="00B23F61" w14:paraId="6383DB36" w14:textId="77777777" w:rsidTr="002F17C8">
        <w:trPr>
          <w:trHeight w:val="545"/>
        </w:trPr>
        <w:tc>
          <w:tcPr>
            <w:tcW w:w="3260" w:type="dxa"/>
            <w:tcBorders>
              <w:bottom w:val="single" w:sz="4" w:space="0" w:color="00B050"/>
            </w:tcBorders>
            <w:vAlign w:val="center"/>
          </w:tcPr>
          <w:p w14:paraId="71C14E3A"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Sign off of MRG assessment</w:t>
            </w:r>
          </w:p>
        </w:tc>
        <w:sdt>
          <w:sdtPr>
            <w:rPr>
              <w:rFonts w:ascii="Arial" w:eastAsia="+mn-ea" w:hAnsi="Arial" w:cs="Arial"/>
              <w:position w:val="1"/>
            </w:rPr>
            <w:alias w:val="Sign off"/>
            <w:tag w:val="Sign off"/>
            <w:id w:val="-1624143381"/>
            <w:placeholder>
              <w:docPart w:val="EB369014416A4115860D7978BE22157D"/>
            </w:placeholder>
            <w:dropDownList>
              <w:listItem w:value="Choose an item."/>
              <w:listItem w:displayText="Yes" w:value="Yes"/>
              <w:listItem w:displayText="Yes - resolved non-consensus view" w:value="Yes - resolved non-consensus view"/>
              <w:listItem w:displayText="Yes - with minor ammendments" w:value="Yes - with minor ammendments"/>
              <w:listItem w:displayText="No - referred back to MRG for further consideration" w:value="No - referred back to MRG for further consideration"/>
            </w:dropDownList>
          </w:sdtPr>
          <w:sdtEndPr/>
          <w:sdtContent>
            <w:tc>
              <w:tcPr>
                <w:tcW w:w="6805" w:type="dxa"/>
                <w:tcBorders>
                  <w:bottom w:val="single" w:sz="4" w:space="0" w:color="00B050"/>
                </w:tcBorders>
                <w:vAlign w:val="center"/>
              </w:tcPr>
              <w:p w14:paraId="1FE306AD"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Yes - with minor ammendments</w:t>
                </w:r>
              </w:p>
            </w:tc>
          </w:sdtContent>
        </w:sdt>
      </w:tr>
      <w:tr w:rsidR="002F17C8" w:rsidRPr="00B23F61" w14:paraId="6A9FFE18" w14:textId="77777777" w:rsidTr="002F17C8">
        <w:trPr>
          <w:trHeight w:val="545"/>
        </w:trPr>
        <w:tc>
          <w:tcPr>
            <w:tcW w:w="3260" w:type="dxa"/>
            <w:tcBorders>
              <w:bottom w:val="single" w:sz="4" w:space="0" w:color="00B050"/>
            </w:tcBorders>
            <w:vAlign w:val="center"/>
          </w:tcPr>
          <w:p w14:paraId="547D8194"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Library status</w:t>
            </w:r>
          </w:p>
        </w:tc>
        <w:sdt>
          <w:sdtPr>
            <w:rPr>
              <w:rFonts w:ascii="Arial" w:eastAsia="+mn-ea" w:hAnsi="Arial" w:cs="Arial"/>
              <w:position w:val="1"/>
            </w:rPr>
            <w:id w:val="-914543100"/>
            <w:placeholder>
              <w:docPart w:val="EB369014416A4115860D7978BE22157D"/>
            </w:placeholder>
            <w:dropDownList>
              <w:listItem w:value="Choose an item."/>
              <w:listItem w:displayText="Published in the Library" w:value="Published in the Library"/>
              <w:listItem w:displayText="Not to be published in the Library" w:value="Not to be published in the Library"/>
            </w:dropDownList>
          </w:sdtPr>
          <w:sdtEndPr/>
          <w:sdtContent>
            <w:tc>
              <w:tcPr>
                <w:tcW w:w="6805" w:type="dxa"/>
                <w:tcBorders>
                  <w:bottom w:val="single" w:sz="4" w:space="0" w:color="00B050"/>
                </w:tcBorders>
                <w:vAlign w:val="center"/>
              </w:tcPr>
              <w:p w14:paraId="6DE0F83C"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r w:rsidRPr="00B23F61">
                  <w:rPr>
                    <w:rFonts w:ascii="Arial" w:eastAsia="+mn-ea" w:hAnsi="Arial" w:cs="Arial"/>
                    <w:position w:val="1"/>
                  </w:rPr>
                  <w:t>Published in the Library</w:t>
                </w:r>
              </w:p>
            </w:tc>
          </w:sdtContent>
        </w:sdt>
      </w:tr>
      <w:tr w:rsidR="00304ACE" w:rsidRPr="00B23F61" w14:paraId="0265B8EC" w14:textId="77777777" w:rsidTr="002F17C8">
        <w:trPr>
          <w:trHeight w:val="619"/>
        </w:trPr>
        <w:tc>
          <w:tcPr>
            <w:tcW w:w="3260" w:type="dxa"/>
            <w:tcBorders>
              <w:top w:val="single" w:sz="4" w:space="0" w:color="00B050"/>
              <w:bottom w:val="nil"/>
            </w:tcBorders>
            <w:vAlign w:val="center"/>
          </w:tcPr>
          <w:p w14:paraId="16E3D8EE" w14:textId="77777777" w:rsidR="00304ACE" w:rsidRPr="00B23F61" w:rsidRDefault="00304ACE" w:rsidP="002F17C8">
            <w:pPr>
              <w:pStyle w:val="NormalWeb"/>
              <w:spacing w:before="0" w:beforeAutospacing="0" w:after="0" w:afterAutospacing="0"/>
              <w:ind w:left="57"/>
              <w:rPr>
                <w:rFonts w:ascii="Arial" w:eastAsia="+mn-ea" w:hAnsi="Arial" w:cs="Arial"/>
                <w:position w:val="1"/>
              </w:rPr>
            </w:pPr>
            <w:r w:rsidRPr="00B23F61">
              <w:rPr>
                <w:rFonts w:ascii="Arial" w:eastAsia="+mn-ea" w:hAnsi="Arial" w:cs="Arial"/>
                <w:position w:val="1"/>
              </w:rPr>
              <w:t>Review date</w:t>
            </w:r>
          </w:p>
        </w:tc>
        <w:sdt>
          <w:sdtPr>
            <w:rPr>
              <w:rFonts w:ascii="Arial" w:eastAsia="+mn-ea" w:hAnsi="Arial" w:cs="Arial"/>
              <w:b/>
              <w:position w:val="1"/>
            </w:rPr>
            <w:id w:val="-868377132"/>
            <w:placeholder>
              <w:docPart w:val="EF431B80B1C144F58BB9C4C0664B0C93"/>
            </w:placeholder>
            <w:date w:fullDate="2018-08-13T00:00:00Z">
              <w:dateFormat w:val="dd/MM/yyyy"/>
              <w:lid w:val="en-GB"/>
              <w:storeMappedDataAs w:val="dateTime"/>
              <w:calendar w:val="gregorian"/>
            </w:date>
          </w:sdtPr>
          <w:sdtEndPr/>
          <w:sdtContent>
            <w:tc>
              <w:tcPr>
                <w:tcW w:w="6805" w:type="dxa"/>
                <w:tcBorders>
                  <w:top w:val="single" w:sz="4" w:space="0" w:color="00B050"/>
                  <w:bottom w:val="nil"/>
                </w:tcBorders>
                <w:vAlign w:val="center"/>
              </w:tcPr>
              <w:p w14:paraId="3E05DFC1" w14:textId="77777777" w:rsidR="00304ACE" w:rsidRPr="00B23F61" w:rsidRDefault="00304ACE" w:rsidP="002F17C8">
                <w:pPr>
                  <w:pStyle w:val="NormalWeb"/>
                  <w:spacing w:before="0" w:beforeAutospacing="0" w:after="0" w:afterAutospacing="0"/>
                  <w:ind w:left="142"/>
                  <w:rPr>
                    <w:rFonts w:ascii="Arial" w:eastAsia="+mn-ea" w:hAnsi="Arial" w:cs="Arial"/>
                    <w:b/>
                    <w:position w:val="1"/>
                  </w:rPr>
                </w:pPr>
                <w:r w:rsidRPr="00B23F61">
                  <w:rPr>
                    <w:rFonts w:ascii="Arial" w:eastAsia="+mn-ea" w:hAnsi="Arial" w:cs="Arial"/>
                    <w:b/>
                    <w:position w:val="1"/>
                  </w:rPr>
                  <w:t>13/08/2018</w:t>
                </w:r>
              </w:p>
            </w:tc>
          </w:sdtContent>
        </w:sdt>
      </w:tr>
    </w:tbl>
    <w:p w14:paraId="604AF3DA" w14:textId="77777777" w:rsidR="00304ACE" w:rsidRPr="00B23F61" w:rsidRDefault="00304ACE" w:rsidP="002F17C8">
      <w:pPr>
        <w:spacing w:before="240"/>
        <w:rPr>
          <w:rFonts w:ascii="Arial" w:eastAsia="+mn-ea" w:hAnsi="Arial" w:cs="Arial"/>
          <w:b/>
          <w:position w:val="1"/>
          <w:sz w:val="24"/>
          <w:szCs w:val="24"/>
          <w:lang w:eastAsia="en-GB"/>
        </w:rPr>
      </w:pPr>
    </w:p>
    <w:p w14:paraId="3679D3FA" w14:textId="501B67FA" w:rsidR="00304ACE" w:rsidRPr="00B23F61" w:rsidRDefault="00304ACE" w:rsidP="002F17C8">
      <w:pPr>
        <w:spacing w:before="240"/>
        <w:rPr>
          <w:rFonts w:ascii="Arial" w:eastAsia="+mn-ea" w:hAnsi="Arial" w:cs="Arial"/>
          <w:b/>
          <w:position w:val="1"/>
          <w:sz w:val="24"/>
          <w:szCs w:val="24"/>
          <w:lang w:eastAsia="en-GB"/>
        </w:rPr>
      </w:pPr>
      <w:r w:rsidRPr="00B23F61">
        <w:rPr>
          <w:rFonts w:ascii="Arial" w:eastAsia="+mn-ea" w:hAnsi="Arial" w:cs="Arial"/>
          <w:b/>
          <w:position w:val="1"/>
          <w:sz w:val="24"/>
          <w:szCs w:val="24"/>
          <w:lang w:eastAsia="en-GB"/>
        </w:rPr>
        <w:t>Final IGB Assurance Rating</w:t>
      </w:r>
    </w:p>
    <w:p w14:paraId="4670CF5E" w14:textId="4CBE9B0A" w:rsidR="00A93656" w:rsidRPr="00B23F61" w:rsidRDefault="00A93656" w:rsidP="002F17C8">
      <w:pPr>
        <w:spacing w:before="240"/>
        <w:rPr>
          <w:rFonts w:ascii="Arial" w:eastAsia="+mn-ea" w:hAnsi="Arial" w:cs="Arial"/>
          <w:bCs/>
          <w:position w:val="1"/>
          <w:sz w:val="24"/>
          <w:szCs w:val="24"/>
          <w:lang w:eastAsia="en-GB"/>
        </w:rPr>
      </w:pPr>
      <w:r w:rsidRPr="00B23F61">
        <w:rPr>
          <w:rFonts w:ascii="Arial" w:eastAsia="+mn-ea" w:hAnsi="Arial" w:cs="Arial"/>
          <w:bCs/>
          <w:position w:val="1"/>
          <w:sz w:val="24"/>
          <w:szCs w:val="24"/>
          <w:lang w:eastAsia="en-GB"/>
        </w:rPr>
        <w:t>Use with caution</w:t>
      </w:r>
    </w:p>
    <w:p w14:paraId="35DFACF7" w14:textId="77777777" w:rsidR="00304ACE" w:rsidRPr="00B23F61" w:rsidRDefault="00304ACE" w:rsidP="002F17C8">
      <w:pPr>
        <w:spacing w:before="240"/>
        <w:rPr>
          <w:rFonts w:ascii="Arial" w:eastAsia="+mn-ea" w:hAnsi="Arial" w:cs="Arial"/>
          <w:b/>
          <w:position w:val="1"/>
          <w:sz w:val="24"/>
          <w:szCs w:val="24"/>
          <w:lang w:eastAsia="en-GB"/>
        </w:rPr>
        <w:sectPr w:rsidR="00304ACE" w:rsidRPr="00B23F61" w:rsidSect="002F17C8">
          <w:headerReference w:type="default" r:id="rId11"/>
          <w:footerReference w:type="default" r:id="rId12"/>
          <w:headerReference w:type="first" r:id="rId13"/>
          <w:footerReference w:type="first" r:id="rId14"/>
          <w:pgSz w:w="11906" w:h="16838"/>
          <w:pgMar w:top="1021" w:right="1021" w:bottom="1021" w:left="1021" w:header="454" w:footer="680" w:gutter="0"/>
          <w:cols w:space="708"/>
          <w:docGrid w:linePitch="360"/>
        </w:sectPr>
      </w:pPr>
    </w:p>
    <w:p w14:paraId="60FB3FA5" w14:textId="7076D339" w:rsidR="00304ACE" w:rsidRPr="00B23F61" w:rsidRDefault="00304ACE" w:rsidP="002F17C8">
      <w:pPr>
        <w:pStyle w:val="NormalWeb"/>
        <w:spacing w:before="0" w:beforeAutospacing="0" w:after="0" w:afterAutospacing="0"/>
        <w:ind w:left="-709" w:firstLine="142"/>
        <w:rPr>
          <w:rFonts w:ascii="Arial" w:eastAsia="+mn-ea" w:hAnsi="Arial" w:cs="Arial"/>
          <w:position w:val="1"/>
        </w:rPr>
      </w:pPr>
      <w:r w:rsidRPr="00B23F61">
        <w:rPr>
          <w:rFonts w:ascii="Arial" w:eastAsia="+mn-ea" w:hAnsi="Arial" w:cs="Arial"/>
          <w:position w:val="1"/>
        </w:rPr>
        <w:lastRenderedPageBreak/>
        <w:t>Appraisal Log</w:t>
      </w:r>
      <w:r w:rsidR="00D34C99">
        <w:rPr>
          <w:rFonts w:ascii="Arial" w:eastAsia="+mn-ea" w:hAnsi="Arial" w:cs="Arial"/>
          <w:position w:val="1"/>
        </w:rPr>
        <w:pict w14:anchorId="2ADB0766">
          <v:rect id="_x0000_i1025" style="width:490.65pt;height:2pt;mso-position-horizontal:absolute" o:hrpct="989" o:hralign="center" o:hrstd="t" o:hrnoshade="t" o:hr="t" fillcolor="#00b050" stroked="f"/>
        </w:pict>
      </w:r>
    </w:p>
    <w:p w14:paraId="21C57476" w14:textId="582A4DC1" w:rsidR="00304ACE" w:rsidRPr="00B23F61" w:rsidRDefault="00304ACE" w:rsidP="002F17C8">
      <w:pPr>
        <w:pStyle w:val="NormalWeb"/>
        <w:spacing w:before="0" w:beforeAutospacing="0" w:after="0" w:afterAutospacing="0"/>
        <w:ind w:left="142"/>
        <w:rPr>
          <w:rFonts w:ascii="Arial" w:eastAsia="+mn-ea" w:hAnsi="Arial" w:cs="Arial"/>
          <w:position w:val="1"/>
        </w:rPr>
      </w:pPr>
    </w:p>
    <w:tbl>
      <w:tblPr>
        <w:tblStyle w:val="TableGrid"/>
        <w:tblW w:w="0" w:type="auto"/>
        <w:tblInd w:w="142" w:type="dxa"/>
        <w:tblLook w:val="04A0" w:firstRow="1" w:lastRow="0" w:firstColumn="1" w:lastColumn="0" w:noHBand="0" w:noVBand="1"/>
      </w:tblPr>
      <w:tblGrid>
        <w:gridCol w:w="2323"/>
        <w:gridCol w:w="2124"/>
        <w:gridCol w:w="2009"/>
        <w:gridCol w:w="2754"/>
        <w:gridCol w:w="1391"/>
        <w:gridCol w:w="2025"/>
        <w:gridCol w:w="2018"/>
      </w:tblGrid>
      <w:tr w:rsidR="005B1D9D" w:rsidRPr="00B23F61" w14:paraId="2A062381" w14:textId="77777777" w:rsidTr="009F780E">
        <w:tc>
          <w:tcPr>
            <w:tcW w:w="2087" w:type="dxa"/>
          </w:tcPr>
          <w:p w14:paraId="5E13360E" w14:textId="77777777" w:rsidR="005B1D9D" w:rsidRPr="00B23F61" w:rsidRDefault="005B1D9D" w:rsidP="002F17C8">
            <w:pPr>
              <w:pStyle w:val="NormalWeb"/>
              <w:spacing w:before="0" w:beforeAutospacing="0" w:after="0" w:afterAutospacing="0"/>
              <w:rPr>
                <w:rFonts w:ascii="Arial" w:eastAsia="+mn-ea" w:hAnsi="Arial" w:cs="Arial"/>
                <w:position w:val="1"/>
              </w:rPr>
            </w:pPr>
          </w:p>
          <w:p w14:paraId="00D35F5D" w14:textId="77777777" w:rsidR="005B1D9D" w:rsidRPr="00B23F61" w:rsidRDefault="005B1D9D" w:rsidP="002F17C8">
            <w:pPr>
              <w:pStyle w:val="NormalWeb"/>
              <w:spacing w:before="0" w:beforeAutospacing="0" w:after="0" w:afterAutospacing="0"/>
              <w:rPr>
                <w:rFonts w:ascii="Arial" w:eastAsia="+mn-ea" w:hAnsi="Arial" w:cs="Arial"/>
                <w:position w:val="1"/>
              </w:rPr>
            </w:pPr>
          </w:p>
          <w:p w14:paraId="5AFCB799" w14:textId="2F2F8CA6" w:rsidR="005B1D9D" w:rsidRPr="00B23F61" w:rsidRDefault="005B1D9D" w:rsidP="002F17C8">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Number</w:t>
            </w:r>
          </w:p>
        </w:tc>
        <w:tc>
          <w:tcPr>
            <w:tcW w:w="2100" w:type="dxa"/>
          </w:tcPr>
          <w:p w14:paraId="2C1C41D3" w14:textId="4CEC79BF" w:rsidR="005B1D9D" w:rsidRPr="00B23F61" w:rsidRDefault="005B1D9D" w:rsidP="002F17C8">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Issue or recommendations</w:t>
            </w:r>
          </w:p>
        </w:tc>
        <w:tc>
          <w:tcPr>
            <w:tcW w:w="2087" w:type="dxa"/>
          </w:tcPr>
          <w:p w14:paraId="5315FBF1" w14:textId="0C020A3D" w:rsidR="005B1D9D" w:rsidRPr="00B23F61" w:rsidRDefault="005B1D9D" w:rsidP="002F17C8">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Raised by/ Date</w:t>
            </w:r>
          </w:p>
        </w:tc>
        <w:tc>
          <w:tcPr>
            <w:tcW w:w="2793" w:type="dxa"/>
          </w:tcPr>
          <w:p w14:paraId="0D6F208C" w14:textId="3AB5027C" w:rsidR="005B1D9D" w:rsidRPr="00B23F61" w:rsidRDefault="00EB59D9" w:rsidP="002F17C8">
            <w:pPr>
              <w:pStyle w:val="NormalWeb"/>
              <w:spacing w:before="0" w:beforeAutospacing="0" w:after="0" w:afterAutospacing="0"/>
              <w:rPr>
                <w:rFonts w:ascii="Arial" w:eastAsia="+mn-ea" w:hAnsi="Arial" w:cs="Arial"/>
                <w:position w:val="1"/>
              </w:rPr>
            </w:pPr>
            <w:r w:rsidRPr="00B23F61">
              <w:rPr>
                <w:rFonts w:ascii="Arial" w:eastAsia="+mn-ea" w:hAnsi="Arial" w:cs="Arial"/>
                <w:b/>
                <w:bCs/>
                <w:position w:val="1"/>
              </w:rPr>
              <w:t>Response / Action taken (if appropriate)</w:t>
            </w:r>
          </w:p>
        </w:tc>
        <w:tc>
          <w:tcPr>
            <w:tcW w:w="1394" w:type="dxa"/>
          </w:tcPr>
          <w:p w14:paraId="7B406616" w14:textId="0C71C383" w:rsidR="005B1D9D" w:rsidRPr="00B23F61" w:rsidRDefault="00EB59D9" w:rsidP="002F17C8">
            <w:pPr>
              <w:pStyle w:val="NormalWeb"/>
              <w:spacing w:before="0" w:beforeAutospacing="0" w:after="0" w:afterAutospacing="0"/>
              <w:rPr>
                <w:rFonts w:ascii="Arial" w:eastAsia="+mn-ea" w:hAnsi="Arial" w:cs="Arial"/>
                <w:position w:val="1"/>
              </w:rPr>
            </w:pPr>
            <w:r w:rsidRPr="00B23F61">
              <w:rPr>
                <w:rFonts w:ascii="Arial" w:eastAsia="+mn-ea" w:hAnsi="Arial" w:cs="Arial"/>
                <w:b/>
                <w:bCs/>
                <w:position w:val="1"/>
              </w:rPr>
              <w:t>Response date</w:t>
            </w:r>
          </w:p>
        </w:tc>
        <w:tc>
          <w:tcPr>
            <w:tcW w:w="2092" w:type="dxa"/>
          </w:tcPr>
          <w:p w14:paraId="709941EA" w14:textId="60E118A2" w:rsidR="005B1D9D" w:rsidRPr="00B23F61" w:rsidRDefault="00EB59D9" w:rsidP="002F17C8">
            <w:pPr>
              <w:pStyle w:val="NormalWeb"/>
              <w:spacing w:before="0" w:beforeAutospacing="0" w:after="0" w:afterAutospacing="0"/>
              <w:rPr>
                <w:rFonts w:ascii="Arial" w:eastAsia="+mn-ea" w:hAnsi="Arial" w:cs="Arial"/>
                <w:position w:val="1"/>
              </w:rPr>
            </w:pPr>
            <w:r w:rsidRPr="00B23F61">
              <w:rPr>
                <w:rFonts w:ascii="Arial" w:eastAsia="+mn-ea" w:hAnsi="Arial" w:cs="Arial"/>
                <w:b/>
                <w:bCs/>
                <w:position w:val="1"/>
              </w:rPr>
              <w:t>Resolved</w:t>
            </w:r>
          </w:p>
        </w:tc>
        <w:tc>
          <w:tcPr>
            <w:tcW w:w="2091" w:type="dxa"/>
          </w:tcPr>
          <w:p w14:paraId="4282ABD0" w14:textId="756ACDA2" w:rsidR="005B1D9D" w:rsidRPr="00B23F61" w:rsidRDefault="00EB59D9" w:rsidP="002F17C8">
            <w:pPr>
              <w:pStyle w:val="NormalWeb"/>
              <w:spacing w:before="0" w:beforeAutospacing="0" w:after="0" w:afterAutospacing="0"/>
              <w:rPr>
                <w:rFonts w:ascii="Arial" w:eastAsia="+mn-ea" w:hAnsi="Arial" w:cs="Arial"/>
                <w:position w:val="1"/>
              </w:rPr>
            </w:pPr>
            <w:r w:rsidRPr="00B23F61">
              <w:rPr>
                <w:rFonts w:ascii="Arial" w:eastAsia="+mn-ea" w:hAnsi="Arial" w:cs="Arial"/>
                <w:b/>
                <w:bCs/>
                <w:position w:val="1"/>
              </w:rPr>
              <w:t>Checked by / Date</w:t>
            </w:r>
          </w:p>
        </w:tc>
      </w:tr>
      <w:tr w:rsidR="00EB59D9" w:rsidRPr="00B23F61" w14:paraId="50D1D775" w14:textId="77777777" w:rsidTr="009F780E">
        <w:tc>
          <w:tcPr>
            <w:tcW w:w="2087" w:type="dxa"/>
          </w:tcPr>
          <w:p w14:paraId="7519BE70" w14:textId="392DF84C" w:rsidR="00EB59D9" w:rsidRPr="00B23F61" w:rsidRDefault="00A477AA" w:rsidP="002F17C8">
            <w:pPr>
              <w:pStyle w:val="NormalWeb"/>
              <w:spacing w:before="0" w:beforeAutospacing="0" w:after="0" w:afterAutospacing="0"/>
              <w:rPr>
                <w:rFonts w:ascii="Arial" w:eastAsia="+mn-ea" w:hAnsi="Arial" w:cs="Arial"/>
                <w:position w:val="1"/>
              </w:rPr>
            </w:pPr>
            <w:r w:rsidRPr="00B23F61">
              <w:rPr>
                <w:rFonts w:ascii="Arial" w:eastAsia="+mn-ea" w:hAnsi="Arial" w:cs="Arial"/>
                <w:b/>
                <w:position w:val="1"/>
              </w:rPr>
              <w:t>Criterion:  CLARITY</w:t>
            </w:r>
          </w:p>
        </w:tc>
        <w:tc>
          <w:tcPr>
            <w:tcW w:w="2100" w:type="dxa"/>
          </w:tcPr>
          <w:p w14:paraId="78C8D6FA" w14:textId="77777777" w:rsidR="000C4BB1" w:rsidRPr="00B23F61" w:rsidRDefault="000C4BB1" w:rsidP="000C4BB1">
            <w:pPr>
              <w:rPr>
                <w:rFonts w:ascii="Arial" w:hAnsi="Arial" w:cs="Arial"/>
                <w:sz w:val="24"/>
                <w:szCs w:val="24"/>
              </w:rPr>
            </w:pPr>
            <w:r w:rsidRPr="00B23F61">
              <w:rPr>
                <w:rFonts w:ascii="Arial" w:hAnsi="Arial" w:cs="Arial"/>
                <w:sz w:val="24"/>
                <w:szCs w:val="24"/>
              </w:rPr>
              <w:t>Recommendation made during the assurance of the NHS OF equivalent indicator:</w:t>
            </w:r>
          </w:p>
          <w:p w14:paraId="4BEC3C71" w14:textId="77777777" w:rsidR="000C4BB1" w:rsidRPr="00B23F61" w:rsidRDefault="000C4BB1" w:rsidP="000C4BB1">
            <w:pPr>
              <w:rPr>
                <w:rFonts w:ascii="Arial" w:hAnsi="Arial" w:cs="Arial"/>
                <w:sz w:val="24"/>
                <w:szCs w:val="24"/>
              </w:rPr>
            </w:pPr>
          </w:p>
          <w:p w14:paraId="40D78C33" w14:textId="77777777" w:rsidR="000C4BB1" w:rsidRPr="00B23F61" w:rsidRDefault="000C4BB1" w:rsidP="000C4BB1">
            <w:pPr>
              <w:rPr>
                <w:rFonts w:ascii="Arial" w:hAnsi="Arial" w:cs="Arial"/>
                <w:sz w:val="24"/>
                <w:szCs w:val="24"/>
              </w:rPr>
            </w:pPr>
            <w:r w:rsidRPr="00B23F61">
              <w:rPr>
                <w:rFonts w:ascii="Arial" w:hAnsi="Arial" w:cs="Arial"/>
                <w:sz w:val="24"/>
                <w:szCs w:val="24"/>
              </w:rPr>
              <w:t>The description of indicator needs to be re-worded to better match what is being calculated – i.e. not just patients who recover to their previous levels of mobility but also those who have dropped by no more than one mobility category. DH to be approached for an alternative title.</w:t>
            </w:r>
          </w:p>
          <w:p w14:paraId="282A4F81" w14:textId="77777777" w:rsidR="000C4BB1" w:rsidRPr="00B23F61" w:rsidRDefault="000C4BB1" w:rsidP="000C4BB1">
            <w:pPr>
              <w:rPr>
                <w:rFonts w:ascii="Arial" w:hAnsi="Arial" w:cs="Arial"/>
                <w:sz w:val="24"/>
                <w:szCs w:val="24"/>
              </w:rPr>
            </w:pPr>
          </w:p>
          <w:p w14:paraId="77ABBFC0" w14:textId="7A38CC92" w:rsidR="00EB59D9" w:rsidRPr="00B23F61" w:rsidRDefault="000C4BB1" w:rsidP="000C4BB1">
            <w:pPr>
              <w:pStyle w:val="NormalWeb"/>
              <w:spacing w:before="0" w:beforeAutospacing="0" w:after="0" w:afterAutospacing="0"/>
              <w:rPr>
                <w:rFonts w:ascii="Arial" w:eastAsia="+mn-ea" w:hAnsi="Arial" w:cs="Arial"/>
                <w:position w:val="1"/>
              </w:rPr>
            </w:pPr>
            <w:r w:rsidRPr="00B23F61">
              <w:rPr>
                <w:rFonts w:ascii="Arial" w:hAnsi="Arial" w:cs="Arial"/>
              </w:rPr>
              <w:lastRenderedPageBreak/>
              <w:t>IGB commented that the titling of the indicator does not reflect the description of the construction (i.e. numerator). It is recommended the definitions and descriptions used in the indicator are reviewed ahead of the Autumn 2013 publication.</w:t>
            </w:r>
          </w:p>
        </w:tc>
        <w:tc>
          <w:tcPr>
            <w:tcW w:w="2087" w:type="dxa"/>
          </w:tcPr>
          <w:p w14:paraId="3C82FB5B" w14:textId="35886916" w:rsidR="000C4BB1" w:rsidRPr="000C4BB1" w:rsidRDefault="000C4BB1" w:rsidP="000C4BB1">
            <w:pPr>
              <w:pStyle w:val="NormalWeb"/>
              <w:spacing w:after="0"/>
              <w:rPr>
                <w:rFonts w:ascii="Arial" w:eastAsia="+mn-ea" w:hAnsi="Arial" w:cs="Arial"/>
                <w:position w:val="1"/>
              </w:rPr>
            </w:pPr>
            <w:r w:rsidRPr="000C4BB1">
              <w:rPr>
                <w:rFonts w:ascii="Arial" w:eastAsia="+mn-ea" w:hAnsi="Arial" w:cs="Arial"/>
                <w:position w:val="1"/>
              </w:rPr>
              <w:lastRenderedPageBreak/>
              <w:t>MRG</w:t>
            </w:r>
          </w:p>
          <w:p w14:paraId="692D12F4" w14:textId="11383CFD" w:rsidR="000C4BB1" w:rsidRPr="000C4BB1" w:rsidRDefault="000C4BB1" w:rsidP="000C4BB1">
            <w:pPr>
              <w:pStyle w:val="NormalWeb"/>
              <w:spacing w:after="0"/>
              <w:rPr>
                <w:rFonts w:ascii="Arial" w:eastAsia="+mn-ea" w:hAnsi="Arial" w:cs="Arial"/>
                <w:position w:val="1"/>
              </w:rPr>
            </w:pPr>
            <w:r w:rsidRPr="000C4BB1">
              <w:rPr>
                <w:rFonts w:ascii="Arial" w:eastAsia="+mn-ea" w:hAnsi="Arial" w:cs="Arial"/>
                <w:position w:val="1"/>
              </w:rPr>
              <w:t>8/11/12</w:t>
            </w:r>
          </w:p>
          <w:p w14:paraId="013D1C1F" w14:textId="77777777" w:rsidR="000C4BB1" w:rsidRPr="000C4BB1" w:rsidRDefault="000C4BB1" w:rsidP="000C4BB1">
            <w:pPr>
              <w:pStyle w:val="NormalWeb"/>
              <w:spacing w:after="0"/>
              <w:rPr>
                <w:rFonts w:ascii="Arial" w:eastAsia="+mn-ea" w:hAnsi="Arial" w:cs="Arial"/>
                <w:position w:val="1"/>
              </w:rPr>
            </w:pPr>
            <w:r w:rsidRPr="000C4BB1">
              <w:rPr>
                <w:rFonts w:ascii="Arial" w:eastAsia="+mn-ea" w:hAnsi="Arial" w:cs="Arial"/>
                <w:position w:val="1"/>
              </w:rPr>
              <w:t>IGB</w:t>
            </w:r>
          </w:p>
          <w:p w14:paraId="206C7FF2" w14:textId="77777777" w:rsidR="000C4BB1" w:rsidRPr="000C4BB1" w:rsidRDefault="000C4BB1" w:rsidP="000C4BB1">
            <w:pPr>
              <w:pStyle w:val="NormalWeb"/>
              <w:spacing w:after="0"/>
              <w:rPr>
                <w:rFonts w:ascii="Arial" w:eastAsia="+mn-ea" w:hAnsi="Arial" w:cs="Arial"/>
                <w:position w:val="1"/>
              </w:rPr>
            </w:pPr>
          </w:p>
          <w:p w14:paraId="12E82CB4" w14:textId="7D75209B" w:rsidR="00EB59D9" w:rsidRPr="00B23F61" w:rsidRDefault="000C4BB1" w:rsidP="000C4BB1">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30/11/12</w:t>
            </w:r>
          </w:p>
        </w:tc>
        <w:tc>
          <w:tcPr>
            <w:tcW w:w="2793" w:type="dxa"/>
          </w:tcPr>
          <w:p w14:paraId="5D5E601D" w14:textId="77777777"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t>As this indicator is defined within the NHS Outcomes Framework we are unable to change the actual title.  However, we have updated the definition of the indicator to make it clear that it also covers those patients who were one mobility category worse than previously.  The definition is now:</w:t>
            </w:r>
          </w:p>
          <w:p w14:paraId="7007A3EB" w14:textId="089A1992" w:rsidR="00EB59D9"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 xml:space="preserve">“The indicator measures the proportion of patients, expressed as a percentage, aged 60 or over recovering to a level of mobility at 30 days after their hip fracture, which was better, the same or only one mobility category worse than the mobility </w:t>
            </w:r>
            <w:r w:rsidRPr="00B23F61">
              <w:rPr>
                <w:rFonts w:ascii="Arial" w:eastAsia="+mn-ea" w:hAnsi="Arial" w:cs="Arial"/>
                <w:position w:val="1"/>
              </w:rPr>
              <w:lastRenderedPageBreak/>
              <w:t>category prior to the hip fracture.”</w:t>
            </w:r>
          </w:p>
        </w:tc>
        <w:tc>
          <w:tcPr>
            <w:tcW w:w="1394" w:type="dxa"/>
          </w:tcPr>
          <w:p w14:paraId="702866DA" w14:textId="7CAA5F42" w:rsidR="00EB59D9" w:rsidRPr="00B23F61" w:rsidRDefault="00A477AA" w:rsidP="002F17C8">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lastRenderedPageBreak/>
              <w:t>17/7/15</w:t>
            </w:r>
          </w:p>
        </w:tc>
        <w:tc>
          <w:tcPr>
            <w:tcW w:w="2092" w:type="dxa"/>
          </w:tcPr>
          <w:p w14:paraId="58FEBC65" w14:textId="3C7762BA" w:rsidR="00EB59D9" w:rsidRPr="00B23F61" w:rsidRDefault="00A477AA" w:rsidP="002F17C8">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Yes</w:t>
            </w:r>
          </w:p>
        </w:tc>
        <w:tc>
          <w:tcPr>
            <w:tcW w:w="2091" w:type="dxa"/>
          </w:tcPr>
          <w:p w14:paraId="2C0D2436" w14:textId="77777777"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t>MRG</w:t>
            </w:r>
          </w:p>
          <w:p w14:paraId="0F32FCB1" w14:textId="77777777" w:rsidR="00A477AA" w:rsidRPr="00A477AA" w:rsidRDefault="00A477AA" w:rsidP="00A477AA">
            <w:pPr>
              <w:pStyle w:val="NormalWeb"/>
              <w:spacing w:after="0"/>
              <w:rPr>
                <w:rFonts w:ascii="Arial" w:eastAsia="+mn-ea" w:hAnsi="Arial" w:cs="Arial"/>
                <w:position w:val="1"/>
              </w:rPr>
            </w:pPr>
          </w:p>
          <w:p w14:paraId="3F8E4AA1" w14:textId="3214DA4F" w:rsidR="00EB59D9"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23/07/15</w:t>
            </w:r>
          </w:p>
        </w:tc>
      </w:tr>
      <w:tr w:rsidR="00EB59D9" w:rsidRPr="00B23F61" w14:paraId="1263E25D" w14:textId="77777777" w:rsidTr="009F780E">
        <w:tc>
          <w:tcPr>
            <w:tcW w:w="2087" w:type="dxa"/>
          </w:tcPr>
          <w:p w14:paraId="0601A9E3" w14:textId="79B2ABD2" w:rsidR="00EB59D9" w:rsidRPr="00B23F61" w:rsidRDefault="00A477AA" w:rsidP="002F17C8">
            <w:pPr>
              <w:pStyle w:val="NormalWeb"/>
              <w:spacing w:before="0" w:beforeAutospacing="0" w:after="0" w:afterAutospacing="0"/>
              <w:rPr>
                <w:rFonts w:ascii="Arial" w:eastAsia="+mn-ea" w:hAnsi="Arial" w:cs="Arial"/>
                <w:position w:val="1"/>
              </w:rPr>
            </w:pPr>
            <w:r w:rsidRPr="00B23F61">
              <w:rPr>
                <w:rFonts w:ascii="Arial" w:eastAsia="+mn-ea" w:hAnsi="Arial" w:cs="Arial"/>
                <w:b/>
                <w:position w:val="1"/>
              </w:rPr>
              <w:t>Criterion: RATIONALE</w:t>
            </w:r>
          </w:p>
        </w:tc>
        <w:tc>
          <w:tcPr>
            <w:tcW w:w="2100" w:type="dxa"/>
          </w:tcPr>
          <w:p w14:paraId="08DF1860" w14:textId="66870851" w:rsidR="00EB59D9" w:rsidRPr="00B23F61" w:rsidRDefault="00A477AA" w:rsidP="002F17C8">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The evidence/policy base for measuring patients at 30 and 120 days should be added to the paperwork.</w:t>
            </w:r>
          </w:p>
        </w:tc>
        <w:tc>
          <w:tcPr>
            <w:tcW w:w="2087" w:type="dxa"/>
          </w:tcPr>
          <w:p w14:paraId="61EB6C4B" w14:textId="24E4CA3B"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t>MRG</w:t>
            </w:r>
          </w:p>
          <w:p w14:paraId="71B6C31C" w14:textId="1FA670D5" w:rsidR="00EB59D9"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23/07/15</w:t>
            </w:r>
          </w:p>
        </w:tc>
        <w:tc>
          <w:tcPr>
            <w:tcW w:w="2793" w:type="dxa"/>
          </w:tcPr>
          <w:p w14:paraId="0B67F7C5" w14:textId="77777777" w:rsidR="00EB59D9" w:rsidRPr="00B23F61" w:rsidRDefault="00EB59D9" w:rsidP="002F17C8">
            <w:pPr>
              <w:pStyle w:val="NormalWeb"/>
              <w:spacing w:before="0" w:beforeAutospacing="0" w:after="0" w:afterAutospacing="0"/>
              <w:rPr>
                <w:rFonts w:ascii="Arial" w:eastAsia="+mn-ea" w:hAnsi="Arial" w:cs="Arial"/>
                <w:position w:val="1"/>
              </w:rPr>
            </w:pPr>
          </w:p>
        </w:tc>
        <w:tc>
          <w:tcPr>
            <w:tcW w:w="1394" w:type="dxa"/>
          </w:tcPr>
          <w:p w14:paraId="2E98F7F1" w14:textId="77777777" w:rsidR="00EB59D9" w:rsidRPr="00B23F61" w:rsidRDefault="00EB59D9" w:rsidP="002F17C8">
            <w:pPr>
              <w:pStyle w:val="NormalWeb"/>
              <w:spacing w:before="0" w:beforeAutospacing="0" w:after="0" w:afterAutospacing="0"/>
              <w:rPr>
                <w:rFonts w:ascii="Arial" w:eastAsia="+mn-ea" w:hAnsi="Arial" w:cs="Arial"/>
                <w:position w:val="1"/>
              </w:rPr>
            </w:pPr>
          </w:p>
        </w:tc>
        <w:tc>
          <w:tcPr>
            <w:tcW w:w="2092" w:type="dxa"/>
          </w:tcPr>
          <w:p w14:paraId="3D6C94F2" w14:textId="77777777" w:rsidR="00EB59D9" w:rsidRPr="00B23F61" w:rsidRDefault="00EB59D9" w:rsidP="002F17C8">
            <w:pPr>
              <w:pStyle w:val="NormalWeb"/>
              <w:spacing w:before="0" w:beforeAutospacing="0" w:after="0" w:afterAutospacing="0"/>
              <w:rPr>
                <w:rFonts w:ascii="Arial" w:eastAsia="+mn-ea" w:hAnsi="Arial" w:cs="Arial"/>
                <w:position w:val="1"/>
              </w:rPr>
            </w:pPr>
          </w:p>
        </w:tc>
        <w:tc>
          <w:tcPr>
            <w:tcW w:w="2091" w:type="dxa"/>
          </w:tcPr>
          <w:p w14:paraId="099ACAD4" w14:textId="77777777" w:rsidR="00EB59D9" w:rsidRPr="00B23F61" w:rsidRDefault="00EB59D9" w:rsidP="002F17C8">
            <w:pPr>
              <w:pStyle w:val="NormalWeb"/>
              <w:spacing w:before="0" w:beforeAutospacing="0" w:after="0" w:afterAutospacing="0"/>
              <w:rPr>
                <w:rFonts w:ascii="Arial" w:eastAsia="+mn-ea" w:hAnsi="Arial" w:cs="Arial"/>
                <w:position w:val="1"/>
              </w:rPr>
            </w:pPr>
          </w:p>
        </w:tc>
      </w:tr>
      <w:tr w:rsidR="00A477AA" w:rsidRPr="00B23F61" w14:paraId="64822CA7" w14:textId="77777777" w:rsidTr="009F780E">
        <w:tc>
          <w:tcPr>
            <w:tcW w:w="2087" w:type="dxa"/>
          </w:tcPr>
          <w:p w14:paraId="66555F66" w14:textId="57C20609"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b/>
                <w:position w:val="1"/>
              </w:rPr>
              <w:t>Criterion: DATA</w:t>
            </w:r>
          </w:p>
        </w:tc>
        <w:tc>
          <w:tcPr>
            <w:tcW w:w="2100" w:type="dxa"/>
          </w:tcPr>
          <w:p w14:paraId="2723ABD8" w14:textId="77777777"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t>Recommendation made during the assurance of the NHS OF equivalent indicator:</w:t>
            </w:r>
          </w:p>
          <w:p w14:paraId="1E84391D" w14:textId="77777777" w:rsidR="00A477AA" w:rsidRPr="00A477AA" w:rsidRDefault="00A477AA" w:rsidP="00A477AA">
            <w:pPr>
              <w:pStyle w:val="NormalWeb"/>
              <w:spacing w:after="0"/>
              <w:rPr>
                <w:rFonts w:ascii="Arial" w:eastAsia="+mn-ea" w:hAnsi="Arial" w:cs="Arial"/>
                <w:position w:val="1"/>
              </w:rPr>
            </w:pPr>
          </w:p>
          <w:p w14:paraId="7439C9A2" w14:textId="518FD77D"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lastRenderedPageBreak/>
              <w:t>Clarification should be provided on the rationale for the exclusion of patients aged under 60</w:t>
            </w:r>
          </w:p>
        </w:tc>
        <w:tc>
          <w:tcPr>
            <w:tcW w:w="2087" w:type="dxa"/>
            <w:vAlign w:val="center"/>
          </w:tcPr>
          <w:p w14:paraId="1A3B6F19" w14:textId="77777777" w:rsidR="00A477AA" w:rsidRPr="00B23F61" w:rsidRDefault="00A477AA" w:rsidP="00A477AA">
            <w:pPr>
              <w:rPr>
                <w:rFonts w:ascii="Arial" w:hAnsi="Arial" w:cs="Arial"/>
                <w:sz w:val="24"/>
                <w:szCs w:val="24"/>
              </w:rPr>
            </w:pPr>
            <w:r w:rsidRPr="00B23F61">
              <w:rPr>
                <w:rFonts w:ascii="Arial" w:hAnsi="Arial" w:cs="Arial"/>
                <w:sz w:val="24"/>
                <w:szCs w:val="24"/>
              </w:rPr>
              <w:lastRenderedPageBreak/>
              <w:t>MRG</w:t>
            </w:r>
          </w:p>
          <w:p w14:paraId="7521CD46" w14:textId="77777777" w:rsidR="00A477AA" w:rsidRPr="00B23F61" w:rsidRDefault="00A477AA" w:rsidP="00A477AA">
            <w:pPr>
              <w:rPr>
                <w:rFonts w:ascii="Arial" w:hAnsi="Arial" w:cs="Arial"/>
                <w:sz w:val="24"/>
                <w:szCs w:val="24"/>
              </w:rPr>
            </w:pPr>
          </w:p>
          <w:p w14:paraId="67F9362C" w14:textId="2CCCE34D"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hAnsi="Arial" w:cs="Arial"/>
              </w:rPr>
              <w:t>8/11/12</w:t>
            </w:r>
          </w:p>
        </w:tc>
        <w:tc>
          <w:tcPr>
            <w:tcW w:w="2793" w:type="dxa"/>
            <w:vAlign w:val="center"/>
          </w:tcPr>
          <w:p w14:paraId="5EA02C98" w14:textId="4B38D7F7"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hAnsi="Arial" w:cs="Arial"/>
              </w:rPr>
              <w:t>Data for the under 60s isn’t collected as part of the NHFD.</w:t>
            </w:r>
          </w:p>
        </w:tc>
        <w:tc>
          <w:tcPr>
            <w:tcW w:w="1394" w:type="dxa"/>
            <w:vAlign w:val="center"/>
          </w:tcPr>
          <w:p w14:paraId="41DBB1AA" w14:textId="5EC1F426"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hAnsi="Arial" w:cs="Arial"/>
              </w:rPr>
              <w:t>17/07/15</w:t>
            </w:r>
          </w:p>
        </w:tc>
        <w:tc>
          <w:tcPr>
            <w:tcW w:w="2092" w:type="dxa"/>
          </w:tcPr>
          <w:p w14:paraId="555819F5" w14:textId="77777777" w:rsidR="00A477AA" w:rsidRPr="00B23F61" w:rsidRDefault="00A477AA" w:rsidP="00A477AA">
            <w:pPr>
              <w:pStyle w:val="NormalWeb"/>
              <w:spacing w:before="0" w:beforeAutospacing="0" w:after="0" w:afterAutospacing="0"/>
              <w:rPr>
                <w:rFonts w:ascii="Arial" w:eastAsia="+mn-ea" w:hAnsi="Arial" w:cs="Arial"/>
                <w:position w:val="1"/>
              </w:rPr>
            </w:pPr>
          </w:p>
          <w:p w14:paraId="0BE15920" w14:textId="77777777" w:rsidR="00A477AA" w:rsidRPr="00B23F61" w:rsidRDefault="00A477AA" w:rsidP="00A477AA">
            <w:pPr>
              <w:pStyle w:val="NormalWeb"/>
              <w:spacing w:before="0" w:beforeAutospacing="0" w:after="0" w:afterAutospacing="0"/>
              <w:rPr>
                <w:rFonts w:ascii="Arial" w:eastAsia="+mn-ea" w:hAnsi="Arial" w:cs="Arial"/>
                <w:position w:val="1"/>
              </w:rPr>
            </w:pPr>
          </w:p>
          <w:p w14:paraId="24CCA564" w14:textId="77777777" w:rsidR="00A477AA" w:rsidRPr="00B23F61" w:rsidRDefault="00A477AA" w:rsidP="00A477AA">
            <w:pPr>
              <w:pStyle w:val="NormalWeb"/>
              <w:spacing w:before="0" w:beforeAutospacing="0" w:after="0" w:afterAutospacing="0"/>
              <w:rPr>
                <w:rFonts w:ascii="Arial" w:eastAsia="+mn-ea" w:hAnsi="Arial" w:cs="Arial"/>
                <w:position w:val="1"/>
              </w:rPr>
            </w:pPr>
          </w:p>
          <w:p w14:paraId="2B1C522D" w14:textId="77777777" w:rsidR="00A477AA" w:rsidRPr="00B23F61" w:rsidRDefault="00A477AA" w:rsidP="00A477AA">
            <w:pPr>
              <w:pStyle w:val="NormalWeb"/>
              <w:spacing w:before="0" w:beforeAutospacing="0" w:after="0" w:afterAutospacing="0"/>
              <w:rPr>
                <w:rFonts w:ascii="Arial" w:eastAsia="+mn-ea" w:hAnsi="Arial" w:cs="Arial"/>
                <w:position w:val="1"/>
              </w:rPr>
            </w:pPr>
          </w:p>
          <w:p w14:paraId="44FF515B" w14:textId="77777777" w:rsidR="00A477AA" w:rsidRPr="00B23F61" w:rsidRDefault="00A477AA" w:rsidP="00A477AA">
            <w:pPr>
              <w:pStyle w:val="NormalWeb"/>
              <w:spacing w:before="0" w:beforeAutospacing="0" w:after="0" w:afterAutospacing="0"/>
              <w:rPr>
                <w:rFonts w:ascii="Arial" w:eastAsia="+mn-ea" w:hAnsi="Arial" w:cs="Arial"/>
                <w:position w:val="1"/>
              </w:rPr>
            </w:pPr>
          </w:p>
          <w:p w14:paraId="243B968F" w14:textId="13B7BA98"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Yes</w:t>
            </w:r>
          </w:p>
        </w:tc>
        <w:tc>
          <w:tcPr>
            <w:tcW w:w="2091" w:type="dxa"/>
          </w:tcPr>
          <w:p w14:paraId="2D71476A" w14:textId="77777777"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t>MRG</w:t>
            </w:r>
          </w:p>
          <w:p w14:paraId="6DCD7849" w14:textId="77777777" w:rsidR="00A477AA" w:rsidRPr="00A477AA" w:rsidRDefault="00A477AA" w:rsidP="00A477AA">
            <w:pPr>
              <w:pStyle w:val="NormalWeb"/>
              <w:spacing w:after="0"/>
              <w:rPr>
                <w:rFonts w:ascii="Arial" w:eastAsia="+mn-ea" w:hAnsi="Arial" w:cs="Arial"/>
                <w:position w:val="1"/>
              </w:rPr>
            </w:pPr>
          </w:p>
          <w:p w14:paraId="1D0BB096" w14:textId="7E8C6CFF"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23/07/15</w:t>
            </w:r>
          </w:p>
        </w:tc>
      </w:tr>
      <w:tr w:rsidR="00A477AA" w:rsidRPr="00B23F61" w14:paraId="70371582" w14:textId="77777777" w:rsidTr="009F780E">
        <w:tc>
          <w:tcPr>
            <w:tcW w:w="2087" w:type="dxa"/>
          </w:tcPr>
          <w:p w14:paraId="4806A1E5"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2100" w:type="dxa"/>
          </w:tcPr>
          <w:p w14:paraId="417DA568" w14:textId="0FF88CA4"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The percentage of cases included in the indicator is very low, which makes sample bias very likely. In addition, due to small numbers, a large percentage of results are suppressed.</w:t>
            </w:r>
          </w:p>
        </w:tc>
        <w:tc>
          <w:tcPr>
            <w:tcW w:w="2087" w:type="dxa"/>
          </w:tcPr>
          <w:p w14:paraId="23818EB5" w14:textId="77777777"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t>MRG</w:t>
            </w:r>
          </w:p>
          <w:p w14:paraId="3C4C7106" w14:textId="77777777" w:rsidR="00A477AA" w:rsidRPr="00A477AA" w:rsidRDefault="00A477AA" w:rsidP="00A477AA">
            <w:pPr>
              <w:pStyle w:val="NormalWeb"/>
              <w:spacing w:after="0"/>
              <w:rPr>
                <w:rFonts w:ascii="Arial" w:eastAsia="+mn-ea" w:hAnsi="Arial" w:cs="Arial"/>
                <w:position w:val="1"/>
              </w:rPr>
            </w:pPr>
          </w:p>
          <w:p w14:paraId="0C3F711C" w14:textId="5B98C0A7"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23/07/15</w:t>
            </w:r>
          </w:p>
        </w:tc>
        <w:tc>
          <w:tcPr>
            <w:tcW w:w="2793" w:type="dxa"/>
          </w:tcPr>
          <w:p w14:paraId="78E2E8FB"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1394" w:type="dxa"/>
          </w:tcPr>
          <w:p w14:paraId="3410CCA9"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2092" w:type="dxa"/>
          </w:tcPr>
          <w:p w14:paraId="03884365"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2091" w:type="dxa"/>
          </w:tcPr>
          <w:p w14:paraId="1D8E1E8F" w14:textId="77777777" w:rsidR="00A477AA" w:rsidRPr="00B23F61" w:rsidRDefault="00A477AA" w:rsidP="00A477AA">
            <w:pPr>
              <w:pStyle w:val="NormalWeb"/>
              <w:spacing w:before="0" w:beforeAutospacing="0" w:after="0" w:afterAutospacing="0"/>
              <w:rPr>
                <w:rFonts w:ascii="Arial" w:eastAsia="+mn-ea" w:hAnsi="Arial" w:cs="Arial"/>
                <w:position w:val="1"/>
              </w:rPr>
            </w:pPr>
          </w:p>
        </w:tc>
      </w:tr>
      <w:tr w:rsidR="00A477AA" w:rsidRPr="00B23F61" w14:paraId="48843ACD" w14:textId="77777777" w:rsidTr="009F780E">
        <w:tc>
          <w:tcPr>
            <w:tcW w:w="2087" w:type="dxa"/>
          </w:tcPr>
          <w:p w14:paraId="5687E80B"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2100" w:type="dxa"/>
          </w:tcPr>
          <w:p w14:paraId="36DDC716" w14:textId="23FCD001"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Related to the point above, there are no incentives to improve the data quality, and as the mobility levels are self-reported, there is no clear mechanism for improvement.</w:t>
            </w:r>
          </w:p>
        </w:tc>
        <w:tc>
          <w:tcPr>
            <w:tcW w:w="2087" w:type="dxa"/>
          </w:tcPr>
          <w:p w14:paraId="0B7465FC" w14:textId="77777777"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t>MRG</w:t>
            </w:r>
          </w:p>
          <w:p w14:paraId="0B7932E4" w14:textId="77777777" w:rsidR="00A477AA" w:rsidRPr="00A477AA" w:rsidRDefault="00A477AA" w:rsidP="00A477AA">
            <w:pPr>
              <w:pStyle w:val="NormalWeb"/>
              <w:spacing w:after="0"/>
              <w:rPr>
                <w:rFonts w:ascii="Arial" w:eastAsia="+mn-ea" w:hAnsi="Arial" w:cs="Arial"/>
                <w:position w:val="1"/>
              </w:rPr>
            </w:pPr>
          </w:p>
          <w:p w14:paraId="752B6FB4" w14:textId="43A20D19"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23/07/15</w:t>
            </w:r>
          </w:p>
        </w:tc>
        <w:tc>
          <w:tcPr>
            <w:tcW w:w="2793" w:type="dxa"/>
          </w:tcPr>
          <w:p w14:paraId="5F853182" w14:textId="77777777"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t>IGB noted MRG’s concern around the poor data quality of the indicators and suggested that feedback was need to be given to NICE around the lack of mandate to collect some of the data fields used in the indicator.</w:t>
            </w:r>
          </w:p>
          <w:p w14:paraId="1E694EFE"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1394" w:type="dxa"/>
          </w:tcPr>
          <w:p w14:paraId="490830D4"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2092" w:type="dxa"/>
          </w:tcPr>
          <w:p w14:paraId="5A460497"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2091" w:type="dxa"/>
          </w:tcPr>
          <w:p w14:paraId="4B2AEAF3" w14:textId="77777777" w:rsidR="00A477AA" w:rsidRPr="00B23F61" w:rsidRDefault="00A477AA" w:rsidP="00A477AA">
            <w:pPr>
              <w:pStyle w:val="NormalWeb"/>
              <w:spacing w:before="0" w:beforeAutospacing="0" w:after="0" w:afterAutospacing="0"/>
              <w:rPr>
                <w:rFonts w:ascii="Arial" w:eastAsia="+mn-ea" w:hAnsi="Arial" w:cs="Arial"/>
                <w:position w:val="1"/>
              </w:rPr>
            </w:pPr>
          </w:p>
        </w:tc>
      </w:tr>
      <w:tr w:rsidR="00A477AA" w:rsidRPr="00B23F61" w14:paraId="0AE50FBD" w14:textId="77777777" w:rsidTr="009F780E">
        <w:tc>
          <w:tcPr>
            <w:tcW w:w="2087" w:type="dxa"/>
          </w:tcPr>
          <w:p w14:paraId="3D9F44EE" w14:textId="7DE605F6"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b/>
                <w:position w:val="1"/>
              </w:rPr>
              <w:t>Criterion: CONSTRUCTION</w:t>
            </w:r>
          </w:p>
        </w:tc>
        <w:tc>
          <w:tcPr>
            <w:tcW w:w="2100" w:type="dxa"/>
          </w:tcPr>
          <w:p w14:paraId="22243468" w14:textId="75850F36" w:rsidR="00A477AA" w:rsidRPr="00B23F61" w:rsidRDefault="00A477AA"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 xml:space="preserve">The mobility scale used is not </w:t>
            </w:r>
            <w:r w:rsidRPr="00B23F61">
              <w:rPr>
                <w:rFonts w:ascii="Arial" w:eastAsia="+mn-ea" w:hAnsi="Arial" w:cs="Arial"/>
                <w:position w:val="1"/>
              </w:rPr>
              <w:lastRenderedPageBreak/>
              <w:t>sensitive, as it is only a  5 point scale. Due to the nature of the measure, patients with a pre-</w:t>
            </w:r>
            <w:proofErr w:type="spellStart"/>
            <w:r w:rsidRPr="00B23F61">
              <w:rPr>
                <w:rFonts w:ascii="Arial" w:eastAsia="+mn-ea" w:hAnsi="Arial" w:cs="Arial"/>
                <w:position w:val="1"/>
              </w:rPr>
              <w:t>acident</w:t>
            </w:r>
            <w:proofErr w:type="spellEnd"/>
            <w:r w:rsidRPr="00B23F61">
              <w:rPr>
                <w:rFonts w:ascii="Arial" w:eastAsia="+mn-ea" w:hAnsi="Arial" w:cs="Arial"/>
                <w:position w:val="1"/>
              </w:rPr>
              <w:t xml:space="preserve"> score of 4 or 5 have to be excluded from the indicator, as these will be seen as an automatic success if included (as it is not possible to drop two points). The group were concerned that due to the crude nature of the scale, they were unsure as to whether patients who dropped on mobility point should be included as a positive result.</w:t>
            </w:r>
          </w:p>
        </w:tc>
        <w:tc>
          <w:tcPr>
            <w:tcW w:w="2087" w:type="dxa"/>
          </w:tcPr>
          <w:p w14:paraId="7FE9C2EA" w14:textId="77777777" w:rsidR="00A477AA" w:rsidRPr="00A477AA" w:rsidRDefault="00A477AA" w:rsidP="00A477AA">
            <w:pPr>
              <w:pStyle w:val="NormalWeb"/>
              <w:spacing w:after="0"/>
              <w:rPr>
                <w:rFonts w:ascii="Arial" w:eastAsia="+mn-ea" w:hAnsi="Arial" w:cs="Arial"/>
                <w:position w:val="1"/>
              </w:rPr>
            </w:pPr>
            <w:r w:rsidRPr="00A477AA">
              <w:rPr>
                <w:rFonts w:ascii="Arial" w:eastAsia="+mn-ea" w:hAnsi="Arial" w:cs="Arial"/>
                <w:position w:val="1"/>
              </w:rPr>
              <w:lastRenderedPageBreak/>
              <w:t>MRG</w:t>
            </w:r>
          </w:p>
          <w:p w14:paraId="45E77CC0" w14:textId="77777777" w:rsidR="00A477AA" w:rsidRPr="00A477AA" w:rsidRDefault="00A477AA" w:rsidP="00A477AA">
            <w:pPr>
              <w:pStyle w:val="NormalWeb"/>
              <w:spacing w:after="0"/>
              <w:rPr>
                <w:rFonts w:ascii="Arial" w:eastAsia="+mn-ea" w:hAnsi="Arial" w:cs="Arial"/>
                <w:position w:val="1"/>
              </w:rPr>
            </w:pPr>
          </w:p>
          <w:p w14:paraId="61FB3A5E" w14:textId="5CA9A166" w:rsidR="00A477AA" w:rsidRPr="00B23F61" w:rsidRDefault="00A477AA" w:rsidP="00A477AA">
            <w:pPr>
              <w:pStyle w:val="NormalWeb"/>
              <w:spacing w:after="0"/>
              <w:rPr>
                <w:rFonts w:ascii="Arial" w:eastAsia="+mn-ea" w:hAnsi="Arial" w:cs="Arial"/>
                <w:position w:val="1"/>
              </w:rPr>
            </w:pPr>
            <w:r w:rsidRPr="00B23F61">
              <w:rPr>
                <w:rFonts w:ascii="Arial" w:eastAsia="+mn-ea" w:hAnsi="Arial" w:cs="Arial"/>
                <w:position w:val="1"/>
              </w:rPr>
              <w:t>23/07/15</w:t>
            </w:r>
          </w:p>
        </w:tc>
        <w:tc>
          <w:tcPr>
            <w:tcW w:w="2793" w:type="dxa"/>
          </w:tcPr>
          <w:p w14:paraId="7DFB1803" w14:textId="77777777" w:rsidR="00A477AA" w:rsidRPr="00B23F61" w:rsidRDefault="00A477AA" w:rsidP="00A477AA">
            <w:pPr>
              <w:pStyle w:val="NormalWeb"/>
              <w:spacing w:after="0"/>
              <w:rPr>
                <w:rFonts w:ascii="Arial" w:eastAsia="+mn-ea" w:hAnsi="Arial" w:cs="Arial"/>
                <w:position w:val="1"/>
              </w:rPr>
            </w:pPr>
          </w:p>
        </w:tc>
        <w:tc>
          <w:tcPr>
            <w:tcW w:w="1394" w:type="dxa"/>
          </w:tcPr>
          <w:p w14:paraId="24D53290"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2092" w:type="dxa"/>
          </w:tcPr>
          <w:p w14:paraId="22018160" w14:textId="77777777" w:rsidR="00A477AA" w:rsidRPr="00B23F61" w:rsidRDefault="00A477AA" w:rsidP="00A477AA">
            <w:pPr>
              <w:pStyle w:val="NormalWeb"/>
              <w:spacing w:before="0" w:beforeAutospacing="0" w:after="0" w:afterAutospacing="0"/>
              <w:rPr>
                <w:rFonts w:ascii="Arial" w:eastAsia="+mn-ea" w:hAnsi="Arial" w:cs="Arial"/>
                <w:position w:val="1"/>
              </w:rPr>
            </w:pPr>
          </w:p>
        </w:tc>
        <w:tc>
          <w:tcPr>
            <w:tcW w:w="2091" w:type="dxa"/>
          </w:tcPr>
          <w:p w14:paraId="2ECD0928" w14:textId="77777777" w:rsidR="00A477AA" w:rsidRPr="00B23F61" w:rsidRDefault="00A477AA" w:rsidP="00A477AA">
            <w:pPr>
              <w:pStyle w:val="NormalWeb"/>
              <w:spacing w:before="0" w:beforeAutospacing="0" w:after="0" w:afterAutospacing="0"/>
              <w:rPr>
                <w:rFonts w:ascii="Arial" w:eastAsia="+mn-ea" w:hAnsi="Arial" w:cs="Arial"/>
                <w:position w:val="1"/>
              </w:rPr>
            </w:pPr>
          </w:p>
        </w:tc>
      </w:tr>
      <w:tr w:rsidR="009F780E" w:rsidRPr="00B23F61" w14:paraId="7DF32EE2" w14:textId="77777777" w:rsidTr="009F780E">
        <w:tc>
          <w:tcPr>
            <w:tcW w:w="2087" w:type="dxa"/>
          </w:tcPr>
          <w:p w14:paraId="07C7EDB1" w14:textId="01B0DCF7" w:rsidR="009F780E" w:rsidRPr="00B23F61" w:rsidRDefault="009F780E" w:rsidP="00A477AA">
            <w:pPr>
              <w:pStyle w:val="NormalWeb"/>
              <w:spacing w:before="0" w:beforeAutospacing="0" w:after="0" w:afterAutospacing="0"/>
              <w:rPr>
                <w:rFonts w:ascii="Arial" w:eastAsia="+mn-ea" w:hAnsi="Arial" w:cs="Arial"/>
                <w:b/>
                <w:position w:val="1"/>
              </w:rPr>
            </w:pPr>
            <w:r w:rsidRPr="00B23F61">
              <w:rPr>
                <w:rFonts w:ascii="Arial" w:eastAsia="+mn-ea" w:hAnsi="Arial" w:cs="Arial"/>
                <w:b/>
                <w:position w:val="1"/>
              </w:rPr>
              <w:t>Criterion: INTERPRETATION</w:t>
            </w:r>
          </w:p>
        </w:tc>
        <w:tc>
          <w:tcPr>
            <w:tcW w:w="2100" w:type="dxa"/>
          </w:tcPr>
          <w:p w14:paraId="1BF662E3" w14:textId="26F38201" w:rsidR="009F780E" w:rsidRPr="00B23F61" w:rsidRDefault="009F780E"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 xml:space="preserve">Interpretation of the indicator is difficult due to the likely sample bias and that it is not </w:t>
            </w:r>
            <w:r w:rsidRPr="00B23F61">
              <w:rPr>
                <w:rFonts w:ascii="Arial" w:eastAsia="+mn-ea" w:hAnsi="Arial" w:cs="Arial"/>
                <w:position w:val="1"/>
              </w:rPr>
              <w:lastRenderedPageBreak/>
              <w:t>possible for the confidence intervals to take this into consideration. Due to construction including patients who drop one mobility point being included as a positive result, providers may think they are performing well when they are not.</w:t>
            </w:r>
          </w:p>
        </w:tc>
        <w:tc>
          <w:tcPr>
            <w:tcW w:w="2087" w:type="dxa"/>
          </w:tcPr>
          <w:p w14:paraId="44BA373B" w14:textId="77777777" w:rsidR="009F780E" w:rsidRPr="009F780E" w:rsidRDefault="009F780E" w:rsidP="009F780E">
            <w:pPr>
              <w:pStyle w:val="NormalWeb"/>
              <w:spacing w:after="0"/>
              <w:rPr>
                <w:rFonts w:ascii="Arial" w:eastAsia="+mn-ea" w:hAnsi="Arial" w:cs="Arial"/>
                <w:position w:val="1"/>
              </w:rPr>
            </w:pPr>
            <w:r w:rsidRPr="009F780E">
              <w:rPr>
                <w:rFonts w:ascii="Arial" w:eastAsia="+mn-ea" w:hAnsi="Arial" w:cs="Arial"/>
                <w:position w:val="1"/>
              </w:rPr>
              <w:lastRenderedPageBreak/>
              <w:t>MRG</w:t>
            </w:r>
          </w:p>
          <w:p w14:paraId="36E5B710" w14:textId="77777777" w:rsidR="009F780E" w:rsidRPr="009F780E" w:rsidRDefault="009F780E" w:rsidP="009F780E">
            <w:pPr>
              <w:pStyle w:val="NormalWeb"/>
              <w:spacing w:after="0"/>
              <w:rPr>
                <w:rFonts w:ascii="Arial" w:eastAsia="+mn-ea" w:hAnsi="Arial" w:cs="Arial"/>
                <w:position w:val="1"/>
              </w:rPr>
            </w:pPr>
          </w:p>
          <w:p w14:paraId="563C7229" w14:textId="25ACB87B" w:rsidR="009F780E" w:rsidRPr="00B23F61" w:rsidRDefault="009F780E" w:rsidP="009F780E">
            <w:pPr>
              <w:pStyle w:val="NormalWeb"/>
              <w:spacing w:after="0"/>
              <w:rPr>
                <w:rFonts w:ascii="Arial" w:eastAsia="+mn-ea" w:hAnsi="Arial" w:cs="Arial"/>
                <w:position w:val="1"/>
              </w:rPr>
            </w:pPr>
            <w:r w:rsidRPr="00B23F61">
              <w:rPr>
                <w:rFonts w:ascii="Arial" w:eastAsia="+mn-ea" w:hAnsi="Arial" w:cs="Arial"/>
                <w:position w:val="1"/>
              </w:rPr>
              <w:t>23/07/15</w:t>
            </w:r>
          </w:p>
        </w:tc>
        <w:tc>
          <w:tcPr>
            <w:tcW w:w="2793" w:type="dxa"/>
          </w:tcPr>
          <w:p w14:paraId="67F4649C" w14:textId="77777777" w:rsidR="009F780E" w:rsidRPr="00B23F61" w:rsidRDefault="009F780E" w:rsidP="00A477AA">
            <w:pPr>
              <w:pStyle w:val="NormalWeb"/>
              <w:spacing w:after="0"/>
              <w:rPr>
                <w:rFonts w:ascii="Arial" w:eastAsia="+mn-ea" w:hAnsi="Arial" w:cs="Arial"/>
                <w:position w:val="1"/>
              </w:rPr>
            </w:pPr>
          </w:p>
        </w:tc>
        <w:tc>
          <w:tcPr>
            <w:tcW w:w="1394" w:type="dxa"/>
          </w:tcPr>
          <w:p w14:paraId="25C4AD15" w14:textId="77777777" w:rsidR="009F780E" w:rsidRPr="00B23F61" w:rsidRDefault="009F780E" w:rsidP="00A477AA">
            <w:pPr>
              <w:pStyle w:val="NormalWeb"/>
              <w:spacing w:before="0" w:beforeAutospacing="0" w:after="0" w:afterAutospacing="0"/>
              <w:rPr>
                <w:rFonts w:ascii="Arial" w:eastAsia="+mn-ea" w:hAnsi="Arial" w:cs="Arial"/>
                <w:position w:val="1"/>
              </w:rPr>
            </w:pPr>
          </w:p>
        </w:tc>
        <w:tc>
          <w:tcPr>
            <w:tcW w:w="2092" w:type="dxa"/>
          </w:tcPr>
          <w:p w14:paraId="0530D480" w14:textId="77777777" w:rsidR="009F780E" w:rsidRPr="00B23F61" w:rsidRDefault="009F780E" w:rsidP="00A477AA">
            <w:pPr>
              <w:pStyle w:val="NormalWeb"/>
              <w:spacing w:before="0" w:beforeAutospacing="0" w:after="0" w:afterAutospacing="0"/>
              <w:rPr>
                <w:rFonts w:ascii="Arial" w:eastAsia="+mn-ea" w:hAnsi="Arial" w:cs="Arial"/>
                <w:position w:val="1"/>
              </w:rPr>
            </w:pPr>
          </w:p>
        </w:tc>
        <w:tc>
          <w:tcPr>
            <w:tcW w:w="2091" w:type="dxa"/>
          </w:tcPr>
          <w:p w14:paraId="3D54EC1F" w14:textId="77777777" w:rsidR="009F780E" w:rsidRPr="00B23F61" w:rsidRDefault="009F780E" w:rsidP="00A477AA">
            <w:pPr>
              <w:pStyle w:val="NormalWeb"/>
              <w:spacing w:before="0" w:beforeAutospacing="0" w:after="0" w:afterAutospacing="0"/>
              <w:rPr>
                <w:rFonts w:ascii="Arial" w:eastAsia="+mn-ea" w:hAnsi="Arial" w:cs="Arial"/>
                <w:position w:val="1"/>
              </w:rPr>
            </w:pPr>
          </w:p>
        </w:tc>
      </w:tr>
      <w:tr w:rsidR="009F780E" w:rsidRPr="00B23F61" w14:paraId="478BED73" w14:textId="77777777" w:rsidTr="009F780E">
        <w:tc>
          <w:tcPr>
            <w:tcW w:w="2087" w:type="dxa"/>
          </w:tcPr>
          <w:p w14:paraId="3C64B9C8" w14:textId="61B68017" w:rsidR="009F780E" w:rsidRPr="00B23F61" w:rsidRDefault="009F780E" w:rsidP="00A477AA">
            <w:pPr>
              <w:pStyle w:val="NormalWeb"/>
              <w:spacing w:before="0" w:beforeAutospacing="0" w:after="0" w:afterAutospacing="0"/>
              <w:rPr>
                <w:rFonts w:ascii="Arial" w:eastAsia="+mn-ea" w:hAnsi="Arial" w:cs="Arial"/>
                <w:b/>
                <w:position w:val="1"/>
              </w:rPr>
            </w:pPr>
            <w:r w:rsidRPr="00B23F61">
              <w:rPr>
                <w:rFonts w:ascii="Arial" w:eastAsia="+mn-ea" w:hAnsi="Arial" w:cs="Arial"/>
                <w:b/>
                <w:position w:val="1"/>
              </w:rPr>
              <w:t>Criterion: RISKS AND USEFULNESS</w:t>
            </w:r>
          </w:p>
          <w:p w14:paraId="255EAF79" w14:textId="77777777" w:rsidR="009F780E" w:rsidRPr="00B23F61" w:rsidRDefault="009F780E" w:rsidP="00A477AA">
            <w:pPr>
              <w:pStyle w:val="NormalWeb"/>
              <w:spacing w:before="0" w:beforeAutospacing="0" w:after="0" w:afterAutospacing="0"/>
              <w:rPr>
                <w:rFonts w:ascii="Arial" w:eastAsia="+mn-ea" w:hAnsi="Arial" w:cs="Arial"/>
                <w:b/>
                <w:position w:val="1"/>
              </w:rPr>
            </w:pPr>
          </w:p>
          <w:p w14:paraId="5A002A68" w14:textId="77777777" w:rsidR="009F780E" w:rsidRPr="00B23F61" w:rsidRDefault="009F780E" w:rsidP="00A477AA">
            <w:pPr>
              <w:pStyle w:val="NormalWeb"/>
              <w:spacing w:before="0" w:beforeAutospacing="0" w:after="0" w:afterAutospacing="0"/>
              <w:rPr>
                <w:rFonts w:ascii="Arial" w:eastAsia="+mn-ea" w:hAnsi="Arial" w:cs="Arial"/>
                <w:b/>
                <w:position w:val="1"/>
              </w:rPr>
            </w:pPr>
          </w:p>
          <w:p w14:paraId="4E439958" w14:textId="77777777" w:rsidR="009F780E" w:rsidRPr="00B23F61" w:rsidRDefault="009F780E" w:rsidP="00A477AA">
            <w:pPr>
              <w:pStyle w:val="NormalWeb"/>
              <w:spacing w:before="0" w:beforeAutospacing="0" w:after="0" w:afterAutospacing="0"/>
              <w:rPr>
                <w:rFonts w:ascii="Arial" w:eastAsia="+mn-ea" w:hAnsi="Arial" w:cs="Arial"/>
                <w:b/>
                <w:position w:val="1"/>
              </w:rPr>
            </w:pPr>
          </w:p>
          <w:p w14:paraId="5D83CCAA" w14:textId="5367C028" w:rsidR="009F780E" w:rsidRPr="00B23F61" w:rsidRDefault="009F780E" w:rsidP="00A477AA">
            <w:pPr>
              <w:pStyle w:val="NormalWeb"/>
              <w:spacing w:before="0" w:beforeAutospacing="0" w:after="0" w:afterAutospacing="0"/>
              <w:rPr>
                <w:rFonts w:ascii="Arial" w:eastAsia="+mn-ea" w:hAnsi="Arial" w:cs="Arial"/>
                <w:b/>
                <w:position w:val="1"/>
              </w:rPr>
            </w:pPr>
          </w:p>
        </w:tc>
        <w:tc>
          <w:tcPr>
            <w:tcW w:w="2100" w:type="dxa"/>
          </w:tcPr>
          <w:p w14:paraId="244F8687" w14:textId="1D575735" w:rsidR="009F780E" w:rsidRPr="00B23F61" w:rsidRDefault="009F780E"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MRG asked for clarity on whether the self-reporting of mobility levels by patients was staff-lead, as this may introduce a risk of gaming.</w:t>
            </w:r>
          </w:p>
        </w:tc>
        <w:tc>
          <w:tcPr>
            <w:tcW w:w="2087" w:type="dxa"/>
          </w:tcPr>
          <w:p w14:paraId="19E8AAAF" w14:textId="77777777" w:rsidR="009F780E" w:rsidRPr="00B23F61" w:rsidRDefault="009F780E" w:rsidP="009F780E">
            <w:pPr>
              <w:pStyle w:val="NormalWeb"/>
              <w:spacing w:after="0"/>
              <w:rPr>
                <w:rFonts w:ascii="Arial" w:eastAsia="+mn-ea" w:hAnsi="Arial" w:cs="Arial"/>
                <w:position w:val="1"/>
              </w:rPr>
            </w:pPr>
          </w:p>
        </w:tc>
        <w:tc>
          <w:tcPr>
            <w:tcW w:w="2793" w:type="dxa"/>
          </w:tcPr>
          <w:p w14:paraId="317E9F49" w14:textId="77777777" w:rsidR="009F780E" w:rsidRPr="00B23F61" w:rsidRDefault="009F780E" w:rsidP="009F780E">
            <w:pPr>
              <w:rPr>
                <w:rFonts w:ascii="Arial" w:hAnsi="Arial" w:cs="Arial"/>
                <w:sz w:val="24"/>
                <w:szCs w:val="24"/>
                <w:lang w:eastAsia="en-GB"/>
              </w:rPr>
            </w:pPr>
            <w:r w:rsidRPr="00B23F61">
              <w:rPr>
                <w:rFonts w:ascii="Arial" w:hAnsi="Arial" w:cs="Arial"/>
                <w:sz w:val="24"/>
                <w:szCs w:val="24"/>
                <w:lang w:eastAsia="en-GB"/>
              </w:rPr>
              <w:t>At the end of the audit tool in the link below there are a standard set of questions with fixed answers.  Our understanding is that these are the questions asked to the patients but this can be done via phone or questionnaire/letter:</w:t>
            </w:r>
          </w:p>
          <w:p w14:paraId="0DE8B38D" w14:textId="77777777" w:rsidR="009F780E" w:rsidRPr="00B23F61" w:rsidRDefault="009F780E" w:rsidP="00A477AA">
            <w:pPr>
              <w:pStyle w:val="NormalWeb"/>
              <w:spacing w:after="0"/>
              <w:rPr>
                <w:rFonts w:ascii="Arial" w:eastAsia="+mn-ea" w:hAnsi="Arial" w:cs="Arial"/>
                <w:position w:val="1"/>
              </w:rPr>
            </w:pPr>
          </w:p>
        </w:tc>
        <w:tc>
          <w:tcPr>
            <w:tcW w:w="1394" w:type="dxa"/>
          </w:tcPr>
          <w:p w14:paraId="333CCFA3" w14:textId="77777777" w:rsidR="009F780E" w:rsidRPr="00B23F61" w:rsidRDefault="009F780E" w:rsidP="00A477AA">
            <w:pPr>
              <w:pStyle w:val="NormalWeb"/>
              <w:spacing w:before="0" w:beforeAutospacing="0" w:after="0" w:afterAutospacing="0"/>
              <w:rPr>
                <w:rFonts w:ascii="Arial" w:eastAsia="+mn-ea" w:hAnsi="Arial" w:cs="Arial"/>
                <w:position w:val="1"/>
              </w:rPr>
            </w:pPr>
          </w:p>
        </w:tc>
        <w:tc>
          <w:tcPr>
            <w:tcW w:w="2092" w:type="dxa"/>
          </w:tcPr>
          <w:p w14:paraId="3EF66885" w14:textId="3593B3FD" w:rsidR="009F780E" w:rsidRPr="00B23F61" w:rsidRDefault="009F780E" w:rsidP="00A477AA">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Yes</w:t>
            </w:r>
          </w:p>
        </w:tc>
        <w:tc>
          <w:tcPr>
            <w:tcW w:w="2091" w:type="dxa"/>
          </w:tcPr>
          <w:p w14:paraId="25121BC8" w14:textId="77777777" w:rsidR="009F780E" w:rsidRPr="009F780E" w:rsidRDefault="009F780E" w:rsidP="009F780E">
            <w:pPr>
              <w:pStyle w:val="NormalWeb"/>
              <w:spacing w:after="0"/>
              <w:rPr>
                <w:rFonts w:ascii="Arial" w:eastAsia="+mn-ea" w:hAnsi="Arial" w:cs="Arial"/>
                <w:position w:val="1"/>
              </w:rPr>
            </w:pPr>
            <w:r w:rsidRPr="009F780E">
              <w:rPr>
                <w:rFonts w:ascii="Arial" w:eastAsia="+mn-ea" w:hAnsi="Arial" w:cs="Arial"/>
                <w:position w:val="1"/>
              </w:rPr>
              <w:t>MRG</w:t>
            </w:r>
          </w:p>
          <w:p w14:paraId="42C08985" w14:textId="77777777" w:rsidR="009F780E" w:rsidRPr="009F780E" w:rsidRDefault="009F780E" w:rsidP="009F780E">
            <w:pPr>
              <w:pStyle w:val="NormalWeb"/>
              <w:spacing w:after="0"/>
              <w:rPr>
                <w:rFonts w:ascii="Arial" w:eastAsia="+mn-ea" w:hAnsi="Arial" w:cs="Arial"/>
                <w:position w:val="1"/>
              </w:rPr>
            </w:pPr>
            <w:r w:rsidRPr="009F780E">
              <w:rPr>
                <w:rFonts w:ascii="Arial" w:eastAsia="+mn-ea" w:hAnsi="Arial" w:cs="Arial"/>
                <w:position w:val="1"/>
              </w:rPr>
              <w:t>via email</w:t>
            </w:r>
          </w:p>
          <w:p w14:paraId="6F688031" w14:textId="77777777" w:rsidR="009F780E" w:rsidRPr="009F780E" w:rsidRDefault="009F780E" w:rsidP="009F780E">
            <w:pPr>
              <w:pStyle w:val="NormalWeb"/>
              <w:spacing w:after="0"/>
              <w:rPr>
                <w:rFonts w:ascii="Arial" w:eastAsia="+mn-ea" w:hAnsi="Arial" w:cs="Arial"/>
                <w:position w:val="1"/>
              </w:rPr>
            </w:pPr>
          </w:p>
          <w:p w14:paraId="0E149B06" w14:textId="170ABF94" w:rsidR="009F780E" w:rsidRPr="00B23F61" w:rsidRDefault="009F780E" w:rsidP="009F780E">
            <w:pPr>
              <w:pStyle w:val="NormalWeb"/>
              <w:spacing w:before="0" w:beforeAutospacing="0" w:after="0" w:afterAutospacing="0"/>
              <w:rPr>
                <w:rFonts w:ascii="Arial" w:eastAsia="+mn-ea" w:hAnsi="Arial" w:cs="Arial"/>
                <w:position w:val="1"/>
              </w:rPr>
            </w:pPr>
            <w:r w:rsidRPr="00B23F61">
              <w:rPr>
                <w:rFonts w:ascii="Arial" w:eastAsia="+mn-ea" w:hAnsi="Arial" w:cs="Arial"/>
                <w:position w:val="1"/>
              </w:rPr>
              <w:t>03/08/15</w:t>
            </w:r>
          </w:p>
        </w:tc>
      </w:tr>
    </w:tbl>
    <w:p w14:paraId="69F5D14F" w14:textId="77777777" w:rsidR="005B1D9D" w:rsidRPr="00B23F61" w:rsidRDefault="005B1D9D" w:rsidP="002F17C8">
      <w:pPr>
        <w:pStyle w:val="NormalWeb"/>
        <w:spacing w:before="0" w:beforeAutospacing="0" w:after="0" w:afterAutospacing="0"/>
        <w:ind w:left="142"/>
        <w:rPr>
          <w:rFonts w:ascii="Arial" w:eastAsia="+mn-ea" w:hAnsi="Arial" w:cs="Arial"/>
          <w:position w:val="1"/>
        </w:rPr>
      </w:pPr>
    </w:p>
    <w:p w14:paraId="2F118C57" w14:textId="77777777" w:rsidR="00304ACE" w:rsidRPr="00B23F61" w:rsidRDefault="00304ACE" w:rsidP="002F17C8">
      <w:pPr>
        <w:pStyle w:val="NormalWeb"/>
        <w:spacing w:before="0" w:beforeAutospacing="0" w:after="0" w:afterAutospacing="0"/>
        <w:ind w:left="142"/>
        <w:rPr>
          <w:rFonts w:ascii="Arial" w:eastAsia="+mn-ea" w:hAnsi="Arial" w:cs="Arial"/>
          <w:position w:val="1"/>
        </w:rPr>
      </w:pPr>
    </w:p>
    <w:p w14:paraId="3888704A" w14:textId="77777777" w:rsidR="00D34C99" w:rsidRPr="002740D4" w:rsidRDefault="00D34C99" w:rsidP="00D34C99">
      <w:pPr>
        <w:autoSpaceDE w:val="0"/>
        <w:autoSpaceDN w:val="0"/>
      </w:pPr>
      <w:r w:rsidRPr="002740D4">
        <w:rPr>
          <w:sz w:val="24"/>
          <w:szCs w:val="24"/>
        </w:rPr>
        <w:t>See our </w:t>
      </w:r>
      <w:hyperlink r:id="rId15" w:anchor="what-to-do" w:history="1">
        <w:r w:rsidRPr="002740D4">
          <w:rPr>
            <w:rStyle w:val="Hyperlink"/>
            <w:sz w:val="24"/>
            <w:szCs w:val="24"/>
          </w:rPr>
          <w:t>accessibility statement</w:t>
        </w:r>
      </w:hyperlink>
      <w:r w:rsidRPr="002740D4">
        <w:rPr>
          <w:sz w:val="24"/>
          <w:szCs w:val="24"/>
        </w:rPr>
        <w:t> if you’re having problems with this document.</w:t>
      </w:r>
      <w:r w:rsidRPr="002740D4">
        <w:rPr>
          <w:color w:val="000000"/>
          <w:sz w:val="20"/>
          <w:szCs w:val="20"/>
        </w:rPr>
        <w:t xml:space="preserve"> </w:t>
      </w:r>
    </w:p>
    <w:p w14:paraId="5AAAB1A1" w14:textId="77777777" w:rsidR="00304ACE" w:rsidRPr="00B23F61" w:rsidRDefault="00304ACE" w:rsidP="002F17C8">
      <w:pPr>
        <w:spacing w:after="0"/>
        <w:rPr>
          <w:rFonts w:ascii="Arial" w:hAnsi="Arial" w:cs="Arial"/>
          <w:sz w:val="24"/>
          <w:szCs w:val="24"/>
        </w:rPr>
      </w:pPr>
    </w:p>
    <w:p w14:paraId="4F48F0B9" w14:textId="77777777" w:rsidR="00830307" w:rsidRPr="00B23F61" w:rsidRDefault="00830307">
      <w:pPr>
        <w:rPr>
          <w:rFonts w:ascii="Arial" w:hAnsi="Arial" w:cs="Arial"/>
          <w:sz w:val="24"/>
          <w:szCs w:val="24"/>
        </w:rPr>
      </w:pPr>
    </w:p>
    <w:sectPr w:rsidR="00830307" w:rsidRPr="00B23F61" w:rsidSect="00304ACE">
      <w:headerReference w:type="default" r:id="rId16"/>
      <w:pgSz w:w="16838" w:h="11906" w:orient="landscape"/>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24FE5" w14:textId="77777777" w:rsidR="00336B13" w:rsidRDefault="00336B13">
      <w:pPr>
        <w:spacing w:after="0" w:line="240" w:lineRule="auto"/>
      </w:pPr>
      <w:r>
        <w:separator/>
      </w:r>
    </w:p>
  </w:endnote>
  <w:endnote w:type="continuationSeparator" w:id="0">
    <w:p w14:paraId="4ACE2C60" w14:textId="77777777" w:rsidR="00336B13" w:rsidRDefault="0033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1082338"/>
      <w:docPartObj>
        <w:docPartGallery w:val="Page Numbers (Bottom of Page)"/>
        <w:docPartUnique/>
      </w:docPartObj>
    </w:sdtPr>
    <w:sdtEndPr>
      <w:rPr>
        <w:noProof/>
      </w:rPr>
    </w:sdtEndPr>
    <w:sdtContent>
      <w:p w14:paraId="3B9C586C" w14:textId="77777777" w:rsidR="00336B13" w:rsidRDefault="00336B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3F4C39" w14:textId="77777777" w:rsidR="00AE777C" w:rsidRPr="00AE777C" w:rsidRDefault="00AE777C" w:rsidP="00AE777C">
    <w:pPr>
      <w:pStyle w:val="Footer"/>
    </w:pPr>
    <w:r w:rsidRPr="00AE777C">
      <w:t>IAP00609 Supporting documentation</w:t>
    </w:r>
  </w:p>
  <w:p w14:paraId="77F8FCCD" w14:textId="735BE844" w:rsidR="00336B13" w:rsidRDefault="00AE777C" w:rsidP="00AE777C">
    <w:pPr>
      <w:pStyle w:val="Footer"/>
    </w:pPr>
    <w:r w:rsidRPr="00AE777C">
      <w:t>Copyright © 2019 NHS Digital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644357"/>
      <w:docPartObj>
        <w:docPartGallery w:val="Page Numbers (Bottom of Page)"/>
        <w:docPartUnique/>
      </w:docPartObj>
    </w:sdtPr>
    <w:sdtEndPr>
      <w:rPr>
        <w:noProof/>
      </w:rPr>
    </w:sdtEndPr>
    <w:sdtContent>
      <w:p w14:paraId="2A634A12" w14:textId="77777777" w:rsidR="00336B13" w:rsidRDefault="00336B1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E1D5221" w14:textId="77777777" w:rsidR="00336B13" w:rsidRDefault="0033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2DCBC" w14:textId="77777777" w:rsidR="00336B13" w:rsidRDefault="00336B13">
      <w:pPr>
        <w:spacing w:after="0" w:line="240" w:lineRule="auto"/>
      </w:pPr>
      <w:r>
        <w:separator/>
      </w:r>
    </w:p>
  </w:footnote>
  <w:footnote w:type="continuationSeparator" w:id="0">
    <w:p w14:paraId="6305821E" w14:textId="77777777" w:rsidR="00336B13" w:rsidRDefault="00336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771ED" w14:textId="77777777" w:rsidR="00AE777C" w:rsidRPr="004825B8" w:rsidRDefault="00AE777C" w:rsidP="00AE777C">
    <w:pPr>
      <w:tabs>
        <w:tab w:val="center" w:pos="4513"/>
        <w:tab w:val="right" w:pos="9026"/>
      </w:tabs>
      <w:spacing w:after="0" w:line="240" w:lineRule="auto"/>
      <w:jc w:val="center"/>
      <w:rPr>
        <w:rFonts w:ascii="Arial" w:eastAsia="Calibri" w:hAnsi="Arial" w:cs="Arial"/>
        <w:b/>
        <w:bCs/>
        <w:sz w:val="24"/>
        <w:szCs w:val="24"/>
      </w:rPr>
    </w:pPr>
    <w:r w:rsidRPr="004825B8">
      <w:rPr>
        <w:rFonts w:ascii="Arial" w:eastAsia="Calibri" w:hAnsi="Arial" w:cs="Arial"/>
        <w:b/>
        <w:bCs/>
        <w:sz w:val="24"/>
        <w:szCs w:val="24"/>
      </w:rPr>
      <w:t>NICE inherited this indicator and all its supporting documentation from NHS Digital on 1 April 2020</w:t>
    </w:r>
  </w:p>
  <w:p w14:paraId="21686C70" w14:textId="47C1359C" w:rsidR="00336B13" w:rsidRDefault="0033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0D818" w14:textId="77777777" w:rsidR="00336B13" w:rsidRPr="00F40A7A" w:rsidRDefault="00336B13" w:rsidP="002F17C8">
    <w:pPr>
      <w:pStyle w:val="Header"/>
      <w:spacing w:before="240"/>
      <w:jc w:val="right"/>
      <w:rPr>
        <w:color w:val="44546A" w:themeColor="text2"/>
        <w:sz w:val="28"/>
      </w:rPr>
    </w:pPr>
    <w:r w:rsidRPr="00F40A7A">
      <w:rPr>
        <w:noProof/>
        <w:color w:val="44546A" w:themeColor="text2"/>
        <w:lang w:eastAsia="en-GB"/>
      </w:rPr>
      <w:drawing>
        <wp:inline distT="0" distB="0" distL="0" distR="0" wp14:anchorId="7F8748C6" wp14:editId="3E9282C1">
          <wp:extent cx="2420620" cy="762000"/>
          <wp:effectExtent l="0" t="0" r="0" b="0"/>
          <wp:docPr id="19" name="Picture 19" descr="This table shows the results by age, gender and % of valid patient for da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62000"/>
                  </a:xfrm>
                  <a:prstGeom prst="rect">
                    <a:avLst/>
                  </a:prstGeom>
                  <a:noFill/>
                </pic:spPr>
              </pic:pic>
            </a:graphicData>
          </a:graphic>
        </wp:inline>
      </w:drawing>
    </w:r>
    <w:r w:rsidRPr="00F40A7A">
      <w:rPr>
        <w:color w:val="44546A" w:themeColor="text2"/>
        <w:sz w:val="44"/>
        <w:szCs w:val="36"/>
      </w:rPr>
      <w:t>Indicator Assurance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50B85" w14:textId="20653E8D" w:rsidR="00336B13" w:rsidRPr="001D243C" w:rsidRDefault="00336B13" w:rsidP="002F17C8">
    <w:r>
      <w:t>Hip fracture: proportion of patients recovering to their previous levels of mobility / walking ability at 120 days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62D31"/>
    <w:multiLevelType w:val="hybridMultilevel"/>
    <w:tmpl w:val="33D022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B343F8"/>
    <w:multiLevelType w:val="hybridMultilevel"/>
    <w:tmpl w:val="33D022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49D1E65"/>
    <w:multiLevelType w:val="hybridMultilevel"/>
    <w:tmpl w:val="8A682CF6"/>
    <w:lvl w:ilvl="0" w:tplc="979238CE">
      <w:numFmt w:val="bullet"/>
      <w:lvlText w:val=""/>
      <w:lvlJc w:val="left"/>
      <w:pPr>
        <w:ind w:left="502" w:hanging="360"/>
      </w:pPr>
      <w:rPr>
        <w:rFonts w:ascii="Symbol" w:eastAsia="+mn-ea"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5DAF553A"/>
    <w:multiLevelType w:val="hybridMultilevel"/>
    <w:tmpl w:val="BD249FE8"/>
    <w:lvl w:ilvl="0" w:tplc="6D6AE018">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8B"/>
    <w:rsid w:val="000C4BB1"/>
    <w:rsid w:val="00111DA5"/>
    <w:rsid w:val="001155F9"/>
    <w:rsid w:val="00133B9B"/>
    <w:rsid w:val="0014180A"/>
    <w:rsid w:val="002D21C3"/>
    <w:rsid w:val="002F17C8"/>
    <w:rsid w:val="00304ACE"/>
    <w:rsid w:val="00336B13"/>
    <w:rsid w:val="003F0339"/>
    <w:rsid w:val="004825B8"/>
    <w:rsid w:val="00547D46"/>
    <w:rsid w:val="00557665"/>
    <w:rsid w:val="00590CB9"/>
    <w:rsid w:val="005B1D9D"/>
    <w:rsid w:val="006F558B"/>
    <w:rsid w:val="00712CE5"/>
    <w:rsid w:val="00740FA8"/>
    <w:rsid w:val="008269A6"/>
    <w:rsid w:val="00830307"/>
    <w:rsid w:val="008700B6"/>
    <w:rsid w:val="00920413"/>
    <w:rsid w:val="009F780E"/>
    <w:rsid w:val="00A477AA"/>
    <w:rsid w:val="00A74435"/>
    <w:rsid w:val="00A93656"/>
    <w:rsid w:val="00AE777C"/>
    <w:rsid w:val="00B23F61"/>
    <w:rsid w:val="00C36310"/>
    <w:rsid w:val="00C3751C"/>
    <w:rsid w:val="00D17276"/>
    <w:rsid w:val="00D34C99"/>
    <w:rsid w:val="00E40004"/>
    <w:rsid w:val="00E50784"/>
    <w:rsid w:val="00EB59D9"/>
    <w:rsid w:val="00F54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B9D7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0B6"/>
  </w:style>
  <w:style w:type="paragraph" w:styleId="Heading4">
    <w:name w:val="heading 4"/>
    <w:basedOn w:val="Normal"/>
    <w:next w:val="Normal"/>
    <w:link w:val="Heading4Char"/>
    <w:qFormat/>
    <w:rsid w:val="00111DA5"/>
    <w:pPr>
      <w:keepNext/>
      <w:spacing w:before="70" w:after="70" w:line="240" w:lineRule="auto"/>
      <w:textboxTightWrap w:val="lastLineOnly"/>
      <w:outlineLvl w:val="3"/>
    </w:pPr>
    <w:rPr>
      <w:rFonts w:ascii="Arial" w:eastAsia="Times New Roman" w:hAnsi="Arial" w:cs="Times New Roman"/>
      <w:b/>
      <w:color w:val="4472C4"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F5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58B"/>
  </w:style>
  <w:style w:type="paragraph" w:customStyle="1" w:styleId="FrontpageTitle">
    <w:name w:val="Frontpage_Title"/>
    <w:basedOn w:val="Normal"/>
    <w:link w:val="FrontpageTitleChar"/>
    <w:autoRedefine/>
    <w:qFormat/>
    <w:rsid w:val="006F558B"/>
    <w:pPr>
      <w:spacing w:after="140" w:line="240" w:lineRule="auto"/>
      <w:textboxTightWrap w:val="lastLineOnly"/>
    </w:pPr>
    <w:rPr>
      <w:rFonts w:ascii="Arial" w:eastAsia="Times New Roman" w:hAnsi="Arial" w:cs="Times New Roman"/>
      <w:color w:val="003360"/>
      <w:sz w:val="70"/>
      <w:szCs w:val="84"/>
    </w:rPr>
  </w:style>
  <w:style w:type="character" w:customStyle="1" w:styleId="FrontpageTitleChar">
    <w:name w:val="Frontpage_Title Char"/>
    <w:basedOn w:val="DefaultParagraphFont"/>
    <w:link w:val="FrontpageTitle"/>
    <w:rsid w:val="006F558B"/>
    <w:rPr>
      <w:rFonts w:ascii="Arial" w:eastAsia="Times New Roman" w:hAnsi="Arial" w:cs="Times New Roman"/>
      <w:color w:val="003360"/>
      <w:sz w:val="70"/>
      <w:szCs w:val="84"/>
    </w:rPr>
  </w:style>
  <w:style w:type="paragraph" w:customStyle="1" w:styleId="Frontpagesubhead">
    <w:name w:val="Frontpage_subhead"/>
    <w:basedOn w:val="Normal"/>
    <w:link w:val="FrontpagesubheadChar"/>
    <w:autoRedefine/>
    <w:qFormat/>
    <w:rsid w:val="006F558B"/>
    <w:pPr>
      <w:spacing w:after="140" w:line="240" w:lineRule="auto"/>
      <w:textboxTightWrap w:val="lastLineOnly"/>
    </w:pPr>
    <w:rPr>
      <w:rFonts w:ascii="Arial" w:eastAsia="Times New Roman" w:hAnsi="Arial" w:cs="Times New Roman"/>
      <w:b/>
      <w:color w:val="003360"/>
      <w:sz w:val="35"/>
      <w:szCs w:val="42"/>
    </w:rPr>
  </w:style>
  <w:style w:type="character" w:customStyle="1" w:styleId="FrontpagesubheadChar">
    <w:name w:val="Frontpage_subhead Char"/>
    <w:basedOn w:val="DefaultParagraphFont"/>
    <w:link w:val="Frontpagesubhead"/>
    <w:rsid w:val="006F558B"/>
    <w:rPr>
      <w:rFonts w:ascii="Arial" w:eastAsia="Times New Roman" w:hAnsi="Arial" w:cs="Times New Roman"/>
      <w:b/>
      <w:color w:val="003360"/>
      <w:sz w:val="35"/>
      <w:szCs w:val="42"/>
    </w:rPr>
  </w:style>
  <w:style w:type="table" w:customStyle="1" w:styleId="TableGrid1">
    <w:name w:val="Table Grid1"/>
    <w:basedOn w:val="TableNormal"/>
    <w:next w:val="TableGrid"/>
    <w:uiPriority w:val="59"/>
    <w:rsid w:val="006F558B"/>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55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558B"/>
    <w:rPr>
      <w:color w:val="808080"/>
    </w:rPr>
  </w:style>
  <w:style w:type="paragraph" w:styleId="Header">
    <w:name w:val="header"/>
    <w:basedOn w:val="Normal"/>
    <w:link w:val="HeaderChar"/>
    <w:uiPriority w:val="99"/>
    <w:unhideWhenUsed/>
    <w:rsid w:val="00304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CE"/>
  </w:style>
  <w:style w:type="paragraph" w:styleId="NormalWeb">
    <w:name w:val="Normal (Web)"/>
    <w:basedOn w:val="Normal"/>
    <w:uiPriority w:val="99"/>
    <w:unhideWhenUsed/>
    <w:rsid w:val="00304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304ACE"/>
    <w:rPr>
      <w:color w:val="0563C1" w:themeColor="hyperlink"/>
      <w:u w:val="single"/>
    </w:rPr>
  </w:style>
  <w:style w:type="character" w:customStyle="1" w:styleId="Style1">
    <w:name w:val="Style1"/>
    <w:basedOn w:val="DefaultParagraphFont"/>
    <w:uiPriority w:val="1"/>
    <w:rsid w:val="00304ACE"/>
    <w:rPr>
      <w:rFonts w:ascii="Arial" w:hAnsi="Arial"/>
      <w:b w:val="0"/>
      <w:color w:val="44546A" w:themeColor="text2"/>
      <w:sz w:val="28"/>
    </w:rPr>
  </w:style>
  <w:style w:type="paragraph" w:styleId="Title">
    <w:name w:val="Title"/>
    <w:basedOn w:val="Normal"/>
    <w:next w:val="Normal"/>
    <w:link w:val="TitleChar"/>
    <w:uiPriority w:val="10"/>
    <w:qFormat/>
    <w:rsid w:val="00304AC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04ACE"/>
    <w:rPr>
      <w:rFonts w:asciiTheme="majorHAnsi" w:eastAsiaTheme="majorEastAsia" w:hAnsiTheme="majorHAnsi" w:cstheme="majorBidi"/>
      <w:color w:val="323E4F" w:themeColor="text2" w:themeShade="BF"/>
      <w:spacing w:val="5"/>
      <w:kern w:val="28"/>
      <w:sz w:val="52"/>
      <w:szCs w:val="52"/>
    </w:rPr>
  </w:style>
  <w:style w:type="character" w:customStyle="1" w:styleId="Title2">
    <w:name w:val="Title 2"/>
    <w:basedOn w:val="DefaultParagraphFont"/>
    <w:uiPriority w:val="1"/>
    <w:rsid w:val="00304ACE"/>
    <w:rPr>
      <w:rFonts w:asciiTheme="majorHAnsi" w:hAnsiTheme="majorHAnsi"/>
      <w:sz w:val="40"/>
    </w:rPr>
  </w:style>
  <w:style w:type="character" w:customStyle="1" w:styleId="Heading4Char">
    <w:name w:val="Heading 4 Char"/>
    <w:basedOn w:val="DefaultParagraphFont"/>
    <w:link w:val="Heading4"/>
    <w:rsid w:val="00111DA5"/>
    <w:rPr>
      <w:rFonts w:ascii="Arial" w:eastAsia="Times New Roman" w:hAnsi="Arial" w:cs="Times New Roman"/>
      <w:b/>
      <w:color w:val="4472C4" w:themeColor="accent1"/>
      <w:sz w:val="24"/>
      <w:szCs w:val="20"/>
    </w:rPr>
  </w:style>
  <w:style w:type="character" w:styleId="CommentReference">
    <w:name w:val="annotation reference"/>
    <w:basedOn w:val="DefaultParagraphFont"/>
    <w:uiPriority w:val="99"/>
    <w:semiHidden/>
    <w:unhideWhenUsed/>
    <w:rsid w:val="008269A6"/>
    <w:rPr>
      <w:sz w:val="16"/>
      <w:szCs w:val="16"/>
    </w:rPr>
  </w:style>
  <w:style w:type="paragraph" w:styleId="CommentText">
    <w:name w:val="annotation text"/>
    <w:basedOn w:val="Normal"/>
    <w:link w:val="CommentTextChar"/>
    <w:uiPriority w:val="99"/>
    <w:semiHidden/>
    <w:unhideWhenUsed/>
    <w:rsid w:val="008269A6"/>
    <w:pPr>
      <w:spacing w:line="240" w:lineRule="auto"/>
    </w:pPr>
    <w:rPr>
      <w:sz w:val="20"/>
      <w:szCs w:val="20"/>
    </w:rPr>
  </w:style>
  <w:style w:type="character" w:customStyle="1" w:styleId="CommentTextChar">
    <w:name w:val="Comment Text Char"/>
    <w:basedOn w:val="DefaultParagraphFont"/>
    <w:link w:val="CommentText"/>
    <w:uiPriority w:val="99"/>
    <w:semiHidden/>
    <w:rsid w:val="008269A6"/>
    <w:rPr>
      <w:sz w:val="20"/>
      <w:szCs w:val="20"/>
    </w:rPr>
  </w:style>
  <w:style w:type="paragraph" w:styleId="CommentSubject">
    <w:name w:val="annotation subject"/>
    <w:basedOn w:val="CommentText"/>
    <w:next w:val="CommentText"/>
    <w:link w:val="CommentSubjectChar"/>
    <w:uiPriority w:val="99"/>
    <w:semiHidden/>
    <w:unhideWhenUsed/>
    <w:rsid w:val="008269A6"/>
    <w:rPr>
      <w:b/>
      <w:bCs/>
    </w:rPr>
  </w:style>
  <w:style w:type="character" w:customStyle="1" w:styleId="CommentSubjectChar">
    <w:name w:val="Comment Subject Char"/>
    <w:basedOn w:val="CommentTextChar"/>
    <w:link w:val="CommentSubject"/>
    <w:uiPriority w:val="99"/>
    <w:semiHidden/>
    <w:rsid w:val="008269A6"/>
    <w:rPr>
      <w:b/>
      <w:bCs/>
      <w:sz w:val="20"/>
      <w:szCs w:val="20"/>
    </w:rPr>
  </w:style>
  <w:style w:type="paragraph" w:styleId="BalloonText">
    <w:name w:val="Balloon Text"/>
    <w:basedOn w:val="Normal"/>
    <w:link w:val="BalloonTextChar"/>
    <w:uiPriority w:val="99"/>
    <w:semiHidden/>
    <w:unhideWhenUsed/>
    <w:rsid w:val="00826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9A6"/>
    <w:rPr>
      <w:rFonts w:ascii="Segoe UI" w:hAnsi="Segoe UI" w:cs="Segoe UI"/>
      <w:sz w:val="18"/>
      <w:szCs w:val="18"/>
    </w:rPr>
  </w:style>
  <w:style w:type="character" w:styleId="UnresolvedMention">
    <w:name w:val="Unresolved Mention"/>
    <w:basedOn w:val="DefaultParagraphFont"/>
    <w:uiPriority w:val="99"/>
    <w:semiHidden/>
    <w:unhideWhenUsed/>
    <w:rsid w:val="009F780E"/>
    <w:rPr>
      <w:color w:val="605E5C"/>
      <w:shd w:val="clear" w:color="auto" w:fill="E1DFDD"/>
    </w:rPr>
  </w:style>
  <w:style w:type="paragraph" w:styleId="ListParagraph">
    <w:name w:val="List Paragraph"/>
    <w:basedOn w:val="Normal"/>
    <w:uiPriority w:val="34"/>
    <w:qFormat/>
    <w:rsid w:val="00A74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ice.org.uk/accessibility"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62310614222478"/>
          <c:y val="5.0461727488631002E-2"/>
          <c:w val="0.84462295223261286"/>
          <c:h val="0.84364197577110667"/>
        </c:manualLayout>
      </c:layout>
      <c:lineChart>
        <c:grouping val="standard"/>
        <c:varyColors val="0"/>
        <c:ser>
          <c:idx val="0"/>
          <c:order val="0"/>
          <c:tx>
            <c:strRef>
              <c:f>Sheet1!$B$1</c:f>
              <c:strCache>
                <c:ptCount val="1"/>
                <c:pt idx="0">
                  <c:v>Indicator value</c:v>
                </c:pt>
              </c:strCache>
            </c:strRef>
          </c:tx>
          <c:marker>
            <c:symbol val="none"/>
          </c:marker>
          <c:cat>
            <c:strRef>
              <c:f>Sheet1!$A$2:$A$212</c:f>
              <c:strCache>
                <c:ptCount val="211"/>
                <c:pt idx="0">
                  <c:v>NHS Darlington CCG</c:v>
                </c:pt>
                <c:pt idx="1">
                  <c:v>NHS Newcastle West CCG</c:v>
                </c:pt>
                <c:pt idx="2">
                  <c:v>NHS South Tees CCG</c:v>
                </c:pt>
                <c:pt idx="3">
                  <c:v>NHS South Tyneside CCG</c:v>
                </c:pt>
                <c:pt idx="4">
                  <c:v>NHS Blackpool CCG</c:v>
                </c:pt>
                <c:pt idx="5">
                  <c:v>NHS Bury CCG</c:v>
                </c:pt>
                <c:pt idx="6">
                  <c:v>NHS Central Manchester CCG</c:v>
                </c:pt>
                <c:pt idx="7">
                  <c:v>NHS Oldham CCG</c:v>
                </c:pt>
                <c:pt idx="8">
                  <c:v>NHS Eastern Cheshire CCG</c:v>
                </c:pt>
                <c:pt idx="9">
                  <c:v>NHS Heywood, Middleton and Rochdale CCG</c:v>
                </c:pt>
                <c:pt idx="10">
                  <c:v>NHS Halton CCG</c:v>
                </c:pt>
                <c:pt idx="11">
                  <c:v>NHS Salford CCG</c:v>
                </c:pt>
                <c:pt idx="12">
                  <c:v>NHS Knowsley CCG</c:v>
                </c:pt>
                <c:pt idx="13">
                  <c:v>NHS Lancashire North CCG</c:v>
                </c:pt>
                <c:pt idx="14">
                  <c:v>NHS North Manchester CCG</c:v>
                </c:pt>
                <c:pt idx="15">
                  <c:v>NHS South Manchester CCG</c:v>
                </c:pt>
                <c:pt idx="16">
                  <c:v>NHS South Cheshire CCG</c:v>
                </c:pt>
                <c:pt idx="17">
                  <c:v>NHS South Sefton CCG</c:v>
                </c:pt>
                <c:pt idx="18">
                  <c:v>NHS Stockport CCG</c:v>
                </c:pt>
                <c:pt idx="19">
                  <c:v>NHS St Helens CCG</c:v>
                </c:pt>
                <c:pt idx="20">
                  <c:v>NHS Tameside and Glossop CCG</c:v>
                </c:pt>
                <c:pt idx="21">
                  <c:v>NHS Vale Royal CCG</c:v>
                </c:pt>
                <c:pt idx="22">
                  <c:v>NHS West Lancashire CCG</c:v>
                </c:pt>
                <c:pt idx="23">
                  <c:v>NHS Wigan Borough CCG</c:v>
                </c:pt>
                <c:pt idx="24">
                  <c:v>NHS Fylde &amp; Wyre CCG</c:v>
                </c:pt>
                <c:pt idx="25">
                  <c:v>NHS Airedale, Wharfedale and Craven CCG</c:v>
                </c:pt>
                <c:pt idx="26">
                  <c:v>NHS Barnsley CCG</c:v>
                </c:pt>
                <c:pt idx="27">
                  <c:v>NHS Bassetlaw CCG</c:v>
                </c:pt>
                <c:pt idx="28">
                  <c:v>NHS Leeds North CCG</c:v>
                </c:pt>
                <c:pt idx="29">
                  <c:v>NHS Bradford City CCG</c:v>
                </c:pt>
                <c:pt idx="30">
                  <c:v>NHS East Riding Of Yorkshire CCG</c:v>
                </c:pt>
                <c:pt idx="31">
                  <c:v>NHS Leeds West CCG</c:v>
                </c:pt>
                <c:pt idx="32">
                  <c:v>NHS Hambleton, Richmondshire and Whitby CCG</c:v>
                </c:pt>
                <c:pt idx="33">
                  <c:v>NHS Harrogate and Rural District CCG</c:v>
                </c:pt>
                <c:pt idx="34">
                  <c:v>NHS Hull CCG</c:v>
                </c:pt>
                <c:pt idx="35">
                  <c:v>NHS Leeds South and East CCG</c:v>
                </c:pt>
                <c:pt idx="36">
                  <c:v>NHS North Kirklees CCG</c:v>
                </c:pt>
                <c:pt idx="37">
                  <c:v>NHS Rotherham CCG</c:v>
                </c:pt>
                <c:pt idx="38">
                  <c:v>NHS Scarborough and Ryedale CCG</c:v>
                </c:pt>
                <c:pt idx="39">
                  <c:v>NHS Sheffield CCG</c:v>
                </c:pt>
                <c:pt idx="40">
                  <c:v>NHS Wakefield CCG</c:v>
                </c:pt>
                <c:pt idx="41">
                  <c:v>NHS Corby CCG</c:v>
                </c:pt>
                <c:pt idx="42">
                  <c:v>NHS Erewash CCG</c:v>
                </c:pt>
                <c:pt idx="43">
                  <c:v>NHS Hardwick CCG</c:v>
                </c:pt>
                <c:pt idx="44">
                  <c:v>NHS Mansfield and Ashfield CCG</c:v>
                </c:pt>
                <c:pt idx="45">
                  <c:v>NHS Milton Keynes CCG</c:v>
                </c:pt>
                <c:pt idx="46">
                  <c:v>NHS Newark &amp; Sherwood CCG</c:v>
                </c:pt>
                <c:pt idx="47">
                  <c:v>NHS North Derbyshire CCG</c:v>
                </c:pt>
                <c:pt idx="48">
                  <c:v>NHS Nottingham City CCG</c:v>
                </c:pt>
                <c:pt idx="49">
                  <c:v>NHS Nottingham North and East CCG</c:v>
                </c:pt>
                <c:pt idx="50">
                  <c:v>NHS Nottingham West CCG</c:v>
                </c:pt>
                <c:pt idx="51">
                  <c:v>NHS Rushcliffe CCG</c:v>
                </c:pt>
                <c:pt idx="52">
                  <c:v>NHS South West Lincolnshire CCG</c:v>
                </c:pt>
                <c:pt idx="53">
                  <c:v>NHS Southern Derbyshire CCG</c:v>
                </c:pt>
                <c:pt idx="54">
                  <c:v>NHS Birmingham South and Central CCG</c:v>
                </c:pt>
                <c:pt idx="55">
                  <c:v>NHS Cannock Chase CCG</c:v>
                </c:pt>
                <c:pt idx="56">
                  <c:v>NHS Dudley CCG</c:v>
                </c:pt>
                <c:pt idx="57">
                  <c:v>NHS East Staffordshire CCG</c:v>
                </c:pt>
                <c:pt idx="58">
                  <c:v>NHS Herefordshire CCG</c:v>
                </c:pt>
                <c:pt idx="59">
                  <c:v>NHS North Staffordshire CCG</c:v>
                </c:pt>
                <c:pt idx="60">
                  <c:v>NHS Redditch and Bromsgrove CCG</c:v>
                </c:pt>
                <c:pt idx="61">
                  <c:v>NHS Solihull CCG</c:v>
                </c:pt>
                <c:pt idx="62">
                  <c:v>NHS South East Staffs and Seisdon Peninsular CCG</c:v>
                </c:pt>
                <c:pt idx="63">
                  <c:v>NHS South Worcestershire CCG</c:v>
                </c:pt>
                <c:pt idx="64">
                  <c:v>NHS Stoke On Trent CCG</c:v>
                </c:pt>
                <c:pt idx="65">
                  <c:v>NHS Telford and Wrekin CCG</c:v>
                </c:pt>
                <c:pt idx="66">
                  <c:v>NHS Walsall CCG</c:v>
                </c:pt>
                <c:pt idx="67">
                  <c:v>NHS Wolverhampton CCG</c:v>
                </c:pt>
                <c:pt idx="68">
                  <c:v>NHS Wyre Forest CCG</c:v>
                </c:pt>
                <c:pt idx="69">
                  <c:v>NHS Bedfordshire CCG</c:v>
                </c:pt>
                <c:pt idx="70">
                  <c:v>NHS Cambridgeshire and Peterborough CCG</c:v>
                </c:pt>
                <c:pt idx="71">
                  <c:v>NHS Luton CCG</c:v>
                </c:pt>
                <c:pt idx="72">
                  <c:v>NHS Mid Essex CCG</c:v>
                </c:pt>
                <c:pt idx="73">
                  <c:v>NHS North East Essex CCG</c:v>
                </c:pt>
                <c:pt idx="74">
                  <c:v>NHS North Norfolk CCG</c:v>
                </c:pt>
                <c:pt idx="75">
                  <c:v>NHS Norwich CCG</c:v>
                </c:pt>
                <c:pt idx="76">
                  <c:v>NHS South Norfolk CCG</c:v>
                </c:pt>
                <c:pt idx="77">
                  <c:v>NHS West Norfolk CCG</c:v>
                </c:pt>
                <c:pt idx="78">
                  <c:v>NHS Barking and Dagenham CCG</c:v>
                </c:pt>
                <c:pt idx="79">
                  <c:v>NHS Barnet CCG</c:v>
                </c:pt>
                <c:pt idx="80">
                  <c:v>NHS Brent CCG</c:v>
                </c:pt>
                <c:pt idx="81">
                  <c:v>NHS Bromley CCG</c:v>
                </c:pt>
                <c:pt idx="82">
                  <c:v>NHS Camden CCG</c:v>
                </c:pt>
                <c:pt idx="83">
                  <c:v>NHS City and Hackney CCG</c:v>
                </c:pt>
                <c:pt idx="84">
                  <c:v>NHS Croydon CCG</c:v>
                </c:pt>
                <c:pt idx="85">
                  <c:v>NHS Ealing CCG</c:v>
                </c:pt>
                <c:pt idx="86">
                  <c:v>NHS Enfield CCG</c:v>
                </c:pt>
                <c:pt idx="87">
                  <c:v>NHS Hounslow CCG</c:v>
                </c:pt>
                <c:pt idx="88">
                  <c:v>NHS Greenwich CCG</c:v>
                </c:pt>
                <c:pt idx="89">
                  <c:v>NHS Hammersmith and Fulham CCG</c:v>
                </c:pt>
                <c:pt idx="90">
                  <c:v>NHS Haringey CCG</c:v>
                </c:pt>
                <c:pt idx="91">
                  <c:v>NHS Harrow CCG</c:v>
                </c:pt>
                <c:pt idx="92">
                  <c:v>NHS Islington CCG</c:v>
                </c:pt>
                <c:pt idx="93">
                  <c:v>NHS Kingston CCG</c:v>
                </c:pt>
                <c:pt idx="94">
                  <c:v>NHS Lambeth CCG</c:v>
                </c:pt>
                <c:pt idx="95">
                  <c:v>NHS Lewisham CCG</c:v>
                </c:pt>
                <c:pt idx="96">
                  <c:v>NHS Newham CCG</c:v>
                </c:pt>
                <c:pt idx="97">
                  <c:v>NHS Redbridge CCG</c:v>
                </c:pt>
                <c:pt idx="98">
                  <c:v>NHS Richmond CCG</c:v>
                </c:pt>
                <c:pt idx="99">
                  <c:v>NHS Merton CCG</c:v>
                </c:pt>
                <c:pt idx="100">
                  <c:v>NHS Sutton CCG</c:v>
                </c:pt>
                <c:pt idx="101">
                  <c:v>NHS Waltham Forest CCG</c:v>
                </c:pt>
                <c:pt idx="102">
                  <c:v>NHS Wandsworth CCG</c:v>
                </c:pt>
                <c:pt idx="103">
                  <c:v>NHS West London (K&amp;C &amp; Qpp) CCG</c:v>
                </c:pt>
                <c:pt idx="104">
                  <c:v>NHS Central London (Westminster) CCG</c:v>
                </c:pt>
                <c:pt idx="105">
                  <c:v>NHS Ashford CCG</c:v>
                </c:pt>
                <c:pt idx="106">
                  <c:v>NHS Brighton and Hove CCG</c:v>
                </c:pt>
                <c:pt idx="107">
                  <c:v>NHS Canterbury and Coastal CCG</c:v>
                </c:pt>
                <c:pt idx="108">
                  <c:v>NHS Eastbourne, Hailsham and Seaford CCG</c:v>
                </c:pt>
                <c:pt idx="109">
                  <c:v>NHS Crawley CCG</c:v>
                </c:pt>
                <c:pt idx="110">
                  <c:v>NHS East Surrey CCG</c:v>
                </c:pt>
                <c:pt idx="111">
                  <c:v>NHS Hastings and Rother CCG</c:v>
                </c:pt>
                <c:pt idx="112">
                  <c:v>NHS Horsham and Mid Sussex CCG</c:v>
                </c:pt>
                <c:pt idx="113">
                  <c:v>NHS Thanet CCG</c:v>
                </c:pt>
                <c:pt idx="114">
                  <c:v>NHS Isle Of Wight CCG</c:v>
                </c:pt>
                <c:pt idx="115">
                  <c:v>NHS Slough CCG</c:v>
                </c:pt>
                <c:pt idx="116">
                  <c:v>NHS Southampton CCG</c:v>
                </c:pt>
                <c:pt idx="117">
                  <c:v>NHS Windsor, Ascot and Maidenhead CCG</c:v>
                </c:pt>
                <c:pt idx="118">
                  <c:v>NHS Castle Point and Rochford CCG</c:v>
                </c:pt>
                <c:pt idx="119">
                  <c:v>NHS Southend CCG</c:v>
                </c:pt>
                <c:pt idx="120">
                  <c:v>NHS West Kent CCG</c:v>
                </c:pt>
                <c:pt idx="121">
                  <c:v>NHS High Weald Lewes Havens CCG</c:v>
                </c:pt>
                <c:pt idx="122">
                  <c:v>NHS South Devon and Torbay CCG</c:v>
                </c:pt>
                <c:pt idx="123">
                  <c:v>NHS East and North Hertfordshire CCG</c:v>
                </c:pt>
                <c:pt idx="124">
                  <c:v>NHS Sandwell and West Birmingham CCG</c:v>
                </c:pt>
                <c:pt idx="125">
                  <c:v>NHS East Lancashire CCG</c:v>
                </c:pt>
                <c:pt idx="126">
                  <c:v>NHS Southport and Formby CCG</c:v>
                </c:pt>
                <c:pt idx="127">
                  <c:v>NHS Dartford, Gravesham and Swanley CCG</c:v>
                </c:pt>
                <c:pt idx="128">
                  <c:v>NHS Cumbria CCG</c:v>
                </c:pt>
                <c:pt idx="129">
                  <c:v>NHS Warrington CCG</c:v>
                </c:pt>
                <c:pt idx="130">
                  <c:v>NHS South Kent Coast CCG</c:v>
                </c:pt>
                <c:pt idx="131">
                  <c:v>NHS Blackburn With Darwen CCG</c:v>
                </c:pt>
                <c:pt idx="132">
                  <c:v>NHS Durham Dales, Easington and Sedgefield CCG</c:v>
                </c:pt>
                <c:pt idx="133">
                  <c:v>NHS Bexley CCG</c:v>
                </c:pt>
                <c:pt idx="134">
                  <c:v>NHS Sunderland CCG</c:v>
                </c:pt>
                <c:pt idx="135">
                  <c:v>NHS Havering CCG</c:v>
                </c:pt>
                <c:pt idx="136">
                  <c:v>NHS Bolton CCG</c:v>
                </c:pt>
                <c:pt idx="137">
                  <c:v>NHS North, East, West Devon CCG</c:v>
                </c:pt>
                <c:pt idx="138">
                  <c:v>NHS Northumberland CCG</c:v>
                </c:pt>
                <c:pt idx="139">
                  <c:v>NHS Doncaster CCG</c:v>
                </c:pt>
                <c:pt idx="140">
                  <c:v>NHS Coventry and Rugby CCG</c:v>
                </c:pt>
                <c:pt idx="141">
                  <c:v>NHS Thurrock CCG</c:v>
                </c:pt>
                <c:pt idx="142">
                  <c:v>NHS Coastal West Sussex CCG</c:v>
                </c:pt>
                <c:pt idx="143">
                  <c:v>NHS Newcastle North and East CCG</c:v>
                </c:pt>
                <c:pt idx="144">
                  <c:v>NHS Liverpool CCG</c:v>
                </c:pt>
                <c:pt idx="145">
                  <c:v>NHS West Hampshire CCG</c:v>
                </c:pt>
                <c:pt idx="146">
                  <c:v>NHS Kernow CCG</c:v>
                </c:pt>
                <c:pt idx="147">
                  <c:v>NHS Bradford Districts CCG</c:v>
                </c:pt>
                <c:pt idx="148">
                  <c:v>NHS North &amp; West Reading CCG</c:v>
                </c:pt>
                <c:pt idx="149">
                  <c:v>NHS Greater Huddersfield CCG</c:v>
                </c:pt>
                <c:pt idx="150">
                  <c:v>NHS Lincolnshire West CCG</c:v>
                </c:pt>
                <c:pt idx="151">
                  <c:v>NHS North West Surrey CCG</c:v>
                </c:pt>
                <c:pt idx="152">
                  <c:v>NHS Surrey Heath CCG</c:v>
                </c:pt>
                <c:pt idx="153">
                  <c:v>NHS South Warwickshire CCG</c:v>
                </c:pt>
                <c:pt idx="154">
                  <c:v>NHS Shropshire CCG</c:v>
                </c:pt>
                <c:pt idx="155">
                  <c:v>NHS North Durham CCG</c:v>
                </c:pt>
                <c:pt idx="156">
                  <c:v>NHS North Somerset CCG</c:v>
                </c:pt>
                <c:pt idx="157">
                  <c:v>NHS Gateshead CCG</c:v>
                </c:pt>
                <c:pt idx="158">
                  <c:v>NHS Trafford CCG</c:v>
                </c:pt>
                <c:pt idx="159">
                  <c:v>NHS Basildon and Brentwood CCG</c:v>
                </c:pt>
                <c:pt idx="160">
                  <c:v>NHS North Hampshire CCG</c:v>
                </c:pt>
                <c:pt idx="161">
                  <c:v>NHS Dorset CCG</c:v>
                </c:pt>
                <c:pt idx="162">
                  <c:v>NHS Guildford and Waverley CCG</c:v>
                </c:pt>
                <c:pt idx="163">
                  <c:v>NHS Great Yarmouth and Waveney CCG</c:v>
                </c:pt>
                <c:pt idx="164">
                  <c:v>NHS Bristol CCG</c:v>
                </c:pt>
                <c:pt idx="165">
                  <c:v>NHS Birmingham Crosscity CCG</c:v>
                </c:pt>
                <c:pt idx="166">
                  <c:v>NHS Aylesbury Vale CCG</c:v>
                </c:pt>
                <c:pt idx="167">
                  <c:v>NHS Stafford and Surrounds CCG</c:v>
                </c:pt>
                <c:pt idx="168">
                  <c:v>NHS Greater Preston CCG</c:v>
                </c:pt>
                <c:pt idx="169">
                  <c:v>NHS Calderdale CCG</c:v>
                </c:pt>
                <c:pt idx="170">
                  <c:v>NHS North East Lincolnshire CCG</c:v>
                </c:pt>
                <c:pt idx="171">
                  <c:v>NHS Nene CCG</c:v>
                </c:pt>
                <c:pt idx="172">
                  <c:v>NHS Vale Of York CCG</c:v>
                </c:pt>
                <c:pt idx="173">
                  <c:v>NHS Bath and North East Somerset CCG</c:v>
                </c:pt>
                <c:pt idx="174">
                  <c:v>NHS West Leicestershire CCG</c:v>
                </c:pt>
                <c:pt idx="175">
                  <c:v>NHS North East Hampshire and Farnham CCG</c:v>
                </c:pt>
                <c:pt idx="176">
                  <c:v>NHS West Cheshire CCG</c:v>
                </c:pt>
                <c:pt idx="177">
                  <c:v>NHS Ipswich and East Suffolk CCG</c:v>
                </c:pt>
                <c:pt idx="178">
                  <c:v>NHS Wirral CCG</c:v>
                </c:pt>
                <c:pt idx="179">
                  <c:v>NHS Hartlepool and Stockton-On-Tees CCG</c:v>
                </c:pt>
                <c:pt idx="180">
                  <c:v>NHS East Leicestershire and Rutland CCG</c:v>
                </c:pt>
                <c:pt idx="181">
                  <c:v>NHS Tower Hamlets CCG</c:v>
                </c:pt>
                <c:pt idx="182">
                  <c:v>NHS Wiltshire CCG</c:v>
                </c:pt>
                <c:pt idx="183">
                  <c:v>NHS North Lincolnshire CCG</c:v>
                </c:pt>
                <c:pt idx="184">
                  <c:v>NHS Oxfordshire CCG</c:v>
                </c:pt>
                <c:pt idx="185">
                  <c:v>NHS Newbury and District CCG</c:v>
                </c:pt>
                <c:pt idx="186">
                  <c:v>NHS South Gloucestershire CCG</c:v>
                </c:pt>
                <c:pt idx="187">
                  <c:v>NHS Medway CCG</c:v>
                </c:pt>
                <c:pt idx="188">
                  <c:v>NHS Swindon CCG</c:v>
                </c:pt>
                <c:pt idx="189">
                  <c:v>NHS West Essex CCG</c:v>
                </c:pt>
                <c:pt idx="190">
                  <c:v>NHS Herts Valleys CCG</c:v>
                </c:pt>
                <c:pt idx="191">
                  <c:v>NHS Chorley and South Ribble CCG</c:v>
                </c:pt>
                <c:pt idx="192">
                  <c:v>NHS Swale CCG</c:v>
                </c:pt>
                <c:pt idx="193">
                  <c:v>NHS Chiltern CCG</c:v>
                </c:pt>
                <c:pt idx="194">
                  <c:v>NHS Surrey Downs CCG</c:v>
                </c:pt>
                <c:pt idx="195">
                  <c:v>NHS Bracknell and Ascot CCG</c:v>
                </c:pt>
                <c:pt idx="196">
                  <c:v>NHS Wokingham CCG</c:v>
                </c:pt>
                <c:pt idx="197">
                  <c:v>NHS North Tyneside CCG</c:v>
                </c:pt>
                <c:pt idx="198">
                  <c:v>NHS South Eastern Hampshire CCG</c:v>
                </c:pt>
                <c:pt idx="199">
                  <c:v>NHS South Reading CCG</c:v>
                </c:pt>
                <c:pt idx="200">
                  <c:v>NHS Warwickshire North CCG</c:v>
                </c:pt>
                <c:pt idx="201">
                  <c:v>NHS Gloucestershire CCG</c:v>
                </c:pt>
                <c:pt idx="202">
                  <c:v>NHS West Suffolk CCG</c:v>
                </c:pt>
                <c:pt idx="203">
                  <c:v>NHS South Lincolnshire CCG</c:v>
                </c:pt>
                <c:pt idx="204">
                  <c:v>NHS Portsmouth CCG</c:v>
                </c:pt>
                <c:pt idx="205">
                  <c:v>NHS Somerset CCG</c:v>
                </c:pt>
                <c:pt idx="206">
                  <c:v>NHS Fareham and Gosport CCG</c:v>
                </c:pt>
                <c:pt idx="207">
                  <c:v>NHS Lincolnshire East CCG</c:v>
                </c:pt>
                <c:pt idx="208">
                  <c:v>NHS Hillingdon CCG</c:v>
                </c:pt>
                <c:pt idx="209">
                  <c:v>NHS Southwark CCG</c:v>
                </c:pt>
                <c:pt idx="210">
                  <c:v>NHS Leicester City CCG</c:v>
                </c:pt>
              </c:strCache>
            </c:strRef>
          </c:cat>
          <c:val>
            <c:numRef>
              <c:f>Sheet1!$B$2:$B$212</c:f>
              <c:numCache>
                <c:formatCode>0.0</c:formatCode>
                <c:ptCount val="21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10.7</c:v>
                </c:pt>
                <c:pt idx="124">
                  <c:v>13.1</c:v>
                </c:pt>
                <c:pt idx="125">
                  <c:v>13.6</c:v>
                </c:pt>
                <c:pt idx="126">
                  <c:v>13.7</c:v>
                </c:pt>
                <c:pt idx="127">
                  <c:v>14.1</c:v>
                </c:pt>
                <c:pt idx="128">
                  <c:v>14.6</c:v>
                </c:pt>
                <c:pt idx="129">
                  <c:v>15.5</c:v>
                </c:pt>
                <c:pt idx="130">
                  <c:v>15.8</c:v>
                </c:pt>
                <c:pt idx="131">
                  <c:v>15.9</c:v>
                </c:pt>
                <c:pt idx="132">
                  <c:v>16.100000000000001</c:v>
                </c:pt>
                <c:pt idx="133">
                  <c:v>16.100000000000001</c:v>
                </c:pt>
                <c:pt idx="134">
                  <c:v>16.3</c:v>
                </c:pt>
                <c:pt idx="135">
                  <c:v>16.399999999999999</c:v>
                </c:pt>
                <c:pt idx="136">
                  <c:v>18.399999999999999</c:v>
                </c:pt>
                <c:pt idx="137">
                  <c:v>18.7</c:v>
                </c:pt>
                <c:pt idx="138">
                  <c:v>19</c:v>
                </c:pt>
                <c:pt idx="139">
                  <c:v>19</c:v>
                </c:pt>
                <c:pt idx="140">
                  <c:v>19.899999999999999</c:v>
                </c:pt>
                <c:pt idx="141">
                  <c:v>20</c:v>
                </c:pt>
                <c:pt idx="142">
                  <c:v>20.100000000000001</c:v>
                </c:pt>
                <c:pt idx="143">
                  <c:v>20.5</c:v>
                </c:pt>
                <c:pt idx="144">
                  <c:v>20.5</c:v>
                </c:pt>
                <c:pt idx="145">
                  <c:v>20.6</c:v>
                </c:pt>
                <c:pt idx="146">
                  <c:v>20.6</c:v>
                </c:pt>
                <c:pt idx="147">
                  <c:v>20.8</c:v>
                </c:pt>
                <c:pt idx="148">
                  <c:v>21.1</c:v>
                </c:pt>
                <c:pt idx="149">
                  <c:v>21.4</c:v>
                </c:pt>
                <c:pt idx="150">
                  <c:v>21.4</c:v>
                </c:pt>
                <c:pt idx="151">
                  <c:v>21.6</c:v>
                </c:pt>
                <c:pt idx="152">
                  <c:v>21.9</c:v>
                </c:pt>
                <c:pt idx="153">
                  <c:v>22</c:v>
                </c:pt>
                <c:pt idx="154">
                  <c:v>22.5</c:v>
                </c:pt>
                <c:pt idx="155">
                  <c:v>22.9</c:v>
                </c:pt>
                <c:pt idx="156">
                  <c:v>22.9</c:v>
                </c:pt>
                <c:pt idx="157">
                  <c:v>23</c:v>
                </c:pt>
                <c:pt idx="158">
                  <c:v>23.1</c:v>
                </c:pt>
                <c:pt idx="159">
                  <c:v>23.2</c:v>
                </c:pt>
                <c:pt idx="160">
                  <c:v>23.5</c:v>
                </c:pt>
                <c:pt idx="161">
                  <c:v>23.5</c:v>
                </c:pt>
                <c:pt idx="162">
                  <c:v>23.8</c:v>
                </c:pt>
                <c:pt idx="163">
                  <c:v>24.1</c:v>
                </c:pt>
                <c:pt idx="164">
                  <c:v>24.4</c:v>
                </c:pt>
                <c:pt idx="165">
                  <c:v>24.4</c:v>
                </c:pt>
                <c:pt idx="166">
                  <c:v>24.5</c:v>
                </c:pt>
                <c:pt idx="167">
                  <c:v>25</c:v>
                </c:pt>
                <c:pt idx="168">
                  <c:v>25.4</c:v>
                </c:pt>
                <c:pt idx="169">
                  <c:v>25.5</c:v>
                </c:pt>
                <c:pt idx="170">
                  <c:v>25.7</c:v>
                </c:pt>
                <c:pt idx="171">
                  <c:v>25.7</c:v>
                </c:pt>
                <c:pt idx="172">
                  <c:v>25.8</c:v>
                </c:pt>
                <c:pt idx="173">
                  <c:v>25.8</c:v>
                </c:pt>
                <c:pt idx="174">
                  <c:v>26.2</c:v>
                </c:pt>
                <c:pt idx="175">
                  <c:v>27.3</c:v>
                </c:pt>
                <c:pt idx="176">
                  <c:v>27.6</c:v>
                </c:pt>
                <c:pt idx="177">
                  <c:v>27.6</c:v>
                </c:pt>
                <c:pt idx="178">
                  <c:v>27.9</c:v>
                </c:pt>
                <c:pt idx="179">
                  <c:v>28.9</c:v>
                </c:pt>
                <c:pt idx="180">
                  <c:v>29.6</c:v>
                </c:pt>
                <c:pt idx="181">
                  <c:v>29.7</c:v>
                </c:pt>
                <c:pt idx="182">
                  <c:v>30.2</c:v>
                </c:pt>
                <c:pt idx="183">
                  <c:v>30.4</c:v>
                </c:pt>
                <c:pt idx="184">
                  <c:v>31</c:v>
                </c:pt>
                <c:pt idx="185">
                  <c:v>32</c:v>
                </c:pt>
                <c:pt idx="186">
                  <c:v>32.4</c:v>
                </c:pt>
                <c:pt idx="187">
                  <c:v>32.5</c:v>
                </c:pt>
                <c:pt idx="188">
                  <c:v>32.799999999999997</c:v>
                </c:pt>
                <c:pt idx="189">
                  <c:v>32.9</c:v>
                </c:pt>
                <c:pt idx="190">
                  <c:v>33</c:v>
                </c:pt>
                <c:pt idx="191">
                  <c:v>33.299999999999997</c:v>
                </c:pt>
                <c:pt idx="192">
                  <c:v>33.299999999999997</c:v>
                </c:pt>
                <c:pt idx="193">
                  <c:v>33.299999999999997</c:v>
                </c:pt>
                <c:pt idx="194">
                  <c:v>33.299999999999997</c:v>
                </c:pt>
                <c:pt idx="195">
                  <c:v>34.799999999999997</c:v>
                </c:pt>
                <c:pt idx="196">
                  <c:v>35.200000000000003</c:v>
                </c:pt>
                <c:pt idx="197">
                  <c:v>35.200000000000003</c:v>
                </c:pt>
                <c:pt idx="198">
                  <c:v>35.799999999999997</c:v>
                </c:pt>
                <c:pt idx="199">
                  <c:v>36.4</c:v>
                </c:pt>
                <c:pt idx="200">
                  <c:v>37.700000000000003</c:v>
                </c:pt>
                <c:pt idx="201">
                  <c:v>38.299999999999997</c:v>
                </c:pt>
                <c:pt idx="202">
                  <c:v>38.6</c:v>
                </c:pt>
                <c:pt idx="203">
                  <c:v>38.9</c:v>
                </c:pt>
                <c:pt idx="204">
                  <c:v>39.200000000000003</c:v>
                </c:pt>
                <c:pt idx="205">
                  <c:v>40.1</c:v>
                </c:pt>
                <c:pt idx="206">
                  <c:v>42.5</c:v>
                </c:pt>
                <c:pt idx="207">
                  <c:v>42.7</c:v>
                </c:pt>
                <c:pt idx="208">
                  <c:v>66.7</c:v>
                </c:pt>
                <c:pt idx="209">
                  <c:v>77.8</c:v>
                </c:pt>
                <c:pt idx="210">
                  <c:v>0</c:v>
                </c:pt>
              </c:numCache>
            </c:numRef>
          </c:val>
          <c:smooth val="0"/>
          <c:extLst>
            <c:ext xmlns:c16="http://schemas.microsoft.com/office/drawing/2014/chart" uri="{C3380CC4-5D6E-409C-BE32-E72D297353CC}">
              <c16:uniqueId val="{00000000-F9BF-41A2-8FF3-C4A7D29DABBB}"/>
            </c:ext>
          </c:extLst>
        </c:ser>
        <c:ser>
          <c:idx val="1"/>
          <c:order val="1"/>
          <c:tx>
            <c:strRef>
              <c:f>Sheet1!$C$1</c:f>
              <c:strCache>
                <c:ptCount val="1"/>
                <c:pt idx="0">
                  <c:v>CI Lower</c:v>
                </c:pt>
              </c:strCache>
            </c:strRef>
          </c:tx>
          <c:marker>
            <c:symbol val="none"/>
          </c:marker>
          <c:cat>
            <c:strRef>
              <c:f>Sheet1!$A$2:$A$212</c:f>
              <c:strCache>
                <c:ptCount val="211"/>
                <c:pt idx="0">
                  <c:v>NHS Darlington CCG</c:v>
                </c:pt>
                <c:pt idx="1">
                  <c:v>NHS Newcastle West CCG</c:v>
                </c:pt>
                <c:pt idx="2">
                  <c:v>NHS South Tees CCG</c:v>
                </c:pt>
                <c:pt idx="3">
                  <c:v>NHS South Tyneside CCG</c:v>
                </c:pt>
                <c:pt idx="4">
                  <c:v>NHS Blackpool CCG</c:v>
                </c:pt>
                <c:pt idx="5">
                  <c:v>NHS Bury CCG</c:v>
                </c:pt>
                <c:pt idx="6">
                  <c:v>NHS Central Manchester CCG</c:v>
                </c:pt>
                <c:pt idx="7">
                  <c:v>NHS Oldham CCG</c:v>
                </c:pt>
                <c:pt idx="8">
                  <c:v>NHS Eastern Cheshire CCG</c:v>
                </c:pt>
                <c:pt idx="9">
                  <c:v>NHS Heywood, Middleton and Rochdale CCG</c:v>
                </c:pt>
                <c:pt idx="10">
                  <c:v>NHS Halton CCG</c:v>
                </c:pt>
                <c:pt idx="11">
                  <c:v>NHS Salford CCG</c:v>
                </c:pt>
                <c:pt idx="12">
                  <c:v>NHS Knowsley CCG</c:v>
                </c:pt>
                <c:pt idx="13">
                  <c:v>NHS Lancashire North CCG</c:v>
                </c:pt>
                <c:pt idx="14">
                  <c:v>NHS North Manchester CCG</c:v>
                </c:pt>
                <c:pt idx="15">
                  <c:v>NHS South Manchester CCG</c:v>
                </c:pt>
                <c:pt idx="16">
                  <c:v>NHS South Cheshire CCG</c:v>
                </c:pt>
                <c:pt idx="17">
                  <c:v>NHS South Sefton CCG</c:v>
                </c:pt>
                <c:pt idx="18">
                  <c:v>NHS Stockport CCG</c:v>
                </c:pt>
                <c:pt idx="19">
                  <c:v>NHS St Helens CCG</c:v>
                </c:pt>
                <c:pt idx="20">
                  <c:v>NHS Tameside and Glossop CCG</c:v>
                </c:pt>
                <c:pt idx="21">
                  <c:v>NHS Vale Royal CCG</c:v>
                </c:pt>
                <c:pt idx="22">
                  <c:v>NHS West Lancashire CCG</c:v>
                </c:pt>
                <c:pt idx="23">
                  <c:v>NHS Wigan Borough CCG</c:v>
                </c:pt>
                <c:pt idx="24">
                  <c:v>NHS Fylde &amp; Wyre CCG</c:v>
                </c:pt>
                <c:pt idx="25">
                  <c:v>NHS Airedale, Wharfedale and Craven CCG</c:v>
                </c:pt>
                <c:pt idx="26">
                  <c:v>NHS Barnsley CCG</c:v>
                </c:pt>
                <c:pt idx="27">
                  <c:v>NHS Bassetlaw CCG</c:v>
                </c:pt>
                <c:pt idx="28">
                  <c:v>NHS Leeds North CCG</c:v>
                </c:pt>
                <c:pt idx="29">
                  <c:v>NHS Bradford City CCG</c:v>
                </c:pt>
                <c:pt idx="30">
                  <c:v>NHS East Riding Of Yorkshire CCG</c:v>
                </c:pt>
                <c:pt idx="31">
                  <c:v>NHS Leeds West CCG</c:v>
                </c:pt>
                <c:pt idx="32">
                  <c:v>NHS Hambleton, Richmondshire and Whitby CCG</c:v>
                </c:pt>
                <c:pt idx="33">
                  <c:v>NHS Harrogate and Rural District CCG</c:v>
                </c:pt>
                <c:pt idx="34">
                  <c:v>NHS Hull CCG</c:v>
                </c:pt>
                <c:pt idx="35">
                  <c:v>NHS Leeds South and East CCG</c:v>
                </c:pt>
                <c:pt idx="36">
                  <c:v>NHS North Kirklees CCG</c:v>
                </c:pt>
                <c:pt idx="37">
                  <c:v>NHS Rotherham CCG</c:v>
                </c:pt>
                <c:pt idx="38">
                  <c:v>NHS Scarborough and Ryedale CCG</c:v>
                </c:pt>
                <c:pt idx="39">
                  <c:v>NHS Sheffield CCG</c:v>
                </c:pt>
                <c:pt idx="40">
                  <c:v>NHS Wakefield CCG</c:v>
                </c:pt>
                <c:pt idx="41">
                  <c:v>NHS Corby CCG</c:v>
                </c:pt>
                <c:pt idx="42">
                  <c:v>NHS Erewash CCG</c:v>
                </c:pt>
                <c:pt idx="43">
                  <c:v>NHS Hardwick CCG</c:v>
                </c:pt>
                <c:pt idx="44">
                  <c:v>NHS Mansfield and Ashfield CCG</c:v>
                </c:pt>
                <c:pt idx="45">
                  <c:v>NHS Milton Keynes CCG</c:v>
                </c:pt>
                <c:pt idx="46">
                  <c:v>NHS Newark &amp; Sherwood CCG</c:v>
                </c:pt>
                <c:pt idx="47">
                  <c:v>NHS North Derbyshire CCG</c:v>
                </c:pt>
                <c:pt idx="48">
                  <c:v>NHS Nottingham City CCG</c:v>
                </c:pt>
                <c:pt idx="49">
                  <c:v>NHS Nottingham North and East CCG</c:v>
                </c:pt>
                <c:pt idx="50">
                  <c:v>NHS Nottingham West CCG</c:v>
                </c:pt>
                <c:pt idx="51">
                  <c:v>NHS Rushcliffe CCG</c:v>
                </c:pt>
                <c:pt idx="52">
                  <c:v>NHS South West Lincolnshire CCG</c:v>
                </c:pt>
                <c:pt idx="53">
                  <c:v>NHS Southern Derbyshire CCG</c:v>
                </c:pt>
                <c:pt idx="54">
                  <c:v>NHS Birmingham South and Central CCG</c:v>
                </c:pt>
                <c:pt idx="55">
                  <c:v>NHS Cannock Chase CCG</c:v>
                </c:pt>
                <c:pt idx="56">
                  <c:v>NHS Dudley CCG</c:v>
                </c:pt>
                <c:pt idx="57">
                  <c:v>NHS East Staffordshire CCG</c:v>
                </c:pt>
                <c:pt idx="58">
                  <c:v>NHS Herefordshire CCG</c:v>
                </c:pt>
                <c:pt idx="59">
                  <c:v>NHS North Staffordshire CCG</c:v>
                </c:pt>
                <c:pt idx="60">
                  <c:v>NHS Redditch and Bromsgrove CCG</c:v>
                </c:pt>
                <c:pt idx="61">
                  <c:v>NHS Solihull CCG</c:v>
                </c:pt>
                <c:pt idx="62">
                  <c:v>NHS South East Staffs and Seisdon Peninsular CCG</c:v>
                </c:pt>
                <c:pt idx="63">
                  <c:v>NHS South Worcestershire CCG</c:v>
                </c:pt>
                <c:pt idx="64">
                  <c:v>NHS Stoke On Trent CCG</c:v>
                </c:pt>
                <c:pt idx="65">
                  <c:v>NHS Telford and Wrekin CCG</c:v>
                </c:pt>
                <c:pt idx="66">
                  <c:v>NHS Walsall CCG</c:v>
                </c:pt>
                <c:pt idx="67">
                  <c:v>NHS Wolverhampton CCG</c:v>
                </c:pt>
                <c:pt idx="68">
                  <c:v>NHS Wyre Forest CCG</c:v>
                </c:pt>
                <c:pt idx="69">
                  <c:v>NHS Bedfordshire CCG</c:v>
                </c:pt>
                <c:pt idx="70">
                  <c:v>NHS Cambridgeshire and Peterborough CCG</c:v>
                </c:pt>
                <c:pt idx="71">
                  <c:v>NHS Luton CCG</c:v>
                </c:pt>
                <c:pt idx="72">
                  <c:v>NHS Mid Essex CCG</c:v>
                </c:pt>
                <c:pt idx="73">
                  <c:v>NHS North East Essex CCG</c:v>
                </c:pt>
                <c:pt idx="74">
                  <c:v>NHS North Norfolk CCG</c:v>
                </c:pt>
                <c:pt idx="75">
                  <c:v>NHS Norwich CCG</c:v>
                </c:pt>
                <c:pt idx="76">
                  <c:v>NHS South Norfolk CCG</c:v>
                </c:pt>
                <c:pt idx="77">
                  <c:v>NHS West Norfolk CCG</c:v>
                </c:pt>
                <c:pt idx="78">
                  <c:v>NHS Barking and Dagenham CCG</c:v>
                </c:pt>
                <c:pt idx="79">
                  <c:v>NHS Barnet CCG</c:v>
                </c:pt>
                <c:pt idx="80">
                  <c:v>NHS Brent CCG</c:v>
                </c:pt>
                <c:pt idx="81">
                  <c:v>NHS Bromley CCG</c:v>
                </c:pt>
                <c:pt idx="82">
                  <c:v>NHS Camden CCG</c:v>
                </c:pt>
                <c:pt idx="83">
                  <c:v>NHS City and Hackney CCG</c:v>
                </c:pt>
                <c:pt idx="84">
                  <c:v>NHS Croydon CCG</c:v>
                </c:pt>
                <c:pt idx="85">
                  <c:v>NHS Ealing CCG</c:v>
                </c:pt>
                <c:pt idx="86">
                  <c:v>NHS Enfield CCG</c:v>
                </c:pt>
                <c:pt idx="87">
                  <c:v>NHS Hounslow CCG</c:v>
                </c:pt>
                <c:pt idx="88">
                  <c:v>NHS Greenwich CCG</c:v>
                </c:pt>
                <c:pt idx="89">
                  <c:v>NHS Hammersmith and Fulham CCG</c:v>
                </c:pt>
                <c:pt idx="90">
                  <c:v>NHS Haringey CCG</c:v>
                </c:pt>
                <c:pt idx="91">
                  <c:v>NHS Harrow CCG</c:v>
                </c:pt>
                <c:pt idx="92">
                  <c:v>NHS Islington CCG</c:v>
                </c:pt>
                <c:pt idx="93">
                  <c:v>NHS Kingston CCG</c:v>
                </c:pt>
                <c:pt idx="94">
                  <c:v>NHS Lambeth CCG</c:v>
                </c:pt>
                <c:pt idx="95">
                  <c:v>NHS Lewisham CCG</c:v>
                </c:pt>
                <c:pt idx="96">
                  <c:v>NHS Newham CCG</c:v>
                </c:pt>
                <c:pt idx="97">
                  <c:v>NHS Redbridge CCG</c:v>
                </c:pt>
                <c:pt idx="98">
                  <c:v>NHS Richmond CCG</c:v>
                </c:pt>
                <c:pt idx="99">
                  <c:v>NHS Merton CCG</c:v>
                </c:pt>
                <c:pt idx="100">
                  <c:v>NHS Sutton CCG</c:v>
                </c:pt>
                <c:pt idx="101">
                  <c:v>NHS Waltham Forest CCG</c:v>
                </c:pt>
                <c:pt idx="102">
                  <c:v>NHS Wandsworth CCG</c:v>
                </c:pt>
                <c:pt idx="103">
                  <c:v>NHS West London (K&amp;C &amp; Qpp) CCG</c:v>
                </c:pt>
                <c:pt idx="104">
                  <c:v>NHS Central London (Westminster) CCG</c:v>
                </c:pt>
                <c:pt idx="105">
                  <c:v>NHS Ashford CCG</c:v>
                </c:pt>
                <c:pt idx="106">
                  <c:v>NHS Brighton and Hove CCG</c:v>
                </c:pt>
                <c:pt idx="107">
                  <c:v>NHS Canterbury and Coastal CCG</c:v>
                </c:pt>
                <c:pt idx="108">
                  <c:v>NHS Eastbourne, Hailsham and Seaford CCG</c:v>
                </c:pt>
                <c:pt idx="109">
                  <c:v>NHS Crawley CCG</c:v>
                </c:pt>
                <c:pt idx="110">
                  <c:v>NHS East Surrey CCG</c:v>
                </c:pt>
                <c:pt idx="111">
                  <c:v>NHS Hastings and Rother CCG</c:v>
                </c:pt>
                <c:pt idx="112">
                  <c:v>NHS Horsham and Mid Sussex CCG</c:v>
                </c:pt>
                <c:pt idx="113">
                  <c:v>NHS Thanet CCG</c:v>
                </c:pt>
                <c:pt idx="114">
                  <c:v>NHS Isle Of Wight CCG</c:v>
                </c:pt>
                <c:pt idx="115">
                  <c:v>NHS Slough CCG</c:v>
                </c:pt>
                <c:pt idx="116">
                  <c:v>NHS Southampton CCG</c:v>
                </c:pt>
                <c:pt idx="117">
                  <c:v>NHS Windsor, Ascot and Maidenhead CCG</c:v>
                </c:pt>
                <c:pt idx="118">
                  <c:v>NHS Castle Point and Rochford CCG</c:v>
                </c:pt>
                <c:pt idx="119">
                  <c:v>NHS Southend CCG</c:v>
                </c:pt>
                <c:pt idx="120">
                  <c:v>NHS West Kent CCG</c:v>
                </c:pt>
                <c:pt idx="121">
                  <c:v>NHS High Weald Lewes Havens CCG</c:v>
                </c:pt>
                <c:pt idx="122">
                  <c:v>NHS South Devon and Torbay CCG</c:v>
                </c:pt>
                <c:pt idx="123">
                  <c:v>NHS East and North Hertfordshire CCG</c:v>
                </c:pt>
                <c:pt idx="124">
                  <c:v>NHS Sandwell and West Birmingham CCG</c:v>
                </c:pt>
                <c:pt idx="125">
                  <c:v>NHS East Lancashire CCG</c:v>
                </c:pt>
                <c:pt idx="126">
                  <c:v>NHS Southport and Formby CCG</c:v>
                </c:pt>
                <c:pt idx="127">
                  <c:v>NHS Dartford, Gravesham and Swanley CCG</c:v>
                </c:pt>
                <c:pt idx="128">
                  <c:v>NHS Cumbria CCG</c:v>
                </c:pt>
                <c:pt idx="129">
                  <c:v>NHS Warrington CCG</c:v>
                </c:pt>
                <c:pt idx="130">
                  <c:v>NHS South Kent Coast CCG</c:v>
                </c:pt>
                <c:pt idx="131">
                  <c:v>NHS Blackburn With Darwen CCG</c:v>
                </c:pt>
                <c:pt idx="132">
                  <c:v>NHS Durham Dales, Easington and Sedgefield CCG</c:v>
                </c:pt>
                <c:pt idx="133">
                  <c:v>NHS Bexley CCG</c:v>
                </c:pt>
                <c:pt idx="134">
                  <c:v>NHS Sunderland CCG</c:v>
                </c:pt>
                <c:pt idx="135">
                  <c:v>NHS Havering CCG</c:v>
                </c:pt>
                <c:pt idx="136">
                  <c:v>NHS Bolton CCG</c:v>
                </c:pt>
                <c:pt idx="137">
                  <c:v>NHS North, East, West Devon CCG</c:v>
                </c:pt>
                <c:pt idx="138">
                  <c:v>NHS Northumberland CCG</c:v>
                </c:pt>
                <c:pt idx="139">
                  <c:v>NHS Doncaster CCG</c:v>
                </c:pt>
                <c:pt idx="140">
                  <c:v>NHS Coventry and Rugby CCG</c:v>
                </c:pt>
                <c:pt idx="141">
                  <c:v>NHS Thurrock CCG</c:v>
                </c:pt>
                <c:pt idx="142">
                  <c:v>NHS Coastal West Sussex CCG</c:v>
                </c:pt>
                <c:pt idx="143">
                  <c:v>NHS Newcastle North and East CCG</c:v>
                </c:pt>
                <c:pt idx="144">
                  <c:v>NHS Liverpool CCG</c:v>
                </c:pt>
                <c:pt idx="145">
                  <c:v>NHS West Hampshire CCG</c:v>
                </c:pt>
                <c:pt idx="146">
                  <c:v>NHS Kernow CCG</c:v>
                </c:pt>
                <c:pt idx="147">
                  <c:v>NHS Bradford Districts CCG</c:v>
                </c:pt>
                <c:pt idx="148">
                  <c:v>NHS North &amp; West Reading CCG</c:v>
                </c:pt>
                <c:pt idx="149">
                  <c:v>NHS Greater Huddersfield CCG</c:v>
                </c:pt>
                <c:pt idx="150">
                  <c:v>NHS Lincolnshire West CCG</c:v>
                </c:pt>
                <c:pt idx="151">
                  <c:v>NHS North West Surrey CCG</c:v>
                </c:pt>
                <c:pt idx="152">
                  <c:v>NHS Surrey Heath CCG</c:v>
                </c:pt>
                <c:pt idx="153">
                  <c:v>NHS South Warwickshire CCG</c:v>
                </c:pt>
                <c:pt idx="154">
                  <c:v>NHS Shropshire CCG</c:v>
                </c:pt>
                <c:pt idx="155">
                  <c:v>NHS North Durham CCG</c:v>
                </c:pt>
                <c:pt idx="156">
                  <c:v>NHS North Somerset CCG</c:v>
                </c:pt>
                <c:pt idx="157">
                  <c:v>NHS Gateshead CCG</c:v>
                </c:pt>
                <c:pt idx="158">
                  <c:v>NHS Trafford CCG</c:v>
                </c:pt>
                <c:pt idx="159">
                  <c:v>NHS Basildon and Brentwood CCG</c:v>
                </c:pt>
                <c:pt idx="160">
                  <c:v>NHS North Hampshire CCG</c:v>
                </c:pt>
                <c:pt idx="161">
                  <c:v>NHS Dorset CCG</c:v>
                </c:pt>
                <c:pt idx="162">
                  <c:v>NHS Guildford and Waverley CCG</c:v>
                </c:pt>
                <c:pt idx="163">
                  <c:v>NHS Great Yarmouth and Waveney CCG</c:v>
                </c:pt>
                <c:pt idx="164">
                  <c:v>NHS Bristol CCG</c:v>
                </c:pt>
                <c:pt idx="165">
                  <c:v>NHS Birmingham Crosscity CCG</c:v>
                </c:pt>
                <c:pt idx="166">
                  <c:v>NHS Aylesbury Vale CCG</c:v>
                </c:pt>
                <c:pt idx="167">
                  <c:v>NHS Stafford and Surrounds CCG</c:v>
                </c:pt>
                <c:pt idx="168">
                  <c:v>NHS Greater Preston CCG</c:v>
                </c:pt>
                <c:pt idx="169">
                  <c:v>NHS Calderdale CCG</c:v>
                </c:pt>
                <c:pt idx="170">
                  <c:v>NHS North East Lincolnshire CCG</c:v>
                </c:pt>
                <c:pt idx="171">
                  <c:v>NHS Nene CCG</c:v>
                </c:pt>
                <c:pt idx="172">
                  <c:v>NHS Vale Of York CCG</c:v>
                </c:pt>
                <c:pt idx="173">
                  <c:v>NHS Bath and North East Somerset CCG</c:v>
                </c:pt>
                <c:pt idx="174">
                  <c:v>NHS West Leicestershire CCG</c:v>
                </c:pt>
                <c:pt idx="175">
                  <c:v>NHS North East Hampshire and Farnham CCG</c:v>
                </c:pt>
                <c:pt idx="176">
                  <c:v>NHS West Cheshire CCG</c:v>
                </c:pt>
                <c:pt idx="177">
                  <c:v>NHS Ipswich and East Suffolk CCG</c:v>
                </c:pt>
                <c:pt idx="178">
                  <c:v>NHS Wirral CCG</c:v>
                </c:pt>
                <c:pt idx="179">
                  <c:v>NHS Hartlepool and Stockton-On-Tees CCG</c:v>
                </c:pt>
                <c:pt idx="180">
                  <c:v>NHS East Leicestershire and Rutland CCG</c:v>
                </c:pt>
                <c:pt idx="181">
                  <c:v>NHS Tower Hamlets CCG</c:v>
                </c:pt>
                <c:pt idx="182">
                  <c:v>NHS Wiltshire CCG</c:v>
                </c:pt>
                <c:pt idx="183">
                  <c:v>NHS North Lincolnshire CCG</c:v>
                </c:pt>
                <c:pt idx="184">
                  <c:v>NHS Oxfordshire CCG</c:v>
                </c:pt>
                <c:pt idx="185">
                  <c:v>NHS Newbury and District CCG</c:v>
                </c:pt>
                <c:pt idx="186">
                  <c:v>NHS South Gloucestershire CCG</c:v>
                </c:pt>
                <c:pt idx="187">
                  <c:v>NHS Medway CCG</c:v>
                </c:pt>
                <c:pt idx="188">
                  <c:v>NHS Swindon CCG</c:v>
                </c:pt>
                <c:pt idx="189">
                  <c:v>NHS West Essex CCG</c:v>
                </c:pt>
                <c:pt idx="190">
                  <c:v>NHS Herts Valleys CCG</c:v>
                </c:pt>
                <c:pt idx="191">
                  <c:v>NHS Chorley and South Ribble CCG</c:v>
                </c:pt>
                <c:pt idx="192">
                  <c:v>NHS Swale CCG</c:v>
                </c:pt>
                <c:pt idx="193">
                  <c:v>NHS Chiltern CCG</c:v>
                </c:pt>
                <c:pt idx="194">
                  <c:v>NHS Surrey Downs CCG</c:v>
                </c:pt>
                <c:pt idx="195">
                  <c:v>NHS Bracknell and Ascot CCG</c:v>
                </c:pt>
                <c:pt idx="196">
                  <c:v>NHS Wokingham CCG</c:v>
                </c:pt>
                <c:pt idx="197">
                  <c:v>NHS North Tyneside CCG</c:v>
                </c:pt>
                <c:pt idx="198">
                  <c:v>NHS South Eastern Hampshire CCG</c:v>
                </c:pt>
                <c:pt idx="199">
                  <c:v>NHS South Reading CCG</c:v>
                </c:pt>
                <c:pt idx="200">
                  <c:v>NHS Warwickshire North CCG</c:v>
                </c:pt>
                <c:pt idx="201">
                  <c:v>NHS Gloucestershire CCG</c:v>
                </c:pt>
                <c:pt idx="202">
                  <c:v>NHS West Suffolk CCG</c:v>
                </c:pt>
                <c:pt idx="203">
                  <c:v>NHS South Lincolnshire CCG</c:v>
                </c:pt>
                <c:pt idx="204">
                  <c:v>NHS Portsmouth CCG</c:v>
                </c:pt>
                <c:pt idx="205">
                  <c:v>NHS Somerset CCG</c:v>
                </c:pt>
                <c:pt idx="206">
                  <c:v>NHS Fareham and Gosport CCG</c:v>
                </c:pt>
                <c:pt idx="207">
                  <c:v>NHS Lincolnshire East CCG</c:v>
                </c:pt>
                <c:pt idx="208">
                  <c:v>NHS Hillingdon CCG</c:v>
                </c:pt>
                <c:pt idx="209">
                  <c:v>NHS Southwark CCG</c:v>
                </c:pt>
                <c:pt idx="210">
                  <c:v>NHS Leicester City CCG</c:v>
                </c:pt>
              </c:strCache>
            </c:strRef>
          </c:cat>
          <c:val>
            <c:numRef>
              <c:f>Sheet1!$C$2:$C$212</c:f>
              <c:numCache>
                <c:formatCode>0.0</c:formatCode>
                <c:ptCount val="21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6.4</c:v>
                </c:pt>
                <c:pt idx="124">
                  <c:v>6.8</c:v>
                </c:pt>
                <c:pt idx="125">
                  <c:v>8.6999999999999993</c:v>
                </c:pt>
                <c:pt idx="126">
                  <c:v>6.8</c:v>
                </c:pt>
                <c:pt idx="127">
                  <c:v>7.8</c:v>
                </c:pt>
                <c:pt idx="128">
                  <c:v>10.199999999999999</c:v>
                </c:pt>
                <c:pt idx="129">
                  <c:v>9.3000000000000007</c:v>
                </c:pt>
                <c:pt idx="130">
                  <c:v>7.4</c:v>
                </c:pt>
                <c:pt idx="131">
                  <c:v>9.1</c:v>
                </c:pt>
                <c:pt idx="132">
                  <c:v>8.6999999999999993</c:v>
                </c:pt>
                <c:pt idx="133">
                  <c:v>8.6999999999999993</c:v>
                </c:pt>
                <c:pt idx="134">
                  <c:v>8.5</c:v>
                </c:pt>
                <c:pt idx="135">
                  <c:v>9.4</c:v>
                </c:pt>
                <c:pt idx="136">
                  <c:v>11.3</c:v>
                </c:pt>
                <c:pt idx="137">
                  <c:v>15</c:v>
                </c:pt>
                <c:pt idx="138">
                  <c:v>13.1</c:v>
                </c:pt>
                <c:pt idx="139">
                  <c:v>11.2</c:v>
                </c:pt>
                <c:pt idx="140">
                  <c:v>14.4</c:v>
                </c:pt>
                <c:pt idx="141">
                  <c:v>10.9</c:v>
                </c:pt>
                <c:pt idx="142">
                  <c:v>16.100000000000001</c:v>
                </c:pt>
                <c:pt idx="143">
                  <c:v>11.2</c:v>
                </c:pt>
                <c:pt idx="144">
                  <c:v>10.8</c:v>
                </c:pt>
                <c:pt idx="145">
                  <c:v>14.5</c:v>
                </c:pt>
                <c:pt idx="146">
                  <c:v>12.5</c:v>
                </c:pt>
                <c:pt idx="147">
                  <c:v>12</c:v>
                </c:pt>
                <c:pt idx="148">
                  <c:v>11.1</c:v>
                </c:pt>
                <c:pt idx="149">
                  <c:v>12.7</c:v>
                </c:pt>
                <c:pt idx="150">
                  <c:v>13.4</c:v>
                </c:pt>
                <c:pt idx="151">
                  <c:v>15.8</c:v>
                </c:pt>
                <c:pt idx="152">
                  <c:v>11</c:v>
                </c:pt>
                <c:pt idx="153">
                  <c:v>15.5</c:v>
                </c:pt>
                <c:pt idx="154">
                  <c:v>12.3</c:v>
                </c:pt>
                <c:pt idx="155">
                  <c:v>13.3</c:v>
                </c:pt>
                <c:pt idx="156">
                  <c:v>12.1</c:v>
                </c:pt>
                <c:pt idx="157">
                  <c:v>14.2</c:v>
                </c:pt>
                <c:pt idx="158">
                  <c:v>11</c:v>
                </c:pt>
                <c:pt idx="159">
                  <c:v>15.4</c:v>
                </c:pt>
                <c:pt idx="160">
                  <c:v>15</c:v>
                </c:pt>
                <c:pt idx="161">
                  <c:v>19.2</c:v>
                </c:pt>
                <c:pt idx="162">
                  <c:v>16.5</c:v>
                </c:pt>
                <c:pt idx="163">
                  <c:v>16</c:v>
                </c:pt>
                <c:pt idx="164">
                  <c:v>18.7</c:v>
                </c:pt>
                <c:pt idx="165">
                  <c:v>14.2</c:v>
                </c:pt>
                <c:pt idx="166">
                  <c:v>14.6</c:v>
                </c:pt>
                <c:pt idx="167">
                  <c:v>14.9</c:v>
                </c:pt>
                <c:pt idx="168">
                  <c:v>16.5</c:v>
                </c:pt>
                <c:pt idx="169">
                  <c:v>15.8</c:v>
                </c:pt>
                <c:pt idx="170">
                  <c:v>14.2</c:v>
                </c:pt>
                <c:pt idx="171">
                  <c:v>17.100000000000001</c:v>
                </c:pt>
                <c:pt idx="172">
                  <c:v>18.899999999999999</c:v>
                </c:pt>
                <c:pt idx="173">
                  <c:v>16.600000000000001</c:v>
                </c:pt>
                <c:pt idx="174">
                  <c:v>15.3</c:v>
                </c:pt>
                <c:pt idx="175">
                  <c:v>19.100000000000001</c:v>
                </c:pt>
                <c:pt idx="176">
                  <c:v>20</c:v>
                </c:pt>
                <c:pt idx="177">
                  <c:v>17.8</c:v>
                </c:pt>
                <c:pt idx="178">
                  <c:v>16.7</c:v>
                </c:pt>
                <c:pt idx="179">
                  <c:v>20</c:v>
                </c:pt>
                <c:pt idx="180">
                  <c:v>15.9</c:v>
                </c:pt>
                <c:pt idx="181">
                  <c:v>17.5</c:v>
                </c:pt>
                <c:pt idx="182">
                  <c:v>23.7</c:v>
                </c:pt>
                <c:pt idx="183">
                  <c:v>19.100000000000001</c:v>
                </c:pt>
                <c:pt idx="184">
                  <c:v>17.3</c:v>
                </c:pt>
                <c:pt idx="185">
                  <c:v>17.2</c:v>
                </c:pt>
                <c:pt idx="186">
                  <c:v>24.1</c:v>
                </c:pt>
                <c:pt idx="187">
                  <c:v>24.6</c:v>
                </c:pt>
                <c:pt idx="188">
                  <c:v>22.1</c:v>
                </c:pt>
                <c:pt idx="189">
                  <c:v>23.9</c:v>
                </c:pt>
                <c:pt idx="190">
                  <c:v>24.6</c:v>
                </c:pt>
                <c:pt idx="191">
                  <c:v>21.4</c:v>
                </c:pt>
                <c:pt idx="192">
                  <c:v>19.8</c:v>
                </c:pt>
                <c:pt idx="193">
                  <c:v>22.9</c:v>
                </c:pt>
                <c:pt idx="194">
                  <c:v>18</c:v>
                </c:pt>
                <c:pt idx="195">
                  <c:v>18.8</c:v>
                </c:pt>
                <c:pt idx="196">
                  <c:v>23.8</c:v>
                </c:pt>
                <c:pt idx="197">
                  <c:v>23.8</c:v>
                </c:pt>
                <c:pt idx="198">
                  <c:v>28.8</c:v>
                </c:pt>
                <c:pt idx="199">
                  <c:v>19.7</c:v>
                </c:pt>
                <c:pt idx="200">
                  <c:v>25.9</c:v>
                </c:pt>
                <c:pt idx="201">
                  <c:v>30.3</c:v>
                </c:pt>
                <c:pt idx="202">
                  <c:v>27.1</c:v>
                </c:pt>
                <c:pt idx="203">
                  <c:v>20.3</c:v>
                </c:pt>
                <c:pt idx="204">
                  <c:v>31.3</c:v>
                </c:pt>
                <c:pt idx="205">
                  <c:v>32.700000000000003</c:v>
                </c:pt>
                <c:pt idx="206">
                  <c:v>34.299999999999997</c:v>
                </c:pt>
                <c:pt idx="207">
                  <c:v>32.9</c:v>
                </c:pt>
                <c:pt idx="208">
                  <c:v>45.4</c:v>
                </c:pt>
                <c:pt idx="209">
                  <c:v>45.3</c:v>
                </c:pt>
                <c:pt idx="210">
                  <c:v>0</c:v>
                </c:pt>
              </c:numCache>
            </c:numRef>
          </c:val>
          <c:smooth val="0"/>
          <c:extLst>
            <c:ext xmlns:c16="http://schemas.microsoft.com/office/drawing/2014/chart" uri="{C3380CC4-5D6E-409C-BE32-E72D297353CC}">
              <c16:uniqueId val="{00000001-F9BF-41A2-8FF3-C4A7D29DABBB}"/>
            </c:ext>
          </c:extLst>
        </c:ser>
        <c:ser>
          <c:idx val="2"/>
          <c:order val="2"/>
          <c:tx>
            <c:strRef>
              <c:f>Sheet1!$D$1</c:f>
              <c:strCache>
                <c:ptCount val="1"/>
                <c:pt idx="0">
                  <c:v>CI Upper</c:v>
                </c:pt>
              </c:strCache>
            </c:strRef>
          </c:tx>
          <c:marker>
            <c:symbol val="none"/>
          </c:marker>
          <c:cat>
            <c:strRef>
              <c:f>Sheet1!$A$2:$A$212</c:f>
              <c:strCache>
                <c:ptCount val="211"/>
                <c:pt idx="0">
                  <c:v>NHS Darlington CCG</c:v>
                </c:pt>
                <c:pt idx="1">
                  <c:v>NHS Newcastle West CCG</c:v>
                </c:pt>
                <c:pt idx="2">
                  <c:v>NHS South Tees CCG</c:v>
                </c:pt>
                <c:pt idx="3">
                  <c:v>NHS South Tyneside CCG</c:v>
                </c:pt>
                <c:pt idx="4">
                  <c:v>NHS Blackpool CCG</c:v>
                </c:pt>
                <c:pt idx="5">
                  <c:v>NHS Bury CCG</c:v>
                </c:pt>
                <c:pt idx="6">
                  <c:v>NHS Central Manchester CCG</c:v>
                </c:pt>
                <c:pt idx="7">
                  <c:v>NHS Oldham CCG</c:v>
                </c:pt>
                <c:pt idx="8">
                  <c:v>NHS Eastern Cheshire CCG</c:v>
                </c:pt>
                <c:pt idx="9">
                  <c:v>NHS Heywood, Middleton and Rochdale CCG</c:v>
                </c:pt>
                <c:pt idx="10">
                  <c:v>NHS Halton CCG</c:v>
                </c:pt>
                <c:pt idx="11">
                  <c:v>NHS Salford CCG</c:v>
                </c:pt>
                <c:pt idx="12">
                  <c:v>NHS Knowsley CCG</c:v>
                </c:pt>
                <c:pt idx="13">
                  <c:v>NHS Lancashire North CCG</c:v>
                </c:pt>
                <c:pt idx="14">
                  <c:v>NHS North Manchester CCG</c:v>
                </c:pt>
                <c:pt idx="15">
                  <c:v>NHS South Manchester CCG</c:v>
                </c:pt>
                <c:pt idx="16">
                  <c:v>NHS South Cheshire CCG</c:v>
                </c:pt>
                <c:pt idx="17">
                  <c:v>NHS South Sefton CCG</c:v>
                </c:pt>
                <c:pt idx="18">
                  <c:v>NHS Stockport CCG</c:v>
                </c:pt>
                <c:pt idx="19">
                  <c:v>NHS St Helens CCG</c:v>
                </c:pt>
                <c:pt idx="20">
                  <c:v>NHS Tameside and Glossop CCG</c:v>
                </c:pt>
                <c:pt idx="21">
                  <c:v>NHS Vale Royal CCG</c:v>
                </c:pt>
                <c:pt idx="22">
                  <c:v>NHS West Lancashire CCG</c:v>
                </c:pt>
                <c:pt idx="23">
                  <c:v>NHS Wigan Borough CCG</c:v>
                </c:pt>
                <c:pt idx="24">
                  <c:v>NHS Fylde &amp; Wyre CCG</c:v>
                </c:pt>
                <c:pt idx="25">
                  <c:v>NHS Airedale, Wharfedale and Craven CCG</c:v>
                </c:pt>
                <c:pt idx="26">
                  <c:v>NHS Barnsley CCG</c:v>
                </c:pt>
                <c:pt idx="27">
                  <c:v>NHS Bassetlaw CCG</c:v>
                </c:pt>
                <c:pt idx="28">
                  <c:v>NHS Leeds North CCG</c:v>
                </c:pt>
                <c:pt idx="29">
                  <c:v>NHS Bradford City CCG</c:v>
                </c:pt>
                <c:pt idx="30">
                  <c:v>NHS East Riding Of Yorkshire CCG</c:v>
                </c:pt>
                <c:pt idx="31">
                  <c:v>NHS Leeds West CCG</c:v>
                </c:pt>
                <c:pt idx="32">
                  <c:v>NHS Hambleton, Richmondshire and Whitby CCG</c:v>
                </c:pt>
                <c:pt idx="33">
                  <c:v>NHS Harrogate and Rural District CCG</c:v>
                </c:pt>
                <c:pt idx="34">
                  <c:v>NHS Hull CCG</c:v>
                </c:pt>
                <c:pt idx="35">
                  <c:v>NHS Leeds South and East CCG</c:v>
                </c:pt>
                <c:pt idx="36">
                  <c:v>NHS North Kirklees CCG</c:v>
                </c:pt>
                <c:pt idx="37">
                  <c:v>NHS Rotherham CCG</c:v>
                </c:pt>
                <c:pt idx="38">
                  <c:v>NHS Scarborough and Ryedale CCG</c:v>
                </c:pt>
                <c:pt idx="39">
                  <c:v>NHS Sheffield CCG</c:v>
                </c:pt>
                <c:pt idx="40">
                  <c:v>NHS Wakefield CCG</c:v>
                </c:pt>
                <c:pt idx="41">
                  <c:v>NHS Corby CCG</c:v>
                </c:pt>
                <c:pt idx="42">
                  <c:v>NHS Erewash CCG</c:v>
                </c:pt>
                <c:pt idx="43">
                  <c:v>NHS Hardwick CCG</c:v>
                </c:pt>
                <c:pt idx="44">
                  <c:v>NHS Mansfield and Ashfield CCG</c:v>
                </c:pt>
                <c:pt idx="45">
                  <c:v>NHS Milton Keynes CCG</c:v>
                </c:pt>
                <c:pt idx="46">
                  <c:v>NHS Newark &amp; Sherwood CCG</c:v>
                </c:pt>
                <c:pt idx="47">
                  <c:v>NHS North Derbyshire CCG</c:v>
                </c:pt>
                <c:pt idx="48">
                  <c:v>NHS Nottingham City CCG</c:v>
                </c:pt>
                <c:pt idx="49">
                  <c:v>NHS Nottingham North and East CCG</c:v>
                </c:pt>
                <c:pt idx="50">
                  <c:v>NHS Nottingham West CCG</c:v>
                </c:pt>
                <c:pt idx="51">
                  <c:v>NHS Rushcliffe CCG</c:v>
                </c:pt>
                <c:pt idx="52">
                  <c:v>NHS South West Lincolnshire CCG</c:v>
                </c:pt>
                <c:pt idx="53">
                  <c:v>NHS Southern Derbyshire CCG</c:v>
                </c:pt>
                <c:pt idx="54">
                  <c:v>NHS Birmingham South and Central CCG</c:v>
                </c:pt>
                <c:pt idx="55">
                  <c:v>NHS Cannock Chase CCG</c:v>
                </c:pt>
                <c:pt idx="56">
                  <c:v>NHS Dudley CCG</c:v>
                </c:pt>
                <c:pt idx="57">
                  <c:v>NHS East Staffordshire CCG</c:v>
                </c:pt>
                <c:pt idx="58">
                  <c:v>NHS Herefordshire CCG</c:v>
                </c:pt>
                <c:pt idx="59">
                  <c:v>NHS North Staffordshire CCG</c:v>
                </c:pt>
                <c:pt idx="60">
                  <c:v>NHS Redditch and Bromsgrove CCG</c:v>
                </c:pt>
                <c:pt idx="61">
                  <c:v>NHS Solihull CCG</c:v>
                </c:pt>
                <c:pt idx="62">
                  <c:v>NHS South East Staffs and Seisdon Peninsular CCG</c:v>
                </c:pt>
                <c:pt idx="63">
                  <c:v>NHS South Worcestershire CCG</c:v>
                </c:pt>
                <c:pt idx="64">
                  <c:v>NHS Stoke On Trent CCG</c:v>
                </c:pt>
                <c:pt idx="65">
                  <c:v>NHS Telford and Wrekin CCG</c:v>
                </c:pt>
                <c:pt idx="66">
                  <c:v>NHS Walsall CCG</c:v>
                </c:pt>
                <c:pt idx="67">
                  <c:v>NHS Wolverhampton CCG</c:v>
                </c:pt>
                <c:pt idx="68">
                  <c:v>NHS Wyre Forest CCG</c:v>
                </c:pt>
                <c:pt idx="69">
                  <c:v>NHS Bedfordshire CCG</c:v>
                </c:pt>
                <c:pt idx="70">
                  <c:v>NHS Cambridgeshire and Peterborough CCG</c:v>
                </c:pt>
                <c:pt idx="71">
                  <c:v>NHS Luton CCG</c:v>
                </c:pt>
                <c:pt idx="72">
                  <c:v>NHS Mid Essex CCG</c:v>
                </c:pt>
                <c:pt idx="73">
                  <c:v>NHS North East Essex CCG</c:v>
                </c:pt>
                <c:pt idx="74">
                  <c:v>NHS North Norfolk CCG</c:v>
                </c:pt>
                <c:pt idx="75">
                  <c:v>NHS Norwich CCG</c:v>
                </c:pt>
                <c:pt idx="76">
                  <c:v>NHS South Norfolk CCG</c:v>
                </c:pt>
                <c:pt idx="77">
                  <c:v>NHS West Norfolk CCG</c:v>
                </c:pt>
                <c:pt idx="78">
                  <c:v>NHS Barking and Dagenham CCG</c:v>
                </c:pt>
                <c:pt idx="79">
                  <c:v>NHS Barnet CCG</c:v>
                </c:pt>
                <c:pt idx="80">
                  <c:v>NHS Brent CCG</c:v>
                </c:pt>
                <c:pt idx="81">
                  <c:v>NHS Bromley CCG</c:v>
                </c:pt>
                <c:pt idx="82">
                  <c:v>NHS Camden CCG</c:v>
                </c:pt>
                <c:pt idx="83">
                  <c:v>NHS City and Hackney CCG</c:v>
                </c:pt>
                <c:pt idx="84">
                  <c:v>NHS Croydon CCG</c:v>
                </c:pt>
                <c:pt idx="85">
                  <c:v>NHS Ealing CCG</c:v>
                </c:pt>
                <c:pt idx="86">
                  <c:v>NHS Enfield CCG</c:v>
                </c:pt>
                <c:pt idx="87">
                  <c:v>NHS Hounslow CCG</c:v>
                </c:pt>
                <c:pt idx="88">
                  <c:v>NHS Greenwich CCG</c:v>
                </c:pt>
                <c:pt idx="89">
                  <c:v>NHS Hammersmith and Fulham CCG</c:v>
                </c:pt>
                <c:pt idx="90">
                  <c:v>NHS Haringey CCG</c:v>
                </c:pt>
                <c:pt idx="91">
                  <c:v>NHS Harrow CCG</c:v>
                </c:pt>
                <c:pt idx="92">
                  <c:v>NHS Islington CCG</c:v>
                </c:pt>
                <c:pt idx="93">
                  <c:v>NHS Kingston CCG</c:v>
                </c:pt>
                <c:pt idx="94">
                  <c:v>NHS Lambeth CCG</c:v>
                </c:pt>
                <c:pt idx="95">
                  <c:v>NHS Lewisham CCG</c:v>
                </c:pt>
                <c:pt idx="96">
                  <c:v>NHS Newham CCG</c:v>
                </c:pt>
                <c:pt idx="97">
                  <c:v>NHS Redbridge CCG</c:v>
                </c:pt>
                <c:pt idx="98">
                  <c:v>NHS Richmond CCG</c:v>
                </c:pt>
                <c:pt idx="99">
                  <c:v>NHS Merton CCG</c:v>
                </c:pt>
                <c:pt idx="100">
                  <c:v>NHS Sutton CCG</c:v>
                </c:pt>
                <c:pt idx="101">
                  <c:v>NHS Waltham Forest CCG</c:v>
                </c:pt>
                <c:pt idx="102">
                  <c:v>NHS Wandsworth CCG</c:v>
                </c:pt>
                <c:pt idx="103">
                  <c:v>NHS West London (K&amp;C &amp; Qpp) CCG</c:v>
                </c:pt>
                <c:pt idx="104">
                  <c:v>NHS Central London (Westminster) CCG</c:v>
                </c:pt>
                <c:pt idx="105">
                  <c:v>NHS Ashford CCG</c:v>
                </c:pt>
                <c:pt idx="106">
                  <c:v>NHS Brighton and Hove CCG</c:v>
                </c:pt>
                <c:pt idx="107">
                  <c:v>NHS Canterbury and Coastal CCG</c:v>
                </c:pt>
                <c:pt idx="108">
                  <c:v>NHS Eastbourne, Hailsham and Seaford CCG</c:v>
                </c:pt>
                <c:pt idx="109">
                  <c:v>NHS Crawley CCG</c:v>
                </c:pt>
                <c:pt idx="110">
                  <c:v>NHS East Surrey CCG</c:v>
                </c:pt>
                <c:pt idx="111">
                  <c:v>NHS Hastings and Rother CCG</c:v>
                </c:pt>
                <c:pt idx="112">
                  <c:v>NHS Horsham and Mid Sussex CCG</c:v>
                </c:pt>
                <c:pt idx="113">
                  <c:v>NHS Thanet CCG</c:v>
                </c:pt>
                <c:pt idx="114">
                  <c:v>NHS Isle Of Wight CCG</c:v>
                </c:pt>
                <c:pt idx="115">
                  <c:v>NHS Slough CCG</c:v>
                </c:pt>
                <c:pt idx="116">
                  <c:v>NHS Southampton CCG</c:v>
                </c:pt>
                <c:pt idx="117">
                  <c:v>NHS Windsor, Ascot and Maidenhead CCG</c:v>
                </c:pt>
                <c:pt idx="118">
                  <c:v>NHS Castle Point and Rochford CCG</c:v>
                </c:pt>
                <c:pt idx="119">
                  <c:v>NHS Southend CCG</c:v>
                </c:pt>
                <c:pt idx="120">
                  <c:v>NHS West Kent CCG</c:v>
                </c:pt>
                <c:pt idx="121">
                  <c:v>NHS High Weald Lewes Havens CCG</c:v>
                </c:pt>
                <c:pt idx="122">
                  <c:v>NHS South Devon and Torbay CCG</c:v>
                </c:pt>
                <c:pt idx="123">
                  <c:v>NHS East and North Hertfordshire CCG</c:v>
                </c:pt>
                <c:pt idx="124">
                  <c:v>NHS Sandwell and West Birmingham CCG</c:v>
                </c:pt>
                <c:pt idx="125">
                  <c:v>NHS East Lancashire CCG</c:v>
                </c:pt>
                <c:pt idx="126">
                  <c:v>NHS Southport and Formby CCG</c:v>
                </c:pt>
                <c:pt idx="127">
                  <c:v>NHS Dartford, Gravesham and Swanley CCG</c:v>
                </c:pt>
                <c:pt idx="128">
                  <c:v>NHS Cumbria CCG</c:v>
                </c:pt>
                <c:pt idx="129">
                  <c:v>NHS Warrington CCG</c:v>
                </c:pt>
                <c:pt idx="130">
                  <c:v>NHS South Kent Coast CCG</c:v>
                </c:pt>
                <c:pt idx="131">
                  <c:v>NHS Blackburn With Darwen CCG</c:v>
                </c:pt>
                <c:pt idx="132">
                  <c:v>NHS Durham Dales, Easington and Sedgefield CCG</c:v>
                </c:pt>
                <c:pt idx="133">
                  <c:v>NHS Bexley CCG</c:v>
                </c:pt>
                <c:pt idx="134">
                  <c:v>NHS Sunderland CCG</c:v>
                </c:pt>
                <c:pt idx="135">
                  <c:v>NHS Havering CCG</c:v>
                </c:pt>
                <c:pt idx="136">
                  <c:v>NHS Bolton CCG</c:v>
                </c:pt>
                <c:pt idx="137">
                  <c:v>NHS North, East, West Devon CCG</c:v>
                </c:pt>
                <c:pt idx="138">
                  <c:v>NHS Northumberland CCG</c:v>
                </c:pt>
                <c:pt idx="139">
                  <c:v>NHS Doncaster CCG</c:v>
                </c:pt>
                <c:pt idx="140">
                  <c:v>NHS Coventry and Rugby CCG</c:v>
                </c:pt>
                <c:pt idx="141">
                  <c:v>NHS Thurrock CCG</c:v>
                </c:pt>
                <c:pt idx="142">
                  <c:v>NHS Coastal West Sussex CCG</c:v>
                </c:pt>
                <c:pt idx="143">
                  <c:v>NHS Newcastle North and East CCG</c:v>
                </c:pt>
                <c:pt idx="144">
                  <c:v>NHS Liverpool CCG</c:v>
                </c:pt>
                <c:pt idx="145">
                  <c:v>NHS West Hampshire CCG</c:v>
                </c:pt>
                <c:pt idx="146">
                  <c:v>NHS Kernow CCG</c:v>
                </c:pt>
                <c:pt idx="147">
                  <c:v>NHS Bradford Districts CCG</c:v>
                </c:pt>
                <c:pt idx="148">
                  <c:v>NHS North &amp; West Reading CCG</c:v>
                </c:pt>
                <c:pt idx="149">
                  <c:v>NHS Greater Huddersfield CCG</c:v>
                </c:pt>
                <c:pt idx="150">
                  <c:v>NHS Lincolnshire West CCG</c:v>
                </c:pt>
                <c:pt idx="151">
                  <c:v>NHS North West Surrey CCG</c:v>
                </c:pt>
                <c:pt idx="152">
                  <c:v>NHS Surrey Heath CCG</c:v>
                </c:pt>
                <c:pt idx="153">
                  <c:v>NHS South Warwickshire CCG</c:v>
                </c:pt>
                <c:pt idx="154">
                  <c:v>NHS Shropshire CCG</c:v>
                </c:pt>
                <c:pt idx="155">
                  <c:v>NHS North Durham CCG</c:v>
                </c:pt>
                <c:pt idx="156">
                  <c:v>NHS North Somerset CCG</c:v>
                </c:pt>
                <c:pt idx="157">
                  <c:v>NHS Gateshead CCG</c:v>
                </c:pt>
                <c:pt idx="158">
                  <c:v>NHS Trafford CCG</c:v>
                </c:pt>
                <c:pt idx="159">
                  <c:v>NHS Basildon and Brentwood CCG</c:v>
                </c:pt>
                <c:pt idx="160">
                  <c:v>NHS North Hampshire CCG</c:v>
                </c:pt>
                <c:pt idx="161">
                  <c:v>NHS Dorset CCG</c:v>
                </c:pt>
                <c:pt idx="162">
                  <c:v>NHS Guildford and Waverley CCG</c:v>
                </c:pt>
                <c:pt idx="163">
                  <c:v>NHS Great Yarmouth and Waveney CCG</c:v>
                </c:pt>
                <c:pt idx="164">
                  <c:v>NHS Bristol CCG</c:v>
                </c:pt>
                <c:pt idx="165">
                  <c:v>NHS Birmingham Crosscity CCG</c:v>
                </c:pt>
                <c:pt idx="166">
                  <c:v>NHS Aylesbury Vale CCG</c:v>
                </c:pt>
                <c:pt idx="167">
                  <c:v>NHS Stafford and Surrounds CCG</c:v>
                </c:pt>
                <c:pt idx="168">
                  <c:v>NHS Greater Preston CCG</c:v>
                </c:pt>
                <c:pt idx="169">
                  <c:v>NHS Calderdale CCG</c:v>
                </c:pt>
                <c:pt idx="170">
                  <c:v>NHS North East Lincolnshire CCG</c:v>
                </c:pt>
                <c:pt idx="171">
                  <c:v>NHS Nene CCG</c:v>
                </c:pt>
                <c:pt idx="172">
                  <c:v>NHS Vale Of York CCG</c:v>
                </c:pt>
                <c:pt idx="173">
                  <c:v>NHS Bath and North East Somerset CCG</c:v>
                </c:pt>
                <c:pt idx="174">
                  <c:v>NHS West Leicestershire CCG</c:v>
                </c:pt>
                <c:pt idx="175">
                  <c:v>NHS North East Hampshire and Farnham CCG</c:v>
                </c:pt>
                <c:pt idx="176">
                  <c:v>NHS West Cheshire CCG</c:v>
                </c:pt>
                <c:pt idx="177">
                  <c:v>NHS Ipswich and East Suffolk CCG</c:v>
                </c:pt>
                <c:pt idx="178">
                  <c:v>NHS Wirral CCG</c:v>
                </c:pt>
                <c:pt idx="179">
                  <c:v>NHS Hartlepool and Stockton-On-Tees CCG</c:v>
                </c:pt>
                <c:pt idx="180">
                  <c:v>NHS East Leicestershire and Rutland CCG</c:v>
                </c:pt>
                <c:pt idx="181">
                  <c:v>NHS Tower Hamlets CCG</c:v>
                </c:pt>
                <c:pt idx="182">
                  <c:v>NHS Wiltshire CCG</c:v>
                </c:pt>
                <c:pt idx="183">
                  <c:v>NHS North Lincolnshire CCG</c:v>
                </c:pt>
                <c:pt idx="184">
                  <c:v>NHS Oxfordshire CCG</c:v>
                </c:pt>
                <c:pt idx="185">
                  <c:v>NHS Newbury and District CCG</c:v>
                </c:pt>
                <c:pt idx="186">
                  <c:v>NHS South Gloucestershire CCG</c:v>
                </c:pt>
                <c:pt idx="187">
                  <c:v>NHS Medway CCG</c:v>
                </c:pt>
                <c:pt idx="188">
                  <c:v>NHS Swindon CCG</c:v>
                </c:pt>
                <c:pt idx="189">
                  <c:v>NHS West Essex CCG</c:v>
                </c:pt>
                <c:pt idx="190">
                  <c:v>NHS Herts Valleys CCG</c:v>
                </c:pt>
                <c:pt idx="191">
                  <c:v>NHS Chorley and South Ribble CCG</c:v>
                </c:pt>
                <c:pt idx="192">
                  <c:v>NHS Swale CCG</c:v>
                </c:pt>
                <c:pt idx="193">
                  <c:v>NHS Chiltern CCG</c:v>
                </c:pt>
                <c:pt idx="194">
                  <c:v>NHS Surrey Downs CCG</c:v>
                </c:pt>
                <c:pt idx="195">
                  <c:v>NHS Bracknell and Ascot CCG</c:v>
                </c:pt>
                <c:pt idx="196">
                  <c:v>NHS Wokingham CCG</c:v>
                </c:pt>
                <c:pt idx="197">
                  <c:v>NHS North Tyneside CCG</c:v>
                </c:pt>
                <c:pt idx="198">
                  <c:v>NHS South Eastern Hampshire CCG</c:v>
                </c:pt>
                <c:pt idx="199">
                  <c:v>NHS South Reading CCG</c:v>
                </c:pt>
                <c:pt idx="200">
                  <c:v>NHS Warwickshire North CCG</c:v>
                </c:pt>
                <c:pt idx="201">
                  <c:v>NHS Gloucestershire CCG</c:v>
                </c:pt>
                <c:pt idx="202">
                  <c:v>NHS West Suffolk CCG</c:v>
                </c:pt>
                <c:pt idx="203">
                  <c:v>NHS South Lincolnshire CCG</c:v>
                </c:pt>
                <c:pt idx="204">
                  <c:v>NHS Portsmouth CCG</c:v>
                </c:pt>
                <c:pt idx="205">
                  <c:v>NHS Somerset CCG</c:v>
                </c:pt>
                <c:pt idx="206">
                  <c:v>NHS Fareham and Gosport CCG</c:v>
                </c:pt>
                <c:pt idx="207">
                  <c:v>NHS Lincolnshire East CCG</c:v>
                </c:pt>
                <c:pt idx="208">
                  <c:v>NHS Hillingdon CCG</c:v>
                </c:pt>
                <c:pt idx="209">
                  <c:v>NHS Southwark CCG</c:v>
                </c:pt>
                <c:pt idx="210">
                  <c:v>NHS Leicester City CCG</c:v>
                </c:pt>
              </c:strCache>
            </c:strRef>
          </c:cat>
          <c:val>
            <c:numRef>
              <c:f>Sheet1!$D$2:$D$212</c:f>
              <c:numCache>
                <c:formatCode>0.0</c:formatCode>
                <c:ptCount val="21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32.4</c:v>
                </c:pt>
                <c:pt idx="121">
                  <c:v>0</c:v>
                </c:pt>
                <c:pt idx="122">
                  <c:v>0</c:v>
                </c:pt>
                <c:pt idx="123">
                  <c:v>17.5</c:v>
                </c:pt>
                <c:pt idx="124">
                  <c:v>23.8</c:v>
                </c:pt>
                <c:pt idx="125">
                  <c:v>20.7</c:v>
                </c:pt>
                <c:pt idx="126">
                  <c:v>25.7</c:v>
                </c:pt>
                <c:pt idx="127">
                  <c:v>24</c:v>
                </c:pt>
                <c:pt idx="128">
                  <c:v>20.399999999999999</c:v>
                </c:pt>
                <c:pt idx="129">
                  <c:v>24.7</c:v>
                </c:pt>
                <c:pt idx="130">
                  <c:v>30.4</c:v>
                </c:pt>
                <c:pt idx="131">
                  <c:v>26.3</c:v>
                </c:pt>
                <c:pt idx="132">
                  <c:v>27.8</c:v>
                </c:pt>
                <c:pt idx="133">
                  <c:v>27.8</c:v>
                </c:pt>
                <c:pt idx="134">
                  <c:v>29</c:v>
                </c:pt>
                <c:pt idx="135">
                  <c:v>27.1</c:v>
                </c:pt>
                <c:pt idx="136">
                  <c:v>28.6</c:v>
                </c:pt>
                <c:pt idx="137">
                  <c:v>23.1</c:v>
                </c:pt>
                <c:pt idx="138">
                  <c:v>26.8</c:v>
                </c:pt>
                <c:pt idx="139">
                  <c:v>30.4</c:v>
                </c:pt>
                <c:pt idx="140">
                  <c:v>26.8</c:v>
                </c:pt>
                <c:pt idx="141">
                  <c:v>33.799999999999997</c:v>
                </c:pt>
                <c:pt idx="142">
                  <c:v>24.8</c:v>
                </c:pt>
                <c:pt idx="143">
                  <c:v>34.5</c:v>
                </c:pt>
                <c:pt idx="144">
                  <c:v>35.5</c:v>
                </c:pt>
                <c:pt idx="145">
                  <c:v>28.5</c:v>
                </c:pt>
                <c:pt idx="146">
                  <c:v>32.200000000000003</c:v>
                </c:pt>
                <c:pt idx="147">
                  <c:v>33.5</c:v>
                </c:pt>
                <c:pt idx="148">
                  <c:v>36.299999999999997</c:v>
                </c:pt>
                <c:pt idx="149">
                  <c:v>33.799999999999997</c:v>
                </c:pt>
                <c:pt idx="150">
                  <c:v>32.4</c:v>
                </c:pt>
                <c:pt idx="151">
                  <c:v>28.7</c:v>
                </c:pt>
                <c:pt idx="152">
                  <c:v>38.799999999999997</c:v>
                </c:pt>
                <c:pt idx="153">
                  <c:v>30.3</c:v>
                </c:pt>
                <c:pt idx="154">
                  <c:v>37.5</c:v>
                </c:pt>
                <c:pt idx="155">
                  <c:v>36.5</c:v>
                </c:pt>
                <c:pt idx="156">
                  <c:v>39</c:v>
                </c:pt>
                <c:pt idx="157">
                  <c:v>34.9</c:v>
                </c:pt>
                <c:pt idx="158">
                  <c:v>42.1</c:v>
                </c:pt>
                <c:pt idx="159">
                  <c:v>33.4</c:v>
                </c:pt>
                <c:pt idx="160">
                  <c:v>34.9</c:v>
                </c:pt>
                <c:pt idx="161">
                  <c:v>28.4</c:v>
                </c:pt>
                <c:pt idx="162">
                  <c:v>32.9</c:v>
                </c:pt>
                <c:pt idx="163">
                  <c:v>34.5</c:v>
                </c:pt>
                <c:pt idx="164">
                  <c:v>31.3</c:v>
                </c:pt>
                <c:pt idx="165">
                  <c:v>38.700000000000003</c:v>
                </c:pt>
                <c:pt idx="166">
                  <c:v>38.1</c:v>
                </c:pt>
                <c:pt idx="167">
                  <c:v>38.799999999999997</c:v>
                </c:pt>
                <c:pt idx="168">
                  <c:v>36.9</c:v>
                </c:pt>
                <c:pt idx="169">
                  <c:v>38.299999999999997</c:v>
                </c:pt>
                <c:pt idx="170">
                  <c:v>42.1</c:v>
                </c:pt>
                <c:pt idx="171">
                  <c:v>36.700000000000003</c:v>
                </c:pt>
                <c:pt idx="172">
                  <c:v>34.200000000000003</c:v>
                </c:pt>
                <c:pt idx="173">
                  <c:v>37.9</c:v>
                </c:pt>
                <c:pt idx="174">
                  <c:v>41.1</c:v>
                </c:pt>
                <c:pt idx="175">
                  <c:v>37.4</c:v>
                </c:pt>
                <c:pt idx="176">
                  <c:v>36.799999999999997</c:v>
                </c:pt>
                <c:pt idx="177">
                  <c:v>40.200000000000003</c:v>
                </c:pt>
                <c:pt idx="178">
                  <c:v>42.7</c:v>
                </c:pt>
                <c:pt idx="179">
                  <c:v>40</c:v>
                </c:pt>
                <c:pt idx="180">
                  <c:v>48.5</c:v>
                </c:pt>
                <c:pt idx="181">
                  <c:v>45.8</c:v>
                </c:pt>
                <c:pt idx="182">
                  <c:v>37.700000000000003</c:v>
                </c:pt>
                <c:pt idx="183">
                  <c:v>44.8</c:v>
                </c:pt>
                <c:pt idx="184">
                  <c:v>49.2</c:v>
                </c:pt>
                <c:pt idx="185">
                  <c:v>51.6</c:v>
                </c:pt>
                <c:pt idx="186">
                  <c:v>41.9</c:v>
                </c:pt>
                <c:pt idx="187">
                  <c:v>41.5</c:v>
                </c:pt>
                <c:pt idx="188">
                  <c:v>45.6</c:v>
                </c:pt>
                <c:pt idx="189">
                  <c:v>43.5</c:v>
                </c:pt>
                <c:pt idx="190">
                  <c:v>42.7</c:v>
                </c:pt>
                <c:pt idx="191">
                  <c:v>47.9</c:v>
                </c:pt>
                <c:pt idx="192">
                  <c:v>50.4</c:v>
                </c:pt>
                <c:pt idx="193">
                  <c:v>45.6</c:v>
                </c:pt>
                <c:pt idx="194">
                  <c:v>53.3</c:v>
                </c:pt>
                <c:pt idx="195">
                  <c:v>55.1</c:v>
                </c:pt>
                <c:pt idx="196">
                  <c:v>48.5</c:v>
                </c:pt>
                <c:pt idx="197">
                  <c:v>48.5</c:v>
                </c:pt>
                <c:pt idx="198">
                  <c:v>43.4</c:v>
                </c:pt>
                <c:pt idx="199">
                  <c:v>57</c:v>
                </c:pt>
                <c:pt idx="200">
                  <c:v>51.2</c:v>
                </c:pt>
                <c:pt idx="201">
                  <c:v>46.9</c:v>
                </c:pt>
                <c:pt idx="202">
                  <c:v>51.6</c:v>
                </c:pt>
                <c:pt idx="203">
                  <c:v>61.4</c:v>
                </c:pt>
                <c:pt idx="204">
                  <c:v>47.8</c:v>
                </c:pt>
                <c:pt idx="205">
                  <c:v>48.1</c:v>
                </c:pt>
                <c:pt idx="206">
                  <c:v>51.2</c:v>
                </c:pt>
                <c:pt idx="207">
                  <c:v>53.1</c:v>
                </c:pt>
                <c:pt idx="208">
                  <c:v>82.8</c:v>
                </c:pt>
                <c:pt idx="209">
                  <c:v>93.7</c:v>
                </c:pt>
                <c:pt idx="210">
                  <c:v>0</c:v>
                </c:pt>
              </c:numCache>
            </c:numRef>
          </c:val>
          <c:smooth val="0"/>
          <c:extLst>
            <c:ext xmlns:c16="http://schemas.microsoft.com/office/drawing/2014/chart" uri="{C3380CC4-5D6E-409C-BE32-E72D297353CC}">
              <c16:uniqueId val="{00000002-F9BF-41A2-8FF3-C4A7D29DABBB}"/>
            </c:ext>
          </c:extLst>
        </c:ser>
        <c:dLbls>
          <c:showLegendKey val="0"/>
          <c:showVal val="0"/>
          <c:showCatName val="0"/>
          <c:showSerName val="0"/>
          <c:showPercent val="0"/>
          <c:showBubbleSize val="0"/>
        </c:dLbls>
        <c:smooth val="0"/>
        <c:axId val="28825088"/>
        <c:axId val="28827008"/>
      </c:lineChart>
      <c:catAx>
        <c:axId val="28825088"/>
        <c:scaling>
          <c:orientation val="minMax"/>
        </c:scaling>
        <c:delete val="0"/>
        <c:axPos val="b"/>
        <c:title>
          <c:tx>
            <c:rich>
              <a:bodyPr/>
              <a:lstStyle/>
              <a:p>
                <a:pPr>
                  <a:defRPr/>
                </a:pPr>
                <a:r>
                  <a:rPr lang="en-GB"/>
                  <a:t>211 CCGs</a:t>
                </a:r>
              </a:p>
            </c:rich>
          </c:tx>
          <c:overlay val="0"/>
        </c:title>
        <c:numFmt formatCode="General" sourceLinked="0"/>
        <c:majorTickMark val="none"/>
        <c:minorTickMark val="none"/>
        <c:tickLblPos val="none"/>
        <c:crossAx val="28827008"/>
        <c:crosses val="autoZero"/>
        <c:auto val="1"/>
        <c:lblAlgn val="ctr"/>
        <c:lblOffset val="100"/>
        <c:noMultiLvlLbl val="0"/>
      </c:catAx>
      <c:valAx>
        <c:axId val="28827008"/>
        <c:scaling>
          <c:orientation val="minMax"/>
        </c:scaling>
        <c:delete val="0"/>
        <c:axPos val="l"/>
        <c:majorGridlines>
          <c:spPr>
            <a:ln>
              <a:noFill/>
            </a:ln>
          </c:spPr>
        </c:majorGridlines>
        <c:title>
          <c:tx>
            <c:rich>
              <a:bodyPr rot="0" vert="wordArtVert"/>
              <a:lstStyle/>
              <a:p>
                <a:pPr>
                  <a:defRPr sz="800"/>
                </a:pPr>
                <a:r>
                  <a:rPr lang="en-GB" sz="800"/>
                  <a:t>Percentasge improving</a:t>
                </a:r>
              </a:p>
            </c:rich>
          </c:tx>
          <c:overlay val="0"/>
        </c:title>
        <c:numFmt formatCode="General" sourceLinked="0"/>
        <c:majorTickMark val="out"/>
        <c:minorTickMark val="none"/>
        <c:tickLblPos val="nextTo"/>
        <c:crossAx val="28825088"/>
        <c:crosses val="autoZero"/>
        <c:crossBetween val="between"/>
      </c:valAx>
    </c:plotArea>
    <c:legend>
      <c:legendPos val="r"/>
      <c:layout>
        <c:manualLayout>
          <c:xMode val="edge"/>
          <c:yMode val="edge"/>
          <c:x val="0.53919850395021862"/>
          <c:y val="5.2420101899027328E-2"/>
          <c:w val="0.33443798895401228"/>
          <c:h val="0.12193529917921549"/>
        </c:manualLayout>
      </c:layout>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431B80B1C144F58BB9C4C0664B0C93"/>
        <w:category>
          <w:name w:val="General"/>
          <w:gallery w:val="placeholder"/>
        </w:category>
        <w:types>
          <w:type w:val="bbPlcHdr"/>
        </w:types>
        <w:behaviors>
          <w:behavior w:val="content"/>
        </w:behaviors>
        <w:guid w:val="{065CA18F-82AA-40FE-896B-75F662914427}"/>
      </w:docPartPr>
      <w:docPartBody>
        <w:p w:rsidR="00F06050" w:rsidRDefault="00F71EA5" w:rsidP="00F71EA5">
          <w:pPr>
            <w:pStyle w:val="EF431B80B1C144F58BB9C4C0664B0C93"/>
          </w:pPr>
          <w:r w:rsidRPr="00775F76">
            <w:rPr>
              <w:rStyle w:val="PlaceholderText"/>
            </w:rPr>
            <w:t>Click here to enter a date.</w:t>
          </w:r>
        </w:p>
      </w:docPartBody>
    </w:docPart>
    <w:docPart>
      <w:docPartPr>
        <w:name w:val="BF43E0C393394D30AE64D705C2F73741"/>
        <w:category>
          <w:name w:val="General"/>
          <w:gallery w:val="placeholder"/>
        </w:category>
        <w:types>
          <w:type w:val="bbPlcHdr"/>
        </w:types>
        <w:behaviors>
          <w:behavior w:val="content"/>
        </w:behaviors>
        <w:guid w:val="{D7C3CF96-6EF7-4FCF-BB51-E0BA7CCFF2D0}"/>
      </w:docPartPr>
      <w:docPartBody>
        <w:p w:rsidR="00F06050" w:rsidRDefault="00F71EA5" w:rsidP="00F71EA5">
          <w:pPr>
            <w:pStyle w:val="BF43E0C393394D30AE64D705C2F73741"/>
          </w:pPr>
          <w:r w:rsidRPr="00775F76">
            <w:rPr>
              <w:rStyle w:val="PlaceholderText"/>
            </w:rPr>
            <w:t>Choose an item.</w:t>
          </w:r>
        </w:p>
      </w:docPartBody>
    </w:docPart>
    <w:docPart>
      <w:docPartPr>
        <w:name w:val="A048D7EADE3A43798B4548C4600E57AF"/>
        <w:category>
          <w:name w:val="General"/>
          <w:gallery w:val="placeholder"/>
        </w:category>
        <w:types>
          <w:type w:val="bbPlcHdr"/>
        </w:types>
        <w:behaviors>
          <w:behavior w:val="content"/>
        </w:behaviors>
        <w:guid w:val="{377B186A-FEA8-4F2E-A267-8C20FC5BD35C}"/>
      </w:docPartPr>
      <w:docPartBody>
        <w:p w:rsidR="00F06050" w:rsidRDefault="00F71EA5" w:rsidP="00F71EA5">
          <w:pPr>
            <w:pStyle w:val="A048D7EADE3A43798B4548C4600E57AF"/>
          </w:pPr>
          <w:r w:rsidRPr="00775F76">
            <w:rPr>
              <w:rStyle w:val="PlaceholderText"/>
            </w:rPr>
            <w:t>Choose an item.</w:t>
          </w:r>
        </w:p>
      </w:docPartBody>
    </w:docPart>
    <w:docPart>
      <w:docPartPr>
        <w:name w:val="3AC701F83D274110A804C18D22600FA8"/>
        <w:category>
          <w:name w:val="General"/>
          <w:gallery w:val="placeholder"/>
        </w:category>
        <w:types>
          <w:type w:val="bbPlcHdr"/>
        </w:types>
        <w:behaviors>
          <w:behavior w:val="content"/>
        </w:behaviors>
        <w:guid w:val="{05E42446-3043-4685-A607-9EACF0FDDB2B}"/>
      </w:docPartPr>
      <w:docPartBody>
        <w:p w:rsidR="00F06050" w:rsidRDefault="00F71EA5" w:rsidP="00F71EA5">
          <w:pPr>
            <w:pStyle w:val="3AC701F83D274110A804C18D22600FA8"/>
          </w:pPr>
          <w:r w:rsidRPr="00775F76">
            <w:rPr>
              <w:rStyle w:val="PlaceholderText"/>
            </w:rPr>
            <w:t>Click here to enter text.</w:t>
          </w:r>
        </w:p>
      </w:docPartBody>
    </w:docPart>
    <w:docPart>
      <w:docPartPr>
        <w:name w:val="29C692C9AD1246B79AA3F94819118267"/>
        <w:category>
          <w:name w:val="General"/>
          <w:gallery w:val="placeholder"/>
        </w:category>
        <w:types>
          <w:type w:val="bbPlcHdr"/>
        </w:types>
        <w:behaviors>
          <w:behavior w:val="content"/>
        </w:behaviors>
        <w:guid w:val="{1B720051-B4E6-4DE1-9D6D-D239EC96CF81}"/>
      </w:docPartPr>
      <w:docPartBody>
        <w:p w:rsidR="00F06050" w:rsidRDefault="00F71EA5" w:rsidP="00F71EA5">
          <w:pPr>
            <w:pStyle w:val="29C692C9AD1246B79AA3F94819118267"/>
          </w:pPr>
          <w:r w:rsidRPr="00775F76">
            <w:rPr>
              <w:rStyle w:val="PlaceholderText"/>
            </w:rPr>
            <w:t>Choose an item.</w:t>
          </w:r>
        </w:p>
      </w:docPartBody>
    </w:docPart>
    <w:docPart>
      <w:docPartPr>
        <w:name w:val="6D27B478B36646DFBE8F9D047B8A60ED"/>
        <w:category>
          <w:name w:val="General"/>
          <w:gallery w:val="placeholder"/>
        </w:category>
        <w:types>
          <w:type w:val="bbPlcHdr"/>
        </w:types>
        <w:behaviors>
          <w:behavior w:val="content"/>
        </w:behaviors>
        <w:guid w:val="{B1F5F16E-5876-4C5A-9F64-B26A0810AEF8}"/>
      </w:docPartPr>
      <w:docPartBody>
        <w:p w:rsidR="00F06050" w:rsidRDefault="00F71EA5" w:rsidP="00F71EA5">
          <w:pPr>
            <w:pStyle w:val="6D27B478B36646DFBE8F9D047B8A60ED"/>
          </w:pPr>
          <w:r w:rsidRPr="00775F76">
            <w:rPr>
              <w:rStyle w:val="PlaceholderText"/>
            </w:rPr>
            <w:t>Click here to enter text.</w:t>
          </w:r>
        </w:p>
      </w:docPartBody>
    </w:docPart>
    <w:docPart>
      <w:docPartPr>
        <w:name w:val="EB369014416A4115860D7978BE22157D"/>
        <w:category>
          <w:name w:val="General"/>
          <w:gallery w:val="placeholder"/>
        </w:category>
        <w:types>
          <w:type w:val="bbPlcHdr"/>
        </w:types>
        <w:behaviors>
          <w:behavior w:val="content"/>
        </w:behaviors>
        <w:guid w:val="{D9D6320D-D7EE-4CBC-9BDB-C5D63BA548C6}"/>
      </w:docPartPr>
      <w:docPartBody>
        <w:p w:rsidR="00F06050" w:rsidRDefault="00F71EA5" w:rsidP="00F71EA5">
          <w:pPr>
            <w:pStyle w:val="EB369014416A4115860D7978BE22157D"/>
          </w:pPr>
          <w:r w:rsidRPr="00775F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9F"/>
    <w:rsid w:val="001547E8"/>
    <w:rsid w:val="006F70B5"/>
    <w:rsid w:val="00770FC4"/>
    <w:rsid w:val="009D189F"/>
    <w:rsid w:val="00F06050"/>
    <w:rsid w:val="00F71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050"/>
    <w:rPr>
      <w:color w:val="808080"/>
    </w:rPr>
  </w:style>
  <w:style w:type="paragraph" w:customStyle="1" w:styleId="85A7AC6B7EBA405DB568A193E3F6B231">
    <w:name w:val="85A7AC6B7EBA405DB568A193E3F6B231"/>
    <w:rsid w:val="009D189F"/>
  </w:style>
  <w:style w:type="paragraph" w:customStyle="1" w:styleId="6D2C88EF5C3E4005AE3DB2E08ED40E1D">
    <w:name w:val="6D2C88EF5C3E4005AE3DB2E08ED40E1D"/>
    <w:rsid w:val="009D189F"/>
  </w:style>
  <w:style w:type="paragraph" w:customStyle="1" w:styleId="C7BBCBE90D1C4DF9A8B82282A5741FDC">
    <w:name w:val="C7BBCBE90D1C4DF9A8B82282A5741FDC"/>
    <w:rsid w:val="009D189F"/>
  </w:style>
  <w:style w:type="paragraph" w:customStyle="1" w:styleId="5420322913DA4CF6B64D7DC5386C43A4">
    <w:name w:val="5420322913DA4CF6B64D7DC5386C43A4"/>
    <w:rsid w:val="009D189F"/>
  </w:style>
  <w:style w:type="paragraph" w:customStyle="1" w:styleId="02C202C45EAD42D795B7E67DE8F7DDC1">
    <w:name w:val="02C202C45EAD42D795B7E67DE8F7DDC1"/>
    <w:rsid w:val="009D189F"/>
  </w:style>
  <w:style w:type="paragraph" w:customStyle="1" w:styleId="BADEDBFFE098444ABE6D0849E8351CF0">
    <w:name w:val="BADEDBFFE098444ABE6D0849E8351CF0"/>
    <w:rsid w:val="009D189F"/>
  </w:style>
  <w:style w:type="paragraph" w:customStyle="1" w:styleId="FAD2E4C43DE048F2AA791F81C2D443B6">
    <w:name w:val="FAD2E4C43DE048F2AA791F81C2D443B6"/>
    <w:rsid w:val="009D189F"/>
  </w:style>
  <w:style w:type="paragraph" w:customStyle="1" w:styleId="1E0A4830A36E4FAB9988A4D45F735120">
    <w:name w:val="1E0A4830A36E4FAB9988A4D45F735120"/>
    <w:rsid w:val="009D189F"/>
  </w:style>
  <w:style w:type="paragraph" w:customStyle="1" w:styleId="53F2657FA1CD4636B658C59EC9C601E3">
    <w:name w:val="53F2657FA1CD4636B658C59EC9C601E3"/>
    <w:rsid w:val="009D189F"/>
  </w:style>
  <w:style w:type="paragraph" w:customStyle="1" w:styleId="238FC669E1634F8CA5A03F82129CC38D">
    <w:name w:val="238FC669E1634F8CA5A03F82129CC38D"/>
    <w:rsid w:val="009D189F"/>
  </w:style>
  <w:style w:type="paragraph" w:customStyle="1" w:styleId="D4F3B2831E0C4C6499CAD455E3F71914">
    <w:name w:val="D4F3B2831E0C4C6499CAD455E3F71914"/>
    <w:rsid w:val="009D189F"/>
  </w:style>
  <w:style w:type="paragraph" w:customStyle="1" w:styleId="3864282C8D2249309141896741EF3224">
    <w:name w:val="3864282C8D2249309141896741EF3224"/>
    <w:rsid w:val="009D189F"/>
  </w:style>
  <w:style w:type="paragraph" w:customStyle="1" w:styleId="EF431B80B1C144F58BB9C4C0664B0C93">
    <w:name w:val="EF431B80B1C144F58BB9C4C0664B0C93"/>
    <w:rsid w:val="00F71EA5"/>
  </w:style>
  <w:style w:type="paragraph" w:customStyle="1" w:styleId="EFFFEF2182524E968F95D333E6D8F421">
    <w:name w:val="EFFFEF2182524E968F95D333E6D8F421"/>
    <w:rsid w:val="00F71EA5"/>
  </w:style>
  <w:style w:type="paragraph" w:customStyle="1" w:styleId="BF43E0C393394D30AE64D705C2F73741">
    <w:name w:val="BF43E0C393394D30AE64D705C2F73741"/>
    <w:rsid w:val="00F71EA5"/>
  </w:style>
  <w:style w:type="paragraph" w:customStyle="1" w:styleId="A048D7EADE3A43798B4548C4600E57AF">
    <w:name w:val="A048D7EADE3A43798B4548C4600E57AF"/>
    <w:rsid w:val="00F71EA5"/>
  </w:style>
  <w:style w:type="paragraph" w:customStyle="1" w:styleId="8872873DB9C04D6686ABA5BF3968F5F5">
    <w:name w:val="8872873DB9C04D6686ABA5BF3968F5F5"/>
    <w:rsid w:val="00F71EA5"/>
  </w:style>
  <w:style w:type="paragraph" w:customStyle="1" w:styleId="3AC701F83D274110A804C18D22600FA8">
    <w:name w:val="3AC701F83D274110A804C18D22600FA8"/>
    <w:rsid w:val="00F71EA5"/>
  </w:style>
  <w:style w:type="paragraph" w:customStyle="1" w:styleId="BFEF02615A3A46348C3E0092FEA8AB62">
    <w:name w:val="BFEF02615A3A46348C3E0092FEA8AB62"/>
    <w:rsid w:val="00F71EA5"/>
  </w:style>
  <w:style w:type="paragraph" w:customStyle="1" w:styleId="29C692C9AD1246B79AA3F94819118267">
    <w:name w:val="29C692C9AD1246B79AA3F94819118267"/>
    <w:rsid w:val="00F71EA5"/>
  </w:style>
  <w:style w:type="paragraph" w:customStyle="1" w:styleId="6D27B478B36646DFBE8F9D047B8A60ED">
    <w:name w:val="6D27B478B36646DFBE8F9D047B8A60ED"/>
    <w:rsid w:val="00F71EA5"/>
  </w:style>
  <w:style w:type="paragraph" w:customStyle="1" w:styleId="EB369014416A4115860D7978BE22157D">
    <w:name w:val="EB369014416A4115860D7978BE22157D"/>
    <w:rsid w:val="00F71EA5"/>
  </w:style>
  <w:style w:type="paragraph" w:customStyle="1" w:styleId="0753D8A23D344C7A93D42783BADBB5BE">
    <w:name w:val="0753D8A23D344C7A93D42783BADBB5BE"/>
    <w:rsid w:val="00F71EA5"/>
  </w:style>
  <w:style w:type="paragraph" w:customStyle="1" w:styleId="6B4A6244946E4DE9B3A83811C3E79463">
    <w:name w:val="6B4A6244946E4DE9B3A83811C3E79463"/>
    <w:rsid w:val="00F06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28</Pages>
  <Words>4237</Words>
  <Characters>24155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2020-03-18T14:25:00Z</dcterms:created>
  <dcterms:modified xsi:type="dcterms:W3CDTF">2020-04-30T09:29:00Z</dcterms:modified>
</cp:coreProperties>
</file>