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66D4" w14:textId="14D056C0" w:rsidR="00482C01" w:rsidRDefault="00482C01" w:rsidP="00482C01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Toc383595130"/>
      <w:r w:rsidRPr="00861C2E">
        <w:rPr>
          <w:rFonts w:ascii="Arial" w:hAnsi="Arial" w:cs="Arial"/>
          <w:b/>
          <w:sz w:val="32"/>
          <w:szCs w:val="32"/>
        </w:rPr>
        <w:t>NATIONAL INSTITUTE FOR HEALTH AND CARE EXCELLENCE</w:t>
      </w:r>
      <w:bookmarkEnd w:id="0"/>
    </w:p>
    <w:p w14:paraId="513A8F55" w14:textId="77777777" w:rsidR="008C183F" w:rsidRPr="00861C2E" w:rsidRDefault="008C183F" w:rsidP="00482C01">
      <w:pPr>
        <w:jc w:val="center"/>
        <w:rPr>
          <w:rFonts w:ascii="Arial" w:hAnsi="Arial" w:cs="Arial"/>
          <w:b/>
          <w:sz w:val="32"/>
          <w:szCs w:val="32"/>
        </w:rPr>
      </w:pPr>
    </w:p>
    <w:p w14:paraId="6C6B43FC" w14:textId="2F3EF7E2" w:rsidR="00482C01" w:rsidRDefault="009B0E59" w:rsidP="00482C0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NICE indicator v</w:t>
      </w:r>
      <w:r w:rsidR="00192B09">
        <w:rPr>
          <w:rFonts w:ascii="Arial" w:hAnsi="Arial" w:cs="Arial"/>
          <w:b/>
          <w:sz w:val="32"/>
          <w:szCs w:val="32"/>
        </w:rPr>
        <w:t>alidity assessment</w:t>
      </w:r>
    </w:p>
    <w:p w14:paraId="6A1C1341" w14:textId="77777777" w:rsidR="00482C01" w:rsidRDefault="00482C01" w:rsidP="00482C01">
      <w:pPr>
        <w:jc w:val="center"/>
        <w:rPr>
          <w:rFonts w:ascii="Arial" w:hAnsi="Arial" w:cs="Arial"/>
          <w:b/>
          <w:sz w:val="32"/>
          <w:szCs w:val="32"/>
        </w:rPr>
      </w:pPr>
    </w:p>
    <w:p w14:paraId="654E517A" w14:textId="77777777" w:rsidR="0015799D" w:rsidRPr="000A4D29" w:rsidRDefault="0015799D" w:rsidP="0015799D">
      <w:pPr>
        <w:pStyle w:val="Heading1"/>
        <w:rPr>
          <w:b w:val="0"/>
          <w:bCs w:val="0"/>
          <w:sz w:val="24"/>
          <w:szCs w:val="24"/>
          <w:lang w:eastAsia="en-GB"/>
        </w:rPr>
      </w:pPr>
      <w:r w:rsidRPr="000A4D29">
        <w:rPr>
          <w:b w:val="0"/>
          <w:bCs w:val="0"/>
          <w:sz w:val="24"/>
          <w:szCs w:val="24"/>
          <w:lang w:eastAsia="en-GB"/>
        </w:rPr>
        <w:t xml:space="preserve">Assurance date: </w:t>
      </w:r>
      <w:r>
        <w:rPr>
          <w:b w:val="0"/>
          <w:bCs w:val="0"/>
          <w:sz w:val="24"/>
          <w:szCs w:val="24"/>
          <w:lang w:eastAsia="en-GB"/>
        </w:rPr>
        <w:t>March 2022</w:t>
      </w:r>
    </w:p>
    <w:p w14:paraId="0898A8DD" w14:textId="77777777" w:rsidR="0015799D" w:rsidRPr="000A4D29" w:rsidRDefault="0015799D" w:rsidP="0015799D">
      <w:pPr>
        <w:pStyle w:val="Heading1"/>
        <w:rPr>
          <w:b w:val="0"/>
          <w:bCs w:val="0"/>
          <w:sz w:val="24"/>
          <w:szCs w:val="24"/>
          <w:lang w:eastAsia="en-GB"/>
        </w:rPr>
      </w:pPr>
      <w:r w:rsidRPr="000A4D29">
        <w:rPr>
          <w:b w:val="0"/>
          <w:bCs w:val="0"/>
          <w:sz w:val="24"/>
          <w:szCs w:val="24"/>
          <w:lang w:eastAsia="en-GB"/>
        </w:rPr>
        <w:t xml:space="preserve">Review date: </w:t>
      </w:r>
      <w:r>
        <w:rPr>
          <w:b w:val="0"/>
          <w:bCs w:val="0"/>
          <w:sz w:val="24"/>
          <w:szCs w:val="24"/>
          <w:lang w:eastAsia="en-GB"/>
        </w:rPr>
        <w:t>March 2023</w:t>
      </w:r>
    </w:p>
    <w:p w14:paraId="047E7BC9" w14:textId="7AAED487" w:rsidR="009B0E59" w:rsidRPr="009B0E59" w:rsidRDefault="009B0E59" w:rsidP="009B0E59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A61511">
        <w:rPr>
          <w:lang w:eastAsia="en-GB"/>
        </w:rPr>
        <w:t>IAP00</w:t>
      </w:r>
      <w:r w:rsidR="00604865">
        <w:rPr>
          <w:lang w:eastAsia="en-GB"/>
        </w:rPr>
        <w:t>517</w:t>
      </w:r>
    </w:p>
    <w:p w14:paraId="48B6A7E1" w14:textId="1D43F37C" w:rsidR="00604865" w:rsidRDefault="00604865" w:rsidP="009B0E59">
      <w:pPr>
        <w:pStyle w:val="Heading1"/>
        <w:rPr>
          <w:b w:val="0"/>
          <w:bCs w:val="0"/>
          <w:kern w:val="0"/>
          <w:sz w:val="24"/>
          <w:szCs w:val="24"/>
          <w:lang w:eastAsia="en-GB"/>
        </w:rPr>
      </w:pPr>
      <w:r w:rsidRPr="00604865">
        <w:rPr>
          <w:b w:val="0"/>
          <w:bCs w:val="0"/>
          <w:kern w:val="0"/>
          <w:sz w:val="24"/>
          <w:szCs w:val="24"/>
          <w:lang w:eastAsia="en-GB"/>
        </w:rPr>
        <w:t>Hip fracture: proportion of patients recovering to their previous levels of mobility/walking ability at 120 days</w:t>
      </w:r>
      <w:r w:rsidR="000342F6">
        <w:rPr>
          <w:b w:val="0"/>
          <w:bCs w:val="0"/>
          <w:kern w:val="0"/>
          <w:sz w:val="24"/>
          <w:szCs w:val="24"/>
          <w:lang w:eastAsia="en-GB"/>
        </w:rPr>
        <w:t xml:space="preserve"> (See also IAP00516, NHS Outcomes Framework version)</w:t>
      </w:r>
    </w:p>
    <w:p w14:paraId="7C25BFBC" w14:textId="750B2C7D" w:rsidR="007136A7" w:rsidRDefault="00192B09" w:rsidP="009B0E59">
      <w:pPr>
        <w:pStyle w:val="Heading1"/>
      </w:pPr>
      <w:r>
        <w:t xml:space="preserve">Validity assessment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78"/>
        <w:gridCol w:w="4092"/>
        <w:gridCol w:w="3047"/>
      </w:tblGrid>
      <w:tr w:rsidR="00455B14" w:rsidRPr="006E1387" w14:paraId="0815D160" w14:textId="1327D684" w:rsidTr="00455B14">
        <w:tc>
          <w:tcPr>
            <w:tcW w:w="1878" w:type="dxa"/>
          </w:tcPr>
          <w:p w14:paraId="04AA61DA" w14:textId="77777777" w:rsidR="00455B14" w:rsidRPr="006E1387" w:rsidRDefault="00455B14" w:rsidP="00F100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E1387">
              <w:rPr>
                <w:rFonts w:ascii="Arial" w:hAnsi="Arial" w:cs="Arial"/>
                <w:b/>
                <w:sz w:val="22"/>
                <w:szCs w:val="22"/>
              </w:rPr>
              <w:t>Domain</w:t>
            </w:r>
          </w:p>
        </w:tc>
        <w:tc>
          <w:tcPr>
            <w:tcW w:w="4092" w:type="dxa"/>
          </w:tcPr>
          <w:p w14:paraId="177895C1" w14:textId="194D65D4" w:rsidR="00455B14" w:rsidRPr="006E1387" w:rsidRDefault="009B5C5F" w:rsidP="00F100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E1387">
              <w:rPr>
                <w:rFonts w:ascii="Arial" w:hAnsi="Arial" w:cs="Arial"/>
                <w:b/>
                <w:sz w:val="22"/>
                <w:szCs w:val="22"/>
              </w:rPr>
              <w:t>Notes</w:t>
            </w:r>
            <w:r w:rsidR="00455B14" w:rsidRPr="006E13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47" w:type="dxa"/>
          </w:tcPr>
          <w:p w14:paraId="7A5D48DC" w14:textId="7C82261F" w:rsidR="00455B14" w:rsidRPr="006E1387" w:rsidRDefault="00455B14" w:rsidP="00F100E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E1387">
              <w:rPr>
                <w:rFonts w:ascii="Arial" w:hAnsi="Arial" w:cs="Arial"/>
                <w:b/>
                <w:sz w:val="22"/>
                <w:szCs w:val="22"/>
              </w:rPr>
              <w:t>Assessment</w:t>
            </w:r>
          </w:p>
        </w:tc>
      </w:tr>
      <w:tr w:rsidR="00455B14" w:rsidRPr="006E1387" w14:paraId="3708A997" w14:textId="67C127FD" w:rsidTr="00455B14">
        <w:tc>
          <w:tcPr>
            <w:tcW w:w="1878" w:type="dxa"/>
          </w:tcPr>
          <w:p w14:paraId="480E158F" w14:textId="77777777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Importance</w:t>
            </w:r>
          </w:p>
        </w:tc>
        <w:tc>
          <w:tcPr>
            <w:tcW w:w="4092" w:type="dxa"/>
          </w:tcPr>
          <w:p w14:paraId="0F4A7424" w14:textId="2265C626" w:rsidR="00645411" w:rsidRDefault="00630A5B" w:rsidP="00C82B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indicator is p</w:t>
            </w:r>
            <w:r w:rsidRPr="00630A5B">
              <w:rPr>
                <w:rFonts w:ascii="Arial" w:hAnsi="Arial" w:cs="Arial"/>
                <w:sz w:val="22"/>
                <w:szCs w:val="22"/>
              </w:rPr>
              <w:t xml:space="preserve">art of </w:t>
            </w:r>
            <w:r w:rsidR="0064541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82B37">
              <w:rPr>
                <w:rFonts w:ascii="Arial" w:hAnsi="Arial" w:cs="Arial"/>
                <w:sz w:val="22"/>
                <w:szCs w:val="22"/>
              </w:rPr>
              <w:t xml:space="preserve">CCG Outcomes Indicator Set </w:t>
            </w:r>
            <w:r w:rsidR="008330FB">
              <w:rPr>
                <w:rFonts w:ascii="Arial" w:hAnsi="Arial" w:cs="Arial"/>
                <w:sz w:val="22"/>
                <w:szCs w:val="22"/>
              </w:rPr>
              <w:t xml:space="preserve">(Domain </w:t>
            </w:r>
            <w:r w:rsidR="00636B55">
              <w:rPr>
                <w:rFonts w:ascii="Arial" w:hAnsi="Arial" w:cs="Arial"/>
                <w:sz w:val="22"/>
                <w:szCs w:val="22"/>
              </w:rPr>
              <w:t>3</w:t>
            </w:r>
            <w:r w:rsidR="008330FB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636B55" w:rsidRPr="00636B55">
              <w:rPr>
                <w:rFonts w:ascii="Arial" w:hAnsi="Arial" w:cs="Arial"/>
                <w:sz w:val="22"/>
                <w:szCs w:val="22"/>
              </w:rPr>
              <w:t>Helping people to recover from episodes of ill health or following injury</w:t>
            </w:r>
            <w:r w:rsidR="008330FB">
              <w:rPr>
                <w:rFonts w:ascii="Arial" w:hAnsi="Arial" w:cs="Arial"/>
                <w:sz w:val="22"/>
                <w:szCs w:val="22"/>
              </w:rPr>
              <w:t>)</w:t>
            </w:r>
            <w:r w:rsidR="00C82B3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0AAFD7" w14:textId="233680B9" w:rsidR="00C82B37" w:rsidRPr="006E1387" w:rsidRDefault="00604865" w:rsidP="000A230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National data is unavailable, in the most recent published period (2017) data was published for 160 of 207 CCGs, with the others suppressed due to small numbers. </w:t>
            </w:r>
          </w:p>
        </w:tc>
        <w:tc>
          <w:tcPr>
            <w:tcW w:w="3047" w:type="dxa"/>
          </w:tcPr>
          <w:p w14:paraId="78280FB7" w14:textId="40E31F3A" w:rsidR="00455B14" w:rsidRPr="006E1387" w:rsidRDefault="008F0DEF" w:rsidP="00636B55">
            <w:pPr>
              <w:pStyle w:val="NICEnormal"/>
              <w:spacing w:before="120" w:after="120" w:line="240" w:lineRule="auto"/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 xml:space="preserve">This indicator </w:t>
            </w:r>
            <w:r w:rsidR="00CC6DF8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is part of a recogni</w:t>
            </w:r>
            <w:r w:rsidR="00636B55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s</w:t>
            </w:r>
            <w:r w:rsidR="00CC6DF8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ed dataset</w:t>
            </w:r>
            <w:r w:rsidR="00604865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. National data is unavailable but there is variation between available CCG data.</w:t>
            </w:r>
          </w:p>
        </w:tc>
      </w:tr>
      <w:tr w:rsidR="00455B14" w:rsidRPr="006E1387" w14:paraId="77F6A4A2" w14:textId="33EFD485" w:rsidTr="00455B14">
        <w:tc>
          <w:tcPr>
            <w:tcW w:w="1878" w:type="dxa"/>
          </w:tcPr>
          <w:p w14:paraId="6AF47F4B" w14:textId="77777777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Evidence base</w:t>
            </w:r>
          </w:p>
        </w:tc>
        <w:tc>
          <w:tcPr>
            <w:tcW w:w="4092" w:type="dxa"/>
          </w:tcPr>
          <w:p w14:paraId="5547B4A5" w14:textId="16A4C199" w:rsidR="00873503" w:rsidRDefault="008330FB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636B55">
              <w:rPr>
                <w:rFonts w:ascii="Arial" w:hAnsi="Arial" w:cs="Arial"/>
                <w:sz w:val="22"/>
                <w:szCs w:val="22"/>
              </w:rPr>
              <w:t>indicator Quality Statement</w:t>
            </w:r>
            <w:r w:rsidR="00636B55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F7E4300" w14:textId="77777777" w:rsidR="00604865" w:rsidRPr="00604865" w:rsidRDefault="008330FB" w:rsidP="00604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</w:t>
            </w:r>
            <w:r w:rsidR="00604865" w:rsidRPr="00604865">
              <w:rPr>
                <w:rFonts w:ascii="Arial" w:hAnsi="Arial" w:cs="Arial"/>
                <w:sz w:val="22"/>
                <w:szCs w:val="22"/>
              </w:rPr>
              <w:t>The intended audience for the indicator is CCGs, the Department of Health and Social Care, Provider Managers, Commissioning Managers, Clinicians, Patients and the Public.</w:t>
            </w:r>
          </w:p>
          <w:p w14:paraId="49DD24ED" w14:textId="00D35082" w:rsidR="00604865" w:rsidRPr="00604865" w:rsidRDefault="00604865" w:rsidP="00604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04865">
              <w:rPr>
                <w:rFonts w:ascii="Arial" w:hAnsi="Arial" w:cs="Arial"/>
                <w:sz w:val="22"/>
                <w:szCs w:val="22"/>
              </w:rPr>
              <w:t xml:space="preserve">This indicator forms part of Domain 3 - Helping people to recover from episodes of ill health or following injury. The indicator can be seen to be measuring two complimentary objectives; preventing conditions becoming more serious, wherever possible, and helping people recover </w:t>
            </w:r>
            <w:r w:rsidRPr="00604865">
              <w:rPr>
                <w:rFonts w:ascii="Arial" w:hAnsi="Arial" w:cs="Arial"/>
                <w:sz w:val="22"/>
                <w:szCs w:val="22"/>
              </w:rPr>
              <w:lastRenderedPageBreak/>
              <w:t>effectively. This indicator supports NICE Quality Standard 16 – Hip fracture in adults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DE8558" w14:textId="77777777" w:rsidR="00604865" w:rsidRPr="00604865" w:rsidRDefault="00604865" w:rsidP="00604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04865">
              <w:rPr>
                <w:rFonts w:ascii="Arial" w:hAnsi="Arial" w:cs="Arial"/>
                <w:sz w:val="22"/>
                <w:szCs w:val="22"/>
              </w:rPr>
              <w:t>How actionable is the indicator?</w:t>
            </w:r>
          </w:p>
          <w:p w14:paraId="46FD2163" w14:textId="45C43CD4" w:rsidR="008330FB" w:rsidRPr="006E1387" w:rsidRDefault="00604865" w:rsidP="006048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04865">
              <w:rPr>
                <w:rFonts w:ascii="Arial" w:hAnsi="Arial" w:cs="Arial"/>
                <w:sz w:val="22"/>
                <w:szCs w:val="22"/>
              </w:rPr>
              <w:t>In order to be considered as recovering to previous levels of mobility in this indicator, a patient must have a mobility score at 120 days, no more than 1 category lower than their mobility score prior to fracture. This is clinically considered to be a good outcome. It is expected that CCGs will use this indicator to identify how improvements in care and outcomes can be delivered</w:t>
            </w:r>
            <w:r w:rsidR="000A2303" w:rsidRPr="000A2303">
              <w:rPr>
                <w:rFonts w:ascii="Arial" w:hAnsi="Arial" w:cs="Arial"/>
                <w:sz w:val="22"/>
                <w:szCs w:val="22"/>
              </w:rPr>
              <w:t>.</w:t>
            </w:r>
            <w:r w:rsidR="00CC6DF8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3047" w:type="dxa"/>
          </w:tcPr>
          <w:p w14:paraId="12B8C1AB" w14:textId="5C2075D7" w:rsidR="002A23A7" w:rsidRPr="006E1387" w:rsidRDefault="00380F5C" w:rsidP="00B92350">
            <w:pPr>
              <w:pStyle w:val="NICEnormal"/>
              <w:spacing w:before="120" w:after="120" w:line="240" w:lineRule="auto"/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lastRenderedPageBreak/>
              <w:t>This indicator aligns with NICE guidance (</w:t>
            </w:r>
            <w:r w:rsidR="00B92350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QS1</w:t>
            </w: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6</w:t>
            </w:r>
            <w:r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2"/>
            </w: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, CG1</w:t>
            </w:r>
            <w:r w:rsidR="00B92350"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24</w:t>
            </w:r>
            <w:r>
              <w:rPr>
                <w:rStyle w:val="FootnoteReference"/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footnoteReference w:id="3"/>
            </w:r>
            <w:r>
              <w:rPr>
                <w:rFonts w:eastAsiaTheme="minorEastAsia" w:cs="Arial"/>
                <w:color w:val="000000" w:themeColor="dark1"/>
                <w:kern w:val="24"/>
                <w:sz w:val="22"/>
                <w:szCs w:val="22"/>
              </w:rPr>
              <w:t>).</w:t>
            </w:r>
          </w:p>
        </w:tc>
      </w:tr>
      <w:tr w:rsidR="00455B14" w:rsidRPr="006E1387" w14:paraId="3CC8FB8C" w14:textId="54EA7E4F" w:rsidTr="00455B14">
        <w:tc>
          <w:tcPr>
            <w:tcW w:w="1878" w:type="dxa"/>
          </w:tcPr>
          <w:p w14:paraId="4C16DA9B" w14:textId="563A5247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Specification </w:t>
            </w:r>
          </w:p>
        </w:tc>
        <w:tc>
          <w:tcPr>
            <w:tcW w:w="4092" w:type="dxa"/>
          </w:tcPr>
          <w:p w14:paraId="7F5AB8B1" w14:textId="43E38D25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Numerator: </w:t>
            </w:r>
            <w:r w:rsidR="00D70974" w:rsidRPr="00D7097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Number of admitted patients in the denominator with a mobility score recorded at 120 days which was either lower (i.e. better), the same or only one mobility category higher than mobility category at admission.</w:t>
            </w:r>
          </w:p>
          <w:p w14:paraId="4FC7B690" w14:textId="3F976F53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Denominator: </w:t>
            </w:r>
            <w:r w:rsidR="00D70974" w:rsidRPr="00D7097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Number of admitted patients with a mobility score of 1, 2 or 3 recorded at admission to hospital, and a mobility score recorded at 120 days.</w:t>
            </w:r>
          </w:p>
          <w:p w14:paraId="158FFEDA" w14:textId="4B54082A" w:rsidR="00F77F03" w:rsidRPr="006E1387" w:rsidRDefault="00F77F03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Exclusions: </w:t>
            </w:r>
            <w:r w:rsidR="00474D4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Patients under 60 or over 110 years old</w:t>
            </w:r>
            <w:r w:rsidR="00474D44"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.</w:t>
            </w:r>
            <w:r w:rsidR="00474D44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Patients whose mobility score was 4 or 5 at admission, or whose mobility score was not recorded are excluded.</w:t>
            </w:r>
          </w:p>
          <w:p w14:paraId="4E1F5C0E" w14:textId="4B33C0BF" w:rsidR="009F3187" w:rsidRPr="006E1387" w:rsidRDefault="009F3187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Methodology: </w:t>
            </w:r>
            <w:r w:rsidR="00ED0AB3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Percentage</w:t>
            </w:r>
          </w:p>
          <w:p w14:paraId="241B73C2" w14:textId="37806AB3" w:rsidR="009F3187" w:rsidRPr="006E1387" w:rsidRDefault="009F3187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Geography:</w:t>
            </w:r>
            <w:r w:rsidR="00873503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r w:rsidR="0058190A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CCG</w:t>
            </w:r>
          </w:p>
          <w:p w14:paraId="5B155699" w14:textId="595747BE" w:rsidR="009F3187" w:rsidRPr="006E1387" w:rsidRDefault="009F3187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Data Source:</w:t>
            </w:r>
            <w:r w:rsidR="00873503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</w:t>
            </w:r>
            <w:r w:rsidR="00ED0AB3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National Hip Fracture Database (NHFD)</w:t>
            </w:r>
          </w:p>
          <w:p w14:paraId="134E4565" w14:textId="589D4065" w:rsidR="00A54F81" w:rsidRPr="006E1387" w:rsidRDefault="00873503" w:rsidP="00ED0AB3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Disclosure control: </w:t>
            </w:r>
            <w:r w:rsidR="00ED0AB3" w:rsidRPr="00ED0AB3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Where the indicator value is calculated from a numerator or a denominator of between one and five (inclusive), both the numerator</w:t>
            </w:r>
            <w:r w:rsidR="00ED0AB3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 and denominator are suppressed. </w:t>
            </w:r>
            <w:r w:rsidR="00ED0AB3" w:rsidRPr="00ED0AB3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 xml:space="preserve">Indicator values and confidence intervals calculated from suppressed figures </w:t>
            </w:r>
            <w:r w:rsidR="00ED0AB3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are suppressed</w:t>
            </w:r>
            <w:r w:rsidR="00ED0AB3" w:rsidRPr="00ED0AB3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. Percentages are rounded to one decimal place before publication.</w:t>
            </w:r>
          </w:p>
        </w:tc>
        <w:tc>
          <w:tcPr>
            <w:tcW w:w="3047" w:type="dxa"/>
          </w:tcPr>
          <w:p w14:paraId="3C3529D2" w14:textId="26F8C9FC" w:rsidR="00455B14" w:rsidRPr="006E1387" w:rsidRDefault="00455B14" w:rsidP="00455B14">
            <w:pPr>
              <w:pStyle w:val="NormalWeb"/>
              <w:spacing w:before="120" w:beforeAutospacing="0" w:after="120" w:afterAutospacing="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</w:pP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The indicator has defined components necessary to construct the indicator</w:t>
            </w:r>
            <w:r w:rsidR="00C82B3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, including numerator and denominator</w:t>
            </w:r>
            <w:r w:rsidR="00CC6DF8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.</w:t>
            </w:r>
          </w:p>
          <w:p w14:paraId="42FC7796" w14:textId="5A354569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</w:p>
        </w:tc>
      </w:tr>
      <w:tr w:rsidR="00455B14" w:rsidRPr="006E1387" w14:paraId="23FEA25E" w14:textId="6A849BFE" w:rsidTr="00455B14">
        <w:tc>
          <w:tcPr>
            <w:tcW w:w="1878" w:type="dxa"/>
          </w:tcPr>
          <w:p w14:paraId="05670B1F" w14:textId="657854F2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 xml:space="preserve">Feasibility  </w:t>
            </w:r>
          </w:p>
        </w:tc>
        <w:tc>
          <w:tcPr>
            <w:tcW w:w="4092" w:type="dxa"/>
          </w:tcPr>
          <w:p w14:paraId="23202A2C" w14:textId="34D0238F" w:rsidR="002B4762" w:rsidRPr="006E1387" w:rsidRDefault="004F3DFE" w:rsidP="00ED0AB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data comes from long running data sources (NHFD</w:t>
            </w:r>
            <w:r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4"/>
            </w:r>
            <w:r>
              <w:rPr>
                <w:rFonts w:ascii="Arial" w:hAnsi="Arial" w:cs="Arial"/>
                <w:sz w:val="22"/>
                <w:szCs w:val="22"/>
              </w:rPr>
              <w:t xml:space="preserve">), </w:t>
            </w:r>
            <w:r w:rsidRPr="00A563C8">
              <w:rPr>
                <w:rFonts w:ascii="Arial" w:hAnsi="Arial" w:cs="Arial"/>
                <w:sz w:val="22"/>
                <w:szCs w:val="22"/>
              </w:rPr>
              <w:t xml:space="preserve">however no published data in the CCGOIS since </w:t>
            </w:r>
            <w:r>
              <w:rPr>
                <w:rFonts w:ascii="Arial" w:hAnsi="Arial" w:cs="Arial"/>
                <w:sz w:val="22"/>
                <w:szCs w:val="22"/>
              </w:rPr>
              <w:t>2017</w:t>
            </w:r>
            <w:r w:rsidRPr="00A563C8">
              <w:rPr>
                <w:rFonts w:ascii="Arial" w:hAnsi="Arial" w:cs="Arial"/>
                <w:sz w:val="22"/>
                <w:szCs w:val="22"/>
              </w:rPr>
              <w:t xml:space="preserve">. NHS Digital have </w:t>
            </w:r>
            <w:r w:rsidR="00805B52">
              <w:rPr>
                <w:rFonts w:ascii="Arial" w:hAnsi="Arial" w:cs="Arial"/>
                <w:sz w:val="22"/>
                <w:szCs w:val="22"/>
              </w:rPr>
              <w:t>advised</w:t>
            </w:r>
            <w:r w:rsidR="00805B52" w:rsidRPr="00A563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563C8">
              <w:rPr>
                <w:rFonts w:ascii="Arial" w:hAnsi="Arial" w:cs="Arial"/>
                <w:sz w:val="22"/>
                <w:szCs w:val="22"/>
              </w:rPr>
              <w:t>that no active development is taking place for this indicator.</w:t>
            </w:r>
          </w:p>
        </w:tc>
        <w:tc>
          <w:tcPr>
            <w:tcW w:w="3047" w:type="dxa"/>
          </w:tcPr>
          <w:p w14:paraId="35AD1265" w14:textId="43A57A45" w:rsidR="00455B14" w:rsidRDefault="00455B14" w:rsidP="00873503">
            <w:pPr>
              <w:spacing w:before="120" w:after="12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 xml:space="preserve">The indicator uses existing data fields </w:t>
            </w:r>
            <w:r w:rsidR="00AB6032"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 xml:space="preserve">within </w:t>
            </w:r>
            <w:r w:rsidR="00873503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published data.</w:t>
            </w:r>
          </w:p>
          <w:p w14:paraId="7C614BB1" w14:textId="24C33465" w:rsidR="004F3DFE" w:rsidRPr="006E1387" w:rsidRDefault="00866B83" w:rsidP="00873503">
            <w:pPr>
              <w:spacing w:before="120" w:after="12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</w:pPr>
            <w:r w:rsidRPr="00043819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We have been advised by NHS Digital that no active development is taking place on this indicator.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455B14" w:rsidRPr="006E1387" w14:paraId="211AFDFC" w14:textId="3BA1BF23" w:rsidTr="00455B14">
        <w:tc>
          <w:tcPr>
            <w:tcW w:w="1878" w:type="dxa"/>
          </w:tcPr>
          <w:p w14:paraId="7AA7B574" w14:textId="77777777" w:rsidR="00455B14" w:rsidRPr="006E1387" w:rsidRDefault="00455B14" w:rsidP="00455B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Acceptability</w:t>
            </w:r>
          </w:p>
        </w:tc>
        <w:tc>
          <w:tcPr>
            <w:tcW w:w="4092" w:type="dxa"/>
          </w:tcPr>
          <w:p w14:paraId="36CF98AE" w14:textId="7C52472A" w:rsidR="004F3DFE" w:rsidRDefault="004F3DFE" w:rsidP="004F3D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CCG data available only, with no national value.</w:t>
            </w:r>
            <w:r w:rsidR="00005F79"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</w:rPr>
              <w:t>any CCGs are suppressed due to small numbers.</w:t>
            </w:r>
          </w:p>
          <w:p w14:paraId="2117977B" w14:textId="369CD815" w:rsidR="009F3187" w:rsidRPr="006E1387" w:rsidRDefault="00005F79" w:rsidP="000342F6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B91763">
              <w:rPr>
                <w:rFonts w:ascii="Arial" w:hAnsi="Arial" w:cs="Arial"/>
                <w:sz w:val="22"/>
                <w:szCs w:val="22"/>
              </w:rPr>
              <w:t xml:space="preserve">Category 4 and 5 patients are excluded since the definition of recovery would class all of these patients as ‘recovered’, hence their exclusion.   </w:t>
            </w:r>
            <w:r>
              <w:rPr>
                <w:rFonts w:ascii="Arial" w:hAnsi="Arial" w:cs="Arial"/>
                <w:sz w:val="22"/>
                <w:szCs w:val="22"/>
              </w:rPr>
              <w:t>Correspondence with NHS Digital has confirmed that c</w:t>
            </w:r>
            <w:r w:rsidRPr="00B91763">
              <w:rPr>
                <w:rFonts w:ascii="Arial" w:hAnsi="Arial" w:cs="Arial"/>
                <w:sz w:val="22"/>
                <w:szCs w:val="22"/>
              </w:rPr>
              <w:t>oncern has been expressed over this exclusion because a large proportion of those aged 80+ are in category 4 and 5; nonetheless this seems appropriate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47" w:type="dxa"/>
          </w:tcPr>
          <w:p w14:paraId="29506238" w14:textId="3E6B25C0" w:rsidR="00455B14" w:rsidRPr="006E1387" w:rsidRDefault="00455B14" w:rsidP="00455B14">
            <w:pPr>
              <w:pStyle w:val="NormalWeb"/>
              <w:spacing w:before="120" w:beforeAutospacing="0" w:after="120" w:afterAutospacing="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</w:pP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CB08E8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, both in a clinical and public health setting</w:t>
            </w:r>
            <w:r w:rsidR="00AB6032"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</w:rPr>
              <w:t>.</w:t>
            </w:r>
          </w:p>
          <w:p w14:paraId="472E62AD" w14:textId="14006EFD" w:rsidR="002223A6" w:rsidRPr="006E1387" w:rsidRDefault="00455B14" w:rsidP="00455B14">
            <w:pPr>
              <w:spacing w:before="120" w:after="120"/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</w:pPr>
            <w:r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The results of the indicator can be used to improve practice</w:t>
            </w:r>
            <w:r w:rsidR="009B0E59" w:rsidRPr="006E1387">
              <w:rPr>
                <w:rFonts w:ascii="Arial" w:eastAsiaTheme="minorEastAsia" w:hAnsi="Arial" w:cs="Arial"/>
                <w:color w:val="000000" w:themeColor="dark1"/>
                <w:kern w:val="24"/>
                <w:sz w:val="22"/>
                <w:szCs w:val="22"/>
                <w:lang w:eastAsia="en-GB"/>
              </w:rPr>
              <w:t>.</w:t>
            </w:r>
          </w:p>
        </w:tc>
      </w:tr>
      <w:tr w:rsidR="00455B14" w:rsidRPr="006E1387" w14:paraId="515852F3" w14:textId="598C7331" w:rsidTr="00455B14">
        <w:tc>
          <w:tcPr>
            <w:tcW w:w="1878" w:type="dxa"/>
          </w:tcPr>
          <w:p w14:paraId="5DC1BD3A" w14:textId="17F33E7B" w:rsidR="00455B14" w:rsidRPr="006E1387" w:rsidRDefault="00455B14" w:rsidP="00455B14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6E1387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Risk</w:t>
            </w:r>
          </w:p>
        </w:tc>
        <w:tc>
          <w:tcPr>
            <w:tcW w:w="4092" w:type="dxa"/>
          </w:tcPr>
          <w:p w14:paraId="6C854FEE" w14:textId="354B69B6" w:rsidR="003A4CBB" w:rsidRPr="006E1387" w:rsidRDefault="00B20D11" w:rsidP="003A4CB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en-GB"/>
              </w:rPr>
              <w:t>No further risks identified.</w:t>
            </w:r>
          </w:p>
        </w:tc>
        <w:tc>
          <w:tcPr>
            <w:tcW w:w="3047" w:type="dxa"/>
          </w:tcPr>
          <w:p w14:paraId="7C2C11AA" w14:textId="40F89DE4" w:rsidR="00831948" w:rsidRPr="006E1387" w:rsidRDefault="00B20D11" w:rsidP="00831948">
            <w:pPr>
              <w:pStyle w:val="NICEnormal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  <w:lang w:eastAsia="en-GB"/>
              </w:rPr>
              <w:t>No further risks identified.</w:t>
            </w:r>
          </w:p>
        </w:tc>
      </w:tr>
    </w:tbl>
    <w:p w14:paraId="37D9A2F5" w14:textId="084C27AB" w:rsidR="004A517E" w:rsidRDefault="004A517E">
      <w:pPr>
        <w:rPr>
          <w:rFonts w:ascii="Arial" w:hAnsi="Arial"/>
          <w:lang w:val="en-US"/>
        </w:rPr>
      </w:pPr>
    </w:p>
    <w:p w14:paraId="114C1D44" w14:textId="21B7EEB2" w:rsidR="000342F6" w:rsidRPr="003279AF" w:rsidRDefault="0015799D" w:rsidP="0015799D">
      <w:pPr>
        <w:pStyle w:val="Paragraph"/>
      </w:pPr>
      <w:r>
        <w:rPr>
          <w:b/>
        </w:rPr>
        <w:t>S</w:t>
      </w:r>
      <w:r w:rsidR="00424B4D" w:rsidRPr="00C01907">
        <w:rPr>
          <w:b/>
        </w:rPr>
        <w:t>ummary:</w:t>
      </w:r>
      <w:r w:rsidR="00424B4D" w:rsidRPr="00424B4D">
        <w:t xml:space="preserve"> </w:t>
      </w:r>
      <w:bookmarkStart w:id="1" w:name="_Hlk96692161"/>
      <w:bookmarkStart w:id="2" w:name="_Hlk94195827"/>
      <w:r>
        <w:t xml:space="preserve">Indicator to be provisionally renewed. </w:t>
      </w:r>
      <w:bookmarkEnd w:id="1"/>
      <w:bookmarkEnd w:id="2"/>
    </w:p>
    <w:p w14:paraId="300B7E6A" w14:textId="77777777" w:rsidR="000342F6" w:rsidRDefault="000342F6" w:rsidP="000342F6">
      <w:pPr>
        <w:pStyle w:val="Paragraphnonumbers"/>
        <w:rPr>
          <w:b/>
        </w:rPr>
      </w:pPr>
      <w:r>
        <w:rPr>
          <w:b/>
        </w:rPr>
        <w:t xml:space="preserve">NHS Digital Indicator reference: </w:t>
      </w:r>
    </w:p>
    <w:p w14:paraId="43FD71A3" w14:textId="15913697" w:rsidR="000342F6" w:rsidRDefault="000342F6" w:rsidP="000342F6">
      <w:pPr>
        <w:pStyle w:val="Paragraphnonumbers"/>
      </w:pPr>
      <w:r>
        <w:t>CCG Outcomes Indicator Set – 3.10.ii</w:t>
      </w:r>
      <w:r w:rsidRPr="00FC18B4">
        <w:t xml:space="preserve"> </w:t>
      </w:r>
      <w:r w:rsidRPr="000342F6">
        <w:t>Hip fracture: proportion of patients recovering to their previous levels of mobility/walking ability at 120 days</w:t>
      </w:r>
    </w:p>
    <w:p w14:paraId="1E35CED2" w14:textId="77777777" w:rsidR="000342F6" w:rsidRDefault="000342F6" w:rsidP="00424B4D">
      <w:pPr>
        <w:pStyle w:val="Paragraph"/>
      </w:pPr>
    </w:p>
    <w:sectPr w:rsidR="000342F6" w:rsidSect="00192B09">
      <w:headerReference w:type="default" r:id="rId8"/>
      <w:footerReference w:type="default" r:id="rId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AE2E" w14:textId="77777777" w:rsidR="00ED6F53" w:rsidRDefault="00ED6F53" w:rsidP="00446BEE">
      <w:r>
        <w:separator/>
      </w:r>
    </w:p>
  </w:endnote>
  <w:endnote w:type="continuationSeparator" w:id="0">
    <w:p w14:paraId="1EE071A7" w14:textId="77777777" w:rsidR="00ED6F53" w:rsidRDefault="00ED6F5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B96B" w14:textId="77777777" w:rsidR="005E1E9B" w:rsidRDefault="005E1E9B" w:rsidP="005E1E9B">
    <w:pPr>
      <w:pStyle w:val="Footer"/>
    </w:pPr>
    <w:r>
      <w:t>IAP00517</w:t>
    </w:r>
    <w:r w:rsidRPr="005E1E9B">
      <w:t xml:space="preserve"> Hip fracture: proportion of patients recovering to their previous levels of mobility/walking ability at 120 days</w:t>
    </w:r>
    <w:r w:rsidR="009B0E59">
      <w:t xml:space="preserve">: Validity assessment </w:t>
    </w:r>
    <w:r>
      <w:t>March 2022</w:t>
    </w:r>
  </w:p>
  <w:p w14:paraId="0042B07A" w14:textId="7F0D2FD0" w:rsidR="00BB14CA" w:rsidRPr="008C1C95" w:rsidRDefault="009B0E59" w:rsidP="005E1E9B">
    <w:pPr>
      <w:pStyle w:val="Footer"/>
    </w:pPr>
    <w:r>
      <w:tab/>
    </w:r>
    <w:r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3C559E">
      <w:rPr>
        <w:noProof/>
      </w:rPr>
      <w:t>3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3C559E">
      <w:rPr>
        <w:noProof/>
      </w:rPr>
      <w:t>3</w:t>
    </w:r>
    <w:r w:rsidR="00BB14C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BEBC" w14:textId="77777777" w:rsidR="00ED6F53" w:rsidRDefault="00ED6F53" w:rsidP="00446BEE">
      <w:r>
        <w:separator/>
      </w:r>
    </w:p>
  </w:footnote>
  <w:footnote w:type="continuationSeparator" w:id="0">
    <w:p w14:paraId="28DE568C" w14:textId="77777777" w:rsidR="00ED6F53" w:rsidRDefault="00ED6F53" w:rsidP="00446BEE">
      <w:r>
        <w:continuationSeparator/>
      </w:r>
    </w:p>
  </w:footnote>
  <w:footnote w:id="1">
    <w:p w14:paraId="3CDD62BB" w14:textId="189AAFDB" w:rsidR="00ED0AB3" w:rsidRDefault="00636B55" w:rsidP="00ED0A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D0AB3" w:rsidRPr="00ED0AB3">
        <w:t xml:space="preserve">NHS Digital. </w:t>
      </w:r>
      <w:r w:rsidR="00ED0AB3">
        <w:t>CCG</w:t>
      </w:r>
      <w:r w:rsidR="00ED0AB3" w:rsidRPr="00ED0AB3">
        <w:t xml:space="preserve"> outcomes </w:t>
      </w:r>
      <w:r w:rsidR="00ED0AB3">
        <w:t>indicator set</w:t>
      </w:r>
      <w:r w:rsidR="00ED0AB3" w:rsidRPr="00ED0AB3">
        <w:t xml:space="preserve">, Indicator Quality Statement, Domain </w:t>
      </w:r>
      <w:r w:rsidR="00ED0AB3">
        <w:t>3</w:t>
      </w:r>
      <w:r w:rsidR="00ED0AB3" w:rsidRPr="00ED0AB3">
        <w:t xml:space="preserve">. </w:t>
      </w:r>
      <w:r w:rsidR="00ED0AB3">
        <w:t>3.1</w:t>
      </w:r>
      <w:r w:rsidR="00D70974">
        <w:t>0ii</w:t>
      </w:r>
    </w:p>
    <w:p w14:paraId="49A3C76C" w14:textId="5C158EDB" w:rsidR="00636B55" w:rsidRDefault="00D70974" w:rsidP="00ED0AB3">
      <w:pPr>
        <w:pStyle w:val="FootnoteText"/>
      </w:pPr>
      <w:r w:rsidRPr="00D70974">
        <w:t>Hip fracture: proportion of patients recovering to their previous levels of mobility/walking ability at 120 days</w:t>
      </w:r>
      <w:r w:rsidR="00ED0AB3" w:rsidRPr="00ED0AB3">
        <w:t xml:space="preserve">. Version </w:t>
      </w:r>
      <w:r w:rsidR="00ED0AB3">
        <w:t>1.</w:t>
      </w:r>
      <w:r w:rsidR="000A2303">
        <w:t>3</w:t>
      </w:r>
      <w:r w:rsidR="00ED0AB3" w:rsidRPr="00ED0AB3">
        <w:t xml:space="preserve">, </w:t>
      </w:r>
      <w:r w:rsidR="000A2303">
        <w:t>September</w:t>
      </w:r>
      <w:r w:rsidR="00ED0AB3" w:rsidRPr="00ED0AB3">
        <w:t xml:space="preserve"> 201</w:t>
      </w:r>
      <w:r w:rsidR="000A2303">
        <w:t>9</w:t>
      </w:r>
    </w:p>
  </w:footnote>
  <w:footnote w:id="2">
    <w:p w14:paraId="287220AC" w14:textId="5FB14662" w:rsidR="00380F5C" w:rsidRDefault="00380F5C" w:rsidP="00380F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92350">
        <w:t>Hip fracture in adults</w:t>
      </w:r>
      <w:r>
        <w:t>,</w:t>
      </w:r>
      <w:r w:rsidR="00ED0AB3">
        <w:t xml:space="preserve"> last updated 16 May 2017</w:t>
      </w:r>
      <w:r>
        <w:t xml:space="preserve"> </w:t>
      </w:r>
      <w:hyperlink r:id="rId1" w:history="1">
        <w:r w:rsidR="00ED0AB3" w:rsidRPr="00194626">
          <w:rPr>
            <w:rStyle w:val="Hyperlink"/>
          </w:rPr>
          <w:t>https://www.nice.org.uk/guidance/qs16</w:t>
        </w:r>
      </w:hyperlink>
      <w:r w:rsidR="00ED0AB3">
        <w:t xml:space="preserve"> </w:t>
      </w:r>
    </w:p>
  </w:footnote>
  <w:footnote w:id="3">
    <w:p w14:paraId="3D5C292C" w14:textId="033BD7B6" w:rsidR="00380F5C" w:rsidRDefault="00380F5C" w:rsidP="00380F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D0AB3" w:rsidRPr="00ED0AB3">
        <w:t>Hip fracture: management</w:t>
      </w:r>
      <w:r w:rsidR="00B92350">
        <w:t xml:space="preserve">, last updated </w:t>
      </w:r>
      <w:r w:rsidR="00ED0AB3">
        <w:t>10 May 2017</w:t>
      </w:r>
      <w:r>
        <w:t xml:space="preserve">, </w:t>
      </w:r>
      <w:hyperlink r:id="rId2" w:history="1">
        <w:r w:rsidR="00ED0AB3" w:rsidRPr="00194626">
          <w:rPr>
            <w:rStyle w:val="Hyperlink"/>
          </w:rPr>
          <w:t>https://www.nice.org.uk/Guidance/CG124</w:t>
        </w:r>
      </w:hyperlink>
      <w:r w:rsidR="00ED0AB3">
        <w:t xml:space="preserve"> </w:t>
      </w:r>
    </w:p>
  </w:footnote>
  <w:footnote w:id="4">
    <w:p w14:paraId="25164FF2" w14:textId="77777777" w:rsidR="004F3DFE" w:rsidRDefault="004F3DFE" w:rsidP="004F3DFE">
      <w:pPr>
        <w:pStyle w:val="FootnoteText"/>
      </w:pPr>
      <w:r>
        <w:rPr>
          <w:rStyle w:val="FootnoteReference"/>
        </w:rPr>
        <w:footnoteRef/>
      </w:r>
      <w:r>
        <w:t xml:space="preserve"> National Hip Fracture Database, </w:t>
      </w:r>
      <w:hyperlink r:id="rId3" w:history="1">
        <w:r w:rsidRPr="00447922">
          <w:rPr>
            <w:rStyle w:val="Hyperlink"/>
          </w:rPr>
          <w:t>https://www.nhfd.co.uk/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1FB0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0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26"/>
  </w:num>
  <w:num w:numId="4">
    <w:abstractNumId w:val="11"/>
  </w:num>
  <w:num w:numId="5">
    <w:abstractNumId w:val="23"/>
  </w:num>
  <w:num w:numId="6">
    <w:abstractNumId w:val="1"/>
  </w:num>
  <w:num w:numId="7">
    <w:abstractNumId w:val="9"/>
  </w:num>
  <w:num w:numId="8">
    <w:abstractNumId w:val="21"/>
  </w:num>
  <w:num w:numId="9">
    <w:abstractNumId w:val="22"/>
  </w:num>
  <w:num w:numId="10">
    <w:abstractNumId w:val="4"/>
  </w:num>
  <w:num w:numId="11">
    <w:abstractNumId w:val="6"/>
  </w:num>
  <w:num w:numId="12">
    <w:abstractNumId w:val="2"/>
  </w:num>
  <w:num w:numId="13">
    <w:abstractNumId w:val="29"/>
  </w:num>
  <w:num w:numId="14">
    <w:abstractNumId w:val="13"/>
  </w:num>
  <w:num w:numId="15">
    <w:abstractNumId w:val="8"/>
  </w:num>
  <w:num w:numId="16">
    <w:abstractNumId w:val="18"/>
  </w:num>
  <w:num w:numId="17">
    <w:abstractNumId w:val="15"/>
  </w:num>
  <w:num w:numId="18">
    <w:abstractNumId w:val="20"/>
  </w:num>
  <w:num w:numId="19">
    <w:abstractNumId w:val="24"/>
  </w:num>
  <w:num w:numId="20">
    <w:abstractNumId w:val="5"/>
  </w:num>
  <w:num w:numId="21">
    <w:abstractNumId w:val="27"/>
  </w:num>
  <w:num w:numId="22">
    <w:abstractNumId w:val="0"/>
  </w:num>
  <w:num w:numId="23">
    <w:abstractNumId w:val="3"/>
  </w:num>
  <w:num w:numId="24">
    <w:abstractNumId w:val="25"/>
  </w:num>
  <w:num w:numId="25">
    <w:abstractNumId w:val="17"/>
  </w:num>
  <w:num w:numId="26">
    <w:abstractNumId w:val="16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4"/>
  </w:num>
  <w:num w:numId="30">
    <w:abstractNumId w:val="12"/>
  </w:num>
  <w:num w:numId="31">
    <w:abstractNumId w:val="4"/>
  </w:num>
  <w:num w:numId="32">
    <w:abstractNumId w:val="4"/>
  </w:num>
  <w:num w:numId="33">
    <w:abstractNumId w:val="4"/>
  </w:num>
  <w:num w:numId="34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4"/>
  </w:num>
  <w:num w:numId="37">
    <w:abstractNumId w:val="4"/>
  </w:num>
  <w:num w:numId="38">
    <w:abstractNumId w:val="28"/>
  </w:num>
  <w:num w:numId="39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BE"/>
    <w:rsid w:val="00001DF1"/>
    <w:rsid w:val="00002AC5"/>
    <w:rsid w:val="00005F79"/>
    <w:rsid w:val="00011FC6"/>
    <w:rsid w:val="0001222B"/>
    <w:rsid w:val="00015441"/>
    <w:rsid w:val="00016234"/>
    <w:rsid w:val="00017F45"/>
    <w:rsid w:val="000200AB"/>
    <w:rsid w:val="00020637"/>
    <w:rsid w:val="0002076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42F6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3D1"/>
    <w:rsid w:val="000A16C2"/>
    <w:rsid w:val="000A2303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D57"/>
    <w:rsid w:val="000C4EE8"/>
    <w:rsid w:val="000C7A5D"/>
    <w:rsid w:val="000D04B0"/>
    <w:rsid w:val="000D1487"/>
    <w:rsid w:val="000D3776"/>
    <w:rsid w:val="000E0E0D"/>
    <w:rsid w:val="000E4899"/>
    <w:rsid w:val="000E7E3C"/>
    <w:rsid w:val="000F3B49"/>
    <w:rsid w:val="000F6502"/>
    <w:rsid w:val="001043B0"/>
    <w:rsid w:val="001066B8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6466"/>
    <w:rsid w:val="001368F7"/>
    <w:rsid w:val="00140B46"/>
    <w:rsid w:val="00140D83"/>
    <w:rsid w:val="001413FC"/>
    <w:rsid w:val="00145D3C"/>
    <w:rsid w:val="001503E8"/>
    <w:rsid w:val="00154516"/>
    <w:rsid w:val="00155A83"/>
    <w:rsid w:val="00156264"/>
    <w:rsid w:val="00156529"/>
    <w:rsid w:val="0015799D"/>
    <w:rsid w:val="001579DA"/>
    <w:rsid w:val="00161EBC"/>
    <w:rsid w:val="00165770"/>
    <w:rsid w:val="00165B01"/>
    <w:rsid w:val="00166C1A"/>
    <w:rsid w:val="0017169E"/>
    <w:rsid w:val="00172EAB"/>
    <w:rsid w:val="0017396B"/>
    <w:rsid w:val="00175BE8"/>
    <w:rsid w:val="00175F5D"/>
    <w:rsid w:val="00177200"/>
    <w:rsid w:val="001779E5"/>
    <w:rsid w:val="00182263"/>
    <w:rsid w:val="0018281C"/>
    <w:rsid w:val="00185F6B"/>
    <w:rsid w:val="00187570"/>
    <w:rsid w:val="00192188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0C37"/>
    <w:rsid w:val="001F1315"/>
    <w:rsid w:val="001F1D2D"/>
    <w:rsid w:val="001F3C47"/>
    <w:rsid w:val="001F6AB0"/>
    <w:rsid w:val="00201090"/>
    <w:rsid w:val="0020340C"/>
    <w:rsid w:val="00203B08"/>
    <w:rsid w:val="00204572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0F4"/>
    <w:rsid w:val="002223A6"/>
    <w:rsid w:val="002229AD"/>
    <w:rsid w:val="00224AEE"/>
    <w:rsid w:val="00225FF4"/>
    <w:rsid w:val="00230A13"/>
    <w:rsid w:val="002331C6"/>
    <w:rsid w:val="00236B76"/>
    <w:rsid w:val="002408EA"/>
    <w:rsid w:val="00241410"/>
    <w:rsid w:val="00243681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804"/>
    <w:rsid w:val="00271857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6E2E"/>
    <w:rsid w:val="002A23A7"/>
    <w:rsid w:val="002A5503"/>
    <w:rsid w:val="002A6812"/>
    <w:rsid w:val="002A7339"/>
    <w:rsid w:val="002A7A24"/>
    <w:rsid w:val="002B3735"/>
    <w:rsid w:val="002B4762"/>
    <w:rsid w:val="002B565A"/>
    <w:rsid w:val="002B71D2"/>
    <w:rsid w:val="002C0DA9"/>
    <w:rsid w:val="002C1A7E"/>
    <w:rsid w:val="002C2893"/>
    <w:rsid w:val="002C292E"/>
    <w:rsid w:val="002C361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58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20EE5"/>
    <w:rsid w:val="003236DA"/>
    <w:rsid w:val="003244E5"/>
    <w:rsid w:val="00324C60"/>
    <w:rsid w:val="00326131"/>
    <w:rsid w:val="00326482"/>
    <w:rsid w:val="00330EED"/>
    <w:rsid w:val="00331B26"/>
    <w:rsid w:val="003351B7"/>
    <w:rsid w:val="0033631A"/>
    <w:rsid w:val="00336946"/>
    <w:rsid w:val="00340D15"/>
    <w:rsid w:val="00341BA8"/>
    <w:rsid w:val="003432A0"/>
    <w:rsid w:val="00343A77"/>
    <w:rsid w:val="00344166"/>
    <w:rsid w:val="00346B57"/>
    <w:rsid w:val="00347EDE"/>
    <w:rsid w:val="00351FA4"/>
    <w:rsid w:val="00351FDE"/>
    <w:rsid w:val="003524BA"/>
    <w:rsid w:val="00352FD0"/>
    <w:rsid w:val="00354D09"/>
    <w:rsid w:val="00355BED"/>
    <w:rsid w:val="0035645A"/>
    <w:rsid w:val="00357C1E"/>
    <w:rsid w:val="003604C3"/>
    <w:rsid w:val="003605D5"/>
    <w:rsid w:val="00361432"/>
    <w:rsid w:val="00362EE3"/>
    <w:rsid w:val="00365698"/>
    <w:rsid w:val="00365EBC"/>
    <w:rsid w:val="00367685"/>
    <w:rsid w:val="00367A82"/>
    <w:rsid w:val="00370ACD"/>
    <w:rsid w:val="00371E29"/>
    <w:rsid w:val="003722FA"/>
    <w:rsid w:val="003731E6"/>
    <w:rsid w:val="00373EA4"/>
    <w:rsid w:val="00374EA0"/>
    <w:rsid w:val="00374EB6"/>
    <w:rsid w:val="00375AE7"/>
    <w:rsid w:val="00376C2A"/>
    <w:rsid w:val="00377277"/>
    <w:rsid w:val="00377304"/>
    <w:rsid w:val="00380F5C"/>
    <w:rsid w:val="00381BEA"/>
    <w:rsid w:val="00381FB7"/>
    <w:rsid w:val="00382495"/>
    <w:rsid w:val="00384141"/>
    <w:rsid w:val="003856AA"/>
    <w:rsid w:val="00385FD5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A4CBB"/>
    <w:rsid w:val="003B0286"/>
    <w:rsid w:val="003B091A"/>
    <w:rsid w:val="003B1C33"/>
    <w:rsid w:val="003B254D"/>
    <w:rsid w:val="003B298F"/>
    <w:rsid w:val="003B69AA"/>
    <w:rsid w:val="003C3023"/>
    <w:rsid w:val="003C39D1"/>
    <w:rsid w:val="003C559E"/>
    <w:rsid w:val="003C7AAF"/>
    <w:rsid w:val="003C7B7D"/>
    <w:rsid w:val="003D2D5E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4B4D"/>
    <w:rsid w:val="004271A0"/>
    <w:rsid w:val="0042742A"/>
    <w:rsid w:val="004306C0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D44"/>
    <w:rsid w:val="00474FE4"/>
    <w:rsid w:val="00475C7C"/>
    <w:rsid w:val="00475D8E"/>
    <w:rsid w:val="0047681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6D9C"/>
    <w:rsid w:val="004B7792"/>
    <w:rsid w:val="004C101D"/>
    <w:rsid w:val="004C3670"/>
    <w:rsid w:val="004C3BFD"/>
    <w:rsid w:val="004C5C89"/>
    <w:rsid w:val="004D1267"/>
    <w:rsid w:val="004D26AD"/>
    <w:rsid w:val="004D2897"/>
    <w:rsid w:val="004D39E2"/>
    <w:rsid w:val="004D756F"/>
    <w:rsid w:val="004E0E78"/>
    <w:rsid w:val="004E4C4B"/>
    <w:rsid w:val="004E54B6"/>
    <w:rsid w:val="004F242D"/>
    <w:rsid w:val="004F3269"/>
    <w:rsid w:val="004F3DFE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343E1"/>
    <w:rsid w:val="005353CB"/>
    <w:rsid w:val="00535CCD"/>
    <w:rsid w:val="00545970"/>
    <w:rsid w:val="00550783"/>
    <w:rsid w:val="005508EE"/>
    <w:rsid w:val="005536FB"/>
    <w:rsid w:val="00555CC8"/>
    <w:rsid w:val="00556B58"/>
    <w:rsid w:val="005577FA"/>
    <w:rsid w:val="0056425E"/>
    <w:rsid w:val="00565745"/>
    <w:rsid w:val="00566CCC"/>
    <w:rsid w:val="00566FFF"/>
    <w:rsid w:val="0056705D"/>
    <w:rsid w:val="00571370"/>
    <w:rsid w:val="00575207"/>
    <w:rsid w:val="00577C83"/>
    <w:rsid w:val="00580FF4"/>
    <w:rsid w:val="0058190A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C95"/>
    <w:rsid w:val="005E0AC1"/>
    <w:rsid w:val="005E1E9B"/>
    <w:rsid w:val="005E2508"/>
    <w:rsid w:val="005E437F"/>
    <w:rsid w:val="005E58ED"/>
    <w:rsid w:val="005E62A7"/>
    <w:rsid w:val="005E6B30"/>
    <w:rsid w:val="005F25FD"/>
    <w:rsid w:val="005F3989"/>
    <w:rsid w:val="005F3C5C"/>
    <w:rsid w:val="005F5AFD"/>
    <w:rsid w:val="005F6BB8"/>
    <w:rsid w:val="005F6F0A"/>
    <w:rsid w:val="005F7681"/>
    <w:rsid w:val="00601291"/>
    <w:rsid w:val="0060351B"/>
    <w:rsid w:val="00604865"/>
    <w:rsid w:val="00607959"/>
    <w:rsid w:val="0061221F"/>
    <w:rsid w:val="00614078"/>
    <w:rsid w:val="006150A0"/>
    <w:rsid w:val="0061798B"/>
    <w:rsid w:val="0062228B"/>
    <w:rsid w:val="00624430"/>
    <w:rsid w:val="00624F1C"/>
    <w:rsid w:val="00625AEE"/>
    <w:rsid w:val="00627687"/>
    <w:rsid w:val="006276D1"/>
    <w:rsid w:val="006279C2"/>
    <w:rsid w:val="00630A5B"/>
    <w:rsid w:val="00636B55"/>
    <w:rsid w:val="00637F2A"/>
    <w:rsid w:val="00642C45"/>
    <w:rsid w:val="0064313B"/>
    <w:rsid w:val="006434DF"/>
    <w:rsid w:val="00645411"/>
    <w:rsid w:val="0064604F"/>
    <w:rsid w:val="00651D20"/>
    <w:rsid w:val="006523CB"/>
    <w:rsid w:val="0065348A"/>
    <w:rsid w:val="006557A6"/>
    <w:rsid w:val="00657C65"/>
    <w:rsid w:val="006635D1"/>
    <w:rsid w:val="006639FD"/>
    <w:rsid w:val="00664F8F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D4325"/>
    <w:rsid w:val="006D55A6"/>
    <w:rsid w:val="006D6BD0"/>
    <w:rsid w:val="006E09CB"/>
    <w:rsid w:val="006E1387"/>
    <w:rsid w:val="006E2124"/>
    <w:rsid w:val="006E23A2"/>
    <w:rsid w:val="006E299B"/>
    <w:rsid w:val="006E303F"/>
    <w:rsid w:val="006E46C1"/>
    <w:rsid w:val="006E4E37"/>
    <w:rsid w:val="006E5D76"/>
    <w:rsid w:val="006F17D4"/>
    <w:rsid w:val="006F255A"/>
    <w:rsid w:val="006F2843"/>
    <w:rsid w:val="006F6463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50F1"/>
    <w:rsid w:val="00726FF0"/>
    <w:rsid w:val="00727230"/>
    <w:rsid w:val="00730AA4"/>
    <w:rsid w:val="0073113B"/>
    <w:rsid w:val="00732C44"/>
    <w:rsid w:val="00734CC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B1A6C"/>
    <w:rsid w:val="007B5378"/>
    <w:rsid w:val="007C1642"/>
    <w:rsid w:val="007C33F3"/>
    <w:rsid w:val="007C40AD"/>
    <w:rsid w:val="007C4561"/>
    <w:rsid w:val="007C4814"/>
    <w:rsid w:val="007C516A"/>
    <w:rsid w:val="007C6CFD"/>
    <w:rsid w:val="007D28D7"/>
    <w:rsid w:val="007D31FD"/>
    <w:rsid w:val="007E1B11"/>
    <w:rsid w:val="007E2014"/>
    <w:rsid w:val="007E21F8"/>
    <w:rsid w:val="007E2696"/>
    <w:rsid w:val="007E3374"/>
    <w:rsid w:val="007E4F40"/>
    <w:rsid w:val="007E6A87"/>
    <w:rsid w:val="007E78BD"/>
    <w:rsid w:val="007F14A6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5B52"/>
    <w:rsid w:val="00806468"/>
    <w:rsid w:val="00806DBE"/>
    <w:rsid w:val="00807FF1"/>
    <w:rsid w:val="008100D4"/>
    <w:rsid w:val="00810C89"/>
    <w:rsid w:val="00812A0F"/>
    <w:rsid w:val="008137AD"/>
    <w:rsid w:val="008138B2"/>
    <w:rsid w:val="00813C4A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1948"/>
    <w:rsid w:val="008330FB"/>
    <w:rsid w:val="0083313E"/>
    <w:rsid w:val="008331BB"/>
    <w:rsid w:val="008338B5"/>
    <w:rsid w:val="00833D43"/>
    <w:rsid w:val="00840FF7"/>
    <w:rsid w:val="00841169"/>
    <w:rsid w:val="00843F79"/>
    <w:rsid w:val="00844032"/>
    <w:rsid w:val="008443D8"/>
    <w:rsid w:val="008445E7"/>
    <w:rsid w:val="00844854"/>
    <w:rsid w:val="00847D3A"/>
    <w:rsid w:val="00855549"/>
    <w:rsid w:val="0086032D"/>
    <w:rsid w:val="0086178A"/>
    <w:rsid w:val="00861B3D"/>
    <w:rsid w:val="00862879"/>
    <w:rsid w:val="00865CE7"/>
    <w:rsid w:val="00866B83"/>
    <w:rsid w:val="0086701C"/>
    <w:rsid w:val="00867262"/>
    <w:rsid w:val="00870BDD"/>
    <w:rsid w:val="008717F1"/>
    <w:rsid w:val="00873503"/>
    <w:rsid w:val="00876D05"/>
    <w:rsid w:val="00876F5C"/>
    <w:rsid w:val="00880ED3"/>
    <w:rsid w:val="00883721"/>
    <w:rsid w:val="00885163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B183A"/>
    <w:rsid w:val="008B4B98"/>
    <w:rsid w:val="008B613C"/>
    <w:rsid w:val="008C183F"/>
    <w:rsid w:val="008C1C95"/>
    <w:rsid w:val="008C3D9F"/>
    <w:rsid w:val="008C4122"/>
    <w:rsid w:val="008C669E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0DEF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60E7"/>
    <w:rsid w:val="00947483"/>
    <w:rsid w:val="00947FDB"/>
    <w:rsid w:val="00952219"/>
    <w:rsid w:val="009535CF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2360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97F53"/>
    <w:rsid w:val="009A23F7"/>
    <w:rsid w:val="009A2B2A"/>
    <w:rsid w:val="009A38DA"/>
    <w:rsid w:val="009A3F7F"/>
    <w:rsid w:val="009A4775"/>
    <w:rsid w:val="009A75C4"/>
    <w:rsid w:val="009B0897"/>
    <w:rsid w:val="009B0E59"/>
    <w:rsid w:val="009B276A"/>
    <w:rsid w:val="009B3223"/>
    <w:rsid w:val="009B4063"/>
    <w:rsid w:val="009B52E5"/>
    <w:rsid w:val="009B5C5F"/>
    <w:rsid w:val="009C0968"/>
    <w:rsid w:val="009C1354"/>
    <w:rsid w:val="009C2FB9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21EF"/>
    <w:rsid w:val="009E3151"/>
    <w:rsid w:val="009E680B"/>
    <w:rsid w:val="009F1902"/>
    <w:rsid w:val="009F3187"/>
    <w:rsid w:val="009F4086"/>
    <w:rsid w:val="009F4F44"/>
    <w:rsid w:val="009F7239"/>
    <w:rsid w:val="00A0249B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40EE"/>
    <w:rsid w:val="00A25B7F"/>
    <w:rsid w:val="00A264CE"/>
    <w:rsid w:val="00A3050E"/>
    <w:rsid w:val="00A305B3"/>
    <w:rsid w:val="00A32C40"/>
    <w:rsid w:val="00A3325A"/>
    <w:rsid w:val="00A4094A"/>
    <w:rsid w:val="00A426B6"/>
    <w:rsid w:val="00A426BE"/>
    <w:rsid w:val="00A526EF"/>
    <w:rsid w:val="00A53E97"/>
    <w:rsid w:val="00A54F81"/>
    <w:rsid w:val="00A60794"/>
    <w:rsid w:val="00A611CE"/>
    <w:rsid w:val="00A614C6"/>
    <w:rsid w:val="00A61511"/>
    <w:rsid w:val="00A62410"/>
    <w:rsid w:val="00A7018B"/>
    <w:rsid w:val="00A70A7A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3DB3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831"/>
    <w:rsid w:val="00B0269C"/>
    <w:rsid w:val="00B02E55"/>
    <w:rsid w:val="00B03527"/>
    <w:rsid w:val="00B0389A"/>
    <w:rsid w:val="00B0538C"/>
    <w:rsid w:val="00B06D4E"/>
    <w:rsid w:val="00B11A62"/>
    <w:rsid w:val="00B14C5C"/>
    <w:rsid w:val="00B14C68"/>
    <w:rsid w:val="00B14DDE"/>
    <w:rsid w:val="00B157D0"/>
    <w:rsid w:val="00B15EF3"/>
    <w:rsid w:val="00B17751"/>
    <w:rsid w:val="00B17DE0"/>
    <w:rsid w:val="00B20D11"/>
    <w:rsid w:val="00B22A36"/>
    <w:rsid w:val="00B265EB"/>
    <w:rsid w:val="00B27031"/>
    <w:rsid w:val="00B307EC"/>
    <w:rsid w:val="00B32429"/>
    <w:rsid w:val="00B341DA"/>
    <w:rsid w:val="00B44CE2"/>
    <w:rsid w:val="00B453BB"/>
    <w:rsid w:val="00B50B39"/>
    <w:rsid w:val="00B53A23"/>
    <w:rsid w:val="00B54BE5"/>
    <w:rsid w:val="00B55D4E"/>
    <w:rsid w:val="00B570F4"/>
    <w:rsid w:val="00B57BE4"/>
    <w:rsid w:val="00B64C8C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2350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FC8"/>
    <w:rsid w:val="00BC7ABB"/>
    <w:rsid w:val="00BD079D"/>
    <w:rsid w:val="00BD16C0"/>
    <w:rsid w:val="00BD2A8E"/>
    <w:rsid w:val="00BD3051"/>
    <w:rsid w:val="00BD38BB"/>
    <w:rsid w:val="00BD4879"/>
    <w:rsid w:val="00BD50F7"/>
    <w:rsid w:val="00BD674E"/>
    <w:rsid w:val="00BE10A8"/>
    <w:rsid w:val="00BE2BC8"/>
    <w:rsid w:val="00BE387B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1907"/>
    <w:rsid w:val="00C026AC"/>
    <w:rsid w:val="00C0570D"/>
    <w:rsid w:val="00C130C8"/>
    <w:rsid w:val="00C13168"/>
    <w:rsid w:val="00C13F60"/>
    <w:rsid w:val="00C14404"/>
    <w:rsid w:val="00C17D6A"/>
    <w:rsid w:val="00C203C9"/>
    <w:rsid w:val="00C22E43"/>
    <w:rsid w:val="00C23238"/>
    <w:rsid w:val="00C235DF"/>
    <w:rsid w:val="00C2539E"/>
    <w:rsid w:val="00C273F2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2B37"/>
    <w:rsid w:val="00C86682"/>
    <w:rsid w:val="00C90846"/>
    <w:rsid w:val="00C92700"/>
    <w:rsid w:val="00C92E3F"/>
    <w:rsid w:val="00C94681"/>
    <w:rsid w:val="00CA129E"/>
    <w:rsid w:val="00CA20B5"/>
    <w:rsid w:val="00CA3562"/>
    <w:rsid w:val="00CA371D"/>
    <w:rsid w:val="00CA6681"/>
    <w:rsid w:val="00CA77AE"/>
    <w:rsid w:val="00CB08E8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3F84"/>
    <w:rsid w:val="00CC6DF8"/>
    <w:rsid w:val="00CC6E2D"/>
    <w:rsid w:val="00CD24A8"/>
    <w:rsid w:val="00CD315A"/>
    <w:rsid w:val="00CD319A"/>
    <w:rsid w:val="00CD5502"/>
    <w:rsid w:val="00CE0526"/>
    <w:rsid w:val="00CE1ED9"/>
    <w:rsid w:val="00CE3665"/>
    <w:rsid w:val="00CE4F42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5493"/>
    <w:rsid w:val="00D11C27"/>
    <w:rsid w:val="00D13EFE"/>
    <w:rsid w:val="00D148D5"/>
    <w:rsid w:val="00D16E6A"/>
    <w:rsid w:val="00D172EA"/>
    <w:rsid w:val="00D1792B"/>
    <w:rsid w:val="00D224A1"/>
    <w:rsid w:val="00D2279D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4B6F"/>
    <w:rsid w:val="00D54E73"/>
    <w:rsid w:val="00D56B66"/>
    <w:rsid w:val="00D575A3"/>
    <w:rsid w:val="00D613A6"/>
    <w:rsid w:val="00D617A6"/>
    <w:rsid w:val="00D650EA"/>
    <w:rsid w:val="00D70974"/>
    <w:rsid w:val="00D72C40"/>
    <w:rsid w:val="00D737C5"/>
    <w:rsid w:val="00D73835"/>
    <w:rsid w:val="00D76F5A"/>
    <w:rsid w:val="00D7722A"/>
    <w:rsid w:val="00D80B1B"/>
    <w:rsid w:val="00D82293"/>
    <w:rsid w:val="00D8405B"/>
    <w:rsid w:val="00D84E7D"/>
    <w:rsid w:val="00D86BF0"/>
    <w:rsid w:val="00D86DCB"/>
    <w:rsid w:val="00D91BA1"/>
    <w:rsid w:val="00D939B7"/>
    <w:rsid w:val="00D950D8"/>
    <w:rsid w:val="00D95477"/>
    <w:rsid w:val="00D959C3"/>
    <w:rsid w:val="00D961B8"/>
    <w:rsid w:val="00DA008C"/>
    <w:rsid w:val="00DA1511"/>
    <w:rsid w:val="00DA6FB8"/>
    <w:rsid w:val="00DA777A"/>
    <w:rsid w:val="00DB0188"/>
    <w:rsid w:val="00DB26A8"/>
    <w:rsid w:val="00DB3C58"/>
    <w:rsid w:val="00DB4F9F"/>
    <w:rsid w:val="00DB5728"/>
    <w:rsid w:val="00DB5AE0"/>
    <w:rsid w:val="00DB6161"/>
    <w:rsid w:val="00DB65B9"/>
    <w:rsid w:val="00DB70FB"/>
    <w:rsid w:val="00DC0CD5"/>
    <w:rsid w:val="00DC334D"/>
    <w:rsid w:val="00DC6AAD"/>
    <w:rsid w:val="00DE165D"/>
    <w:rsid w:val="00DE2FD7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7D1"/>
    <w:rsid w:val="00E03F71"/>
    <w:rsid w:val="00E045EE"/>
    <w:rsid w:val="00E06ED0"/>
    <w:rsid w:val="00E1082D"/>
    <w:rsid w:val="00E130CB"/>
    <w:rsid w:val="00E14934"/>
    <w:rsid w:val="00E172BE"/>
    <w:rsid w:val="00E2160E"/>
    <w:rsid w:val="00E24E02"/>
    <w:rsid w:val="00E25895"/>
    <w:rsid w:val="00E30CA9"/>
    <w:rsid w:val="00E34A54"/>
    <w:rsid w:val="00E405E1"/>
    <w:rsid w:val="00E408AB"/>
    <w:rsid w:val="00E41E68"/>
    <w:rsid w:val="00E43B2D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0AB3"/>
    <w:rsid w:val="00ED246E"/>
    <w:rsid w:val="00ED379C"/>
    <w:rsid w:val="00ED4D08"/>
    <w:rsid w:val="00ED5834"/>
    <w:rsid w:val="00ED6AAF"/>
    <w:rsid w:val="00ED6F53"/>
    <w:rsid w:val="00EE065C"/>
    <w:rsid w:val="00EE093B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0E65"/>
    <w:rsid w:val="00F31A8E"/>
    <w:rsid w:val="00F32C2D"/>
    <w:rsid w:val="00F33A4C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3D66"/>
    <w:rsid w:val="00F64504"/>
    <w:rsid w:val="00F6458C"/>
    <w:rsid w:val="00F6478A"/>
    <w:rsid w:val="00F6661C"/>
    <w:rsid w:val="00F6682D"/>
    <w:rsid w:val="00F701C7"/>
    <w:rsid w:val="00F7531F"/>
    <w:rsid w:val="00F754B1"/>
    <w:rsid w:val="00F762D8"/>
    <w:rsid w:val="00F7721E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16DC"/>
    <w:rsid w:val="00F94BD6"/>
    <w:rsid w:val="00F958CC"/>
    <w:rsid w:val="00F97069"/>
    <w:rsid w:val="00FA464E"/>
    <w:rsid w:val="00FA60EE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2A0A"/>
    <w:rsid w:val="00FD3934"/>
    <w:rsid w:val="00FD40F7"/>
    <w:rsid w:val="00FD4823"/>
    <w:rsid w:val="00FD5913"/>
    <w:rsid w:val="00FD612F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4AF6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0327B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DE1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-title">
    <w:name w:val="product-title"/>
    <w:basedOn w:val="Normal"/>
    <w:rsid w:val="00380F5C"/>
    <w:pPr>
      <w:spacing w:before="100" w:beforeAutospacing="1" w:after="100" w:afterAutospacing="1"/>
    </w:pPr>
    <w:rPr>
      <w:lang w:eastAsia="en-GB"/>
    </w:rPr>
  </w:style>
  <w:style w:type="character" w:customStyle="1" w:styleId="prod-title">
    <w:name w:val="prod-title"/>
    <w:basedOn w:val="DefaultParagraphFont"/>
    <w:rsid w:val="00380F5C"/>
  </w:style>
  <w:style w:type="character" w:customStyle="1" w:styleId="published-date">
    <w:name w:val="published-date"/>
    <w:basedOn w:val="DefaultParagraphFont"/>
    <w:rsid w:val="00380F5C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0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hfd.co.uk/" TargetMode="External"/><Relationship Id="rId2" Type="http://schemas.openxmlformats.org/officeDocument/2006/relationships/hyperlink" Target="https://www.nice.org.uk/Guidance/CG124" TargetMode="External"/><Relationship Id="rId1" Type="http://schemas.openxmlformats.org/officeDocument/2006/relationships/hyperlink" Target="https://www.nice.org.uk/guidance/qs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06A40-88A5-4ACA-B632-175C12A5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2022-02-28T13:59:00Z</dcterms:created>
  <dcterms:modified xsi:type="dcterms:W3CDTF">2022-03-16T21:14:00Z</dcterms:modified>
</cp:coreProperties>
</file>