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66D4" w14:textId="14D056C0" w:rsidR="00482C01" w:rsidRDefault="00482C01" w:rsidP="00482C01">
      <w:pPr>
        <w:jc w:val="center"/>
        <w:rPr>
          <w:rFonts w:ascii="Arial" w:hAnsi="Arial" w:cs="Arial"/>
          <w:b/>
          <w:sz w:val="32"/>
          <w:szCs w:val="32"/>
        </w:rPr>
      </w:pPr>
      <w:bookmarkStart w:id="0" w:name="_Toc383595130"/>
      <w:r w:rsidRPr="00861C2E">
        <w:rPr>
          <w:rFonts w:ascii="Arial" w:hAnsi="Arial" w:cs="Arial"/>
          <w:b/>
          <w:sz w:val="32"/>
          <w:szCs w:val="32"/>
        </w:rPr>
        <w:t>NATIONAL INSTITUTE FOR HEALTH AND CARE EXCELLENCE</w:t>
      </w:r>
      <w:bookmarkEnd w:id="0"/>
    </w:p>
    <w:p w14:paraId="513A8F55" w14:textId="77777777" w:rsidR="008C183F" w:rsidRPr="00861C2E" w:rsidRDefault="008C183F" w:rsidP="00482C01">
      <w:pPr>
        <w:jc w:val="center"/>
        <w:rPr>
          <w:rFonts w:ascii="Arial" w:hAnsi="Arial" w:cs="Arial"/>
          <w:b/>
          <w:sz w:val="32"/>
          <w:szCs w:val="32"/>
        </w:rPr>
      </w:pPr>
    </w:p>
    <w:p w14:paraId="6C6B43FC" w14:textId="2F3EF7E2" w:rsidR="00482C01" w:rsidRDefault="009B0E59" w:rsidP="00482C01">
      <w:pPr>
        <w:jc w:val="center"/>
        <w:rPr>
          <w:rFonts w:ascii="Arial" w:hAnsi="Arial" w:cs="Arial"/>
          <w:b/>
          <w:sz w:val="32"/>
          <w:szCs w:val="32"/>
        </w:rPr>
      </w:pPr>
      <w:r>
        <w:rPr>
          <w:rFonts w:ascii="Arial" w:hAnsi="Arial" w:cs="Arial"/>
          <w:b/>
          <w:sz w:val="32"/>
          <w:szCs w:val="32"/>
        </w:rPr>
        <w:t>NICE indicator v</w:t>
      </w:r>
      <w:r w:rsidR="00192B09">
        <w:rPr>
          <w:rFonts w:ascii="Arial" w:hAnsi="Arial" w:cs="Arial"/>
          <w:b/>
          <w:sz w:val="32"/>
          <w:szCs w:val="32"/>
        </w:rPr>
        <w:t>alidity assessment</w:t>
      </w:r>
    </w:p>
    <w:p w14:paraId="6A1C1341" w14:textId="77777777" w:rsidR="00482C01" w:rsidRDefault="00482C01" w:rsidP="00482C01">
      <w:pPr>
        <w:jc w:val="center"/>
        <w:rPr>
          <w:rFonts w:ascii="Arial" w:hAnsi="Arial" w:cs="Arial"/>
          <w:b/>
          <w:sz w:val="32"/>
          <w:szCs w:val="32"/>
        </w:rPr>
      </w:pPr>
    </w:p>
    <w:p w14:paraId="4D957174" w14:textId="40922E8E" w:rsidR="007E62DF" w:rsidRDefault="007E62DF" w:rsidP="009B0E59">
      <w:pPr>
        <w:pStyle w:val="Heading1"/>
        <w:rPr>
          <w:lang w:eastAsia="en-GB"/>
        </w:rPr>
      </w:pPr>
      <w:r>
        <w:rPr>
          <w:lang w:eastAsia="en-GB"/>
        </w:rPr>
        <w:t>Assurance date: August 2023</w:t>
      </w:r>
    </w:p>
    <w:p w14:paraId="78E8B979" w14:textId="753646AE" w:rsidR="007E62DF" w:rsidRPr="007E62DF" w:rsidRDefault="007E62DF" w:rsidP="007E62DF">
      <w:pPr>
        <w:pStyle w:val="Paragraph"/>
        <w:rPr>
          <w:lang w:eastAsia="en-GB"/>
        </w:rPr>
      </w:pPr>
      <w:r>
        <w:rPr>
          <w:lang w:eastAsia="en-GB"/>
        </w:rPr>
        <w:t>Review date: August 2026</w:t>
      </w:r>
    </w:p>
    <w:p w14:paraId="047E7BC9" w14:textId="6701DD58" w:rsidR="009B0E59" w:rsidRPr="009B0E59" w:rsidRDefault="009B0E59" w:rsidP="009B0E59">
      <w:pPr>
        <w:pStyle w:val="Heading1"/>
        <w:rPr>
          <w:lang w:eastAsia="en-GB"/>
        </w:rPr>
      </w:pPr>
      <w:r w:rsidRPr="009B0E59">
        <w:rPr>
          <w:lang w:eastAsia="en-GB"/>
        </w:rPr>
        <w:t xml:space="preserve">Indicator </w:t>
      </w:r>
      <w:r w:rsidR="00FF79D5">
        <w:rPr>
          <w:lang w:eastAsia="en-GB"/>
        </w:rPr>
        <w:t>IAP00</w:t>
      </w:r>
      <w:r w:rsidR="00C34F6D">
        <w:rPr>
          <w:lang w:eastAsia="en-GB"/>
        </w:rPr>
        <w:t>61</w:t>
      </w:r>
      <w:r w:rsidR="004B5192">
        <w:rPr>
          <w:lang w:eastAsia="en-GB"/>
        </w:rPr>
        <w:t>1</w:t>
      </w:r>
    </w:p>
    <w:p w14:paraId="50202F0C" w14:textId="77777777" w:rsidR="0059385A" w:rsidRDefault="004B5192" w:rsidP="009B0E59">
      <w:pPr>
        <w:pStyle w:val="Heading1"/>
        <w:rPr>
          <w:b w:val="0"/>
          <w:bCs w:val="0"/>
          <w:kern w:val="0"/>
          <w:sz w:val="24"/>
          <w:szCs w:val="24"/>
          <w:lang w:eastAsia="en-GB"/>
        </w:rPr>
      </w:pPr>
      <w:r w:rsidRPr="004B5192">
        <w:rPr>
          <w:b w:val="0"/>
          <w:bCs w:val="0"/>
          <w:kern w:val="0"/>
          <w:sz w:val="24"/>
          <w:szCs w:val="24"/>
          <w:lang w:eastAsia="en-GB"/>
        </w:rPr>
        <w:t xml:space="preserve">Normative adherence to nebulised therapy in Cystic Fibrosis for patients with chronic pseudomonas </w:t>
      </w:r>
      <w:proofErr w:type="gramStart"/>
      <w:r w:rsidRPr="004B5192">
        <w:rPr>
          <w:b w:val="0"/>
          <w:bCs w:val="0"/>
          <w:kern w:val="0"/>
          <w:sz w:val="24"/>
          <w:szCs w:val="24"/>
          <w:lang w:eastAsia="en-GB"/>
        </w:rPr>
        <w:t>acquisition</w:t>
      </w:r>
      <w:proofErr w:type="gramEnd"/>
      <w:r w:rsidRPr="004B5192">
        <w:rPr>
          <w:b w:val="0"/>
          <w:bCs w:val="0"/>
          <w:kern w:val="0"/>
          <w:sz w:val="24"/>
          <w:szCs w:val="24"/>
          <w:lang w:eastAsia="en-GB"/>
        </w:rPr>
        <w:t xml:space="preserve"> </w:t>
      </w:r>
    </w:p>
    <w:p w14:paraId="07F0B56D" w14:textId="2F00E364" w:rsidR="00C34F6D" w:rsidRDefault="009D422B" w:rsidP="009B0E59">
      <w:pPr>
        <w:pStyle w:val="Heading1"/>
        <w:rPr>
          <w:b w:val="0"/>
          <w:bCs w:val="0"/>
          <w:kern w:val="0"/>
          <w:sz w:val="24"/>
          <w:szCs w:val="24"/>
          <w:lang w:eastAsia="en-GB"/>
        </w:rPr>
      </w:pPr>
      <w:r>
        <w:rPr>
          <w:b w:val="0"/>
          <w:bCs w:val="0"/>
          <w:kern w:val="0"/>
          <w:sz w:val="24"/>
          <w:szCs w:val="24"/>
          <w:lang w:eastAsia="en-GB"/>
        </w:rPr>
        <w:t>(</w:t>
      </w:r>
      <w:r w:rsidRPr="008F609B">
        <w:rPr>
          <w:b w:val="0"/>
          <w:bCs w:val="0"/>
          <w:kern w:val="0"/>
          <w:sz w:val="24"/>
          <w:szCs w:val="24"/>
          <w:lang w:eastAsia="en-GB"/>
        </w:rPr>
        <w:t xml:space="preserve">See also </w:t>
      </w:r>
      <w:r w:rsidRPr="009D422B">
        <w:rPr>
          <w:b w:val="0"/>
          <w:bCs w:val="0"/>
          <w:kern w:val="0"/>
          <w:sz w:val="24"/>
          <w:szCs w:val="24"/>
          <w:lang w:eastAsia="en-GB"/>
        </w:rPr>
        <w:t>IAP0061</w:t>
      </w:r>
      <w:r w:rsidR="004B5192">
        <w:rPr>
          <w:b w:val="0"/>
          <w:bCs w:val="0"/>
          <w:kern w:val="0"/>
          <w:sz w:val="24"/>
          <w:szCs w:val="24"/>
          <w:lang w:eastAsia="en-GB"/>
        </w:rPr>
        <w:t>0</w:t>
      </w:r>
      <w:r w:rsidRPr="009D422B">
        <w:rPr>
          <w:b w:val="0"/>
          <w:bCs w:val="0"/>
          <w:kern w:val="0"/>
          <w:sz w:val="24"/>
          <w:szCs w:val="24"/>
          <w:lang w:eastAsia="en-GB"/>
        </w:rPr>
        <w:t xml:space="preserve"> </w:t>
      </w:r>
      <w:r w:rsidR="004B5192" w:rsidRPr="004B5192">
        <w:rPr>
          <w:b w:val="0"/>
          <w:bCs w:val="0"/>
          <w:kern w:val="0"/>
          <w:sz w:val="24"/>
          <w:szCs w:val="24"/>
          <w:lang w:eastAsia="en-GB"/>
        </w:rPr>
        <w:t>Adherence to nebulised therapy in Cystic Fibrosis</w:t>
      </w:r>
      <w:r w:rsidRPr="008F609B">
        <w:rPr>
          <w:b w:val="0"/>
          <w:bCs w:val="0"/>
          <w:kern w:val="0"/>
          <w:sz w:val="24"/>
          <w:szCs w:val="24"/>
          <w:lang w:eastAsia="en-GB"/>
        </w:rPr>
        <w:t>)</w:t>
      </w:r>
    </w:p>
    <w:p w14:paraId="7C25BFBC" w14:textId="7F735E2C" w:rsidR="007136A7" w:rsidRDefault="00192B09" w:rsidP="009B0E59">
      <w:pPr>
        <w:pStyle w:val="Heading1"/>
      </w:pPr>
      <w:r>
        <w:t xml:space="preserve">Validity assessment </w:t>
      </w:r>
    </w:p>
    <w:tbl>
      <w:tblPr>
        <w:tblStyle w:val="TableGrid1"/>
        <w:tblW w:w="9298" w:type="dxa"/>
        <w:tblLayout w:type="fixed"/>
        <w:tblLook w:val="04A0" w:firstRow="1" w:lastRow="0" w:firstColumn="1" w:lastColumn="0" w:noHBand="0" w:noVBand="1"/>
      </w:tblPr>
      <w:tblGrid>
        <w:gridCol w:w="1877"/>
        <w:gridCol w:w="4377"/>
        <w:gridCol w:w="3044"/>
      </w:tblGrid>
      <w:tr w:rsidR="00455B14" w:rsidRPr="006E1387" w14:paraId="0815D160" w14:textId="1327D684" w:rsidTr="00EE4C34">
        <w:tc>
          <w:tcPr>
            <w:tcW w:w="1877" w:type="dxa"/>
          </w:tcPr>
          <w:p w14:paraId="04AA61DA" w14:textId="77777777"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Domain</w:t>
            </w:r>
          </w:p>
        </w:tc>
        <w:tc>
          <w:tcPr>
            <w:tcW w:w="4377" w:type="dxa"/>
          </w:tcPr>
          <w:p w14:paraId="177895C1" w14:textId="194D65D4" w:rsidR="00455B14" w:rsidRPr="006E1387" w:rsidRDefault="009B5C5F" w:rsidP="00F100EB">
            <w:pPr>
              <w:spacing w:before="120" w:after="120"/>
              <w:rPr>
                <w:rFonts w:ascii="Arial" w:hAnsi="Arial" w:cs="Arial"/>
                <w:b/>
                <w:sz w:val="22"/>
                <w:szCs w:val="22"/>
              </w:rPr>
            </w:pPr>
            <w:r w:rsidRPr="006E1387">
              <w:rPr>
                <w:rFonts w:ascii="Arial" w:hAnsi="Arial" w:cs="Arial"/>
                <w:b/>
                <w:sz w:val="22"/>
                <w:szCs w:val="22"/>
              </w:rPr>
              <w:t>Notes</w:t>
            </w:r>
            <w:r w:rsidR="00455B14" w:rsidRPr="006E1387">
              <w:rPr>
                <w:rFonts w:ascii="Arial" w:hAnsi="Arial" w:cs="Arial"/>
                <w:b/>
                <w:sz w:val="22"/>
                <w:szCs w:val="22"/>
              </w:rPr>
              <w:t xml:space="preserve"> </w:t>
            </w:r>
          </w:p>
        </w:tc>
        <w:tc>
          <w:tcPr>
            <w:tcW w:w="3044" w:type="dxa"/>
          </w:tcPr>
          <w:p w14:paraId="7A5D48DC" w14:textId="7C82261F"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Assessment</w:t>
            </w:r>
          </w:p>
        </w:tc>
      </w:tr>
      <w:tr w:rsidR="00455B14" w:rsidRPr="006E1387" w14:paraId="3708A997" w14:textId="67C127FD" w:rsidTr="00EE4C34">
        <w:tc>
          <w:tcPr>
            <w:tcW w:w="1877" w:type="dxa"/>
          </w:tcPr>
          <w:p w14:paraId="480E158F"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Importance</w:t>
            </w:r>
          </w:p>
        </w:tc>
        <w:tc>
          <w:tcPr>
            <w:tcW w:w="4377" w:type="dxa"/>
          </w:tcPr>
          <w:p w14:paraId="6A0AAFD7" w14:textId="08227FAC" w:rsidR="00645411" w:rsidRPr="006E1387" w:rsidRDefault="001C2108" w:rsidP="00161404">
            <w:pPr>
              <w:spacing w:before="120" w:after="120"/>
              <w:rPr>
                <w:rFonts w:ascii="Arial" w:hAnsi="Arial" w:cs="Arial"/>
                <w:sz w:val="22"/>
                <w:szCs w:val="22"/>
              </w:rPr>
            </w:pPr>
            <w:r>
              <w:rPr>
                <w:rFonts w:ascii="Arial" w:hAnsi="Arial" w:cs="Arial"/>
                <w:sz w:val="22"/>
                <w:szCs w:val="22"/>
              </w:rPr>
              <w:t xml:space="preserve">Indicator was designed to be produced using the </w:t>
            </w:r>
            <w:proofErr w:type="spellStart"/>
            <w:r>
              <w:rPr>
                <w:rFonts w:ascii="Arial" w:hAnsi="Arial" w:cs="Arial"/>
                <w:sz w:val="22"/>
                <w:szCs w:val="22"/>
              </w:rPr>
              <w:t>CFHealthHub</w:t>
            </w:r>
            <w:proofErr w:type="spellEnd"/>
            <w:r>
              <w:rPr>
                <w:rFonts w:ascii="Arial" w:hAnsi="Arial" w:cs="Arial"/>
                <w:sz w:val="22"/>
                <w:szCs w:val="22"/>
              </w:rPr>
              <w:t xml:space="preserve"> data platform (across all 26 adult Cystic Fibrosis centres) however public access to the data is currently unavailable. </w:t>
            </w:r>
          </w:p>
        </w:tc>
        <w:tc>
          <w:tcPr>
            <w:tcW w:w="3044" w:type="dxa"/>
          </w:tcPr>
          <w:p w14:paraId="78280FB7" w14:textId="4A73159B" w:rsidR="00E05AB5" w:rsidRPr="006E1387" w:rsidRDefault="001C2108" w:rsidP="00F97F2F">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 xml:space="preserve">Data relating to the indicator is collected and managed by the </w:t>
            </w:r>
            <w:proofErr w:type="spellStart"/>
            <w:r>
              <w:rPr>
                <w:rFonts w:eastAsiaTheme="minorEastAsia" w:cs="Arial"/>
                <w:color w:val="000000" w:themeColor="dark1"/>
                <w:kern w:val="24"/>
                <w:sz w:val="22"/>
                <w:szCs w:val="22"/>
              </w:rPr>
              <w:t>CFHealthHub</w:t>
            </w:r>
            <w:proofErr w:type="spellEnd"/>
            <w:r>
              <w:rPr>
                <w:rFonts w:eastAsiaTheme="minorEastAsia" w:cs="Arial"/>
                <w:color w:val="000000" w:themeColor="dark1"/>
                <w:kern w:val="24"/>
                <w:sz w:val="22"/>
                <w:szCs w:val="22"/>
              </w:rPr>
              <w:t>.</w:t>
            </w:r>
          </w:p>
        </w:tc>
      </w:tr>
      <w:tr w:rsidR="00455B14" w:rsidRPr="006E1387" w14:paraId="77F6A4A2" w14:textId="33EFD485" w:rsidTr="00EE4C34">
        <w:tc>
          <w:tcPr>
            <w:tcW w:w="1877" w:type="dxa"/>
          </w:tcPr>
          <w:p w14:paraId="6AF47F4B"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Evidence base</w:t>
            </w:r>
          </w:p>
        </w:tc>
        <w:tc>
          <w:tcPr>
            <w:tcW w:w="4377" w:type="dxa"/>
          </w:tcPr>
          <w:p w14:paraId="67219FC5" w14:textId="77777777" w:rsidR="00F97F2F" w:rsidRPr="00182BC3" w:rsidRDefault="00F97F2F" w:rsidP="00F97F2F">
            <w:pPr>
              <w:spacing w:before="120" w:after="120"/>
              <w:rPr>
                <w:rFonts w:ascii="Arial" w:hAnsi="Arial" w:cs="Arial"/>
                <w:sz w:val="22"/>
                <w:szCs w:val="22"/>
              </w:rPr>
            </w:pPr>
            <w:r w:rsidRPr="00182BC3">
              <w:rPr>
                <w:rFonts w:ascii="Arial" w:hAnsi="Arial" w:cs="Arial"/>
                <w:sz w:val="22"/>
                <w:szCs w:val="22"/>
              </w:rPr>
              <w:t>From indicator application form provided by NICE:</w:t>
            </w:r>
          </w:p>
          <w:p w14:paraId="22CC4B6E" w14:textId="4DB3C443" w:rsidR="0051553D" w:rsidRPr="0051553D" w:rsidRDefault="0051553D" w:rsidP="0051553D">
            <w:pPr>
              <w:spacing w:before="120" w:after="120"/>
              <w:rPr>
                <w:rFonts w:ascii="Arial" w:hAnsi="Arial" w:cs="Arial"/>
                <w:sz w:val="22"/>
                <w:szCs w:val="22"/>
              </w:rPr>
            </w:pPr>
            <w:r>
              <w:rPr>
                <w:rFonts w:ascii="Arial" w:hAnsi="Arial" w:cs="Arial"/>
                <w:sz w:val="22"/>
                <w:szCs w:val="22"/>
              </w:rPr>
              <w:t>“</w:t>
            </w:r>
            <w:r w:rsidRPr="0051553D">
              <w:rPr>
                <w:rFonts w:ascii="Arial" w:hAnsi="Arial" w:cs="Arial"/>
                <w:sz w:val="22"/>
                <w:szCs w:val="22"/>
              </w:rPr>
              <w:t>Cystic Fibrosis is an inherited life-limiting illness in which the commonest reason for premature death is respiratory failure due to uncontrolled lung infections. Cochrane systematic reviews, which summarise randomised controlled trial evidence, demonstrate the relationship between the process measure of daily treatment with inhaled mucolytics and antibiotics and the outcome of preserved lung health in terms of lung function improvement (FEV1) and reduced respiratory exacerbations (associated with decreased quality of life and loss of lung function which in turn is associat</w:t>
            </w:r>
            <w:r w:rsidR="00D40BD2">
              <w:rPr>
                <w:rFonts w:ascii="Arial" w:hAnsi="Arial" w:cs="Arial"/>
                <w:sz w:val="22"/>
                <w:szCs w:val="22"/>
              </w:rPr>
              <w:t>ed with reduced life expectancy</w:t>
            </w:r>
            <w:r w:rsidRPr="0051553D">
              <w:rPr>
                <w:rFonts w:ascii="Arial" w:hAnsi="Arial" w:cs="Arial"/>
                <w:sz w:val="22"/>
                <w:szCs w:val="22"/>
              </w:rPr>
              <w:t xml:space="preserve">).  </w:t>
            </w:r>
          </w:p>
          <w:p w14:paraId="64E1EB93" w14:textId="77777777" w:rsidR="0051553D" w:rsidRPr="0051553D" w:rsidRDefault="0051553D" w:rsidP="0051553D">
            <w:pPr>
              <w:spacing w:before="120" w:after="120"/>
              <w:rPr>
                <w:rFonts w:ascii="Arial" w:hAnsi="Arial" w:cs="Arial"/>
                <w:sz w:val="22"/>
                <w:szCs w:val="22"/>
              </w:rPr>
            </w:pPr>
            <w:r w:rsidRPr="0051553D">
              <w:rPr>
                <w:rFonts w:ascii="Arial" w:hAnsi="Arial" w:cs="Arial"/>
                <w:sz w:val="22"/>
                <w:szCs w:val="22"/>
              </w:rPr>
              <w:t xml:space="preserve">People with Cystic Fibrosis (PWCF) find it difficult to establish sustained habits of self-care and median adherence to inhaled therapy in adults is less than 40% (Daniels et al Chest 2011; 140:425–432).  Correspondingly, it can be difficult for </w:t>
            </w:r>
            <w:r w:rsidRPr="0051553D">
              <w:rPr>
                <w:rFonts w:ascii="Arial" w:hAnsi="Arial" w:cs="Arial"/>
                <w:sz w:val="22"/>
                <w:szCs w:val="22"/>
              </w:rPr>
              <w:lastRenderedPageBreak/>
              <w:t xml:space="preserve">clinicians to determine in an appointment whether worsening clinical symptoms are due to low adherence, or another medical reason such as antibiotic resistance.  </w:t>
            </w:r>
          </w:p>
          <w:p w14:paraId="791C7B49" w14:textId="77777777" w:rsidR="0051553D" w:rsidRPr="0051553D" w:rsidRDefault="0051553D" w:rsidP="0051553D">
            <w:pPr>
              <w:spacing w:before="120" w:after="120"/>
              <w:rPr>
                <w:rFonts w:ascii="Arial" w:hAnsi="Arial" w:cs="Arial"/>
                <w:sz w:val="22"/>
                <w:szCs w:val="22"/>
              </w:rPr>
            </w:pPr>
            <w:proofErr w:type="spellStart"/>
            <w:r w:rsidRPr="0051553D">
              <w:rPr>
                <w:rFonts w:ascii="Arial" w:hAnsi="Arial" w:cs="Arial"/>
                <w:sz w:val="22"/>
                <w:szCs w:val="22"/>
              </w:rPr>
              <w:t>CFHealthHub</w:t>
            </w:r>
            <w:proofErr w:type="spellEnd"/>
            <w:r w:rsidRPr="0051553D">
              <w:rPr>
                <w:rFonts w:ascii="Arial" w:hAnsi="Arial" w:cs="Arial"/>
                <w:sz w:val="22"/>
                <w:szCs w:val="22"/>
              </w:rPr>
              <w:t xml:space="preserve"> (CFHH) is a digital information technology platform that automatically collects adherence data, and makes time and date stamped data describing daily and weekly adherence to inhaled therapy (mucolytics and antibiotics) data available to PWCF and their clinical teams. This creates a learning health system that transforms CF care through behaviour change interventions that create clinician and patient activation. The data in CFHH has 3 purposes/audiences (hereafter referred to as ‘levels’);</w:t>
            </w:r>
          </w:p>
          <w:p w14:paraId="65021E3A" w14:textId="59C481AC" w:rsidR="0051553D" w:rsidRPr="00C457BE" w:rsidRDefault="0051553D" w:rsidP="0051553D">
            <w:pPr>
              <w:spacing w:before="120" w:after="120"/>
              <w:rPr>
                <w:rFonts w:ascii="Arial" w:hAnsi="Arial" w:cs="Arial"/>
                <w:bCs/>
                <w:sz w:val="22"/>
                <w:szCs w:val="22"/>
              </w:rPr>
            </w:pPr>
            <w:r w:rsidRPr="00C457BE">
              <w:rPr>
                <w:rFonts w:ascii="Arial" w:hAnsi="Arial" w:cs="Arial"/>
                <w:bCs/>
                <w:sz w:val="22"/>
                <w:szCs w:val="22"/>
              </w:rPr>
              <w:t>1) PWCF: There is considerable evidence (reviewed below) that making feedback of time and date stamped data about a desirable behaviour (taking medication) supports behaviour change (increased adherence). The CFHH enables ‘patient activation’ whereby patients have the knowledge, skills and motivation to contribute to the management of their own care.</w:t>
            </w:r>
          </w:p>
          <w:p w14:paraId="1D4E96E7" w14:textId="62AF87D0" w:rsidR="0051553D" w:rsidRPr="00C457BE" w:rsidRDefault="0051553D" w:rsidP="0051553D">
            <w:pPr>
              <w:spacing w:before="120" w:after="120"/>
              <w:rPr>
                <w:rFonts w:ascii="Arial" w:hAnsi="Arial" w:cs="Arial"/>
                <w:bCs/>
                <w:sz w:val="22"/>
                <w:szCs w:val="22"/>
              </w:rPr>
            </w:pPr>
            <w:r w:rsidRPr="00C457BE">
              <w:rPr>
                <w:rFonts w:ascii="Arial" w:hAnsi="Arial" w:cs="Arial"/>
                <w:bCs/>
                <w:sz w:val="22"/>
                <w:szCs w:val="22"/>
              </w:rPr>
              <w:t>2) Clinician: Providing clinicians with accurate data on a PWCF’s adherence to their prescribed medication provides more complete information, which helps them interpret the clinical picture when a PWCF attends clinic. The CFHH facilitates ‘clinician activation’ whereby clinicians help equip patients with the knowledge, skills and motivation to contribute to the management of their care.</w:t>
            </w:r>
          </w:p>
          <w:p w14:paraId="6AFFCABF" w14:textId="5AA8629C" w:rsidR="0051553D" w:rsidRPr="0051553D" w:rsidRDefault="0051553D" w:rsidP="0051553D">
            <w:pPr>
              <w:spacing w:before="120" w:after="120"/>
              <w:rPr>
                <w:rFonts w:ascii="Arial" w:hAnsi="Arial" w:cs="Arial"/>
                <w:sz w:val="22"/>
                <w:szCs w:val="22"/>
              </w:rPr>
            </w:pPr>
            <w:r w:rsidRPr="00C457BE">
              <w:rPr>
                <w:rFonts w:ascii="Arial" w:hAnsi="Arial" w:cs="Arial"/>
                <w:bCs/>
                <w:sz w:val="22"/>
                <w:szCs w:val="22"/>
              </w:rPr>
              <w:t>3) Centre:</w:t>
            </w:r>
            <w:r w:rsidRPr="0051553D">
              <w:rPr>
                <w:rFonts w:ascii="Arial" w:hAnsi="Arial" w:cs="Arial"/>
                <w:sz w:val="22"/>
                <w:szCs w:val="22"/>
              </w:rPr>
              <w:t xml:space="preserve"> Making the aggregate of this data available at a centre level will allow centres to track their performance over time, as well as centres with lower performance to seek support to impr</w:t>
            </w:r>
            <w:r>
              <w:rPr>
                <w:rFonts w:ascii="Arial" w:hAnsi="Arial" w:cs="Arial"/>
                <w:sz w:val="22"/>
                <w:szCs w:val="22"/>
              </w:rPr>
              <w:t>o</w:t>
            </w:r>
            <w:r w:rsidRPr="0051553D">
              <w:rPr>
                <w:rFonts w:ascii="Arial" w:hAnsi="Arial" w:cs="Arial"/>
                <w:sz w:val="22"/>
                <w:szCs w:val="22"/>
              </w:rPr>
              <w:t xml:space="preserve">ve adherence rates. </w:t>
            </w:r>
          </w:p>
          <w:p w14:paraId="35194EF4" w14:textId="77777777" w:rsidR="0051553D" w:rsidRPr="0051553D" w:rsidRDefault="0051553D" w:rsidP="0051553D">
            <w:pPr>
              <w:spacing w:before="120" w:after="120"/>
              <w:rPr>
                <w:rFonts w:ascii="Arial" w:hAnsi="Arial" w:cs="Arial"/>
                <w:sz w:val="22"/>
                <w:szCs w:val="22"/>
              </w:rPr>
            </w:pPr>
            <w:r w:rsidRPr="0051553D">
              <w:rPr>
                <w:rFonts w:ascii="Arial" w:hAnsi="Arial" w:cs="Arial"/>
                <w:sz w:val="22"/>
                <w:szCs w:val="22"/>
              </w:rPr>
              <w:t xml:space="preserve">This indicator is at the centre level, as it is this data which is made available beyond the PWCF and immediate clinical team, as well as used to compare the performance of CF centres. However, the PWCF and clinician level data sharing are the mechanism through which adherence improves, and therefore the rationale </w:t>
            </w:r>
            <w:r w:rsidRPr="0051553D">
              <w:rPr>
                <w:rFonts w:ascii="Arial" w:hAnsi="Arial" w:cs="Arial"/>
                <w:sz w:val="22"/>
                <w:szCs w:val="22"/>
              </w:rPr>
              <w:lastRenderedPageBreak/>
              <w:t xml:space="preserve">behind these will be provided throughout the form. It should be noted that the data being shared at the </w:t>
            </w:r>
            <w:proofErr w:type="gramStart"/>
            <w:r w:rsidRPr="0051553D">
              <w:rPr>
                <w:rFonts w:ascii="Arial" w:hAnsi="Arial" w:cs="Arial"/>
                <w:sz w:val="22"/>
                <w:szCs w:val="22"/>
              </w:rPr>
              <w:t>PWCF</w:t>
            </w:r>
            <w:proofErr w:type="gramEnd"/>
            <w:r w:rsidRPr="0051553D">
              <w:rPr>
                <w:rFonts w:ascii="Arial" w:hAnsi="Arial" w:cs="Arial"/>
                <w:sz w:val="22"/>
                <w:szCs w:val="22"/>
              </w:rPr>
              <w:t xml:space="preserve"> and clinician level is the same, though the purpose differs with the audience. Throughout the application form, it will be signposted when ambiguous which data level is being discussed.   </w:t>
            </w:r>
          </w:p>
          <w:p w14:paraId="7214A910" w14:textId="77777777" w:rsidR="00FA7E8C" w:rsidRDefault="0051553D" w:rsidP="0051553D">
            <w:pPr>
              <w:spacing w:before="120" w:after="120"/>
              <w:rPr>
                <w:rFonts w:ascii="Arial" w:hAnsi="Arial" w:cs="Arial"/>
                <w:sz w:val="22"/>
                <w:szCs w:val="22"/>
              </w:rPr>
            </w:pPr>
            <w:r w:rsidRPr="0051553D">
              <w:rPr>
                <w:rFonts w:ascii="Arial" w:hAnsi="Arial" w:cs="Arial"/>
                <w:sz w:val="22"/>
                <w:szCs w:val="22"/>
              </w:rPr>
              <w:t>This indicator will focus on a subset of patient with chronic pseudomonas acquisition (as defined by data from the CF registry). There is a ‘normative’ treatment regimen for these patients of taking at least an inhaled mucolytic (at least once daily) and an inhaled antibiotic (at least twice daily) (https://www.nice.org.uk/guidance/ng78). This standardized treatment facilitates comparison between centres treating a well-defined and relatively homogenous group of patients.</w:t>
            </w:r>
          </w:p>
          <w:p w14:paraId="6476D225" w14:textId="77777777" w:rsidR="00FA7E8C" w:rsidRPr="00EE4C34" w:rsidRDefault="00FA7E8C" w:rsidP="00FA7E8C">
            <w:pPr>
              <w:spacing w:before="60" w:after="60"/>
              <w:rPr>
                <w:rFonts w:ascii="Arial" w:hAnsi="Arial" w:cs="Arial"/>
                <w:b/>
                <w:bCs/>
                <w:iCs/>
                <w:sz w:val="22"/>
                <w:szCs w:val="22"/>
              </w:rPr>
            </w:pPr>
            <w:r w:rsidRPr="00EE4C34">
              <w:rPr>
                <w:rFonts w:ascii="Arial" w:hAnsi="Arial" w:cs="Arial"/>
                <w:b/>
                <w:bCs/>
                <w:iCs/>
                <w:sz w:val="22"/>
                <w:szCs w:val="22"/>
              </w:rPr>
              <w:t>Justification of adherence as a useful quality indicator in CF</w:t>
            </w:r>
          </w:p>
          <w:p w14:paraId="46FD2163" w14:textId="421B8584" w:rsidR="005F3926" w:rsidRPr="006E1387" w:rsidRDefault="00FA7E8C" w:rsidP="00EE4C34">
            <w:pPr>
              <w:spacing w:before="60" w:after="60"/>
              <w:rPr>
                <w:rFonts w:ascii="Arial" w:hAnsi="Arial" w:cs="Arial"/>
                <w:sz w:val="22"/>
                <w:szCs w:val="22"/>
              </w:rPr>
            </w:pPr>
            <w:r w:rsidRPr="00EE4C34">
              <w:rPr>
                <w:rFonts w:ascii="Arial" w:hAnsi="Arial" w:cs="Arial"/>
                <w:sz w:val="22"/>
                <w:szCs w:val="22"/>
              </w:rPr>
              <w:t>The process measure of medication adherence has been favoured over an outcome measure of lung function, as there are insufficient numbers of patients at UK CF centres to detect a statistically significant change of 5% difference in lung function between centres (Nightingale &amp; Osmond JCF 2017). There is strong randomised controlled trials (RCT) evidence for the relationship between the process measure of adherence to inhaled therapies (IAP00610) and outcomes such as lung function and exacerbations. As such, this indicator is well placed to support quality measurement in CF.</w:t>
            </w:r>
            <w:r w:rsidR="0051553D">
              <w:rPr>
                <w:rFonts w:ascii="Arial" w:hAnsi="Arial" w:cs="Arial"/>
                <w:sz w:val="22"/>
                <w:szCs w:val="22"/>
              </w:rPr>
              <w:t>”</w:t>
            </w:r>
          </w:p>
        </w:tc>
        <w:tc>
          <w:tcPr>
            <w:tcW w:w="3044" w:type="dxa"/>
          </w:tcPr>
          <w:p w14:paraId="4ABEBE9A" w14:textId="77777777" w:rsidR="00254729" w:rsidRDefault="00A41A05" w:rsidP="003316EF">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lastRenderedPageBreak/>
              <w:t>Evidence base exists for treatment of Cystic Fibrosis</w:t>
            </w:r>
            <w:r w:rsidR="00254729">
              <w:rPr>
                <w:rFonts w:eastAsiaTheme="minorEastAsia" w:cs="Arial"/>
                <w:color w:val="000000" w:themeColor="dark1"/>
                <w:kern w:val="24"/>
                <w:sz w:val="22"/>
                <w:szCs w:val="22"/>
              </w:rPr>
              <w:t>.</w:t>
            </w:r>
            <w:r>
              <w:rPr>
                <w:rFonts w:eastAsiaTheme="minorEastAsia" w:cs="Arial"/>
                <w:color w:val="000000" w:themeColor="dark1"/>
                <w:kern w:val="24"/>
                <w:sz w:val="22"/>
                <w:szCs w:val="22"/>
              </w:rPr>
              <w:t xml:space="preserve"> </w:t>
            </w:r>
            <w:r w:rsidR="00254729">
              <w:rPr>
                <w:rFonts w:eastAsiaTheme="minorEastAsia" w:cs="Arial"/>
                <w:color w:val="000000" w:themeColor="dark1"/>
                <w:kern w:val="24"/>
                <w:sz w:val="22"/>
                <w:szCs w:val="22"/>
              </w:rPr>
              <w:t>T</w:t>
            </w:r>
            <w:r>
              <w:rPr>
                <w:rFonts w:eastAsiaTheme="minorEastAsia" w:cs="Arial"/>
                <w:color w:val="000000" w:themeColor="dark1"/>
                <w:kern w:val="24"/>
                <w:sz w:val="22"/>
                <w:szCs w:val="22"/>
              </w:rPr>
              <w:t>his indicator aligns with NICE guidance</w:t>
            </w:r>
            <w:r w:rsidR="00254729">
              <w:rPr>
                <w:rFonts w:eastAsiaTheme="minorEastAsia" w:cs="Arial"/>
                <w:color w:val="000000" w:themeColor="dark1"/>
                <w:kern w:val="24"/>
                <w:sz w:val="22"/>
                <w:szCs w:val="22"/>
              </w:rPr>
              <w:t>:</w:t>
            </w:r>
          </w:p>
          <w:p w14:paraId="1B012A06" w14:textId="7C172740" w:rsidR="006E2052" w:rsidRPr="00C56678" w:rsidRDefault="00150389" w:rsidP="00254729">
            <w:pPr>
              <w:pStyle w:val="NICEnormal"/>
              <w:numPr>
                <w:ilvl w:val="0"/>
                <w:numId w:val="41"/>
              </w:numPr>
              <w:spacing w:before="120" w:after="120" w:line="240" w:lineRule="auto"/>
              <w:rPr>
                <w:rFonts w:eastAsiaTheme="minorEastAsia" w:cs="Arial"/>
                <w:color w:val="000000" w:themeColor="dark1"/>
                <w:kern w:val="24"/>
                <w:sz w:val="20"/>
                <w:szCs w:val="20"/>
              </w:rPr>
            </w:pPr>
            <w:r>
              <w:rPr>
                <w:sz w:val="22"/>
                <w:szCs w:val="22"/>
              </w:rPr>
              <w:t xml:space="preserve">NG78 - </w:t>
            </w:r>
            <w:r w:rsidR="00254729" w:rsidRPr="00254729">
              <w:rPr>
                <w:sz w:val="22"/>
                <w:szCs w:val="22"/>
              </w:rPr>
              <w:t xml:space="preserve">Cystic fibrosis: diagnosis and management, Published 25 October 2017, </w:t>
            </w:r>
            <w:hyperlink r:id="rId7" w:history="1">
              <w:r w:rsidR="00254729" w:rsidRPr="00254729">
                <w:rPr>
                  <w:rStyle w:val="Hyperlink"/>
                  <w:sz w:val="22"/>
                  <w:szCs w:val="22"/>
                </w:rPr>
                <w:t>https://www.nice.org.uk/guidance/ng78</w:t>
              </w:r>
            </w:hyperlink>
            <w:r w:rsidR="00254729" w:rsidRPr="00254729">
              <w:rPr>
                <w:sz w:val="22"/>
                <w:szCs w:val="22"/>
              </w:rPr>
              <w:t xml:space="preserve"> </w:t>
            </w:r>
          </w:p>
          <w:p w14:paraId="0F1B0319" w14:textId="4AEC6BB6" w:rsidR="00C56678" w:rsidRPr="00C56678" w:rsidRDefault="00150389" w:rsidP="00254729">
            <w:pPr>
              <w:pStyle w:val="NICEnormal"/>
              <w:numPr>
                <w:ilvl w:val="0"/>
                <w:numId w:val="41"/>
              </w:numPr>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 xml:space="preserve">QS168 - </w:t>
            </w:r>
            <w:r w:rsidR="00C56678" w:rsidRPr="00C56678">
              <w:rPr>
                <w:rFonts w:eastAsiaTheme="minorEastAsia" w:cs="Arial"/>
                <w:color w:val="000000" w:themeColor="dark1"/>
                <w:kern w:val="24"/>
                <w:sz w:val="22"/>
                <w:szCs w:val="22"/>
              </w:rPr>
              <w:t>Cystic fibrosis</w:t>
            </w:r>
            <w:r w:rsidR="00C56678">
              <w:rPr>
                <w:rFonts w:eastAsiaTheme="minorEastAsia" w:cs="Arial"/>
                <w:color w:val="000000" w:themeColor="dark1"/>
                <w:kern w:val="24"/>
                <w:sz w:val="22"/>
                <w:szCs w:val="22"/>
              </w:rPr>
              <w:t>, Published 18 May 2018,</w:t>
            </w:r>
            <w:r w:rsidR="00C56678" w:rsidRPr="00EE4C34">
              <w:rPr>
                <w:rFonts w:eastAsiaTheme="minorEastAsia" w:cs="Arial"/>
                <w:color w:val="000000" w:themeColor="dark1"/>
                <w:kern w:val="24"/>
                <w:sz w:val="20"/>
                <w:szCs w:val="20"/>
              </w:rPr>
              <w:t xml:space="preserve"> </w:t>
            </w:r>
            <w:hyperlink r:id="rId8" w:history="1">
              <w:r>
                <w:rPr>
                  <w:rStyle w:val="Hyperlink"/>
                  <w:sz w:val="22"/>
                  <w:szCs w:val="22"/>
                </w:rPr>
                <w:t>https://www.nice.org.uk/guidance/qs168</w:t>
              </w:r>
            </w:hyperlink>
          </w:p>
          <w:p w14:paraId="1C1290B9" w14:textId="77777777" w:rsidR="001C2108" w:rsidRDefault="001C2108" w:rsidP="001C2108">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 xml:space="preserve">Evidence exists from RCTs which demonstrate the relationship between the use of inhaled therapies and the outcomes of lung function, exacerbation and quality of life (as outlined in the </w:t>
            </w:r>
            <w:r>
              <w:rPr>
                <w:rFonts w:eastAsiaTheme="minorEastAsia" w:cs="Arial"/>
                <w:color w:val="000000" w:themeColor="dark1"/>
                <w:kern w:val="24"/>
                <w:sz w:val="22"/>
                <w:szCs w:val="22"/>
              </w:rPr>
              <w:lastRenderedPageBreak/>
              <w:t>original application), including:</w:t>
            </w:r>
          </w:p>
          <w:p w14:paraId="0F46C89A" w14:textId="77777777" w:rsidR="001C2108" w:rsidRPr="00CF77A4" w:rsidRDefault="00D6028A" w:rsidP="001C2108">
            <w:pPr>
              <w:pStyle w:val="NICEnormal"/>
              <w:spacing w:before="120" w:after="120" w:line="240" w:lineRule="auto"/>
              <w:rPr>
                <w:rFonts w:eastAsiaTheme="minorEastAsia" w:cs="Arial"/>
                <w:color w:val="000000" w:themeColor="dark1"/>
                <w:kern w:val="24"/>
                <w:sz w:val="20"/>
                <w:szCs w:val="20"/>
              </w:rPr>
            </w:pPr>
            <w:hyperlink r:id="rId9" w:history="1">
              <w:r w:rsidR="001C2108" w:rsidRPr="00CF77A4">
                <w:rPr>
                  <w:rStyle w:val="Hyperlink"/>
                  <w:sz w:val="22"/>
                  <w:szCs w:val="22"/>
                </w:rPr>
                <w:t xml:space="preserve">Self-management intervention to reduce pulmonary exacerbations by supporting treatment adherence in adults with cystic fibrosis: a </w:t>
              </w:r>
              <w:proofErr w:type="spellStart"/>
              <w:r w:rsidR="001C2108" w:rsidRPr="00CF77A4">
                <w:rPr>
                  <w:rStyle w:val="Hyperlink"/>
                  <w:sz w:val="22"/>
                  <w:szCs w:val="22"/>
                </w:rPr>
                <w:t>randomised</w:t>
              </w:r>
              <w:proofErr w:type="spellEnd"/>
              <w:r w:rsidR="001C2108" w:rsidRPr="00CF77A4">
                <w:rPr>
                  <w:rStyle w:val="Hyperlink"/>
                  <w:sz w:val="22"/>
                  <w:szCs w:val="22"/>
                </w:rPr>
                <w:t xml:space="preserve"> controlled trial | Thorax (bmj.com)</w:t>
              </w:r>
            </w:hyperlink>
            <w:r w:rsidR="001C2108" w:rsidRPr="00CF77A4">
              <w:rPr>
                <w:rFonts w:eastAsiaTheme="minorEastAsia" w:cs="Arial"/>
                <w:color w:val="000000" w:themeColor="dark1"/>
                <w:kern w:val="24"/>
                <w:sz w:val="20"/>
                <w:szCs w:val="20"/>
              </w:rPr>
              <w:t xml:space="preserve">  </w:t>
            </w:r>
          </w:p>
          <w:p w14:paraId="5BD4F563" w14:textId="77777777" w:rsidR="00A41A05" w:rsidRDefault="00A41A05" w:rsidP="003316EF">
            <w:pPr>
              <w:pStyle w:val="NICEnormal"/>
              <w:spacing w:before="120" w:after="120" w:line="240" w:lineRule="auto"/>
              <w:rPr>
                <w:rFonts w:eastAsiaTheme="minorEastAsia" w:cs="Arial"/>
                <w:color w:val="000000" w:themeColor="dark1"/>
                <w:kern w:val="24"/>
                <w:sz w:val="22"/>
                <w:szCs w:val="22"/>
              </w:rPr>
            </w:pPr>
          </w:p>
          <w:p w14:paraId="12B8C1AB" w14:textId="4B14E6D1" w:rsidR="00A41A05" w:rsidRPr="006E1387" w:rsidRDefault="00A41A05" w:rsidP="003316EF">
            <w:pPr>
              <w:pStyle w:val="NICEnormal"/>
              <w:spacing w:before="120" w:after="120" w:line="240" w:lineRule="auto"/>
              <w:rPr>
                <w:rFonts w:eastAsiaTheme="minorEastAsia" w:cs="Arial"/>
                <w:color w:val="000000" w:themeColor="dark1"/>
                <w:kern w:val="24"/>
                <w:sz w:val="22"/>
                <w:szCs w:val="22"/>
              </w:rPr>
            </w:pPr>
          </w:p>
        </w:tc>
      </w:tr>
      <w:tr w:rsidR="00455B14" w:rsidRPr="006E1387" w14:paraId="3CC8FB8C" w14:textId="54EA7E4F" w:rsidTr="00EE4C34">
        <w:tc>
          <w:tcPr>
            <w:tcW w:w="1877" w:type="dxa"/>
          </w:tcPr>
          <w:p w14:paraId="4C16DA9B" w14:textId="563A5247"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lastRenderedPageBreak/>
              <w:t xml:space="preserve">Specification </w:t>
            </w:r>
          </w:p>
        </w:tc>
        <w:tc>
          <w:tcPr>
            <w:tcW w:w="4377" w:type="dxa"/>
          </w:tcPr>
          <w:p w14:paraId="4F9B24A7" w14:textId="6465C99F" w:rsidR="00BA478F" w:rsidRPr="006E1387" w:rsidRDefault="00F2277C" w:rsidP="00BA478F">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Numerator: </w:t>
            </w:r>
            <w:r w:rsidR="00B916C2" w:rsidRPr="00B916C2">
              <w:rPr>
                <w:rFonts w:ascii="Arial" w:hAnsi="Arial" w:cs="Arial"/>
                <w:color w:val="000000"/>
                <w:kern w:val="24"/>
                <w:sz w:val="22"/>
                <w:szCs w:val="22"/>
                <w:lang w:eastAsia="en-GB"/>
              </w:rPr>
              <w:t>Number of doses</w:t>
            </w:r>
            <w:r w:rsidR="00CB797E">
              <w:rPr>
                <w:rFonts w:ascii="Arial" w:hAnsi="Arial" w:cs="Arial"/>
                <w:color w:val="000000"/>
                <w:kern w:val="24"/>
                <w:sz w:val="22"/>
                <w:szCs w:val="22"/>
                <w:lang w:eastAsia="en-GB"/>
              </w:rPr>
              <w:t xml:space="preserve"> (of inhaled therapy: antibiotics and mucolytics)</w:t>
            </w:r>
            <w:r w:rsidR="00B916C2" w:rsidRPr="00B916C2">
              <w:rPr>
                <w:rFonts w:ascii="Arial" w:hAnsi="Arial" w:cs="Arial"/>
                <w:color w:val="000000"/>
                <w:kern w:val="24"/>
                <w:sz w:val="22"/>
                <w:szCs w:val="22"/>
                <w:lang w:eastAsia="en-GB"/>
              </w:rPr>
              <w:t xml:space="preserve"> taken in a day </w:t>
            </w:r>
            <w:r w:rsidR="00D40BD2">
              <w:rPr>
                <w:rFonts w:ascii="Arial" w:hAnsi="Arial" w:cs="Arial"/>
                <w:color w:val="000000"/>
                <w:kern w:val="24"/>
                <w:sz w:val="22"/>
                <w:szCs w:val="22"/>
                <w:lang w:eastAsia="en-GB"/>
              </w:rPr>
              <w:t xml:space="preserve">(per PWCF) </w:t>
            </w:r>
            <w:r w:rsidR="00B916C2" w:rsidRPr="00B916C2">
              <w:rPr>
                <w:rFonts w:ascii="Arial" w:hAnsi="Arial" w:cs="Arial"/>
                <w:color w:val="000000"/>
                <w:kern w:val="24"/>
                <w:sz w:val="22"/>
                <w:szCs w:val="22"/>
                <w:lang w:eastAsia="en-GB"/>
              </w:rPr>
              <w:t xml:space="preserve">is found from </w:t>
            </w:r>
            <w:proofErr w:type="spellStart"/>
            <w:r w:rsidR="00B916C2" w:rsidRPr="00B916C2">
              <w:rPr>
                <w:rFonts w:ascii="Arial" w:hAnsi="Arial" w:cs="Arial"/>
                <w:color w:val="000000"/>
                <w:kern w:val="24"/>
                <w:sz w:val="22"/>
                <w:szCs w:val="22"/>
                <w:lang w:eastAsia="en-GB"/>
              </w:rPr>
              <w:t>CFHealthHub</w:t>
            </w:r>
            <w:proofErr w:type="spellEnd"/>
            <w:r w:rsidR="00B916C2" w:rsidRPr="00B916C2">
              <w:rPr>
                <w:rFonts w:ascii="Arial" w:hAnsi="Arial" w:cs="Arial"/>
                <w:color w:val="000000"/>
                <w:kern w:val="24"/>
                <w:sz w:val="22"/>
                <w:szCs w:val="22"/>
                <w:lang w:eastAsia="en-GB"/>
              </w:rPr>
              <w:t xml:space="preserve"> inhalation data. This is capped at 100% based on the PWCF prescription.</w:t>
            </w:r>
            <w:r w:rsidR="004B5192">
              <w:rPr>
                <w:rFonts w:ascii="Arial" w:hAnsi="Arial" w:cs="Arial"/>
                <w:color w:val="000000"/>
                <w:kern w:val="24"/>
                <w:sz w:val="22"/>
                <w:szCs w:val="22"/>
                <w:lang w:eastAsia="en-GB"/>
              </w:rPr>
              <w:t xml:space="preserve"> </w:t>
            </w:r>
            <w:r w:rsidR="004B5192" w:rsidRPr="004B5192">
              <w:rPr>
                <w:rFonts w:ascii="Arial" w:hAnsi="Arial" w:cs="Arial"/>
                <w:color w:val="000000"/>
                <w:kern w:val="24"/>
                <w:sz w:val="22"/>
                <w:szCs w:val="22"/>
                <w:lang w:eastAsia="en-GB"/>
              </w:rPr>
              <w:t>Adjusted for nebulised antibiotics taken too close together and for drugs that require multiple accentuations for a complete dose.</w:t>
            </w:r>
          </w:p>
          <w:p w14:paraId="4FC7B690" w14:textId="08DBE320"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Denominator:</w:t>
            </w:r>
            <w:r w:rsidR="00402BFB">
              <w:rPr>
                <w:rFonts w:ascii="Arial" w:hAnsi="Arial" w:cs="Arial"/>
                <w:color w:val="000000"/>
                <w:kern w:val="24"/>
                <w:sz w:val="22"/>
                <w:szCs w:val="22"/>
                <w:lang w:eastAsia="en-GB"/>
              </w:rPr>
              <w:t xml:space="preserve"> </w:t>
            </w:r>
            <w:r w:rsidR="004B5192" w:rsidRPr="004B5192">
              <w:rPr>
                <w:rFonts w:ascii="Arial" w:hAnsi="Arial" w:cs="Arial"/>
                <w:color w:val="000000"/>
                <w:kern w:val="24"/>
                <w:sz w:val="22"/>
                <w:szCs w:val="22"/>
                <w:lang w:eastAsia="en-GB"/>
              </w:rPr>
              <w:t xml:space="preserve">Normative denominator of ‘3’ to reflect that chronic pseudomonas patients should have inhaled mucolytics and 2 doses of antibiotics per day. Unless patient indicated as having a month on/off </w:t>
            </w:r>
            <w:r w:rsidR="004B5192" w:rsidRPr="004B5192">
              <w:rPr>
                <w:rFonts w:ascii="Arial" w:hAnsi="Arial" w:cs="Arial"/>
                <w:color w:val="000000"/>
                <w:kern w:val="24"/>
                <w:sz w:val="22"/>
                <w:szCs w:val="22"/>
                <w:lang w:eastAsia="en-GB"/>
              </w:rPr>
              <w:lastRenderedPageBreak/>
              <w:t>regime and therefore using a denominator of two.</w:t>
            </w:r>
          </w:p>
          <w:p w14:paraId="158FFEDA" w14:textId="750DEFB9" w:rsidR="00F77F03" w:rsidRPr="006E1387" w:rsidRDefault="00F77F03"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Exclusions: </w:t>
            </w:r>
            <w:r w:rsidR="00E5214C">
              <w:rPr>
                <w:rFonts w:ascii="Arial" w:hAnsi="Arial" w:cs="Arial"/>
                <w:color w:val="000000"/>
                <w:kern w:val="24"/>
                <w:sz w:val="22"/>
                <w:szCs w:val="22"/>
                <w:lang w:eastAsia="en-GB"/>
              </w:rPr>
              <w:t>People with lung transplants, as identified from the CF registry</w:t>
            </w:r>
            <w:r w:rsidR="00254729">
              <w:rPr>
                <w:rFonts w:ascii="Arial" w:hAnsi="Arial" w:cs="Arial"/>
                <w:color w:val="000000"/>
                <w:kern w:val="24"/>
                <w:sz w:val="22"/>
                <w:szCs w:val="22"/>
                <w:lang w:eastAsia="en-GB"/>
              </w:rPr>
              <w:t>.</w:t>
            </w:r>
          </w:p>
          <w:p w14:paraId="34BA94E9" w14:textId="3C6A097A" w:rsidR="0051553D" w:rsidRDefault="00F656C3" w:rsidP="00455B14">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Methodology: </w:t>
            </w:r>
            <w:r w:rsidR="00C7036E">
              <w:rPr>
                <w:rFonts w:ascii="Arial" w:hAnsi="Arial" w:cs="Arial"/>
                <w:color w:val="000000"/>
                <w:kern w:val="24"/>
                <w:sz w:val="22"/>
                <w:szCs w:val="22"/>
                <w:lang w:eastAsia="en-GB"/>
              </w:rPr>
              <w:t>% adherence (of individual patients</w:t>
            </w:r>
            <w:r w:rsidR="0051553D">
              <w:rPr>
                <w:rFonts w:ascii="Arial" w:hAnsi="Arial" w:cs="Arial"/>
                <w:color w:val="000000"/>
                <w:kern w:val="24"/>
                <w:sz w:val="22"/>
                <w:szCs w:val="22"/>
                <w:lang w:eastAsia="en-GB"/>
              </w:rPr>
              <w:t>)</w:t>
            </w:r>
            <w:r w:rsidR="00FB254F">
              <w:rPr>
                <w:rFonts w:ascii="Arial" w:hAnsi="Arial" w:cs="Arial"/>
                <w:color w:val="000000"/>
                <w:kern w:val="24"/>
                <w:sz w:val="22"/>
                <w:szCs w:val="22"/>
                <w:lang w:eastAsia="en-GB"/>
              </w:rPr>
              <w:t>.</w:t>
            </w:r>
          </w:p>
          <w:p w14:paraId="46400236" w14:textId="49E8C9EC" w:rsidR="00402BFB" w:rsidRDefault="0051553D" w:rsidP="00455B14">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A</w:t>
            </w:r>
            <w:r w:rsidR="00C7036E">
              <w:rPr>
                <w:rFonts w:ascii="Arial" w:hAnsi="Arial" w:cs="Arial"/>
                <w:color w:val="000000"/>
                <w:kern w:val="24"/>
                <w:sz w:val="22"/>
                <w:szCs w:val="22"/>
                <w:lang w:eastAsia="en-GB"/>
              </w:rPr>
              <w:t xml:space="preserve"> </w:t>
            </w:r>
            <w:r>
              <w:rPr>
                <w:rFonts w:ascii="Arial" w:hAnsi="Arial" w:cs="Arial"/>
                <w:color w:val="000000"/>
                <w:kern w:val="24"/>
                <w:sz w:val="22"/>
                <w:szCs w:val="22"/>
                <w:lang w:eastAsia="en-GB"/>
              </w:rPr>
              <w:t>c</w:t>
            </w:r>
            <w:r w:rsidR="00C7036E">
              <w:rPr>
                <w:rFonts w:ascii="Arial" w:hAnsi="Arial" w:cs="Arial"/>
                <w:color w:val="000000"/>
                <w:kern w:val="24"/>
                <w:sz w:val="22"/>
                <w:szCs w:val="22"/>
                <w:lang w:eastAsia="en-GB"/>
              </w:rPr>
              <w:t xml:space="preserve">entre </w:t>
            </w:r>
            <w:r>
              <w:rPr>
                <w:rFonts w:ascii="Arial" w:hAnsi="Arial" w:cs="Arial"/>
                <w:color w:val="000000"/>
                <w:kern w:val="24"/>
                <w:sz w:val="22"/>
                <w:szCs w:val="22"/>
                <w:lang w:eastAsia="en-GB"/>
              </w:rPr>
              <w:t>m</w:t>
            </w:r>
            <w:r w:rsidR="00C7036E">
              <w:rPr>
                <w:rFonts w:ascii="Arial" w:hAnsi="Arial" w:cs="Arial"/>
                <w:color w:val="000000"/>
                <w:kern w:val="24"/>
                <w:sz w:val="22"/>
                <w:szCs w:val="22"/>
                <w:lang w:eastAsia="en-GB"/>
              </w:rPr>
              <w:t>edian</w:t>
            </w:r>
            <w:r>
              <w:rPr>
                <w:rFonts w:ascii="Arial" w:hAnsi="Arial" w:cs="Arial"/>
                <w:color w:val="000000"/>
                <w:kern w:val="24"/>
                <w:sz w:val="22"/>
                <w:szCs w:val="22"/>
                <w:lang w:eastAsia="en-GB"/>
              </w:rPr>
              <w:t xml:space="preserve"> based on a </w:t>
            </w:r>
            <w:proofErr w:type="gramStart"/>
            <w:r>
              <w:rPr>
                <w:rFonts w:ascii="Arial" w:hAnsi="Arial" w:cs="Arial"/>
                <w:color w:val="000000"/>
                <w:kern w:val="24"/>
                <w:sz w:val="22"/>
                <w:szCs w:val="22"/>
                <w:lang w:eastAsia="en-GB"/>
              </w:rPr>
              <w:t>two month</w:t>
            </w:r>
            <w:proofErr w:type="gramEnd"/>
            <w:r>
              <w:rPr>
                <w:rFonts w:ascii="Arial" w:hAnsi="Arial" w:cs="Arial"/>
                <w:color w:val="000000"/>
                <w:kern w:val="24"/>
                <w:sz w:val="22"/>
                <w:szCs w:val="22"/>
                <w:lang w:eastAsia="en-GB"/>
              </w:rPr>
              <w:t xml:space="preserve"> period is calculated from individual patient % </w:t>
            </w:r>
            <w:r w:rsidR="00D40BD2">
              <w:rPr>
                <w:rFonts w:ascii="Arial" w:hAnsi="Arial" w:cs="Arial"/>
                <w:color w:val="000000"/>
                <w:kern w:val="24"/>
                <w:sz w:val="22"/>
                <w:szCs w:val="22"/>
                <w:lang w:eastAsia="en-GB"/>
              </w:rPr>
              <w:t xml:space="preserve">daily </w:t>
            </w:r>
            <w:r>
              <w:rPr>
                <w:rFonts w:ascii="Arial" w:hAnsi="Arial" w:cs="Arial"/>
                <w:color w:val="000000"/>
                <w:kern w:val="24"/>
                <w:sz w:val="22"/>
                <w:szCs w:val="22"/>
                <w:lang w:eastAsia="en-GB"/>
              </w:rPr>
              <w:t>adherence.</w:t>
            </w:r>
          </w:p>
          <w:p w14:paraId="241B73C2" w14:textId="4CFE37E4"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Geography:</w:t>
            </w:r>
            <w:r w:rsidR="00873503">
              <w:rPr>
                <w:rFonts w:ascii="Arial" w:hAnsi="Arial" w:cs="Arial"/>
                <w:color w:val="000000"/>
                <w:kern w:val="24"/>
                <w:sz w:val="22"/>
                <w:szCs w:val="22"/>
                <w:lang w:eastAsia="en-GB"/>
              </w:rPr>
              <w:t xml:space="preserve"> </w:t>
            </w:r>
            <w:r w:rsidR="00C7036E">
              <w:rPr>
                <w:rFonts w:ascii="Arial" w:hAnsi="Arial" w:cs="Arial"/>
                <w:color w:val="000000"/>
                <w:kern w:val="24"/>
                <w:sz w:val="22"/>
                <w:szCs w:val="22"/>
                <w:lang w:eastAsia="en-GB"/>
              </w:rPr>
              <w:t>Cystic Fibrosis Centres</w:t>
            </w:r>
            <w:r w:rsidR="00254729">
              <w:rPr>
                <w:rFonts w:ascii="Arial" w:hAnsi="Arial" w:cs="Arial"/>
                <w:color w:val="000000"/>
                <w:kern w:val="24"/>
                <w:sz w:val="22"/>
                <w:szCs w:val="22"/>
                <w:lang w:eastAsia="en-GB"/>
              </w:rPr>
              <w:t>.</w:t>
            </w:r>
          </w:p>
          <w:p w14:paraId="5B155699" w14:textId="2C089C84"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Data Source:</w:t>
            </w:r>
            <w:r w:rsidR="00873503">
              <w:rPr>
                <w:rFonts w:ascii="Arial" w:hAnsi="Arial" w:cs="Arial"/>
                <w:color w:val="000000"/>
                <w:kern w:val="24"/>
                <w:sz w:val="22"/>
                <w:szCs w:val="22"/>
                <w:lang w:eastAsia="en-GB"/>
              </w:rPr>
              <w:t xml:space="preserve"> </w:t>
            </w:r>
            <w:proofErr w:type="spellStart"/>
            <w:r w:rsidR="00C7036E">
              <w:rPr>
                <w:rFonts w:ascii="Arial" w:hAnsi="Arial" w:cs="Arial"/>
                <w:color w:val="000000"/>
                <w:kern w:val="24"/>
                <w:sz w:val="22"/>
                <w:szCs w:val="22"/>
                <w:lang w:eastAsia="en-GB"/>
              </w:rPr>
              <w:t>CFHealthHub</w:t>
            </w:r>
            <w:proofErr w:type="spellEnd"/>
          </w:p>
          <w:p w14:paraId="134E4565" w14:textId="52F1F101" w:rsidR="00A54F81" w:rsidRPr="006E1387" w:rsidRDefault="00873503" w:rsidP="00161404">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Disclosure control:</w:t>
            </w:r>
            <w:r w:rsidR="003F6826">
              <w:rPr>
                <w:rFonts w:ascii="Arial" w:hAnsi="Arial" w:cs="Arial"/>
                <w:color w:val="000000"/>
                <w:kern w:val="24"/>
                <w:sz w:val="22"/>
                <w:szCs w:val="22"/>
                <w:lang w:eastAsia="en-GB"/>
              </w:rPr>
              <w:t xml:space="preserve"> Unknown, n</w:t>
            </w:r>
            <w:r w:rsidR="00B916C2">
              <w:rPr>
                <w:rFonts w:ascii="Arial" w:hAnsi="Arial" w:cs="Arial"/>
                <w:color w:val="000000"/>
                <w:kern w:val="24"/>
                <w:sz w:val="22"/>
                <w:szCs w:val="22"/>
                <w:lang w:eastAsia="en-GB"/>
              </w:rPr>
              <w:t>o data published at this stage</w:t>
            </w:r>
          </w:p>
        </w:tc>
        <w:tc>
          <w:tcPr>
            <w:tcW w:w="3044" w:type="dxa"/>
          </w:tcPr>
          <w:p w14:paraId="3C3529D2" w14:textId="0B8323A7"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B916C2">
              <w:rPr>
                <w:rFonts w:ascii="Arial" w:eastAsiaTheme="minorEastAsia" w:hAnsi="Arial" w:cs="Arial"/>
                <w:color w:val="000000" w:themeColor="dark1"/>
                <w:kern w:val="24"/>
                <w:sz w:val="22"/>
                <w:szCs w:val="22"/>
              </w:rPr>
              <w:lastRenderedPageBreak/>
              <w:t>The indicator has defined components necessary to construct the indicator</w:t>
            </w:r>
            <w:r w:rsidR="00217BF3" w:rsidRPr="00B916C2">
              <w:rPr>
                <w:rFonts w:ascii="Arial" w:eastAsiaTheme="minorEastAsia" w:hAnsi="Arial" w:cs="Arial"/>
                <w:color w:val="000000" w:themeColor="dark1"/>
                <w:kern w:val="24"/>
                <w:sz w:val="22"/>
                <w:szCs w:val="22"/>
              </w:rPr>
              <w:t>.</w:t>
            </w:r>
          </w:p>
          <w:p w14:paraId="42FC7796" w14:textId="5A354569" w:rsidR="00455B14" w:rsidRPr="006E1387" w:rsidRDefault="00455B14" w:rsidP="00455B14">
            <w:pPr>
              <w:spacing w:before="120" w:after="120"/>
              <w:rPr>
                <w:rFonts w:ascii="Arial" w:hAnsi="Arial" w:cs="Arial"/>
                <w:color w:val="000000"/>
                <w:kern w:val="24"/>
                <w:sz w:val="22"/>
                <w:szCs w:val="22"/>
                <w:lang w:eastAsia="en-GB"/>
              </w:rPr>
            </w:pPr>
          </w:p>
        </w:tc>
      </w:tr>
      <w:tr w:rsidR="00455B14" w:rsidRPr="006E1387" w14:paraId="23FEA25E" w14:textId="6A849BFE" w:rsidTr="00EE4C34">
        <w:tc>
          <w:tcPr>
            <w:tcW w:w="1877" w:type="dxa"/>
          </w:tcPr>
          <w:p w14:paraId="05670B1F" w14:textId="657854F2"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 xml:space="preserve">Feasibility  </w:t>
            </w:r>
          </w:p>
        </w:tc>
        <w:tc>
          <w:tcPr>
            <w:tcW w:w="4377" w:type="dxa"/>
          </w:tcPr>
          <w:p w14:paraId="23202A2C" w14:textId="5128BECB" w:rsidR="002B4762" w:rsidRPr="006E1387" w:rsidRDefault="00FA7E8C" w:rsidP="002B4762">
            <w:pPr>
              <w:spacing w:before="120" w:after="120"/>
              <w:rPr>
                <w:rFonts w:ascii="Arial" w:hAnsi="Arial" w:cs="Arial"/>
                <w:sz w:val="22"/>
                <w:szCs w:val="22"/>
              </w:rPr>
            </w:pPr>
            <w:r>
              <w:rPr>
                <w:rFonts w:ascii="Arial" w:hAnsi="Arial" w:cs="Arial"/>
                <w:sz w:val="22"/>
                <w:szCs w:val="22"/>
              </w:rPr>
              <w:t>All data from one source (</w:t>
            </w:r>
            <w:proofErr w:type="spellStart"/>
            <w:r>
              <w:rPr>
                <w:rFonts w:ascii="Arial" w:hAnsi="Arial" w:cs="Arial"/>
                <w:sz w:val="22"/>
                <w:szCs w:val="22"/>
              </w:rPr>
              <w:t>CFHealthHub</w:t>
            </w:r>
            <w:proofErr w:type="spellEnd"/>
            <w:r>
              <w:rPr>
                <w:rFonts w:ascii="Arial" w:hAnsi="Arial" w:cs="Arial"/>
                <w:sz w:val="22"/>
                <w:szCs w:val="22"/>
              </w:rPr>
              <w:t>) and source supports the indicator, however at this stage not all CF Centres are providing data.</w:t>
            </w:r>
          </w:p>
        </w:tc>
        <w:tc>
          <w:tcPr>
            <w:tcW w:w="3044" w:type="dxa"/>
          </w:tcPr>
          <w:p w14:paraId="7C614BB1" w14:textId="4D9CB239" w:rsidR="00455B14" w:rsidRPr="006E1387" w:rsidRDefault="00366050" w:rsidP="00EC7278">
            <w:pPr>
              <w:spacing w:before="120" w:after="120"/>
              <w:rPr>
                <w:rFonts w:ascii="Arial" w:eastAsiaTheme="minorEastAsia" w:hAnsi="Arial" w:cs="Arial"/>
                <w:color w:val="000000" w:themeColor="dark1"/>
                <w:kern w:val="24"/>
                <w:sz w:val="22"/>
                <w:szCs w:val="22"/>
                <w:lang w:eastAsia="en-GB"/>
              </w:rPr>
            </w:pPr>
            <w:r>
              <w:rPr>
                <w:rFonts w:ascii="Arial" w:eastAsiaTheme="minorEastAsia" w:hAnsi="Arial" w:cs="Arial"/>
                <w:color w:val="000000" w:themeColor="dark1"/>
                <w:kern w:val="24"/>
                <w:sz w:val="22"/>
                <w:szCs w:val="22"/>
                <w:lang w:eastAsia="en-GB"/>
              </w:rPr>
              <w:t>Data source relatively new however is designed to support the indicator.</w:t>
            </w:r>
          </w:p>
        </w:tc>
      </w:tr>
      <w:tr w:rsidR="00455B14" w:rsidRPr="006E1387" w14:paraId="211AFDFC" w14:textId="3BA1BF23" w:rsidTr="00EE4C34">
        <w:tc>
          <w:tcPr>
            <w:tcW w:w="1877" w:type="dxa"/>
          </w:tcPr>
          <w:p w14:paraId="7AA7B574"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Acceptability</w:t>
            </w:r>
          </w:p>
        </w:tc>
        <w:tc>
          <w:tcPr>
            <w:tcW w:w="4377" w:type="dxa"/>
          </w:tcPr>
          <w:p w14:paraId="2117977B" w14:textId="0C6B7B13" w:rsidR="009F3187" w:rsidRPr="00135231" w:rsidRDefault="00FA7E8C" w:rsidP="001E693E">
            <w:pPr>
              <w:spacing w:before="120" w:after="120"/>
              <w:rPr>
                <w:rFonts w:ascii="Arial" w:hAnsi="Arial" w:cs="Arial"/>
                <w:sz w:val="22"/>
                <w:szCs w:val="22"/>
              </w:rPr>
            </w:pPr>
            <w:r w:rsidRPr="00FA7E8C">
              <w:rPr>
                <w:rFonts w:ascii="Arial" w:hAnsi="Arial" w:cs="Arial"/>
                <w:sz w:val="22"/>
                <w:szCs w:val="22"/>
              </w:rPr>
              <w:t>Monitoring of indicator can take place in real time, however no data currently available to assess. Indicator is designed to reduce unscheduled care costs such as escalation to other medicines or avoidable admissions.</w:t>
            </w:r>
          </w:p>
        </w:tc>
        <w:tc>
          <w:tcPr>
            <w:tcW w:w="3044" w:type="dxa"/>
          </w:tcPr>
          <w:p w14:paraId="29506238" w14:textId="2D49B6DF"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The indicator assesses performance that is attributable to or within the control of the audience</w:t>
            </w:r>
            <w:r w:rsidR="00AB6032" w:rsidRPr="006E1387">
              <w:rPr>
                <w:rFonts w:ascii="Arial" w:eastAsiaTheme="minorEastAsia" w:hAnsi="Arial" w:cs="Arial"/>
                <w:color w:val="000000" w:themeColor="dark1"/>
                <w:kern w:val="24"/>
                <w:sz w:val="22"/>
                <w:szCs w:val="22"/>
              </w:rPr>
              <w:t>.</w:t>
            </w:r>
          </w:p>
          <w:p w14:paraId="472E62AD" w14:textId="40744170" w:rsidR="00217BF3" w:rsidRPr="006E1387" w:rsidRDefault="00217BF3" w:rsidP="00977CC2">
            <w:pPr>
              <w:spacing w:before="120" w:after="120"/>
              <w:rPr>
                <w:rFonts w:ascii="Arial" w:eastAsiaTheme="minorEastAsia" w:hAnsi="Arial" w:cs="Arial"/>
                <w:color w:val="000000" w:themeColor="dark1"/>
                <w:kern w:val="24"/>
                <w:sz w:val="22"/>
                <w:szCs w:val="22"/>
                <w:lang w:eastAsia="en-GB"/>
              </w:rPr>
            </w:pPr>
          </w:p>
        </w:tc>
      </w:tr>
      <w:tr w:rsidR="00041011" w:rsidRPr="006E1387" w14:paraId="515852F3" w14:textId="598C7331" w:rsidTr="00EE4C34">
        <w:trPr>
          <w:trHeight w:val="1900"/>
        </w:trPr>
        <w:tc>
          <w:tcPr>
            <w:tcW w:w="1877" w:type="dxa"/>
          </w:tcPr>
          <w:p w14:paraId="5DC1BD3A" w14:textId="17F33E7B" w:rsidR="00041011" w:rsidRPr="006E1387" w:rsidRDefault="00041011" w:rsidP="00041011">
            <w:pPr>
              <w:spacing w:before="120" w:after="120"/>
              <w:rPr>
                <w:rFonts w:ascii="Arial" w:hAnsi="Arial" w:cs="Arial"/>
                <w:color w:val="000000"/>
                <w:kern w:val="24"/>
                <w:sz w:val="22"/>
                <w:szCs w:val="22"/>
              </w:rPr>
            </w:pPr>
            <w:r w:rsidRPr="006E1387">
              <w:rPr>
                <w:rFonts w:ascii="Arial" w:hAnsi="Arial" w:cs="Arial"/>
                <w:color w:val="000000"/>
                <w:kern w:val="24"/>
                <w:sz w:val="22"/>
                <w:szCs w:val="22"/>
              </w:rPr>
              <w:t>Risk</w:t>
            </w:r>
          </w:p>
        </w:tc>
        <w:tc>
          <w:tcPr>
            <w:tcW w:w="4377" w:type="dxa"/>
          </w:tcPr>
          <w:p w14:paraId="04A2392B" w14:textId="77777777" w:rsidR="00FA7E8C" w:rsidRDefault="00E5214C" w:rsidP="001B5D21">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Several limitations are identified in the initial indicator application</w:t>
            </w:r>
            <w:r w:rsidR="00D40BD2">
              <w:rPr>
                <w:rFonts w:ascii="Arial" w:hAnsi="Arial" w:cs="Arial"/>
                <w:color w:val="000000"/>
                <w:kern w:val="24"/>
                <w:sz w:val="22"/>
                <w:szCs w:val="22"/>
                <w:lang w:eastAsia="en-GB"/>
              </w:rPr>
              <w:t>, which include</w:t>
            </w:r>
            <w:r w:rsidR="00FA7E8C">
              <w:rPr>
                <w:rFonts w:ascii="Arial" w:hAnsi="Arial" w:cs="Arial"/>
                <w:color w:val="000000"/>
                <w:kern w:val="24"/>
                <w:sz w:val="22"/>
                <w:szCs w:val="22"/>
                <w:lang w:eastAsia="en-GB"/>
              </w:rPr>
              <w:t>:</w:t>
            </w:r>
          </w:p>
          <w:p w14:paraId="35C5FB56" w14:textId="79BBE057" w:rsidR="00FA7E8C" w:rsidRDefault="00FA7E8C" w:rsidP="00FA7E8C">
            <w:pPr>
              <w:pStyle w:val="ListParagraph"/>
              <w:numPr>
                <w:ilvl w:val="0"/>
                <w:numId w:val="42"/>
              </w:num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Potential technical limitations of the system including data loss and issues around timing for the ‘daily’ prescription</w:t>
            </w:r>
          </w:p>
          <w:p w14:paraId="0747D801" w14:textId="77777777" w:rsidR="00FA7E8C" w:rsidRDefault="00FA7E8C" w:rsidP="00FA7E8C">
            <w:pPr>
              <w:pStyle w:val="ListParagraph"/>
              <w:numPr>
                <w:ilvl w:val="0"/>
                <w:numId w:val="42"/>
              </w:num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Patients taking dry powders are missed by the system</w:t>
            </w:r>
          </w:p>
          <w:p w14:paraId="556811E2" w14:textId="07E5F25A" w:rsidR="001844FC" w:rsidRDefault="00930E42" w:rsidP="00FA7E8C">
            <w:pPr>
              <w:pStyle w:val="ListParagraph"/>
              <w:numPr>
                <w:ilvl w:val="0"/>
                <w:numId w:val="42"/>
              </w:num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Pseudomonas</w:t>
            </w:r>
            <w:r w:rsidR="001844FC">
              <w:rPr>
                <w:rFonts w:ascii="Arial" w:hAnsi="Arial" w:cs="Arial"/>
                <w:color w:val="000000"/>
                <w:kern w:val="24"/>
                <w:sz w:val="22"/>
                <w:szCs w:val="22"/>
                <w:lang w:eastAsia="en-GB"/>
              </w:rPr>
              <w:t xml:space="preserve"> status is imputed from CF registry data which at the time of application was delayed, requiring estimation. This should continue to be assessed</w:t>
            </w:r>
          </w:p>
          <w:p w14:paraId="6A3655F5" w14:textId="77777777" w:rsidR="00FA7E8C" w:rsidRDefault="00FA7E8C" w:rsidP="00FA7E8C">
            <w:pPr>
              <w:pStyle w:val="ListParagraph"/>
              <w:numPr>
                <w:ilvl w:val="0"/>
                <w:numId w:val="42"/>
              </w:num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M</w:t>
            </w:r>
            <w:r w:rsidRPr="00CF77A4">
              <w:rPr>
                <w:rFonts w:ascii="Arial" w:hAnsi="Arial" w:cs="Arial"/>
                <w:color w:val="000000"/>
                <w:kern w:val="24"/>
                <w:sz w:val="22"/>
                <w:szCs w:val="22"/>
                <w:lang w:eastAsia="en-GB"/>
              </w:rPr>
              <w:t xml:space="preserve">ethods by which patients could be moved out of the scope of this indicator </w:t>
            </w:r>
          </w:p>
          <w:p w14:paraId="74D91A85" w14:textId="60DBBB71" w:rsidR="00041011" w:rsidRDefault="004445AE" w:rsidP="001B5D21">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Additionally the initial assessment from IGB rated three criteria (Data; </w:t>
            </w:r>
            <w:r w:rsidR="0051553D">
              <w:rPr>
                <w:rFonts w:ascii="Arial" w:hAnsi="Arial" w:cs="Arial"/>
                <w:color w:val="000000"/>
                <w:kern w:val="24"/>
                <w:sz w:val="22"/>
                <w:szCs w:val="22"/>
                <w:lang w:eastAsia="en-GB"/>
              </w:rPr>
              <w:t xml:space="preserve">Construction; </w:t>
            </w:r>
            <w:r>
              <w:rPr>
                <w:rFonts w:ascii="Arial" w:hAnsi="Arial" w:cs="Arial"/>
                <w:color w:val="000000"/>
                <w:kern w:val="24"/>
                <w:sz w:val="22"/>
                <w:szCs w:val="22"/>
                <w:lang w:eastAsia="en-GB"/>
              </w:rPr>
              <w:t xml:space="preserve">Presentation and Interpretation) as ‘Use with caution = data quality issue’ due to the fact only 3 centres had begun collecting and no data was available. </w:t>
            </w:r>
            <w:r w:rsidR="00135231">
              <w:rPr>
                <w:rFonts w:ascii="Arial" w:hAnsi="Arial" w:cs="Arial"/>
                <w:color w:val="000000"/>
                <w:kern w:val="24"/>
                <w:sz w:val="22"/>
                <w:szCs w:val="22"/>
                <w:lang w:eastAsia="en-GB"/>
              </w:rPr>
              <w:t>This caution still applies.</w:t>
            </w:r>
          </w:p>
          <w:p w14:paraId="04281E4E" w14:textId="6ED466B5" w:rsidR="00135231" w:rsidRDefault="00135231" w:rsidP="001B5D21">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lastRenderedPageBreak/>
              <w:t xml:space="preserve">A related </w:t>
            </w:r>
            <w:r w:rsidR="00D40BD2">
              <w:rPr>
                <w:rFonts w:ascii="Arial" w:hAnsi="Arial" w:cs="Arial"/>
                <w:color w:val="000000"/>
                <w:kern w:val="24"/>
                <w:sz w:val="22"/>
                <w:szCs w:val="22"/>
                <w:lang w:eastAsia="en-GB"/>
              </w:rPr>
              <w:t xml:space="preserve">Prescribed Services </w:t>
            </w:r>
            <w:hyperlink r:id="rId10" w:history="1">
              <w:r w:rsidR="00D40BD2" w:rsidRPr="005429AA">
                <w:rPr>
                  <w:rStyle w:val="Hyperlink"/>
                  <w:rFonts w:ascii="Arial" w:hAnsi="Arial" w:cs="Arial"/>
                  <w:kern w:val="24"/>
                  <w:sz w:val="22"/>
                  <w:szCs w:val="22"/>
                  <w:lang w:eastAsia="en-GB"/>
                </w:rPr>
                <w:t>CQUIN indicator</w:t>
              </w:r>
            </w:hyperlink>
            <w:r w:rsidR="00D40BD2">
              <w:rPr>
                <w:rFonts w:ascii="Arial" w:hAnsi="Arial" w:cs="Arial"/>
                <w:color w:val="000000"/>
                <w:kern w:val="24"/>
                <w:sz w:val="22"/>
                <w:szCs w:val="22"/>
                <w:lang w:eastAsia="en-GB"/>
              </w:rPr>
              <w:t xml:space="preserve"> </w:t>
            </w:r>
            <w:r>
              <w:rPr>
                <w:rFonts w:ascii="Arial" w:hAnsi="Arial" w:cs="Arial"/>
                <w:color w:val="000000"/>
                <w:kern w:val="24"/>
                <w:sz w:val="22"/>
                <w:szCs w:val="22"/>
                <w:lang w:eastAsia="en-GB"/>
              </w:rPr>
              <w:t>CQUIN indicator referred to as part of the application is no longer part of the CQUIN scheme.</w:t>
            </w:r>
          </w:p>
          <w:p w14:paraId="65C33EC8" w14:textId="77777777" w:rsidR="004445AE" w:rsidRDefault="004445AE" w:rsidP="001B5D21">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Data used to construct this indicator is not currently publicly available, therefore no assessment of results has taken place.</w:t>
            </w:r>
          </w:p>
          <w:p w14:paraId="6C854FEE" w14:textId="56CEC62F" w:rsidR="00FB289E" w:rsidRPr="006E1387" w:rsidRDefault="00366050" w:rsidP="001B5D21">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Developments in CF treatment are continuing with CFTR modulators becoming more widely used, however adherence to nebulised therapy remains an important measure</w:t>
            </w:r>
            <w:r w:rsidR="00150389">
              <w:rPr>
                <w:rFonts w:ascii="Arial" w:hAnsi="Arial" w:cs="Arial"/>
                <w:color w:val="000000"/>
                <w:kern w:val="24"/>
                <w:sz w:val="22"/>
                <w:szCs w:val="22"/>
                <w:lang w:eastAsia="en-GB"/>
              </w:rPr>
              <w:t>, particularly in those patients unsuitable for CFTR modulators (</w:t>
            </w:r>
            <w:r w:rsidR="00150389" w:rsidRPr="00A640C8">
              <w:rPr>
                <w:rFonts w:ascii="Arial" w:hAnsi="Arial" w:cs="Arial"/>
                <w:sz w:val="22"/>
                <w:szCs w:val="22"/>
                <w:shd w:val="clear" w:color="auto" w:fill="FFFFFF"/>
              </w:rPr>
              <w:t>Allen, L., Allen, L., Carr, S.B. </w:t>
            </w:r>
            <w:r w:rsidR="00150389" w:rsidRPr="00A640C8">
              <w:rPr>
                <w:rFonts w:ascii="Arial" w:hAnsi="Arial" w:cs="Arial"/>
                <w:i/>
                <w:iCs/>
                <w:sz w:val="22"/>
                <w:szCs w:val="22"/>
                <w:shd w:val="clear" w:color="auto" w:fill="FFFFFF"/>
              </w:rPr>
              <w:t>et al.</w:t>
            </w:r>
            <w:r w:rsidR="00150389" w:rsidRPr="00A640C8">
              <w:rPr>
                <w:rFonts w:ascii="Arial" w:hAnsi="Arial" w:cs="Arial"/>
                <w:sz w:val="22"/>
                <w:szCs w:val="22"/>
                <w:shd w:val="clear" w:color="auto" w:fill="FFFFFF"/>
              </w:rPr>
              <w:t> Future therapies for cystic fibrosis. </w:t>
            </w:r>
            <w:r w:rsidR="00150389" w:rsidRPr="00A640C8">
              <w:rPr>
                <w:rFonts w:ascii="Arial" w:hAnsi="Arial" w:cs="Arial"/>
                <w:i/>
                <w:iCs/>
                <w:sz w:val="22"/>
                <w:szCs w:val="22"/>
                <w:shd w:val="clear" w:color="auto" w:fill="FFFFFF"/>
              </w:rPr>
              <w:t xml:space="preserve">Nat </w:t>
            </w:r>
            <w:proofErr w:type="spellStart"/>
            <w:r w:rsidR="00150389" w:rsidRPr="00A640C8">
              <w:rPr>
                <w:rFonts w:ascii="Arial" w:hAnsi="Arial" w:cs="Arial"/>
                <w:i/>
                <w:iCs/>
                <w:sz w:val="22"/>
                <w:szCs w:val="22"/>
                <w:shd w:val="clear" w:color="auto" w:fill="FFFFFF"/>
              </w:rPr>
              <w:t>Commun</w:t>
            </w:r>
            <w:proofErr w:type="spellEnd"/>
            <w:r w:rsidR="00150389" w:rsidRPr="00A640C8">
              <w:rPr>
                <w:rFonts w:ascii="Arial" w:hAnsi="Arial" w:cs="Arial"/>
                <w:sz w:val="22"/>
                <w:szCs w:val="22"/>
                <w:shd w:val="clear" w:color="auto" w:fill="FFFFFF"/>
              </w:rPr>
              <w:t> </w:t>
            </w:r>
            <w:r w:rsidR="00150389" w:rsidRPr="00A640C8">
              <w:rPr>
                <w:rFonts w:ascii="Arial" w:hAnsi="Arial" w:cs="Arial"/>
                <w:b/>
                <w:bCs/>
                <w:sz w:val="22"/>
                <w:szCs w:val="22"/>
                <w:shd w:val="clear" w:color="auto" w:fill="FFFFFF"/>
              </w:rPr>
              <w:t>14</w:t>
            </w:r>
            <w:r w:rsidR="00150389" w:rsidRPr="00A640C8">
              <w:rPr>
                <w:rFonts w:ascii="Arial" w:hAnsi="Arial" w:cs="Arial"/>
                <w:sz w:val="22"/>
                <w:szCs w:val="22"/>
                <w:shd w:val="clear" w:color="auto" w:fill="FFFFFF"/>
              </w:rPr>
              <w:t>, 693 (2023)).</w:t>
            </w:r>
          </w:p>
        </w:tc>
        <w:tc>
          <w:tcPr>
            <w:tcW w:w="3044" w:type="dxa"/>
          </w:tcPr>
          <w:p w14:paraId="60E8EBBD" w14:textId="77777777" w:rsidR="00366050" w:rsidRDefault="00366050" w:rsidP="00366050">
            <w:pPr>
              <w:pStyle w:val="NICEnormal"/>
              <w:spacing w:before="120" w:after="120" w:line="240" w:lineRule="auto"/>
              <w:rPr>
                <w:rFonts w:cs="Arial"/>
                <w:color w:val="000000"/>
                <w:kern w:val="24"/>
                <w:sz w:val="22"/>
                <w:szCs w:val="22"/>
                <w:lang w:eastAsia="en-GB"/>
              </w:rPr>
            </w:pPr>
            <w:r>
              <w:rPr>
                <w:rFonts w:cs="Arial"/>
                <w:color w:val="000000"/>
                <w:kern w:val="24"/>
                <w:sz w:val="22"/>
                <w:szCs w:val="22"/>
                <w:lang w:eastAsia="en-GB"/>
              </w:rPr>
              <w:lastRenderedPageBreak/>
              <w:t>Limitations identified in the initial application remain unresolved as indicator data has yet to published.</w:t>
            </w:r>
          </w:p>
          <w:p w14:paraId="7C2C11AA" w14:textId="62A89E74" w:rsidR="00041011" w:rsidRPr="006E1387" w:rsidRDefault="00366050" w:rsidP="00366050">
            <w:pPr>
              <w:pStyle w:val="NICEnormal"/>
              <w:spacing w:before="120" w:after="120" w:line="240" w:lineRule="auto"/>
              <w:rPr>
                <w:rFonts w:cs="Arial"/>
                <w:color w:val="000000"/>
                <w:kern w:val="24"/>
                <w:sz w:val="22"/>
                <w:szCs w:val="22"/>
                <w:lang w:eastAsia="en-GB"/>
              </w:rPr>
            </w:pPr>
            <w:r>
              <w:rPr>
                <w:rFonts w:cs="Arial"/>
                <w:color w:val="000000"/>
                <w:kern w:val="24"/>
                <w:sz w:val="22"/>
                <w:szCs w:val="22"/>
                <w:lang w:eastAsia="en-GB"/>
              </w:rPr>
              <w:t xml:space="preserve">Treatment landscape continues to </w:t>
            </w:r>
            <w:proofErr w:type="gramStart"/>
            <w:r>
              <w:rPr>
                <w:rFonts w:cs="Arial"/>
                <w:color w:val="000000"/>
                <w:kern w:val="24"/>
                <w:sz w:val="22"/>
                <w:szCs w:val="22"/>
                <w:lang w:eastAsia="en-GB"/>
              </w:rPr>
              <w:t>develop</w:t>
            </w:r>
            <w:proofErr w:type="gramEnd"/>
            <w:r>
              <w:rPr>
                <w:rFonts w:cs="Arial"/>
                <w:color w:val="000000"/>
                <w:kern w:val="24"/>
                <w:sz w:val="22"/>
                <w:szCs w:val="22"/>
                <w:lang w:eastAsia="en-GB"/>
              </w:rPr>
              <w:t xml:space="preserve"> and this should be assessed at each indicator renewal.</w:t>
            </w:r>
          </w:p>
        </w:tc>
      </w:tr>
    </w:tbl>
    <w:p w14:paraId="37D9A2F5" w14:textId="084C27AB" w:rsidR="004A517E" w:rsidRDefault="004A517E">
      <w:pPr>
        <w:rPr>
          <w:rFonts w:ascii="Arial" w:hAnsi="Arial"/>
          <w:lang w:val="en-US"/>
        </w:rPr>
      </w:pPr>
    </w:p>
    <w:p w14:paraId="468110B6" w14:textId="0CBCB883" w:rsidR="00EC39F4" w:rsidRDefault="003E79AA" w:rsidP="00EC39F4">
      <w:pPr>
        <w:pStyle w:val="Paragraphnonumbers"/>
      </w:pPr>
      <w:r>
        <w:rPr>
          <w:b/>
        </w:rPr>
        <w:t>S</w:t>
      </w:r>
      <w:r w:rsidR="00EC39F4" w:rsidRPr="00B12039">
        <w:rPr>
          <w:b/>
        </w:rPr>
        <w:t>ummary:</w:t>
      </w:r>
      <w:r w:rsidR="00EC39F4">
        <w:t xml:space="preserve"> </w:t>
      </w:r>
      <w:r>
        <w:t>Indicator to be renewed.</w:t>
      </w:r>
    </w:p>
    <w:p w14:paraId="123085F8" w14:textId="2771EB07" w:rsidR="00D73835" w:rsidRDefault="00D73835" w:rsidP="00D92AEB">
      <w:pPr>
        <w:pStyle w:val="Paragraphnonumbers"/>
      </w:pPr>
    </w:p>
    <w:sectPr w:rsidR="00D73835" w:rsidSect="00192B09">
      <w:headerReference w:type="default" r:id="rId11"/>
      <w:footerReference w:type="default" r:id="rId12"/>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4AE2E" w14:textId="77777777" w:rsidR="00ED6F53" w:rsidRDefault="00ED6F53" w:rsidP="00446BEE">
      <w:r>
        <w:separator/>
      </w:r>
    </w:p>
  </w:endnote>
  <w:endnote w:type="continuationSeparator" w:id="0">
    <w:p w14:paraId="1EE071A7" w14:textId="77777777" w:rsidR="00ED6F53" w:rsidRDefault="00ED6F53"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B07A" w14:textId="388A5273" w:rsidR="00BB14CA" w:rsidRPr="008C1C95" w:rsidRDefault="003A0226" w:rsidP="003A0226">
    <w:pPr>
      <w:pStyle w:val="Footer"/>
    </w:pPr>
    <w:r>
      <w:t>IAP00</w:t>
    </w:r>
    <w:r w:rsidR="00C34F6D">
      <w:t>61</w:t>
    </w:r>
    <w:r w:rsidR="004B5192">
      <w:t>1</w:t>
    </w:r>
    <w:r w:rsidR="00D92AEB">
      <w:t xml:space="preserve">: </w:t>
    </w:r>
    <w:r w:rsidR="004B5192" w:rsidRPr="004B5192">
      <w:t>Normative adherence to nebulised therapy in Cystic Fibrosis for patients with chronic pseudomonas acquisition</w:t>
    </w:r>
    <w:r>
      <w:t xml:space="preserve">: Validity Assessment </w:t>
    </w:r>
    <w:r w:rsidR="00C34F6D">
      <w:t>August</w:t>
    </w:r>
    <w:r>
      <w:t xml:space="preserve"> 202</w:t>
    </w:r>
    <w:r w:rsidR="00C34F6D">
      <w:t>3</w:t>
    </w:r>
    <w:r>
      <w:t xml:space="preserve"> </w:t>
    </w:r>
    <w:r w:rsidR="009B0E59">
      <w:tab/>
    </w:r>
    <w:r w:rsidR="009B0E59">
      <w:tab/>
    </w:r>
    <w:r w:rsidR="00C34F6D">
      <w:tab/>
    </w:r>
    <w:r w:rsidR="00BB14CA">
      <w:fldChar w:fldCharType="begin"/>
    </w:r>
    <w:r w:rsidR="00BB14CA">
      <w:instrText xml:space="preserve"> PAGE </w:instrText>
    </w:r>
    <w:r w:rsidR="00BB14CA">
      <w:fldChar w:fldCharType="separate"/>
    </w:r>
    <w:r w:rsidR="00930E42">
      <w:rPr>
        <w:noProof/>
      </w:rPr>
      <w:t>4</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930E42">
      <w:rPr>
        <w:noProof/>
      </w:rPr>
      <w:t>5</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7BEBC" w14:textId="77777777" w:rsidR="00ED6F53" w:rsidRDefault="00ED6F53" w:rsidP="00446BEE">
      <w:r>
        <w:separator/>
      </w:r>
    </w:p>
  </w:footnote>
  <w:footnote w:type="continuationSeparator" w:id="0">
    <w:p w14:paraId="28DE568C" w14:textId="77777777" w:rsidR="00ED6F53" w:rsidRDefault="00ED6F53"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F3D4" w14:textId="77777777" w:rsidR="00BB14CA" w:rsidRDefault="00BB14CA" w:rsidP="00670FFB">
    <w:pPr>
      <w:pStyle w:val="Header"/>
      <w:tabs>
        <w:tab w:val="left" w:pos="2768"/>
        <w:tab w:val="center" w:pos="4156"/>
      </w:tabs>
      <w:jc w:val="center"/>
      <w:rPr>
        <w:b/>
        <w:color w:val="FF0000"/>
        <w:sz w:val="22"/>
        <w:szCs w:val="22"/>
      </w:rPr>
    </w:pPr>
  </w:p>
  <w:p w14:paraId="686E1FB0" w14:textId="77777777" w:rsidR="00BB14CA" w:rsidRPr="00482C01" w:rsidRDefault="00BB14CA" w:rsidP="00670FFB">
    <w:pPr>
      <w:pStyle w:val="Header"/>
      <w:tabs>
        <w:tab w:val="left" w:pos="2768"/>
        <w:tab w:val="center" w:pos="4156"/>
      </w:tabs>
      <w:rPr>
        <w:b/>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A576E9A"/>
    <w:multiLevelType w:val="hybridMultilevel"/>
    <w:tmpl w:val="CF58F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1A97E72"/>
    <w:multiLevelType w:val="hybridMultilevel"/>
    <w:tmpl w:val="53347A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3BE7591"/>
    <w:multiLevelType w:val="hybridMultilevel"/>
    <w:tmpl w:val="32FA2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7"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5"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6"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3"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0513668">
    <w:abstractNumId w:val="33"/>
  </w:num>
  <w:num w:numId="2" w16cid:durableId="1669865117">
    <w:abstractNumId w:val="12"/>
  </w:num>
  <w:num w:numId="3" w16cid:durableId="981540259">
    <w:abstractNumId w:val="29"/>
  </w:num>
  <w:num w:numId="4" w16cid:durableId="2116826415">
    <w:abstractNumId w:val="13"/>
  </w:num>
  <w:num w:numId="5" w16cid:durableId="1463690069">
    <w:abstractNumId w:val="26"/>
  </w:num>
  <w:num w:numId="6" w16cid:durableId="1038116886">
    <w:abstractNumId w:val="1"/>
  </w:num>
  <w:num w:numId="7" w16cid:durableId="1463622290">
    <w:abstractNumId w:val="11"/>
  </w:num>
  <w:num w:numId="8" w16cid:durableId="160631937">
    <w:abstractNumId w:val="24"/>
  </w:num>
  <w:num w:numId="9" w16cid:durableId="250899037">
    <w:abstractNumId w:val="25"/>
  </w:num>
  <w:num w:numId="10" w16cid:durableId="451362302">
    <w:abstractNumId w:val="5"/>
  </w:num>
  <w:num w:numId="11" w16cid:durableId="929005291">
    <w:abstractNumId w:val="7"/>
  </w:num>
  <w:num w:numId="12" w16cid:durableId="956064839">
    <w:abstractNumId w:val="3"/>
  </w:num>
  <w:num w:numId="13" w16cid:durableId="288125257">
    <w:abstractNumId w:val="32"/>
  </w:num>
  <w:num w:numId="14" w16cid:durableId="657466045">
    <w:abstractNumId w:val="16"/>
  </w:num>
  <w:num w:numId="15" w16cid:durableId="871768364">
    <w:abstractNumId w:val="9"/>
  </w:num>
  <w:num w:numId="16" w16cid:durableId="609121284">
    <w:abstractNumId w:val="21"/>
  </w:num>
  <w:num w:numId="17" w16cid:durableId="1512144180">
    <w:abstractNumId w:val="18"/>
  </w:num>
  <w:num w:numId="18" w16cid:durableId="720835366">
    <w:abstractNumId w:val="23"/>
  </w:num>
  <w:num w:numId="19" w16cid:durableId="1815217344">
    <w:abstractNumId w:val="27"/>
  </w:num>
  <w:num w:numId="20" w16cid:durableId="386682780">
    <w:abstractNumId w:val="6"/>
  </w:num>
  <w:num w:numId="21" w16cid:durableId="1323001745">
    <w:abstractNumId w:val="30"/>
  </w:num>
  <w:num w:numId="22" w16cid:durableId="1624801277">
    <w:abstractNumId w:val="0"/>
  </w:num>
  <w:num w:numId="23" w16cid:durableId="227614810">
    <w:abstractNumId w:val="4"/>
  </w:num>
  <w:num w:numId="24" w16cid:durableId="1890679414">
    <w:abstractNumId w:val="28"/>
  </w:num>
  <w:num w:numId="25" w16cid:durableId="1525705080">
    <w:abstractNumId w:val="20"/>
  </w:num>
  <w:num w:numId="26" w16cid:durableId="964317073">
    <w:abstractNumId w:val="19"/>
  </w:num>
  <w:num w:numId="27" w16cid:durableId="20063996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90725824">
    <w:abstractNumId w:val="8"/>
  </w:num>
  <w:num w:numId="29" w16cid:durableId="2135978391">
    <w:abstractNumId w:val="5"/>
  </w:num>
  <w:num w:numId="30" w16cid:durableId="1158302249">
    <w:abstractNumId w:val="15"/>
  </w:num>
  <w:num w:numId="31" w16cid:durableId="1283881350">
    <w:abstractNumId w:val="5"/>
  </w:num>
  <w:num w:numId="32" w16cid:durableId="1075857968">
    <w:abstractNumId w:val="5"/>
  </w:num>
  <w:num w:numId="33" w16cid:durableId="297230280">
    <w:abstractNumId w:val="5"/>
  </w:num>
  <w:num w:numId="34" w16cid:durableId="1228422906">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6692052">
    <w:abstractNumId w:val="5"/>
  </w:num>
  <w:num w:numId="36" w16cid:durableId="1033261999">
    <w:abstractNumId w:val="5"/>
  </w:num>
  <w:num w:numId="37" w16cid:durableId="1813979009">
    <w:abstractNumId w:val="5"/>
  </w:num>
  <w:num w:numId="38" w16cid:durableId="322126884">
    <w:abstractNumId w:val="31"/>
  </w:num>
  <w:num w:numId="39" w16cid:durableId="211581363">
    <w:abstractNumId w:val="22"/>
  </w:num>
  <w:num w:numId="40" w16cid:durableId="1407995641">
    <w:abstractNumId w:val="2"/>
  </w:num>
  <w:num w:numId="41" w16cid:durableId="1766000296">
    <w:abstractNumId w:val="14"/>
  </w:num>
  <w:num w:numId="42" w16cid:durableId="1605262110">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embedSystemFont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4649"/>
    <w:rsid w:val="00035D96"/>
    <w:rsid w:val="00036EE4"/>
    <w:rsid w:val="00037552"/>
    <w:rsid w:val="00041011"/>
    <w:rsid w:val="000414CD"/>
    <w:rsid w:val="0004386A"/>
    <w:rsid w:val="000438E0"/>
    <w:rsid w:val="000453F8"/>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67DEF"/>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A16C2"/>
    <w:rsid w:val="000A638C"/>
    <w:rsid w:val="000A7163"/>
    <w:rsid w:val="000B1301"/>
    <w:rsid w:val="000B1CBF"/>
    <w:rsid w:val="000B33BD"/>
    <w:rsid w:val="000B34B8"/>
    <w:rsid w:val="000B5939"/>
    <w:rsid w:val="000B5EBE"/>
    <w:rsid w:val="000C22B9"/>
    <w:rsid w:val="000C4D57"/>
    <w:rsid w:val="000C4EE8"/>
    <w:rsid w:val="000C7A5D"/>
    <w:rsid w:val="000D04B0"/>
    <w:rsid w:val="000D1487"/>
    <w:rsid w:val="000D3776"/>
    <w:rsid w:val="000D396A"/>
    <w:rsid w:val="000E0E0D"/>
    <w:rsid w:val="000E24A0"/>
    <w:rsid w:val="000E4899"/>
    <w:rsid w:val="000E7E3C"/>
    <w:rsid w:val="000F0EC1"/>
    <w:rsid w:val="000F3B49"/>
    <w:rsid w:val="000F6502"/>
    <w:rsid w:val="001043B0"/>
    <w:rsid w:val="001066B8"/>
    <w:rsid w:val="00110A94"/>
    <w:rsid w:val="00110AD8"/>
    <w:rsid w:val="00112FAE"/>
    <w:rsid w:val="001131E2"/>
    <w:rsid w:val="001134E7"/>
    <w:rsid w:val="00121C0F"/>
    <w:rsid w:val="00124CBD"/>
    <w:rsid w:val="001252AE"/>
    <w:rsid w:val="00125557"/>
    <w:rsid w:val="001306F4"/>
    <w:rsid w:val="00130EC7"/>
    <w:rsid w:val="00134FDA"/>
    <w:rsid w:val="00135081"/>
    <w:rsid w:val="00135231"/>
    <w:rsid w:val="001352C4"/>
    <w:rsid w:val="00136466"/>
    <w:rsid w:val="001368F7"/>
    <w:rsid w:val="001377B8"/>
    <w:rsid w:val="00137A88"/>
    <w:rsid w:val="00140B46"/>
    <w:rsid w:val="00140D83"/>
    <w:rsid w:val="001413FC"/>
    <w:rsid w:val="00145D3C"/>
    <w:rsid w:val="00150389"/>
    <w:rsid w:val="001503E8"/>
    <w:rsid w:val="00154516"/>
    <w:rsid w:val="00155A83"/>
    <w:rsid w:val="00156264"/>
    <w:rsid w:val="00156529"/>
    <w:rsid w:val="001579DA"/>
    <w:rsid w:val="00161404"/>
    <w:rsid w:val="00161EBC"/>
    <w:rsid w:val="00165770"/>
    <w:rsid w:val="00165B01"/>
    <w:rsid w:val="00166C1A"/>
    <w:rsid w:val="0017169E"/>
    <w:rsid w:val="0017396B"/>
    <w:rsid w:val="00175BE8"/>
    <w:rsid w:val="00175F5D"/>
    <w:rsid w:val="00177200"/>
    <w:rsid w:val="001773DC"/>
    <w:rsid w:val="001779E5"/>
    <w:rsid w:val="00182263"/>
    <w:rsid w:val="0018281C"/>
    <w:rsid w:val="001844FC"/>
    <w:rsid w:val="00185F6B"/>
    <w:rsid w:val="00187570"/>
    <w:rsid w:val="00192188"/>
    <w:rsid w:val="00192B09"/>
    <w:rsid w:val="001936A7"/>
    <w:rsid w:val="00193D4B"/>
    <w:rsid w:val="00194E6C"/>
    <w:rsid w:val="0019550C"/>
    <w:rsid w:val="00196653"/>
    <w:rsid w:val="00196E29"/>
    <w:rsid w:val="001976DA"/>
    <w:rsid w:val="001A056C"/>
    <w:rsid w:val="001A23E4"/>
    <w:rsid w:val="001A281B"/>
    <w:rsid w:val="001A3011"/>
    <w:rsid w:val="001A48E7"/>
    <w:rsid w:val="001A73CD"/>
    <w:rsid w:val="001B06E1"/>
    <w:rsid w:val="001B1619"/>
    <w:rsid w:val="001B187B"/>
    <w:rsid w:val="001B376D"/>
    <w:rsid w:val="001B3C11"/>
    <w:rsid w:val="001B3DA1"/>
    <w:rsid w:val="001B3FEC"/>
    <w:rsid w:val="001B5300"/>
    <w:rsid w:val="001B5D21"/>
    <w:rsid w:val="001B65B3"/>
    <w:rsid w:val="001B6878"/>
    <w:rsid w:val="001B6DC2"/>
    <w:rsid w:val="001C0AB8"/>
    <w:rsid w:val="001C187F"/>
    <w:rsid w:val="001C2108"/>
    <w:rsid w:val="001C27F3"/>
    <w:rsid w:val="001C3567"/>
    <w:rsid w:val="001C360A"/>
    <w:rsid w:val="001C5FC2"/>
    <w:rsid w:val="001C74F4"/>
    <w:rsid w:val="001D0D90"/>
    <w:rsid w:val="001D24D0"/>
    <w:rsid w:val="001D298F"/>
    <w:rsid w:val="001D3D36"/>
    <w:rsid w:val="001D6DFD"/>
    <w:rsid w:val="001D6E16"/>
    <w:rsid w:val="001E08E9"/>
    <w:rsid w:val="001E0B63"/>
    <w:rsid w:val="001E0E8C"/>
    <w:rsid w:val="001E586B"/>
    <w:rsid w:val="001E693E"/>
    <w:rsid w:val="001E6F20"/>
    <w:rsid w:val="001F1315"/>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17BF3"/>
    <w:rsid w:val="00220661"/>
    <w:rsid w:val="002213B0"/>
    <w:rsid w:val="0022189B"/>
    <w:rsid w:val="002223A6"/>
    <w:rsid w:val="002229AD"/>
    <w:rsid w:val="00224AEE"/>
    <w:rsid w:val="00225FF4"/>
    <w:rsid w:val="00230A13"/>
    <w:rsid w:val="002331C6"/>
    <w:rsid w:val="00236B76"/>
    <w:rsid w:val="002408EA"/>
    <w:rsid w:val="00241410"/>
    <w:rsid w:val="00244E9A"/>
    <w:rsid w:val="00254729"/>
    <w:rsid w:val="002549B2"/>
    <w:rsid w:val="002563DF"/>
    <w:rsid w:val="0026014A"/>
    <w:rsid w:val="0026108E"/>
    <w:rsid w:val="002614ED"/>
    <w:rsid w:val="00262A3E"/>
    <w:rsid w:val="00265142"/>
    <w:rsid w:val="00266AA6"/>
    <w:rsid w:val="00266B50"/>
    <w:rsid w:val="00270605"/>
    <w:rsid w:val="00271804"/>
    <w:rsid w:val="00271857"/>
    <w:rsid w:val="00276AC9"/>
    <w:rsid w:val="00277ED2"/>
    <w:rsid w:val="00280F8A"/>
    <w:rsid w:val="00284F52"/>
    <w:rsid w:val="00286537"/>
    <w:rsid w:val="00286C3A"/>
    <w:rsid w:val="00287467"/>
    <w:rsid w:val="00291A5B"/>
    <w:rsid w:val="00292B2C"/>
    <w:rsid w:val="0029330E"/>
    <w:rsid w:val="00296E2E"/>
    <w:rsid w:val="002A23A7"/>
    <w:rsid w:val="002A5503"/>
    <w:rsid w:val="002A6812"/>
    <w:rsid w:val="002A7339"/>
    <w:rsid w:val="002A7A24"/>
    <w:rsid w:val="002B4762"/>
    <w:rsid w:val="002B565A"/>
    <w:rsid w:val="002B71D2"/>
    <w:rsid w:val="002C0DA9"/>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6EF"/>
    <w:rsid w:val="00331B26"/>
    <w:rsid w:val="00333A96"/>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BED"/>
    <w:rsid w:val="0035645A"/>
    <w:rsid w:val="00357C1E"/>
    <w:rsid w:val="003604C3"/>
    <w:rsid w:val="003605D5"/>
    <w:rsid w:val="00361432"/>
    <w:rsid w:val="003617C5"/>
    <w:rsid w:val="00362EE3"/>
    <w:rsid w:val="00365698"/>
    <w:rsid w:val="00366050"/>
    <w:rsid w:val="00367685"/>
    <w:rsid w:val="00367A82"/>
    <w:rsid w:val="00370ACD"/>
    <w:rsid w:val="00371E29"/>
    <w:rsid w:val="003722FA"/>
    <w:rsid w:val="003731E6"/>
    <w:rsid w:val="00373EA4"/>
    <w:rsid w:val="00374EA0"/>
    <w:rsid w:val="00374EB6"/>
    <w:rsid w:val="00375AE7"/>
    <w:rsid w:val="00375E5F"/>
    <w:rsid w:val="00376C2A"/>
    <w:rsid w:val="00377277"/>
    <w:rsid w:val="00377304"/>
    <w:rsid w:val="00381BEA"/>
    <w:rsid w:val="00381FB7"/>
    <w:rsid w:val="00382495"/>
    <w:rsid w:val="00384141"/>
    <w:rsid w:val="003856AA"/>
    <w:rsid w:val="00386007"/>
    <w:rsid w:val="003861AC"/>
    <w:rsid w:val="003862A5"/>
    <w:rsid w:val="00390249"/>
    <w:rsid w:val="00391F56"/>
    <w:rsid w:val="003953C7"/>
    <w:rsid w:val="003A0226"/>
    <w:rsid w:val="003A03DC"/>
    <w:rsid w:val="003A1975"/>
    <w:rsid w:val="003A1DE1"/>
    <w:rsid w:val="003A39A0"/>
    <w:rsid w:val="003A3E2A"/>
    <w:rsid w:val="003A4CBB"/>
    <w:rsid w:val="003B0286"/>
    <w:rsid w:val="003B091A"/>
    <w:rsid w:val="003B1C33"/>
    <w:rsid w:val="003B254D"/>
    <w:rsid w:val="003B298F"/>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E79AA"/>
    <w:rsid w:val="003F0EB9"/>
    <w:rsid w:val="003F2EC0"/>
    <w:rsid w:val="003F40D1"/>
    <w:rsid w:val="003F42F7"/>
    <w:rsid w:val="003F4970"/>
    <w:rsid w:val="003F540E"/>
    <w:rsid w:val="003F6826"/>
    <w:rsid w:val="003F694A"/>
    <w:rsid w:val="003F7CE6"/>
    <w:rsid w:val="003F7D78"/>
    <w:rsid w:val="00402BFB"/>
    <w:rsid w:val="00405B03"/>
    <w:rsid w:val="00405FDF"/>
    <w:rsid w:val="004068EA"/>
    <w:rsid w:val="004075B6"/>
    <w:rsid w:val="00407F14"/>
    <w:rsid w:val="00410E4D"/>
    <w:rsid w:val="00411C38"/>
    <w:rsid w:val="0041238E"/>
    <w:rsid w:val="004150FB"/>
    <w:rsid w:val="00416EA1"/>
    <w:rsid w:val="00420952"/>
    <w:rsid w:val="00422E2D"/>
    <w:rsid w:val="00423C0E"/>
    <w:rsid w:val="00423DB4"/>
    <w:rsid w:val="0042425C"/>
    <w:rsid w:val="004247FB"/>
    <w:rsid w:val="004271A0"/>
    <w:rsid w:val="0042742A"/>
    <w:rsid w:val="004306C0"/>
    <w:rsid w:val="00431F8B"/>
    <w:rsid w:val="00433F81"/>
    <w:rsid w:val="00440CCA"/>
    <w:rsid w:val="00442D76"/>
    <w:rsid w:val="004440AF"/>
    <w:rsid w:val="004445AE"/>
    <w:rsid w:val="00446BEE"/>
    <w:rsid w:val="00450E6D"/>
    <w:rsid w:val="004518F7"/>
    <w:rsid w:val="0045334C"/>
    <w:rsid w:val="004539A8"/>
    <w:rsid w:val="004539D9"/>
    <w:rsid w:val="00455B14"/>
    <w:rsid w:val="00456B1D"/>
    <w:rsid w:val="004615CD"/>
    <w:rsid w:val="00461C01"/>
    <w:rsid w:val="00462AFA"/>
    <w:rsid w:val="0046325E"/>
    <w:rsid w:val="0046445C"/>
    <w:rsid w:val="0046709A"/>
    <w:rsid w:val="004700B2"/>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287A"/>
    <w:rsid w:val="004A517E"/>
    <w:rsid w:val="004A664D"/>
    <w:rsid w:val="004B1325"/>
    <w:rsid w:val="004B4360"/>
    <w:rsid w:val="004B5192"/>
    <w:rsid w:val="004B5F89"/>
    <w:rsid w:val="004B686A"/>
    <w:rsid w:val="004B688D"/>
    <w:rsid w:val="004B7792"/>
    <w:rsid w:val="004C101D"/>
    <w:rsid w:val="004C3670"/>
    <w:rsid w:val="004C3BFD"/>
    <w:rsid w:val="004C5C89"/>
    <w:rsid w:val="004D1267"/>
    <w:rsid w:val="004D1BB0"/>
    <w:rsid w:val="004D26AD"/>
    <w:rsid w:val="004D2897"/>
    <w:rsid w:val="004D39E2"/>
    <w:rsid w:val="004D6448"/>
    <w:rsid w:val="004D756F"/>
    <w:rsid w:val="004E0C47"/>
    <w:rsid w:val="004E0E78"/>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1553D"/>
    <w:rsid w:val="00521D6D"/>
    <w:rsid w:val="00523BB4"/>
    <w:rsid w:val="005243EC"/>
    <w:rsid w:val="005245EF"/>
    <w:rsid w:val="005249CF"/>
    <w:rsid w:val="00525DD1"/>
    <w:rsid w:val="00527A29"/>
    <w:rsid w:val="005343E1"/>
    <w:rsid w:val="005353CB"/>
    <w:rsid w:val="00535CCD"/>
    <w:rsid w:val="00545970"/>
    <w:rsid w:val="00546304"/>
    <w:rsid w:val="00550783"/>
    <w:rsid w:val="005508EE"/>
    <w:rsid w:val="005533F8"/>
    <w:rsid w:val="005536FB"/>
    <w:rsid w:val="00555CC8"/>
    <w:rsid w:val="00556B58"/>
    <w:rsid w:val="005577FA"/>
    <w:rsid w:val="00561A27"/>
    <w:rsid w:val="00563415"/>
    <w:rsid w:val="0056425E"/>
    <w:rsid w:val="00565745"/>
    <w:rsid w:val="00566CCC"/>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385A"/>
    <w:rsid w:val="00596607"/>
    <w:rsid w:val="005A014D"/>
    <w:rsid w:val="005A188D"/>
    <w:rsid w:val="005A1A5C"/>
    <w:rsid w:val="005A4AD8"/>
    <w:rsid w:val="005A50D3"/>
    <w:rsid w:val="005A576F"/>
    <w:rsid w:val="005A64F3"/>
    <w:rsid w:val="005A6AB3"/>
    <w:rsid w:val="005B0095"/>
    <w:rsid w:val="005B5C8B"/>
    <w:rsid w:val="005B620E"/>
    <w:rsid w:val="005B6D38"/>
    <w:rsid w:val="005B73E7"/>
    <w:rsid w:val="005C05E1"/>
    <w:rsid w:val="005C3893"/>
    <w:rsid w:val="005C5E41"/>
    <w:rsid w:val="005C7DB5"/>
    <w:rsid w:val="005D15B9"/>
    <w:rsid w:val="005D1E0A"/>
    <w:rsid w:val="005D352A"/>
    <w:rsid w:val="005D4C95"/>
    <w:rsid w:val="005E0AC1"/>
    <w:rsid w:val="005E2508"/>
    <w:rsid w:val="005E437F"/>
    <w:rsid w:val="005E58ED"/>
    <w:rsid w:val="005E62A7"/>
    <w:rsid w:val="005E6B30"/>
    <w:rsid w:val="005F25FD"/>
    <w:rsid w:val="005F2905"/>
    <w:rsid w:val="005F3926"/>
    <w:rsid w:val="005F3989"/>
    <w:rsid w:val="005F3C5C"/>
    <w:rsid w:val="005F5AFD"/>
    <w:rsid w:val="005F6BB8"/>
    <w:rsid w:val="005F6F0A"/>
    <w:rsid w:val="005F7681"/>
    <w:rsid w:val="00601291"/>
    <w:rsid w:val="0060351B"/>
    <w:rsid w:val="00607959"/>
    <w:rsid w:val="00607D7A"/>
    <w:rsid w:val="0061221F"/>
    <w:rsid w:val="00614078"/>
    <w:rsid w:val="00614B21"/>
    <w:rsid w:val="006150A0"/>
    <w:rsid w:val="0061798B"/>
    <w:rsid w:val="0062228B"/>
    <w:rsid w:val="00624430"/>
    <w:rsid w:val="00625AEE"/>
    <w:rsid w:val="00627687"/>
    <w:rsid w:val="006276D1"/>
    <w:rsid w:val="006279C2"/>
    <w:rsid w:val="00630A5B"/>
    <w:rsid w:val="00637F2A"/>
    <w:rsid w:val="00642C45"/>
    <w:rsid w:val="0064313B"/>
    <w:rsid w:val="006434DF"/>
    <w:rsid w:val="00645411"/>
    <w:rsid w:val="0064604F"/>
    <w:rsid w:val="0064676D"/>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682"/>
    <w:rsid w:val="006937D0"/>
    <w:rsid w:val="00693996"/>
    <w:rsid w:val="006948AC"/>
    <w:rsid w:val="006953F9"/>
    <w:rsid w:val="00696325"/>
    <w:rsid w:val="006966FC"/>
    <w:rsid w:val="006A2C36"/>
    <w:rsid w:val="006A5E06"/>
    <w:rsid w:val="006B17FD"/>
    <w:rsid w:val="006B44E2"/>
    <w:rsid w:val="006B4804"/>
    <w:rsid w:val="006C0C61"/>
    <w:rsid w:val="006C3D61"/>
    <w:rsid w:val="006D4325"/>
    <w:rsid w:val="006D55A6"/>
    <w:rsid w:val="006D6BD0"/>
    <w:rsid w:val="006E09CB"/>
    <w:rsid w:val="006E1387"/>
    <w:rsid w:val="006E2052"/>
    <w:rsid w:val="006E2124"/>
    <w:rsid w:val="006E23A2"/>
    <w:rsid w:val="006E299B"/>
    <w:rsid w:val="006E303F"/>
    <w:rsid w:val="006E46C1"/>
    <w:rsid w:val="006E4E37"/>
    <w:rsid w:val="006E5D76"/>
    <w:rsid w:val="006F17D4"/>
    <w:rsid w:val="006F255A"/>
    <w:rsid w:val="006F273E"/>
    <w:rsid w:val="006F2843"/>
    <w:rsid w:val="006F3D8F"/>
    <w:rsid w:val="006F6463"/>
    <w:rsid w:val="0070542C"/>
    <w:rsid w:val="007067D1"/>
    <w:rsid w:val="00713287"/>
    <w:rsid w:val="007136A7"/>
    <w:rsid w:val="007139DD"/>
    <w:rsid w:val="007143AC"/>
    <w:rsid w:val="00716007"/>
    <w:rsid w:val="00716835"/>
    <w:rsid w:val="00716ACF"/>
    <w:rsid w:val="007210C5"/>
    <w:rsid w:val="007250F1"/>
    <w:rsid w:val="00726FF0"/>
    <w:rsid w:val="00727230"/>
    <w:rsid w:val="00730AA4"/>
    <w:rsid w:val="0073113B"/>
    <w:rsid w:val="00731B32"/>
    <w:rsid w:val="00732C44"/>
    <w:rsid w:val="00733ADA"/>
    <w:rsid w:val="00734CC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1A3D"/>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A19BF"/>
    <w:rsid w:val="007B1A6C"/>
    <w:rsid w:val="007B5378"/>
    <w:rsid w:val="007B5983"/>
    <w:rsid w:val="007C1642"/>
    <w:rsid w:val="007C33F3"/>
    <w:rsid w:val="007C40AD"/>
    <w:rsid w:val="007C4561"/>
    <w:rsid w:val="007C4814"/>
    <w:rsid w:val="007C516A"/>
    <w:rsid w:val="007C6CFD"/>
    <w:rsid w:val="007D28D7"/>
    <w:rsid w:val="007D31FD"/>
    <w:rsid w:val="007E1B11"/>
    <w:rsid w:val="007E2014"/>
    <w:rsid w:val="007E21F8"/>
    <w:rsid w:val="007E2696"/>
    <w:rsid w:val="007E3374"/>
    <w:rsid w:val="007E4F40"/>
    <w:rsid w:val="007E62DF"/>
    <w:rsid w:val="007E6A87"/>
    <w:rsid w:val="007E78BD"/>
    <w:rsid w:val="007E7E62"/>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40FF7"/>
    <w:rsid w:val="00841169"/>
    <w:rsid w:val="00843F79"/>
    <w:rsid w:val="00844032"/>
    <w:rsid w:val="008443D8"/>
    <w:rsid w:val="008445E7"/>
    <w:rsid w:val="00844854"/>
    <w:rsid w:val="00847D3A"/>
    <w:rsid w:val="00855549"/>
    <w:rsid w:val="0086032D"/>
    <w:rsid w:val="00861B3D"/>
    <w:rsid w:val="00862879"/>
    <w:rsid w:val="00865CE7"/>
    <w:rsid w:val="0086701C"/>
    <w:rsid w:val="00867262"/>
    <w:rsid w:val="00870BDD"/>
    <w:rsid w:val="008717F1"/>
    <w:rsid w:val="00873503"/>
    <w:rsid w:val="00876D05"/>
    <w:rsid w:val="00876F5C"/>
    <w:rsid w:val="00880ED3"/>
    <w:rsid w:val="00883721"/>
    <w:rsid w:val="00890137"/>
    <w:rsid w:val="008904D0"/>
    <w:rsid w:val="008924E3"/>
    <w:rsid w:val="0089270D"/>
    <w:rsid w:val="008A1DAE"/>
    <w:rsid w:val="008A247E"/>
    <w:rsid w:val="008A2C2A"/>
    <w:rsid w:val="008A35A2"/>
    <w:rsid w:val="008A3D62"/>
    <w:rsid w:val="008A6605"/>
    <w:rsid w:val="008A6A0C"/>
    <w:rsid w:val="008B183A"/>
    <w:rsid w:val="008B4B98"/>
    <w:rsid w:val="008C183F"/>
    <w:rsid w:val="008C1C95"/>
    <w:rsid w:val="008C3D9F"/>
    <w:rsid w:val="008C4122"/>
    <w:rsid w:val="008C4BD2"/>
    <w:rsid w:val="008C669E"/>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0E42"/>
    <w:rsid w:val="0093101C"/>
    <w:rsid w:val="00932777"/>
    <w:rsid w:val="0093543E"/>
    <w:rsid w:val="00937DDA"/>
    <w:rsid w:val="00937E8B"/>
    <w:rsid w:val="009460E7"/>
    <w:rsid w:val="00947483"/>
    <w:rsid w:val="00947FDB"/>
    <w:rsid w:val="00952219"/>
    <w:rsid w:val="009535CF"/>
    <w:rsid w:val="009539B0"/>
    <w:rsid w:val="00953F4A"/>
    <w:rsid w:val="009543A4"/>
    <w:rsid w:val="00955F17"/>
    <w:rsid w:val="009562D0"/>
    <w:rsid w:val="00957124"/>
    <w:rsid w:val="00960B9B"/>
    <w:rsid w:val="00960CC3"/>
    <w:rsid w:val="0096180D"/>
    <w:rsid w:val="00961E3B"/>
    <w:rsid w:val="00962360"/>
    <w:rsid w:val="009669AD"/>
    <w:rsid w:val="00966EB0"/>
    <w:rsid w:val="0096715D"/>
    <w:rsid w:val="00970115"/>
    <w:rsid w:val="00972945"/>
    <w:rsid w:val="00973C64"/>
    <w:rsid w:val="00974384"/>
    <w:rsid w:val="00974D81"/>
    <w:rsid w:val="00976903"/>
    <w:rsid w:val="00977CC2"/>
    <w:rsid w:val="00977F9C"/>
    <w:rsid w:val="00983AF5"/>
    <w:rsid w:val="00986AA9"/>
    <w:rsid w:val="00987296"/>
    <w:rsid w:val="00987B83"/>
    <w:rsid w:val="00987E66"/>
    <w:rsid w:val="00990173"/>
    <w:rsid w:val="00992244"/>
    <w:rsid w:val="00993567"/>
    <w:rsid w:val="00994CE5"/>
    <w:rsid w:val="00995A38"/>
    <w:rsid w:val="009965E1"/>
    <w:rsid w:val="009A23F7"/>
    <w:rsid w:val="009A2B2A"/>
    <w:rsid w:val="009A38DA"/>
    <w:rsid w:val="009A3F7F"/>
    <w:rsid w:val="009A4775"/>
    <w:rsid w:val="009A75C4"/>
    <w:rsid w:val="009B0897"/>
    <w:rsid w:val="009B0E59"/>
    <w:rsid w:val="009B276A"/>
    <w:rsid w:val="009B3223"/>
    <w:rsid w:val="009B4063"/>
    <w:rsid w:val="009B52E5"/>
    <w:rsid w:val="009B5C5F"/>
    <w:rsid w:val="009C0968"/>
    <w:rsid w:val="009C1354"/>
    <w:rsid w:val="009C3C0C"/>
    <w:rsid w:val="009C3CDC"/>
    <w:rsid w:val="009C5ADA"/>
    <w:rsid w:val="009C6214"/>
    <w:rsid w:val="009C77BF"/>
    <w:rsid w:val="009D02ED"/>
    <w:rsid w:val="009D1D56"/>
    <w:rsid w:val="009D1EB8"/>
    <w:rsid w:val="009D2922"/>
    <w:rsid w:val="009D422B"/>
    <w:rsid w:val="009D49AA"/>
    <w:rsid w:val="009D4FBB"/>
    <w:rsid w:val="009D7602"/>
    <w:rsid w:val="009E3151"/>
    <w:rsid w:val="009E680B"/>
    <w:rsid w:val="009F1902"/>
    <w:rsid w:val="009F3187"/>
    <w:rsid w:val="009F4086"/>
    <w:rsid w:val="009F4F44"/>
    <w:rsid w:val="009F65B8"/>
    <w:rsid w:val="009F7239"/>
    <w:rsid w:val="00A0249B"/>
    <w:rsid w:val="00A0479E"/>
    <w:rsid w:val="00A05C88"/>
    <w:rsid w:val="00A07644"/>
    <w:rsid w:val="00A11761"/>
    <w:rsid w:val="00A11ECD"/>
    <w:rsid w:val="00A12BE0"/>
    <w:rsid w:val="00A137EF"/>
    <w:rsid w:val="00A13A0D"/>
    <w:rsid w:val="00A14083"/>
    <w:rsid w:val="00A144F8"/>
    <w:rsid w:val="00A1592C"/>
    <w:rsid w:val="00A15A1F"/>
    <w:rsid w:val="00A166AB"/>
    <w:rsid w:val="00A16F4B"/>
    <w:rsid w:val="00A17B57"/>
    <w:rsid w:val="00A240EE"/>
    <w:rsid w:val="00A25B7F"/>
    <w:rsid w:val="00A264CE"/>
    <w:rsid w:val="00A3050E"/>
    <w:rsid w:val="00A305B3"/>
    <w:rsid w:val="00A32C40"/>
    <w:rsid w:val="00A3325A"/>
    <w:rsid w:val="00A4094A"/>
    <w:rsid w:val="00A41A05"/>
    <w:rsid w:val="00A426B6"/>
    <w:rsid w:val="00A426BE"/>
    <w:rsid w:val="00A526EF"/>
    <w:rsid w:val="00A53E97"/>
    <w:rsid w:val="00A54F81"/>
    <w:rsid w:val="00A60794"/>
    <w:rsid w:val="00A611A1"/>
    <w:rsid w:val="00A611CE"/>
    <w:rsid w:val="00A614C6"/>
    <w:rsid w:val="00A7018B"/>
    <w:rsid w:val="00A70A7A"/>
    <w:rsid w:val="00A71410"/>
    <w:rsid w:val="00A74AE2"/>
    <w:rsid w:val="00A756BB"/>
    <w:rsid w:val="00A77B63"/>
    <w:rsid w:val="00A80975"/>
    <w:rsid w:val="00A80F87"/>
    <w:rsid w:val="00A8249A"/>
    <w:rsid w:val="00A85968"/>
    <w:rsid w:val="00A866E2"/>
    <w:rsid w:val="00A879B5"/>
    <w:rsid w:val="00A90153"/>
    <w:rsid w:val="00A90FB2"/>
    <w:rsid w:val="00A922F5"/>
    <w:rsid w:val="00A9270F"/>
    <w:rsid w:val="00A96317"/>
    <w:rsid w:val="00A9690E"/>
    <w:rsid w:val="00A9779D"/>
    <w:rsid w:val="00AA276F"/>
    <w:rsid w:val="00AA32D3"/>
    <w:rsid w:val="00AA4327"/>
    <w:rsid w:val="00AA5560"/>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5A5"/>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831"/>
    <w:rsid w:val="00B0269C"/>
    <w:rsid w:val="00B02E55"/>
    <w:rsid w:val="00B03527"/>
    <w:rsid w:val="00B0389A"/>
    <w:rsid w:val="00B0538C"/>
    <w:rsid w:val="00B05610"/>
    <w:rsid w:val="00B06D4E"/>
    <w:rsid w:val="00B119ED"/>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9E1"/>
    <w:rsid w:val="00B91264"/>
    <w:rsid w:val="00B916C2"/>
    <w:rsid w:val="00B94316"/>
    <w:rsid w:val="00B956ED"/>
    <w:rsid w:val="00B95E5A"/>
    <w:rsid w:val="00B96E71"/>
    <w:rsid w:val="00B97C95"/>
    <w:rsid w:val="00BA02F9"/>
    <w:rsid w:val="00BA164A"/>
    <w:rsid w:val="00BA30D0"/>
    <w:rsid w:val="00BA31F9"/>
    <w:rsid w:val="00BA3317"/>
    <w:rsid w:val="00BA3FDA"/>
    <w:rsid w:val="00BA4313"/>
    <w:rsid w:val="00BA4784"/>
    <w:rsid w:val="00BA478F"/>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FC8"/>
    <w:rsid w:val="00BC7ABB"/>
    <w:rsid w:val="00BD079D"/>
    <w:rsid w:val="00BD2A8E"/>
    <w:rsid w:val="00BD3051"/>
    <w:rsid w:val="00BD38BB"/>
    <w:rsid w:val="00BD4879"/>
    <w:rsid w:val="00BD50F7"/>
    <w:rsid w:val="00BD674E"/>
    <w:rsid w:val="00BE10A8"/>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066A3"/>
    <w:rsid w:val="00C130C8"/>
    <w:rsid w:val="00C13168"/>
    <w:rsid w:val="00C13F60"/>
    <w:rsid w:val="00C14404"/>
    <w:rsid w:val="00C17D6A"/>
    <w:rsid w:val="00C203C9"/>
    <w:rsid w:val="00C21776"/>
    <w:rsid w:val="00C22E43"/>
    <w:rsid w:val="00C23238"/>
    <w:rsid w:val="00C235DF"/>
    <w:rsid w:val="00C24AF5"/>
    <w:rsid w:val="00C2539E"/>
    <w:rsid w:val="00C278DE"/>
    <w:rsid w:val="00C2796B"/>
    <w:rsid w:val="00C3004B"/>
    <w:rsid w:val="00C316E1"/>
    <w:rsid w:val="00C31F4C"/>
    <w:rsid w:val="00C3209A"/>
    <w:rsid w:val="00C32ADC"/>
    <w:rsid w:val="00C34F6D"/>
    <w:rsid w:val="00C35755"/>
    <w:rsid w:val="00C41156"/>
    <w:rsid w:val="00C42E13"/>
    <w:rsid w:val="00C4427F"/>
    <w:rsid w:val="00C457BE"/>
    <w:rsid w:val="00C47DDE"/>
    <w:rsid w:val="00C50912"/>
    <w:rsid w:val="00C50FF0"/>
    <w:rsid w:val="00C56073"/>
    <w:rsid w:val="00C56678"/>
    <w:rsid w:val="00C578C1"/>
    <w:rsid w:val="00C57E04"/>
    <w:rsid w:val="00C63347"/>
    <w:rsid w:val="00C64D23"/>
    <w:rsid w:val="00C67B74"/>
    <w:rsid w:val="00C7036E"/>
    <w:rsid w:val="00C7123A"/>
    <w:rsid w:val="00C7128F"/>
    <w:rsid w:val="00C71666"/>
    <w:rsid w:val="00C7331B"/>
    <w:rsid w:val="00C74667"/>
    <w:rsid w:val="00C74D07"/>
    <w:rsid w:val="00C803FD"/>
    <w:rsid w:val="00C80EB4"/>
    <w:rsid w:val="00C8156F"/>
    <w:rsid w:val="00C86682"/>
    <w:rsid w:val="00C90846"/>
    <w:rsid w:val="00C92700"/>
    <w:rsid w:val="00C92E3F"/>
    <w:rsid w:val="00C94681"/>
    <w:rsid w:val="00CA129E"/>
    <w:rsid w:val="00CA20B5"/>
    <w:rsid w:val="00CA3562"/>
    <w:rsid w:val="00CA371D"/>
    <w:rsid w:val="00CA6681"/>
    <w:rsid w:val="00CA77AE"/>
    <w:rsid w:val="00CB0A27"/>
    <w:rsid w:val="00CB2154"/>
    <w:rsid w:val="00CB35D9"/>
    <w:rsid w:val="00CB4A8A"/>
    <w:rsid w:val="00CB60DD"/>
    <w:rsid w:val="00CB6E1F"/>
    <w:rsid w:val="00CB797E"/>
    <w:rsid w:val="00CB7E4D"/>
    <w:rsid w:val="00CC04DE"/>
    <w:rsid w:val="00CC12E7"/>
    <w:rsid w:val="00CC3F84"/>
    <w:rsid w:val="00CC6E2D"/>
    <w:rsid w:val="00CD24A8"/>
    <w:rsid w:val="00CD315A"/>
    <w:rsid w:val="00CD319A"/>
    <w:rsid w:val="00CD5502"/>
    <w:rsid w:val="00CE0526"/>
    <w:rsid w:val="00CE1ED9"/>
    <w:rsid w:val="00CE3665"/>
    <w:rsid w:val="00CE4F42"/>
    <w:rsid w:val="00CF0BB4"/>
    <w:rsid w:val="00CF110E"/>
    <w:rsid w:val="00CF1333"/>
    <w:rsid w:val="00CF1BB4"/>
    <w:rsid w:val="00CF2FF8"/>
    <w:rsid w:val="00CF3F6B"/>
    <w:rsid w:val="00CF4851"/>
    <w:rsid w:val="00CF58B7"/>
    <w:rsid w:val="00CF58D0"/>
    <w:rsid w:val="00CF5DD6"/>
    <w:rsid w:val="00D0069F"/>
    <w:rsid w:val="00D007C0"/>
    <w:rsid w:val="00D010FB"/>
    <w:rsid w:val="00D05493"/>
    <w:rsid w:val="00D11C27"/>
    <w:rsid w:val="00D13EFE"/>
    <w:rsid w:val="00D148D5"/>
    <w:rsid w:val="00D16E6A"/>
    <w:rsid w:val="00D172EA"/>
    <w:rsid w:val="00D1792B"/>
    <w:rsid w:val="00D224A1"/>
    <w:rsid w:val="00D2279D"/>
    <w:rsid w:val="00D2772A"/>
    <w:rsid w:val="00D33FC2"/>
    <w:rsid w:val="00D349ED"/>
    <w:rsid w:val="00D351C1"/>
    <w:rsid w:val="00D35E64"/>
    <w:rsid w:val="00D36CA3"/>
    <w:rsid w:val="00D40BD2"/>
    <w:rsid w:val="00D41537"/>
    <w:rsid w:val="00D4249C"/>
    <w:rsid w:val="00D428BC"/>
    <w:rsid w:val="00D44776"/>
    <w:rsid w:val="00D44CE7"/>
    <w:rsid w:val="00D45804"/>
    <w:rsid w:val="00D46BC7"/>
    <w:rsid w:val="00D47082"/>
    <w:rsid w:val="00D51245"/>
    <w:rsid w:val="00D532B8"/>
    <w:rsid w:val="00D54B6F"/>
    <w:rsid w:val="00D54E73"/>
    <w:rsid w:val="00D575A3"/>
    <w:rsid w:val="00D6028A"/>
    <w:rsid w:val="00D613A6"/>
    <w:rsid w:val="00D617A6"/>
    <w:rsid w:val="00D650EA"/>
    <w:rsid w:val="00D72C40"/>
    <w:rsid w:val="00D737C5"/>
    <w:rsid w:val="00D73835"/>
    <w:rsid w:val="00D75A0B"/>
    <w:rsid w:val="00D76F5A"/>
    <w:rsid w:val="00D7722A"/>
    <w:rsid w:val="00D80B1B"/>
    <w:rsid w:val="00D82293"/>
    <w:rsid w:val="00D8405B"/>
    <w:rsid w:val="00D84E7D"/>
    <w:rsid w:val="00D86BF0"/>
    <w:rsid w:val="00D86DCB"/>
    <w:rsid w:val="00D91BA1"/>
    <w:rsid w:val="00D92AEB"/>
    <w:rsid w:val="00D939B7"/>
    <w:rsid w:val="00D950D8"/>
    <w:rsid w:val="00D95477"/>
    <w:rsid w:val="00D959C3"/>
    <w:rsid w:val="00D961B8"/>
    <w:rsid w:val="00DA1511"/>
    <w:rsid w:val="00DA6FB8"/>
    <w:rsid w:val="00DA777A"/>
    <w:rsid w:val="00DB0188"/>
    <w:rsid w:val="00DB26A8"/>
    <w:rsid w:val="00DB3C58"/>
    <w:rsid w:val="00DB48A4"/>
    <w:rsid w:val="00DB4F9F"/>
    <w:rsid w:val="00DB5728"/>
    <w:rsid w:val="00DB5AE0"/>
    <w:rsid w:val="00DB6161"/>
    <w:rsid w:val="00DB65B9"/>
    <w:rsid w:val="00DB70FB"/>
    <w:rsid w:val="00DC0CD5"/>
    <w:rsid w:val="00DC334D"/>
    <w:rsid w:val="00DC6AAD"/>
    <w:rsid w:val="00DE165D"/>
    <w:rsid w:val="00DE2FD7"/>
    <w:rsid w:val="00DE45A3"/>
    <w:rsid w:val="00DE466D"/>
    <w:rsid w:val="00DE488C"/>
    <w:rsid w:val="00DE5EE7"/>
    <w:rsid w:val="00DF1EC1"/>
    <w:rsid w:val="00DF343E"/>
    <w:rsid w:val="00DF512E"/>
    <w:rsid w:val="00DF67C3"/>
    <w:rsid w:val="00DF6CEB"/>
    <w:rsid w:val="00E0098A"/>
    <w:rsid w:val="00E009D9"/>
    <w:rsid w:val="00E027D1"/>
    <w:rsid w:val="00E03F71"/>
    <w:rsid w:val="00E045EE"/>
    <w:rsid w:val="00E05AB5"/>
    <w:rsid w:val="00E06ED0"/>
    <w:rsid w:val="00E072F4"/>
    <w:rsid w:val="00E1082D"/>
    <w:rsid w:val="00E130CB"/>
    <w:rsid w:val="00E14934"/>
    <w:rsid w:val="00E172BE"/>
    <w:rsid w:val="00E2160E"/>
    <w:rsid w:val="00E24E02"/>
    <w:rsid w:val="00E25210"/>
    <w:rsid w:val="00E255EC"/>
    <w:rsid w:val="00E25895"/>
    <w:rsid w:val="00E30CA9"/>
    <w:rsid w:val="00E34A54"/>
    <w:rsid w:val="00E405E1"/>
    <w:rsid w:val="00E408AB"/>
    <w:rsid w:val="00E41E68"/>
    <w:rsid w:val="00E43B2D"/>
    <w:rsid w:val="00E460A6"/>
    <w:rsid w:val="00E50CB6"/>
    <w:rsid w:val="00E51920"/>
    <w:rsid w:val="00E5214C"/>
    <w:rsid w:val="00E53A58"/>
    <w:rsid w:val="00E542FA"/>
    <w:rsid w:val="00E54D26"/>
    <w:rsid w:val="00E620CC"/>
    <w:rsid w:val="00E63ADD"/>
    <w:rsid w:val="00E64120"/>
    <w:rsid w:val="00E65FA3"/>
    <w:rsid w:val="00E678CB"/>
    <w:rsid w:val="00E67D1E"/>
    <w:rsid w:val="00E707FD"/>
    <w:rsid w:val="00E710D7"/>
    <w:rsid w:val="00E71348"/>
    <w:rsid w:val="00E71657"/>
    <w:rsid w:val="00E745BB"/>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A7425"/>
    <w:rsid w:val="00EB2FE6"/>
    <w:rsid w:val="00EB3CD8"/>
    <w:rsid w:val="00EB6F5F"/>
    <w:rsid w:val="00EC39F4"/>
    <w:rsid w:val="00EC7278"/>
    <w:rsid w:val="00ED07B2"/>
    <w:rsid w:val="00ED13E9"/>
    <w:rsid w:val="00ED246E"/>
    <w:rsid w:val="00ED379C"/>
    <w:rsid w:val="00ED4D08"/>
    <w:rsid w:val="00ED5834"/>
    <w:rsid w:val="00ED6AAF"/>
    <w:rsid w:val="00ED6F53"/>
    <w:rsid w:val="00EE065C"/>
    <w:rsid w:val="00EE093B"/>
    <w:rsid w:val="00EE3926"/>
    <w:rsid w:val="00EE4C34"/>
    <w:rsid w:val="00EE5D34"/>
    <w:rsid w:val="00EE776F"/>
    <w:rsid w:val="00EF319C"/>
    <w:rsid w:val="00EF3258"/>
    <w:rsid w:val="00EF6BBB"/>
    <w:rsid w:val="00EF7C4A"/>
    <w:rsid w:val="00F00846"/>
    <w:rsid w:val="00F02496"/>
    <w:rsid w:val="00F027E4"/>
    <w:rsid w:val="00F055F1"/>
    <w:rsid w:val="00F05A46"/>
    <w:rsid w:val="00F100EB"/>
    <w:rsid w:val="00F15458"/>
    <w:rsid w:val="00F158C7"/>
    <w:rsid w:val="00F162F4"/>
    <w:rsid w:val="00F16C11"/>
    <w:rsid w:val="00F22278"/>
    <w:rsid w:val="00F2277C"/>
    <w:rsid w:val="00F24175"/>
    <w:rsid w:val="00F25246"/>
    <w:rsid w:val="00F307D6"/>
    <w:rsid w:val="00F31A8E"/>
    <w:rsid w:val="00F32C2D"/>
    <w:rsid w:val="00F33108"/>
    <w:rsid w:val="00F33A4C"/>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2CF4"/>
    <w:rsid w:val="00F53495"/>
    <w:rsid w:val="00F559F9"/>
    <w:rsid w:val="00F56168"/>
    <w:rsid w:val="00F561EE"/>
    <w:rsid w:val="00F63D66"/>
    <w:rsid w:val="00F64504"/>
    <w:rsid w:val="00F6458C"/>
    <w:rsid w:val="00F6478A"/>
    <w:rsid w:val="00F656C3"/>
    <w:rsid w:val="00F6661C"/>
    <w:rsid w:val="00F6682D"/>
    <w:rsid w:val="00F701C7"/>
    <w:rsid w:val="00F7531F"/>
    <w:rsid w:val="00F75B77"/>
    <w:rsid w:val="00F762D8"/>
    <w:rsid w:val="00F7721E"/>
    <w:rsid w:val="00F77823"/>
    <w:rsid w:val="00F77F03"/>
    <w:rsid w:val="00F77FD4"/>
    <w:rsid w:val="00F81C15"/>
    <w:rsid w:val="00F82391"/>
    <w:rsid w:val="00F8311E"/>
    <w:rsid w:val="00F8333E"/>
    <w:rsid w:val="00F858CA"/>
    <w:rsid w:val="00F87775"/>
    <w:rsid w:val="00F87E9D"/>
    <w:rsid w:val="00F9034E"/>
    <w:rsid w:val="00F916DC"/>
    <w:rsid w:val="00F94BD6"/>
    <w:rsid w:val="00F958CC"/>
    <w:rsid w:val="00F97F2F"/>
    <w:rsid w:val="00FA464E"/>
    <w:rsid w:val="00FA60EE"/>
    <w:rsid w:val="00FA7E8C"/>
    <w:rsid w:val="00FB2379"/>
    <w:rsid w:val="00FB254F"/>
    <w:rsid w:val="00FB25E5"/>
    <w:rsid w:val="00FB289E"/>
    <w:rsid w:val="00FB3848"/>
    <w:rsid w:val="00FB5293"/>
    <w:rsid w:val="00FB5446"/>
    <w:rsid w:val="00FC0D46"/>
    <w:rsid w:val="00FC10ED"/>
    <w:rsid w:val="00FC1841"/>
    <w:rsid w:val="00FC2D11"/>
    <w:rsid w:val="00FC3401"/>
    <w:rsid w:val="00FC373B"/>
    <w:rsid w:val="00FC6230"/>
    <w:rsid w:val="00FD0268"/>
    <w:rsid w:val="00FD02CE"/>
    <w:rsid w:val="00FD05BA"/>
    <w:rsid w:val="00FD0638"/>
    <w:rsid w:val="00FD0AFD"/>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E0C"/>
    <w:rsid w:val="00FF7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DE1"/>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customStyle="1" w:styleId="UnresolvedMention1">
    <w:name w:val="Unresolved Mention1"/>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A90153"/>
    <w:rPr>
      <w:sz w:val="20"/>
      <w:szCs w:val="20"/>
    </w:rPr>
  </w:style>
  <w:style w:type="character" w:customStyle="1" w:styleId="EndnoteTextChar">
    <w:name w:val="Endnote Text Char"/>
    <w:basedOn w:val="DefaultParagraphFont"/>
    <w:link w:val="EndnoteText"/>
    <w:semiHidden/>
    <w:rsid w:val="00A90153"/>
    <w:rPr>
      <w:lang w:eastAsia="en-US"/>
    </w:rPr>
  </w:style>
  <w:style w:type="character" w:customStyle="1" w:styleId="UnresolvedMention2">
    <w:name w:val="Unresolved Mention2"/>
    <w:basedOn w:val="DefaultParagraphFont"/>
    <w:uiPriority w:val="99"/>
    <w:semiHidden/>
    <w:unhideWhenUsed/>
    <w:rsid w:val="00CF110E"/>
    <w:rPr>
      <w:color w:val="605E5C"/>
      <w:shd w:val="clear" w:color="auto" w:fill="E1DFDD"/>
    </w:rPr>
  </w:style>
  <w:style w:type="character" w:customStyle="1" w:styleId="UnresolvedMention3">
    <w:name w:val="Unresolved Mention3"/>
    <w:basedOn w:val="DefaultParagraphFont"/>
    <w:uiPriority w:val="99"/>
    <w:semiHidden/>
    <w:unhideWhenUsed/>
    <w:rsid w:val="003A0226"/>
    <w:rPr>
      <w:color w:val="605E5C"/>
      <w:shd w:val="clear" w:color="auto" w:fill="E1DFDD"/>
    </w:rPr>
  </w:style>
  <w:style w:type="character" w:customStyle="1" w:styleId="UnresolvedMention4">
    <w:name w:val="Unresolved Mention4"/>
    <w:basedOn w:val="DefaultParagraphFont"/>
    <w:uiPriority w:val="99"/>
    <w:semiHidden/>
    <w:unhideWhenUsed/>
    <w:rsid w:val="00A41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0821786">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893081279">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35027360">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 w:id="214658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qs16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ice.org.uk/guidance/ng78"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england.nhs.uk/wp-content/uploads/2016/11/im2-cystic-fibrosis-patient-adherence.pdf" TargetMode="External"/><Relationship Id="rId4" Type="http://schemas.openxmlformats.org/officeDocument/2006/relationships/webSettings" Target="webSettings.xml"/><Relationship Id="rId9" Type="http://schemas.openxmlformats.org/officeDocument/2006/relationships/hyperlink" Target="https://thorax.bmj.com/content/77/5/46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1287</Words>
  <Characters>7828</Characters>
  <Application>Microsoft Office Word</Application>
  <DocSecurity>0</DocSecurity>
  <Lines>65</Lines>
  <Paragraphs>18</Paragraphs>
  <ScaleCrop>false</ScaleCrop>
  <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2023-09-14T15:01:00Z</dcterms:created>
  <dcterms:modified xsi:type="dcterms:W3CDTF">2023-09-14T15:01:00Z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2023-09-14T15:01:22Z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8be071b8-2f03-4848-a7e0-5ca6fc224e0c</vt:lpwstr>
  </property>
  <property fmtid="{D5CDD505-2E9C-101B-9397-08002B2CF9AE}" pid="8" name="MSIP_Label_c69d85d5-6d9e-4305-a294-1f636ec0f2d6_ContentBits">
    <vt:lpwstr>0</vt:lpwstr>
  </property>
</Properties>
</file>