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ED113E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45DBC404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BD15CB">
        <w:t>June 2016</w:t>
      </w:r>
    </w:p>
    <w:p w14:paraId="06BAB3FE" w14:textId="56A64F4F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F34E7F">
        <w:t>October</w:t>
      </w:r>
      <w:r w:rsidR="00BD15CB">
        <w:t xml:space="preserve"> 2020</w:t>
      </w:r>
    </w:p>
    <w:p w14:paraId="6107852F" w14:textId="6E78ECBF" w:rsidR="006F0A86" w:rsidRPr="00ED113E" w:rsidRDefault="006F0A86" w:rsidP="00ED113E">
      <w:pPr>
        <w:pStyle w:val="Heading2"/>
      </w:pPr>
      <w:r w:rsidRPr="00ED113E">
        <w:t xml:space="preserve">Indicator </w:t>
      </w:r>
      <w:r w:rsidR="00BD15CB" w:rsidRPr="00ED113E">
        <w:t>CCG53</w:t>
      </w:r>
    </w:p>
    <w:p w14:paraId="0A6C169D" w14:textId="25BCF2C7" w:rsidR="00611A1D" w:rsidRPr="00611A1D" w:rsidRDefault="00BD15CB" w:rsidP="00611A1D">
      <w:pPr>
        <w:pStyle w:val="Paragraph"/>
      </w:pPr>
      <w:r>
        <w:t>The proportion of people who have had an acute stroke whose swallowing is screened by a specially trained healthcare professional within 4 hours of admission to hospital.</w:t>
      </w:r>
    </w:p>
    <w:p w14:paraId="18778417" w14:textId="333A8E39" w:rsidR="00806B97" w:rsidRDefault="00806B97" w:rsidP="00ED113E">
      <w:pPr>
        <w:pStyle w:val="Heading2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BD15CB">
        <w:t>Clinical commissioning group indicator</w:t>
      </w:r>
      <w:r w:rsidR="00435C3B" w:rsidRPr="00BD15CB">
        <w:t>.</w:t>
      </w:r>
    </w:p>
    <w:p w14:paraId="5CBA37E8" w14:textId="6F58C6BE" w:rsidR="006F0A86" w:rsidRDefault="006F0A86" w:rsidP="00ED113E">
      <w:pPr>
        <w:pStyle w:val="Heading2"/>
        <w:rPr>
          <w:i/>
        </w:rPr>
      </w:pPr>
      <w:r w:rsidRPr="00011273">
        <w:t>Rationale</w:t>
      </w:r>
    </w:p>
    <w:p w14:paraId="6947D1B2" w14:textId="4444A973" w:rsidR="00BD15CB" w:rsidRDefault="00BD15CB" w:rsidP="00EE354D">
      <w:pPr>
        <w:pStyle w:val="Paragraph"/>
      </w:pPr>
      <w:r>
        <w:t xml:space="preserve">Swallowing difficulties can result in aspiration and reduced oral intake for people with stroke. These in turn can lead to the potentially serious complications of pneumonia, </w:t>
      </w:r>
      <w:proofErr w:type="gramStart"/>
      <w:r>
        <w:t>undernutrition</w:t>
      </w:r>
      <w:proofErr w:type="gramEnd"/>
      <w:r>
        <w:t xml:space="preserve"> and dehydration. This indicator aims to identify those individuals at risk as soon as possible, as these complications may be avoidable or reversible. </w:t>
      </w:r>
    </w:p>
    <w:p w14:paraId="69D4A75D" w14:textId="00B0ED6D" w:rsidR="00D141B1" w:rsidRDefault="00D141B1" w:rsidP="00ED113E">
      <w:pPr>
        <w:pStyle w:val="Heading2"/>
        <w:rPr>
          <w:i/>
        </w:rPr>
      </w:pPr>
      <w:r w:rsidRPr="001F2B33">
        <w:t xml:space="preserve">Source guidance </w:t>
      </w:r>
    </w:p>
    <w:p w14:paraId="31C3C5A3" w14:textId="66094C4C" w:rsidR="00044D53" w:rsidRDefault="00DA11A7" w:rsidP="00EE354D">
      <w:pPr>
        <w:pStyle w:val="Paragraph"/>
      </w:pPr>
      <w:hyperlink r:id="rId7" w:history="1">
        <w:r w:rsidR="00044D53" w:rsidRPr="0097284F">
          <w:rPr>
            <w:rStyle w:val="Hyperlink"/>
          </w:rPr>
          <w:t>Stroke and ischaemic attack in over 16s: diagnosis and initial management.</w:t>
        </w:r>
      </w:hyperlink>
      <w:r w:rsidR="00044D53" w:rsidRPr="0097284F">
        <w:t xml:space="preserve"> </w:t>
      </w:r>
      <w:hyperlink r:id="rId8" w:history="1">
        <w:r w:rsidR="00044D53" w:rsidRPr="0097284F">
          <w:rPr>
            <w:rStyle w:val="Hyperlink"/>
          </w:rPr>
          <w:t>NICE guideline NG128</w:t>
        </w:r>
      </w:hyperlink>
      <w:r w:rsidR="00044D53">
        <w:t xml:space="preserve"> (2019), recommendation 1.6.1.</w:t>
      </w:r>
    </w:p>
    <w:p w14:paraId="5D792A72" w14:textId="259B4460" w:rsidR="00044D53" w:rsidRPr="00BD6253" w:rsidRDefault="00DA11A7" w:rsidP="00EE354D">
      <w:pPr>
        <w:pStyle w:val="Paragraph"/>
      </w:pPr>
      <w:hyperlink r:id="rId9" w:history="1">
        <w:r w:rsidR="00044D53" w:rsidRPr="0097284F">
          <w:rPr>
            <w:rStyle w:val="Hyperlink"/>
          </w:rPr>
          <w:t>National clinical guideline for stroke.</w:t>
        </w:r>
      </w:hyperlink>
      <w:r w:rsidR="00044D53" w:rsidRPr="0097284F">
        <w:t xml:space="preserve"> </w:t>
      </w:r>
      <w:hyperlink r:id="rId10" w:history="1">
        <w:r w:rsidR="00044D53" w:rsidRPr="0097284F">
          <w:rPr>
            <w:rStyle w:val="Hyperlink"/>
          </w:rPr>
          <w:t>Royal College of Physicians clinical guideline</w:t>
        </w:r>
      </w:hyperlink>
      <w:r w:rsidR="00044D53">
        <w:t xml:space="preserve"> (2016)</w:t>
      </w:r>
      <w:r w:rsidR="005437D0">
        <w:t>, recommendation 4.16.1.A (NICE accredited guideline)</w:t>
      </w:r>
    </w:p>
    <w:p w14:paraId="05AD89C4" w14:textId="77777777" w:rsidR="00D141B1" w:rsidRDefault="00D141B1" w:rsidP="00ED113E">
      <w:pPr>
        <w:pStyle w:val="Heading2"/>
      </w:pPr>
      <w:r>
        <w:t xml:space="preserve">Specification </w:t>
      </w:r>
    </w:p>
    <w:p w14:paraId="4B62A813" w14:textId="11F66107" w:rsidR="0009195D" w:rsidRPr="005437D0" w:rsidRDefault="00D141B1" w:rsidP="00EE354D">
      <w:pPr>
        <w:pStyle w:val="Paragraph"/>
        <w:rPr>
          <w:highlight w:val="cyan"/>
        </w:rPr>
      </w:pPr>
      <w:r>
        <w:t xml:space="preserve">Numerator: </w:t>
      </w:r>
      <w:r w:rsidR="005437D0">
        <w:t xml:space="preserve">The number </w:t>
      </w:r>
      <w:r w:rsidR="005354A2">
        <w:t xml:space="preserve">of patients </w:t>
      </w:r>
      <w:r w:rsidR="005437D0">
        <w:t xml:space="preserve">in the denominator </w:t>
      </w:r>
      <w:r w:rsidR="005354A2">
        <w:t>in whom</w:t>
      </w:r>
      <w:r w:rsidR="005437D0">
        <w:t xml:space="preserve"> swallowing is screened within 4 hours of admission (or within 4 hours of onset of stroke for those patients who are already in hospital at the time of the stroke) by a </w:t>
      </w:r>
      <w:r w:rsidR="005437D0">
        <w:lastRenderedPageBreak/>
        <w:t xml:space="preserve">healthcare professional trained in dysphagia screening, before being given any food, </w:t>
      </w:r>
      <w:proofErr w:type="gramStart"/>
      <w:r w:rsidR="005437D0">
        <w:t>fluid</w:t>
      </w:r>
      <w:proofErr w:type="gramEnd"/>
      <w:r w:rsidR="005437D0">
        <w:t xml:space="preserve"> or medication orally.</w:t>
      </w:r>
    </w:p>
    <w:p w14:paraId="06B62F8F" w14:textId="7F0F6BC1" w:rsidR="00D141B1" w:rsidRDefault="00D141B1" w:rsidP="00EE354D">
      <w:pPr>
        <w:pStyle w:val="Paragraph"/>
      </w:pPr>
      <w:r>
        <w:t xml:space="preserve">Denominator: </w:t>
      </w:r>
      <w:r w:rsidR="005354A2">
        <w:t>The number of stroke patients admitted to hospital.</w:t>
      </w:r>
    </w:p>
    <w:p w14:paraId="04501E11" w14:textId="1C111F25" w:rsidR="0009195D" w:rsidRDefault="0009195D" w:rsidP="00EE354D">
      <w:pPr>
        <w:pStyle w:val="Paragraph"/>
      </w:pPr>
      <w:r>
        <w:t>Calculation:</w:t>
      </w:r>
      <w:r w:rsidR="005437D0">
        <w:t xml:space="preserve"> </w:t>
      </w:r>
      <w:r w:rsidRPr="005437D0">
        <w:t>(Numerator/</w:t>
      </w:r>
      <w:proofErr w:type="gramStart"/>
      <w:r w:rsidRPr="005437D0">
        <w:t>denominator)*</w:t>
      </w:r>
      <w:proofErr w:type="gramEnd"/>
      <w:r w:rsidRPr="005437D0">
        <w:t>100</w:t>
      </w:r>
    </w:p>
    <w:p w14:paraId="234E1DFC" w14:textId="77777777" w:rsidR="005354A2" w:rsidRDefault="00D141B1" w:rsidP="00EE354D">
      <w:pPr>
        <w:pStyle w:val="Paragraph"/>
      </w:pPr>
      <w:r>
        <w:t xml:space="preserve">Exclusions: </w:t>
      </w:r>
    </w:p>
    <w:p w14:paraId="200701E0" w14:textId="3F96D954" w:rsidR="00D141B1" w:rsidRDefault="005437D0" w:rsidP="005354A2">
      <w:pPr>
        <w:pStyle w:val="Paragraph"/>
        <w:numPr>
          <w:ilvl w:val="0"/>
          <w:numId w:val="39"/>
        </w:numPr>
      </w:pPr>
      <w:r>
        <w:t xml:space="preserve">Patients with </w:t>
      </w:r>
      <w:r w:rsidR="005354A2">
        <w:t>an impaired level of</w:t>
      </w:r>
      <w:r>
        <w:t xml:space="preserve"> consciousness.</w:t>
      </w:r>
      <w:r w:rsidR="00DF45AD">
        <w:t xml:space="preserve"> </w:t>
      </w:r>
    </w:p>
    <w:p w14:paraId="191C48F4" w14:textId="61DD3A38" w:rsidR="005354A2" w:rsidRDefault="005354A2" w:rsidP="005354A2">
      <w:pPr>
        <w:pStyle w:val="Paragraph"/>
        <w:numPr>
          <w:ilvl w:val="0"/>
          <w:numId w:val="39"/>
        </w:numPr>
      </w:pPr>
      <w:r>
        <w:t>Patients who refuse screening.</w:t>
      </w:r>
    </w:p>
    <w:p w14:paraId="0D2624A5" w14:textId="16F00C2F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11" w:history="1">
        <w:r w:rsidR="005437D0" w:rsidRPr="0097284F">
          <w:rPr>
            <w:rStyle w:val="Hyperlink"/>
          </w:rPr>
          <w:t>Sentinel Stroke National Audit Programme.</w:t>
        </w:r>
      </w:hyperlink>
      <w:r>
        <w:t xml:space="preserve"> </w:t>
      </w:r>
    </w:p>
    <w:p w14:paraId="15239063" w14:textId="4131EBF4" w:rsidR="00706451" w:rsidRDefault="00706451" w:rsidP="00EE354D">
      <w:pPr>
        <w:pStyle w:val="Paragraph"/>
      </w:pPr>
      <w:r>
        <w:t xml:space="preserve">Minimum population: </w:t>
      </w:r>
      <w:r w:rsidR="000D5395" w:rsidRPr="005437D0">
        <w:t xml:space="preserve">The indicator would be appropriate </w:t>
      </w:r>
      <w:r w:rsidR="00391F4B" w:rsidRPr="005437D0">
        <w:t>to assess performance of individual CCGs</w:t>
      </w:r>
      <w:r w:rsidR="000D5395" w:rsidRPr="005437D0">
        <w:t>.</w:t>
      </w:r>
    </w:p>
    <w:p w14:paraId="129ECA00" w14:textId="65691789" w:rsidR="0009195D" w:rsidRPr="0009195D" w:rsidRDefault="0009195D" w:rsidP="00ED113E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2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70895" w14:textId="77777777" w:rsidR="00DA11A7" w:rsidRDefault="00DA11A7" w:rsidP="00446BEE">
      <w:r>
        <w:separator/>
      </w:r>
    </w:p>
  </w:endnote>
  <w:endnote w:type="continuationSeparator" w:id="0">
    <w:p w14:paraId="3C844BE6" w14:textId="77777777" w:rsidR="00DA11A7" w:rsidRDefault="00DA11A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F9E92" w14:textId="77777777" w:rsidR="00A62DCD" w:rsidRDefault="00A62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3D4DAF1D" w:rsidR="00245B12" w:rsidRPr="00EA7F52" w:rsidRDefault="00D141B1" w:rsidP="00D141B1">
    <w:pPr>
      <w:pStyle w:val="Footer"/>
    </w:pPr>
    <w:r>
      <w:t xml:space="preserve">NICE indicator guidance: </w:t>
    </w:r>
    <w:r w:rsidR="002942E7">
      <w:t>CCG53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8B949" w14:textId="77777777" w:rsidR="00A62DCD" w:rsidRDefault="00A62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4961B" w14:textId="77777777" w:rsidR="00DA11A7" w:rsidRDefault="00DA11A7" w:rsidP="00446BEE">
      <w:r>
        <w:separator/>
      </w:r>
    </w:p>
  </w:footnote>
  <w:footnote w:type="continuationSeparator" w:id="0">
    <w:p w14:paraId="71D05419" w14:textId="77777777" w:rsidR="00DA11A7" w:rsidRDefault="00DA11A7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E1721" w14:textId="77777777" w:rsidR="00A62DCD" w:rsidRDefault="00A62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EF9F4" w14:textId="77777777" w:rsidR="00A62DCD" w:rsidRDefault="00A62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54881" w14:textId="77777777" w:rsidR="00A62DCD" w:rsidRDefault="00A62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6E002B3"/>
    <w:multiLevelType w:val="hybridMultilevel"/>
    <w:tmpl w:val="6D7A7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3"/>
  </w:num>
  <w:num w:numId="21">
    <w:abstractNumId w:val="14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5"/>
  </w:num>
  <w:num w:numId="30">
    <w:abstractNumId w:val="16"/>
  </w:num>
  <w:num w:numId="31">
    <w:abstractNumId w:val="12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4D53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942E7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06118"/>
    <w:rsid w:val="00511E0F"/>
    <w:rsid w:val="005122BC"/>
    <w:rsid w:val="00512DA2"/>
    <w:rsid w:val="00515295"/>
    <w:rsid w:val="00521BB3"/>
    <w:rsid w:val="005224A9"/>
    <w:rsid w:val="005309E5"/>
    <w:rsid w:val="005312F6"/>
    <w:rsid w:val="005354A2"/>
    <w:rsid w:val="005437D0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84F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62DCD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15CB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11A7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579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113E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4E7F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ED113E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ED113E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2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28" TargetMode="External"/><Relationship Id="rId12" Type="http://schemas.openxmlformats.org/officeDocument/2006/relationships/hyperlink" Target="https://www.nice.org.uk/Standards-and-Indicators/inde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rokeaudit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trokeaudit.org/Guideline/Full-Guideline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rokeaudit.org/Guideline/Full-Guideline.asp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2020-08-10T13:36:00Z</dcterms:created>
  <dcterms:modified xsi:type="dcterms:W3CDTF">2020-11-04T14:53:00Z</dcterms:modified>
</cp:coreProperties>
</file>