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FF1D" w14:textId="60BC6AD2" w:rsidR="00E202F5" w:rsidRPr="004E0704" w:rsidRDefault="004E0704" w:rsidP="004E0704">
      <w:pPr>
        <w:pStyle w:val="Heading1"/>
        <w:jc w:val="center"/>
      </w:pPr>
      <w:r w:rsidRPr="004E0704">
        <w:t>National Institute for Health and Care Excellence i</w:t>
      </w:r>
      <w:r w:rsidR="00126C3F" w:rsidRPr="004E0704">
        <w:t>ndicator guidance</w:t>
      </w:r>
    </w:p>
    <w:p w14:paraId="47C90B13" w14:textId="077EF27C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DC2F3A">
        <w:t>August 2010</w:t>
      </w:r>
      <w:r w:rsidR="00B9259B">
        <w:t>.</w:t>
      </w:r>
    </w:p>
    <w:p w14:paraId="06BAB3FE" w14:textId="2C2946C1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DC2F3A">
        <w:t>May 2021</w:t>
      </w:r>
      <w:r w:rsidR="00B9259B">
        <w:t>.</w:t>
      </w:r>
    </w:p>
    <w:p w14:paraId="6107852F" w14:textId="240DE191" w:rsidR="006F0A86" w:rsidRPr="00586C3E" w:rsidRDefault="006F0A86" w:rsidP="00586C3E">
      <w:pPr>
        <w:pStyle w:val="Heading2"/>
        <w:rPr>
          <w:i w:val="0"/>
          <w:iCs w:val="0"/>
        </w:rPr>
      </w:pPr>
      <w:r w:rsidRPr="00586C3E">
        <w:rPr>
          <w:i w:val="0"/>
          <w:iCs w:val="0"/>
        </w:rPr>
        <w:t xml:space="preserve">Indicator </w:t>
      </w:r>
      <w:r w:rsidR="00DC2F3A" w:rsidRPr="00586C3E">
        <w:rPr>
          <w:i w:val="0"/>
          <w:iCs w:val="0"/>
        </w:rPr>
        <w:t>NM02</w:t>
      </w:r>
    </w:p>
    <w:p w14:paraId="0A6C169D" w14:textId="61D11213" w:rsidR="00611A1D" w:rsidRPr="00611A1D" w:rsidRDefault="00DC2F3A" w:rsidP="00611A1D">
      <w:pPr>
        <w:pStyle w:val="Paragraph"/>
      </w:pPr>
      <w:r w:rsidRPr="00DC2F3A">
        <w:t>The percentage of patients with diabetes, on the register, in whom the last blood pressure reading (measured in the preceding 12 months) is 140/80 mmHg or less</w:t>
      </w:r>
      <w:r w:rsidR="00D77154">
        <w:t>.</w:t>
      </w:r>
    </w:p>
    <w:p w14:paraId="18778417" w14:textId="333A8E39" w:rsidR="00806B97" w:rsidRPr="00586C3E" w:rsidRDefault="00806B97" w:rsidP="00586C3E">
      <w:pPr>
        <w:pStyle w:val="Heading2"/>
        <w:rPr>
          <w:i w:val="0"/>
          <w:iCs w:val="0"/>
        </w:rPr>
      </w:pPr>
      <w:r w:rsidRPr="00586C3E">
        <w:rPr>
          <w:i w:val="0"/>
          <w:iCs w:val="0"/>
        </w:rPr>
        <w:t xml:space="preserve">Indicator type </w:t>
      </w:r>
    </w:p>
    <w:p w14:paraId="1F16E37E" w14:textId="54E70293" w:rsidR="00F6535D" w:rsidRPr="00DC2F3A" w:rsidRDefault="001C31E9" w:rsidP="008E7A29">
      <w:pPr>
        <w:pStyle w:val="Paragraph"/>
      </w:pPr>
      <w:r w:rsidRPr="00DC2F3A">
        <w:t>General practice indicator suitable for use in the Quality and Outcomes Framework.</w:t>
      </w:r>
    </w:p>
    <w:p w14:paraId="5CBA37E8" w14:textId="6F58C6BE" w:rsidR="006F0A86" w:rsidRPr="00586C3E" w:rsidRDefault="006F0A86" w:rsidP="00586C3E">
      <w:pPr>
        <w:pStyle w:val="Heading2"/>
        <w:rPr>
          <w:i w:val="0"/>
          <w:iCs w:val="0"/>
        </w:rPr>
      </w:pPr>
      <w:r w:rsidRPr="00586C3E">
        <w:rPr>
          <w:i w:val="0"/>
          <w:iCs w:val="0"/>
        </w:rPr>
        <w:t>Rationale</w:t>
      </w:r>
    </w:p>
    <w:p w14:paraId="7CF88807" w14:textId="485B2521" w:rsidR="00DC5A0F" w:rsidRDefault="00DC5A0F" w:rsidP="00DC5A0F">
      <w:pPr>
        <w:pStyle w:val="Paragraph"/>
      </w:pPr>
      <w:r>
        <w:t>Blood pressure (BP) lowering in people with diabetes reduces the risk of macrovascular and microvascular disease.</w:t>
      </w:r>
      <w:r w:rsidR="00D47525">
        <w:t xml:space="preserve"> </w:t>
      </w:r>
      <w:bookmarkStart w:id="0" w:name="_Hlk73018356"/>
      <w:r w:rsidR="00D47525" w:rsidRPr="00D47525">
        <w:t xml:space="preserve">The target in this indicator </w:t>
      </w:r>
      <w:r w:rsidR="00D57993">
        <w:t>differs to</w:t>
      </w:r>
      <w:r w:rsidR="00D47525" w:rsidRPr="00D47525">
        <w:t xml:space="preserve"> the BP targets presented in the NICE guideline</w:t>
      </w:r>
      <w:r w:rsidR="00D57993">
        <w:t>s.</w:t>
      </w:r>
      <w:r w:rsidR="00D47525" w:rsidRPr="00D47525">
        <w:t xml:space="preserve"> </w:t>
      </w:r>
      <w:proofErr w:type="gramStart"/>
      <w:r w:rsidR="00D47525" w:rsidRPr="00D47525">
        <w:t>For the purpose of</w:t>
      </w:r>
      <w:proofErr w:type="gramEnd"/>
      <w:r w:rsidR="00D47525" w:rsidRPr="00D47525">
        <w:t xml:space="preserve"> a pay-for-performance indicator </w:t>
      </w:r>
      <w:r w:rsidR="000F699F">
        <w:t xml:space="preserve">that does not differentiate between type 1 or type 2 diabetes, </w:t>
      </w:r>
      <w:r w:rsidR="00D57993">
        <w:t xml:space="preserve">or age, </w:t>
      </w:r>
      <w:r w:rsidR="00D47525" w:rsidRPr="00D47525">
        <w:t>a BP target level of 140/80 mmHg or less has been used.</w:t>
      </w:r>
      <w:bookmarkEnd w:id="0"/>
    </w:p>
    <w:p w14:paraId="69D4A75D" w14:textId="00B0ED6D" w:rsidR="00D141B1" w:rsidRPr="00586C3E" w:rsidRDefault="00D141B1" w:rsidP="00586C3E">
      <w:pPr>
        <w:pStyle w:val="Heading2"/>
        <w:rPr>
          <w:i w:val="0"/>
          <w:iCs w:val="0"/>
        </w:rPr>
      </w:pPr>
      <w:r w:rsidRPr="00586C3E">
        <w:rPr>
          <w:i w:val="0"/>
          <w:iCs w:val="0"/>
        </w:rPr>
        <w:t xml:space="preserve">Source guidance </w:t>
      </w:r>
    </w:p>
    <w:p w14:paraId="3B0D878C" w14:textId="0D4888C4" w:rsidR="00DC5A0F" w:rsidRDefault="00DB0945" w:rsidP="00DC5A0F">
      <w:pPr>
        <w:pStyle w:val="Paragraph"/>
      </w:pPr>
      <w:hyperlink r:id="rId7" w:history="1">
        <w:r w:rsidR="00DC5A0F" w:rsidRPr="00DC5A0F">
          <w:rPr>
            <w:rStyle w:val="Hyperlink"/>
          </w:rPr>
          <w:t>Type 1 diabetes in adults: diagnosis and management</w:t>
        </w:r>
      </w:hyperlink>
      <w:r w:rsidR="00DC5A0F">
        <w:t xml:space="preserve"> (201</w:t>
      </w:r>
      <w:r w:rsidR="00A541A7">
        <w:t>5, updated 2020</w:t>
      </w:r>
      <w:r w:rsidR="00DC5A0F">
        <w:t>) NICE guideline 17, recommendation 1.13.8.</w:t>
      </w:r>
    </w:p>
    <w:p w14:paraId="700D855C" w14:textId="01F505FF" w:rsidR="00DC5A0F" w:rsidRPr="00BD6253" w:rsidRDefault="00DB0945" w:rsidP="00DC5A0F">
      <w:pPr>
        <w:pStyle w:val="Paragraph"/>
      </w:pPr>
      <w:hyperlink r:id="rId8" w:history="1">
        <w:r w:rsidR="00DC5A0F" w:rsidRPr="00DC5A0F">
          <w:rPr>
            <w:rStyle w:val="Hyperlink"/>
          </w:rPr>
          <w:t>Hypertension in adults: diagnosis and management</w:t>
        </w:r>
      </w:hyperlink>
      <w:r w:rsidR="00DC5A0F">
        <w:t xml:space="preserve"> (2019) NICE guideline NG136, recommendation 1.4.20 and 1.4.21.</w:t>
      </w:r>
    </w:p>
    <w:p w14:paraId="05AD89C4" w14:textId="77777777" w:rsidR="00D141B1" w:rsidRPr="00586C3E" w:rsidRDefault="00D141B1" w:rsidP="00586C3E">
      <w:pPr>
        <w:pStyle w:val="Heading2"/>
        <w:rPr>
          <w:i w:val="0"/>
          <w:iCs w:val="0"/>
        </w:rPr>
      </w:pPr>
      <w:r w:rsidRPr="00586C3E">
        <w:rPr>
          <w:i w:val="0"/>
          <w:iCs w:val="0"/>
        </w:rPr>
        <w:t xml:space="preserve">Specification </w:t>
      </w:r>
    </w:p>
    <w:p w14:paraId="4B62A813" w14:textId="20ED3706" w:rsidR="0009195D" w:rsidRDefault="00D141B1" w:rsidP="00EE354D">
      <w:pPr>
        <w:pStyle w:val="Paragraph"/>
      </w:pPr>
      <w:r>
        <w:t xml:space="preserve">Numerator: </w:t>
      </w:r>
      <w:r w:rsidR="0009195D" w:rsidRPr="00DC5A0F">
        <w:t>The number of patients in the denominator in whom the last blood pressure reading (measured in the preceding 12 months) is 140/80 mmHg or less.</w:t>
      </w:r>
      <w:r w:rsidR="0009195D" w:rsidRPr="0009195D">
        <w:t xml:space="preserve"> </w:t>
      </w:r>
    </w:p>
    <w:p w14:paraId="2587CF8B" w14:textId="7CA9F488" w:rsidR="00DC5A0F" w:rsidRPr="00611A1D" w:rsidRDefault="00D141B1" w:rsidP="00DC5A0F">
      <w:pPr>
        <w:pStyle w:val="Paragraph"/>
      </w:pPr>
      <w:r>
        <w:lastRenderedPageBreak/>
        <w:t xml:space="preserve">Denominator: </w:t>
      </w:r>
      <w:r w:rsidR="00DC5A0F" w:rsidRPr="00DC2F3A">
        <w:t xml:space="preserve">The </w:t>
      </w:r>
      <w:r w:rsidR="00DC5A0F">
        <w:t>number</w:t>
      </w:r>
      <w:r w:rsidR="00DC5A0F" w:rsidRPr="00DC2F3A">
        <w:t xml:space="preserve"> of patients with diabetes on the register</w:t>
      </w:r>
      <w:r w:rsidR="00DC5A0F">
        <w:t>.</w:t>
      </w:r>
    </w:p>
    <w:p w14:paraId="04501E11" w14:textId="4EDBD2E0" w:rsidR="0009195D" w:rsidRDefault="0009195D" w:rsidP="00EE354D">
      <w:pPr>
        <w:pStyle w:val="Paragraph"/>
      </w:pPr>
      <w:r>
        <w:t xml:space="preserve">Calculation: </w:t>
      </w:r>
      <w:r w:rsidRPr="00DC5A0F">
        <w:t>(Numerator/</w:t>
      </w:r>
      <w:proofErr w:type="gramStart"/>
      <w:r w:rsidRPr="00DC5A0F">
        <w:t>denominator)*</w:t>
      </w:r>
      <w:proofErr w:type="gramEnd"/>
      <w:r w:rsidRPr="00DC5A0F">
        <w:t>100</w:t>
      </w:r>
    </w:p>
    <w:p w14:paraId="200701E0" w14:textId="6D50E1F3" w:rsidR="00D141B1" w:rsidRDefault="00D141B1" w:rsidP="00EE354D">
      <w:pPr>
        <w:pStyle w:val="Paragraph"/>
      </w:pPr>
      <w:r>
        <w:t xml:space="preserve">Exclusions: </w:t>
      </w:r>
      <w:r w:rsidR="005D12D3">
        <w:t xml:space="preserve">Patients under 17 years. </w:t>
      </w:r>
    </w:p>
    <w:p w14:paraId="02BD90AA" w14:textId="3309CBA7" w:rsidR="00E70DE7" w:rsidRDefault="00706451" w:rsidP="00EE354D">
      <w:pPr>
        <w:pStyle w:val="Paragraph"/>
        <w:rPr>
          <w:highlight w:val="lightGray"/>
        </w:rPr>
      </w:pPr>
      <w:r>
        <w:t xml:space="preserve">Minimum population: </w:t>
      </w:r>
      <w:r w:rsidR="000D5395" w:rsidRPr="00DC5A0F">
        <w:t xml:space="preserve">The indicator would be appropriate </w:t>
      </w:r>
      <w:r w:rsidR="00391F4B" w:rsidRPr="00DC5A0F">
        <w:t xml:space="preserve">to assess performance </w:t>
      </w:r>
      <w:r w:rsidR="003B53D0" w:rsidRPr="00DC5A0F">
        <w:t xml:space="preserve">at </w:t>
      </w:r>
      <w:r w:rsidR="00391F4B" w:rsidRPr="00DC5A0F">
        <w:t>individual</w:t>
      </w:r>
      <w:r w:rsidR="000D5395" w:rsidRPr="00DC5A0F">
        <w:t xml:space="preserve"> general practice</w:t>
      </w:r>
      <w:r w:rsidR="00391F4B" w:rsidRPr="00DC5A0F">
        <w:t xml:space="preserve"> level</w:t>
      </w:r>
      <w:r w:rsidR="000D5395" w:rsidRPr="00DC5A0F">
        <w:t xml:space="preserve">. </w:t>
      </w:r>
    </w:p>
    <w:p w14:paraId="129ECA00" w14:textId="65691789" w:rsidR="0009195D" w:rsidRPr="00586C3E" w:rsidRDefault="0009195D" w:rsidP="00586C3E">
      <w:pPr>
        <w:pStyle w:val="Heading2"/>
        <w:rPr>
          <w:i w:val="0"/>
          <w:iCs w:val="0"/>
        </w:rPr>
      </w:pPr>
      <w:r w:rsidRPr="00586C3E">
        <w:rPr>
          <w:i w:val="0"/>
          <w:iCs w:val="0"/>
        </w:rPr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0F699F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0704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86C3E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2D3"/>
    <w:rsid w:val="005D1D43"/>
    <w:rsid w:val="005D2437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1A7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259B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525"/>
    <w:rsid w:val="00D47ACD"/>
    <w:rsid w:val="00D504B3"/>
    <w:rsid w:val="00D50C58"/>
    <w:rsid w:val="00D50EB4"/>
    <w:rsid w:val="00D57993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0945"/>
    <w:rsid w:val="00DB20D9"/>
    <w:rsid w:val="00DC047A"/>
    <w:rsid w:val="00DC06BC"/>
    <w:rsid w:val="00DC28B0"/>
    <w:rsid w:val="00DC2F3A"/>
    <w:rsid w:val="00DC5A0F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2021-05-27T14:36:00Z</dcterms:created>
  <dcterms:modified xsi:type="dcterms:W3CDTF">2021-05-27T14:47:00Z</dcterms:modified>
</cp:coreProperties>
</file>