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207EBE">
      <w:pPr>
        <w:pStyle w:val="Heading1"/>
        <w:jc w:val="center"/>
      </w:pPr>
      <w:r w:rsidRPr="00697B97">
        <w:t xml:space="preserve">NICE </w:t>
      </w:r>
      <w:r w:rsidR="00126C3F">
        <w:t>indicator guidance</w:t>
      </w:r>
    </w:p>
    <w:p w14:paraId="47C90B13" w14:textId="0B5150D9" w:rsidR="00B8026E" w:rsidRDefault="00B8026E" w:rsidP="00EE354D">
      <w:pPr>
        <w:pStyle w:val="Paragraph"/>
      </w:pPr>
      <w:r>
        <w:t>Date first published on NICE menu:</w:t>
      </w:r>
      <w:r w:rsidR="00DF637B">
        <w:t xml:space="preserve"> </w:t>
      </w:r>
      <w:r w:rsidR="00EA5F03">
        <w:t>August 2016</w:t>
      </w:r>
    </w:p>
    <w:p w14:paraId="06BAB3FE" w14:textId="573809A6" w:rsidR="00B8026E" w:rsidRPr="00126C3F" w:rsidRDefault="00B8026E" w:rsidP="00EE354D">
      <w:pPr>
        <w:pStyle w:val="Paragraph"/>
        <w:rPr>
          <w:b/>
        </w:rPr>
      </w:pPr>
      <w:r>
        <w:t>Last update</w:t>
      </w:r>
      <w:r w:rsidRPr="00B8026E">
        <w:t xml:space="preserve">: </w:t>
      </w:r>
      <w:r w:rsidR="00BF4ADE">
        <w:t>October 2020</w:t>
      </w:r>
    </w:p>
    <w:p w14:paraId="4756C742" w14:textId="77777777" w:rsidR="00EA5F03" w:rsidRDefault="006F0A86" w:rsidP="00207EBE">
      <w:pPr>
        <w:pStyle w:val="Heading2"/>
      </w:pPr>
      <w:r w:rsidRPr="00126C3F">
        <w:t xml:space="preserve">Indicator </w:t>
      </w:r>
      <w:r w:rsidR="00EA5F03">
        <w:t>NM04</w:t>
      </w:r>
    </w:p>
    <w:p w14:paraId="2280F0A1" w14:textId="0E115EC7" w:rsidR="00EA5F03" w:rsidRPr="00EA5F03" w:rsidRDefault="00EA5F03" w:rsidP="00EA5F03">
      <w:pPr>
        <w:pStyle w:val="Paragraph"/>
      </w:pPr>
      <w:r w:rsidRPr="00EA5F03">
        <w:t xml:space="preserve">Percentage of patients on the </w:t>
      </w:r>
      <w:r w:rsidR="00826530">
        <w:t>l</w:t>
      </w:r>
      <w:r w:rsidRPr="00EA5F03">
        <w:t xml:space="preserve">earning </w:t>
      </w:r>
      <w:r w:rsidR="00826530">
        <w:t>d</w:t>
      </w:r>
      <w:r w:rsidRPr="00EA5F03">
        <w:t>isability register with Down's Syndrome aged 18 and over who have a record of blood TSH in the previous 15 months (excluding those who are on the thyroid disease register).</w:t>
      </w:r>
    </w:p>
    <w:p w14:paraId="18778417" w14:textId="2A716EE2" w:rsidR="00806B97" w:rsidRDefault="00806B97" w:rsidP="00207EBE">
      <w:pPr>
        <w:pStyle w:val="Heading2"/>
      </w:pPr>
      <w:r w:rsidRPr="00806B97">
        <w:t xml:space="preserve">Indicator type </w:t>
      </w:r>
    </w:p>
    <w:p w14:paraId="3D5A927A" w14:textId="0F2DA540" w:rsidR="00450612" w:rsidRPr="00EA5F03" w:rsidRDefault="00450612" w:rsidP="00F6535D">
      <w:pPr>
        <w:pStyle w:val="Paragraph"/>
      </w:pPr>
      <w:r w:rsidRPr="00EA5F03">
        <w:t xml:space="preserve">General practice indicator for use outside the Quality and Outcomes Framework. </w:t>
      </w:r>
      <w:r w:rsidR="00CD66DE" w:rsidRPr="00CD66DE">
        <w:t>Assessment of available data highlights that the average population size per practice is less than 20 patients.</w:t>
      </w:r>
    </w:p>
    <w:p w14:paraId="5CBA37E8" w14:textId="6F58C6BE" w:rsidR="006F0A86" w:rsidRDefault="006F0A86" w:rsidP="00207EBE">
      <w:pPr>
        <w:pStyle w:val="Heading2"/>
        <w:rPr>
          <w:i/>
        </w:rPr>
      </w:pPr>
      <w:r w:rsidRPr="00011273">
        <w:t>Rationale</w:t>
      </w:r>
    </w:p>
    <w:p w14:paraId="6EFFAA47" w14:textId="74E9F6DA" w:rsidR="006F0A86" w:rsidRDefault="00EA5F03" w:rsidP="00EA5F03">
      <w:pPr>
        <w:pStyle w:val="Paragraph"/>
      </w:pPr>
      <w:r>
        <w:t xml:space="preserve">Children and adults with Down’s syndrome are at increased risk of thyroid dysfunction, particularly hypothyroidism, compared with the general population, and the incidence of thyroid dysfunction increases with age. The indicator supports identification </w:t>
      </w:r>
      <w:r w:rsidR="008F474E">
        <w:t xml:space="preserve">of thyroid dysfunction among patients </w:t>
      </w:r>
      <w:r w:rsidR="00A653A7" w:rsidRPr="008F474E">
        <w:t>with Down's Syndrome</w:t>
      </w:r>
      <w:r w:rsidR="00A653A7">
        <w:t xml:space="preserve"> </w:t>
      </w:r>
      <w:r w:rsidR="008F474E">
        <w:t xml:space="preserve">on </w:t>
      </w:r>
      <w:r w:rsidR="008F474E" w:rsidRPr="008F474E">
        <w:t>Learning Disability register</w:t>
      </w:r>
      <w:r w:rsidR="008F474E">
        <w:t>.</w:t>
      </w:r>
    </w:p>
    <w:p w14:paraId="69D4A75D" w14:textId="00B0ED6D" w:rsidR="00D141B1" w:rsidRDefault="00D141B1" w:rsidP="00207EBE">
      <w:pPr>
        <w:pStyle w:val="Heading2"/>
        <w:rPr>
          <w:i/>
        </w:rPr>
      </w:pPr>
      <w:r w:rsidRPr="001F2B33">
        <w:t xml:space="preserve">Source guidance </w:t>
      </w:r>
    </w:p>
    <w:p w14:paraId="6AF2D1B1" w14:textId="6CB6C253" w:rsidR="004C4ABD" w:rsidRPr="00BD6253" w:rsidRDefault="00D315E9" w:rsidP="00EE354D">
      <w:pPr>
        <w:pStyle w:val="Paragraph"/>
      </w:pPr>
      <w:hyperlink r:id="rId7" w:anchor="investigating-suspected-thyroid-dysfunction-or-thyroid-enlargement" w:history="1">
        <w:r w:rsidR="00A653A7" w:rsidRPr="00A653A7">
          <w:rPr>
            <w:rStyle w:val="Hyperlink"/>
          </w:rPr>
          <w:t>Thyroid disease: assessment and management. NICE guideline NG145</w:t>
        </w:r>
      </w:hyperlink>
      <w:r w:rsidR="00A653A7">
        <w:t xml:space="preserve"> (2019), recommendation 1.2.1</w:t>
      </w:r>
    </w:p>
    <w:p w14:paraId="05AD89C4" w14:textId="77777777" w:rsidR="00D141B1" w:rsidRDefault="00D141B1" w:rsidP="00207EBE">
      <w:pPr>
        <w:pStyle w:val="Heading2"/>
      </w:pPr>
      <w:r>
        <w:t xml:space="preserve">Specification </w:t>
      </w:r>
    </w:p>
    <w:p w14:paraId="4B62A813" w14:textId="5D0C84CE" w:rsidR="0009195D" w:rsidRDefault="00D141B1" w:rsidP="00EE354D">
      <w:pPr>
        <w:pStyle w:val="Paragraph"/>
      </w:pPr>
      <w:r>
        <w:t xml:space="preserve">Numerator: </w:t>
      </w:r>
      <w:r w:rsidR="0009195D" w:rsidRPr="00826530">
        <w:t xml:space="preserve"> The number of patients in the denominator </w:t>
      </w:r>
      <w:r w:rsidR="00826530">
        <w:t xml:space="preserve">with </w:t>
      </w:r>
      <w:r w:rsidR="00826530" w:rsidRPr="00826530">
        <w:t>a record of blood TSH in the previous 15 months</w:t>
      </w:r>
      <w:r w:rsidR="0009195D">
        <w:t>.</w:t>
      </w:r>
      <w:r w:rsidR="0009195D" w:rsidRPr="0009195D">
        <w:t xml:space="preserve"> </w:t>
      </w:r>
    </w:p>
    <w:p w14:paraId="06B62F8F" w14:textId="0F53D5F9" w:rsidR="00D141B1" w:rsidRDefault="00D141B1" w:rsidP="00EE354D">
      <w:pPr>
        <w:pStyle w:val="Paragraph"/>
      </w:pPr>
      <w:r>
        <w:lastRenderedPageBreak/>
        <w:t xml:space="preserve">Denominator: </w:t>
      </w:r>
      <w:r w:rsidR="00826530">
        <w:t>The number of patients on the learning disability register with Down’s syndrome aged 18 and over.</w:t>
      </w:r>
    </w:p>
    <w:p w14:paraId="04501E11" w14:textId="365AFE09" w:rsidR="0009195D" w:rsidRDefault="0009195D" w:rsidP="00EE354D">
      <w:pPr>
        <w:pStyle w:val="Paragraph"/>
      </w:pPr>
      <w:r>
        <w:t>Calculation</w:t>
      </w:r>
      <w:r w:rsidRPr="00826530">
        <w:t xml:space="preserve">: </w:t>
      </w:r>
      <w:r w:rsidR="00E277B7">
        <w:t>(</w:t>
      </w:r>
      <w:r w:rsidRPr="00826530">
        <w:t>Numerator/</w:t>
      </w:r>
      <w:proofErr w:type="gramStart"/>
      <w:r w:rsidRPr="00826530">
        <w:t>denominator</w:t>
      </w:r>
      <w:r w:rsidR="00E277B7">
        <w:t>)</w:t>
      </w:r>
      <w:r w:rsidRPr="00826530">
        <w:t>*</w:t>
      </w:r>
      <w:proofErr w:type="gramEnd"/>
      <w:r w:rsidRPr="00826530">
        <w:t>100</w:t>
      </w:r>
    </w:p>
    <w:p w14:paraId="200701E0" w14:textId="0694CEE3" w:rsidR="00D141B1" w:rsidRDefault="00D141B1" w:rsidP="00EE354D">
      <w:pPr>
        <w:pStyle w:val="Paragraph"/>
      </w:pPr>
      <w:r>
        <w:t xml:space="preserve">Exclusions: </w:t>
      </w:r>
      <w:r w:rsidR="00826530">
        <w:t xml:space="preserve">Patients on the thyroid disease register. </w:t>
      </w:r>
    </w:p>
    <w:p w14:paraId="15239063" w14:textId="6856FF4C" w:rsidR="00706451" w:rsidRDefault="00706451" w:rsidP="00EE354D">
      <w:pPr>
        <w:pStyle w:val="Paragraph"/>
      </w:pPr>
      <w:r>
        <w:t xml:space="preserve">Minimum population: </w:t>
      </w:r>
      <w:r w:rsidR="00CD66DE" w:rsidRPr="00CD66DE">
        <w:t>The indicator would be appropriate to assess performance of collaborations or networks of GP practices serving populations of around 30,000 to 50,000.</w:t>
      </w:r>
    </w:p>
    <w:p w14:paraId="129ECA00" w14:textId="65691789" w:rsidR="0009195D" w:rsidRPr="0009195D" w:rsidRDefault="0009195D" w:rsidP="00207EBE">
      <w:pPr>
        <w:pStyle w:val="Heading2"/>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E1352" w14:textId="77777777" w:rsidR="00D315E9" w:rsidRDefault="00D315E9" w:rsidP="00446BEE">
      <w:r>
        <w:separator/>
      </w:r>
    </w:p>
  </w:endnote>
  <w:endnote w:type="continuationSeparator" w:id="0">
    <w:p w14:paraId="06727F6A" w14:textId="77777777" w:rsidR="00D315E9" w:rsidRDefault="00D315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5A1C07C1" w:rsidR="00245B12" w:rsidRPr="00EA7F52" w:rsidRDefault="00D141B1" w:rsidP="00D141B1">
    <w:pPr>
      <w:pStyle w:val="Footer"/>
    </w:pPr>
    <w:r>
      <w:t xml:space="preserve">NICE indicator guidance: </w:t>
    </w:r>
    <w:r w:rsidR="006E716F">
      <w:t>NM04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393F9" w14:textId="77777777" w:rsidR="00D315E9" w:rsidRDefault="00D315E9" w:rsidP="00446BEE">
      <w:r>
        <w:separator/>
      </w:r>
    </w:p>
  </w:footnote>
  <w:footnote w:type="continuationSeparator" w:id="0">
    <w:p w14:paraId="4407374A" w14:textId="77777777" w:rsidR="00D315E9" w:rsidRDefault="00D315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07EBE"/>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25D0"/>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E716F"/>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26530"/>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474E"/>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653A7"/>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9EF"/>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4ADE"/>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66DE"/>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15E9"/>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277B7"/>
    <w:rsid w:val="00E33001"/>
    <w:rsid w:val="00E338B1"/>
    <w:rsid w:val="00E37339"/>
    <w:rsid w:val="00E41AA3"/>
    <w:rsid w:val="00E51920"/>
    <w:rsid w:val="00E64120"/>
    <w:rsid w:val="00E660A1"/>
    <w:rsid w:val="00E74036"/>
    <w:rsid w:val="00E83609"/>
    <w:rsid w:val="00E84C88"/>
    <w:rsid w:val="00E86111"/>
    <w:rsid w:val="00E87113"/>
    <w:rsid w:val="00EA45ED"/>
    <w:rsid w:val="00EA5F03"/>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74E9E"/>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207EBE"/>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07EBE"/>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ng145/chapter/Recommend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2020-10-26T14:53:00Z</dcterms:created>
  <dcterms:modified xsi:type="dcterms:W3CDTF">2020-11-02T13:45:00Z</dcterms:modified>
</cp:coreProperties>
</file>