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9B68763" w:rsidR="00B8026E" w:rsidRDefault="00B8026E" w:rsidP="00B8026E">
      <w:pPr>
        <w:pStyle w:val="NICEnormal"/>
      </w:pPr>
      <w:r>
        <w:t>Date first published on NICE menu:</w:t>
      </w:r>
      <w:r w:rsidR="00DF637B">
        <w:t xml:space="preserve"> </w:t>
      </w:r>
      <w:r w:rsidR="008E70C4">
        <w:t>August 2010</w:t>
      </w:r>
    </w:p>
    <w:p w14:paraId="06BAB3FE" w14:textId="60463A33" w:rsidR="00B8026E" w:rsidRPr="00126C3F" w:rsidRDefault="00B8026E" w:rsidP="00B8026E">
      <w:pPr>
        <w:pStyle w:val="NICEnormal"/>
        <w:rPr>
          <w:b/>
        </w:rPr>
      </w:pPr>
      <w:r>
        <w:t>Last update</w:t>
      </w:r>
      <w:r w:rsidRPr="00B8026E">
        <w:t xml:space="preserve">: </w:t>
      </w:r>
      <w:r w:rsidR="004115CC">
        <w:t xml:space="preserve">October </w:t>
      </w:r>
      <w:r w:rsidR="00F63E37">
        <w:t>2020</w:t>
      </w:r>
    </w:p>
    <w:p w14:paraId="6107852F" w14:textId="2474C26A" w:rsidR="006F0A86" w:rsidRDefault="006F0A86" w:rsidP="00126C3F">
      <w:pPr>
        <w:pStyle w:val="Heading1"/>
      </w:pPr>
      <w:r w:rsidRPr="00126C3F">
        <w:t xml:space="preserve">Indicator </w:t>
      </w:r>
      <w:r w:rsidR="00956C51">
        <w:t>NM09</w:t>
      </w:r>
    </w:p>
    <w:p w14:paraId="0A6C169D" w14:textId="161818AD" w:rsidR="00611A1D" w:rsidRPr="00611A1D" w:rsidRDefault="00956C51" w:rsidP="00611A1D">
      <w:pPr>
        <w:pStyle w:val="Paragraph"/>
      </w:pPr>
      <w:r w:rsidRPr="00956C51">
        <w:t>The percentage of patients with a new diagnosis of dementia recorded in the preceding 1 April to 31 March with a record of FBC, calcium, glucose, renal and liver function, thyroid function tests, serum vitamin B12 and folate levels recorded between 6 months before or after entering on to the register</w:t>
      </w:r>
      <w:r w:rsidR="00931C2E">
        <w:t>.</w:t>
      </w:r>
    </w:p>
    <w:p w14:paraId="18778417" w14:textId="333A8E39" w:rsidR="00806B97" w:rsidRDefault="00806B97" w:rsidP="00806B97">
      <w:pPr>
        <w:pStyle w:val="Heading1"/>
      </w:pPr>
      <w:r w:rsidRPr="00806B97">
        <w:t xml:space="preserve">Indicator type </w:t>
      </w:r>
    </w:p>
    <w:p w14:paraId="3D5A927A" w14:textId="67E948F4" w:rsidR="00450612" w:rsidRDefault="00450612" w:rsidP="00F6535D">
      <w:pPr>
        <w:pStyle w:val="Paragraph"/>
        <w:rPr>
          <w:highlight w:val="cyan"/>
        </w:rPr>
      </w:pPr>
      <w:r w:rsidRPr="00956C51">
        <w:t xml:space="preserve">General practice indicator for use outside the Quality and Outcomes Framework. </w:t>
      </w:r>
    </w:p>
    <w:p w14:paraId="283A9370" w14:textId="2E3EC351" w:rsidR="00056AE0" w:rsidRPr="00056AE0" w:rsidRDefault="00056AE0" w:rsidP="00F6535D">
      <w:pPr>
        <w:pStyle w:val="Paragraph"/>
      </w:pPr>
      <w:r>
        <w:t>Corresponding QOF indicator DEM005 was retired from the QOF in 2019 as data showed average numbers of eligible patients per practice to be less than 20 per year.</w:t>
      </w:r>
    </w:p>
    <w:p w14:paraId="5CBA37E8" w14:textId="1B47D3F1" w:rsidR="006F0A86" w:rsidRDefault="006F0A86" w:rsidP="00126C3F">
      <w:pPr>
        <w:pStyle w:val="Heading1"/>
        <w:rPr>
          <w:i/>
        </w:rPr>
      </w:pPr>
      <w:r w:rsidRPr="00011273">
        <w:t>Rationale</w:t>
      </w:r>
    </w:p>
    <w:p w14:paraId="3BD706B6" w14:textId="5B86AF7C" w:rsidR="00450CC9" w:rsidRDefault="00450CC9" w:rsidP="00880B5D">
      <w:pPr>
        <w:pStyle w:val="NICEnormal"/>
        <w:spacing w:before="240"/>
      </w:pPr>
      <w:r>
        <w:t>This indicator supports identification of dementia and differentiating from other causes of cognitive impairment, for example, delirium, depression, side effects of medication and medical conditions such as hypothyroidism. It also supports ongoing medical management, including prescription of relevant medication and management of physical comorbidities.</w:t>
      </w:r>
    </w:p>
    <w:p w14:paraId="69D4A75D" w14:textId="77777777" w:rsidR="00D141B1" w:rsidRDefault="00D141B1" w:rsidP="00D141B1">
      <w:pPr>
        <w:pStyle w:val="Heading1"/>
        <w:rPr>
          <w:i/>
        </w:rPr>
      </w:pPr>
      <w:r w:rsidRPr="001F2B33">
        <w:t xml:space="preserve">Source guidance </w:t>
      </w:r>
    </w:p>
    <w:p w14:paraId="1E259BBD" w14:textId="05B70707" w:rsidR="00D141B1" w:rsidRPr="00BD6253" w:rsidRDefault="006B712E" w:rsidP="00880B5D">
      <w:pPr>
        <w:pStyle w:val="NICEnormal"/>
        <w:spacing w:before="240"/>
      </w:pPr>
      <w:hyperlink r:id="rId7" w:history="1">
        <w:r w:rsidR="009B71E0">
          <w:rPr>
            <w:rStyle w:val="Hyperlink"/>
          </w:rPr>
          <w:t xml:space="preserve">Dementia: assessment, management and support for people living with dementia and their </w:t>
        </w:r>
        <w:proofErr w:type="spellStart"/>
        <w:r w:rsidR="009B71E0">
          <w:rPr>
            <w:rStyle w:val="Hyperlink"/>
          </w:rPr>
          <w:t>carers</w:t>
        </w:r>
        <w:proofErr w:type="spellEnd"/>
        <w:r w:rsidR="009B71E0">
          <w:rPr>
            <w:rStyle w:val="Hyperlink"/>
          </w:rPr>
          <w:t>. NICE guideline NG97</w:t>
        </w:r>
      </w:hyperlink>
      <w:r w:rsidR="00450CC9" w:rsidRPr="00AF2CCF">
        <w:t xml:space="preserve"> </w:t>
      </w:r>
      <w:r w:rsidR="00D141B1" w:rsidRPr="00AF2CCF">
        <w:t>(</w:t>
      </w:r>
      <w:r w:rsidR="00AF2CCF" w:rsidRPr="00AF2CCF">
        <w:t>2018</w:t>
      </w:r>
      <w:r w:rsidR="00D141B1" w:rsidRPr="00BD6253">
        <w:t>), recommendation</w:t>
      </w:r>
      <w:r w:rsidR="00AF2CCF">
        <w:t>s 1.2.2, 1.2.6, 1.6.1, 1.7.1 to 1.7.7</w:t>
      </w:r>
      <w:r w:rsidR="00D141B1" w:rsidRPr="00BD6253">
        <w:t>.</w:t>
      </w:r>
    </w:p>
    <w:p w14:paraId="05AD89C4" w14:textId="77777777" w:rsidR="00D141B1" w:rsidRDefault="00D141B1" w:rsidP="00126C3F">
      <w:pPr>
        <w:pStyle w:val="Heading1"/>
      </w:pPr>
      <w:r>
        <w:lastRenderedPageBreak/>
        <w:t xml:space="preserve">Specification </w:t>
      </w:r>
    </w:p>
    <w:p w14:paraId="4B62A813" w14:textId="6B417B1F" w:rsidR="0009195D" w:rsidRDefault="00D141B1" w:rsidP="00880B5D">
      <w:pPr>
        <w:pStyle w:val="NICEnormal"/>
        <w:spacing w:before="240"/>
      </w:pPr>
      <w:r w:rsidRPr="00450CC9">
        <w:t xml:space="preserve">Numerator: </w:t>
      </w:r>
      <w:r w:rsidR="0009195D" w:rsidRPr="00450CC9">
        <w:t xml:space="preserve">The number of patients in the denominator </w:t>
      </w:r>
      <w:r w:rsidR="00450CC9" w:rsidRPr="00450CC9">
        <w:t>with a record of FBC, calcium, glucose, renal and liver function, thyroid function tests, serum vitamin B12 and folate levels recorded between 6 months before or after entering on to the register</w:t>
      </w:r>
      <w:r w:rsidR="0009195D" w:rsidRPr="00450CC9">
        <w:t>.</w:t>
      </w:r>
      <w:r w:rsidR="0009195D" w:rsidRPr="0009195D">
        <w:t xml:space="preserve"> </w:t>
      </w:r>
    </w:p>
    <w:p w14:paraId="06B62F8F" w14:textId="018A112B" w:rsidR="00D141B1" w:rsidRDefault="00D141B1" w:rsidP="00D141B1">
      <w:pPr>
        <w:pStyle w:val="NICEnormal"/>
      </w:pPr>
      <w:r w:rsidRPr="00450CC9">
        <w:t xml:space="preserve">Denominator: </w:t>
      </w:r>
      <w:r w:rsidR="002B0BA6" w:rsidRPr="00450CC9">
        <w:t xml:space="preserve">The number of patients </w:t>
      </w:r>
      <w:r w:rsidR="00450CC9" w:rsidRPr="00450CC9">
        <w:t>with a new diagnosis of dementia recorded in the preceding 1 April to 31 March</w:t>
      </w:r>
      <w:r w:rsidR="002B0BA6" w:rsidRPr="00450CC9">
        <w:t>.</w:t>
      </w:r>
    </w:p>
    <w:p w14:paraId="04501E11" w14:textId="06DB6469" w:rsidR="0009195D" w:rsidRDefault="0009195D" w:rsidP="00D141B1">
      <w:pPr>
        <w:pStyle w:val="NICEnormal"/>
      </w:pPr>
      <w:r>
        <w:t xml:space="preserve">Calculation: </w:t>
      </w:r>
      <w:r w:rsidRPr="00450CC9">
        <w:t>(Numerator/</w:t>
      </w:r>
      <w:proofErr w:type="gramStart"/>
      <w:r w:rsidRPr="00450CC9">
        <w:t>denominator)*</w:t>
      </w:r>
      <w:proofErr w:type="gramEnd"/>
      <w:r w:rsidRPr="00450CC9">
        <w:t>100</w:t>
      </w:r>
    </w:p>
    <w:p w14:paraId="200701E0" w14:textId="5052A42A" w:rsidR="00D141B1" w:rsidRDefault="00D141B1" w:rsidP="00D141B1">
      <w:pPr>
        <w:pStyle w:val="NICEnormal"/>
      </w:pPr>
      <w:r>
        <w:t xml:space="preserve">Exclusions: </w:t>
      </w:r>
      <w:r w:rsidR="00952793">
        <w:t>None</w:t>
      </w:r>
    </w:p>
    <w:p w14:paraId="15239063" w14:textId="17EE9299" w:rsidR="00706451" w:rsidRDefault="00706451" w:rsidP="00D141B1">
      <w:pPr>
        <w:pStyle w:val="NICEnormal"/>
      </w:pPr>
      <w:r>
        <w:t xml:space="preserve">Minimum population: </w:t>
      </w:r>
      <w:r w:rsidR="000D5395" w:rsidRPr="00880B5D">
        <w:t xml:space="preserve">The indicator would be appropriate </w:t>
      </w:r>
      <w:r w:rsidR="00391F4B" w:rsidRPr="00880B5D">
        <w:t xml:space="preserve">to assess performance of </w:t>
      </w:r>
      <w:r w:rsidR="000D5395" w:rsidRPr="00880B5D">
        <w:t xml:space="preserve">collaborations or networks </w:t>
      </w:r>
      <w:r w:rsidR="00292F85" w:rsidRPr="00880B5D">
        <w:t xml:space="preserve">of GP practices </w:t>
      </w:r>
      <w:r w:rsidR="000D5395" w:rsidRPr="00880B5D">
        <w:t xml:space="preserve">serving populations of </w:t>
      </w:r>
      <w:r w:rsidR="00EE0E05" w:rsidRPr="00880B5D">
        <w:t>around</w:t>
      </w:r>
      <w:r w:rsidR="000D5395" w:rsidRPr="00880B5D">
        <w:t xml:space="preserve"> 30,000 to 50,000.</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880B5D">
      <w:pPr>
        <w:pStyle w:val="NICEnormal"/>
        <w:spacing w:before="240"/>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434F4B02" w:rsidR="00245B12" w:rsidRPr="00EA7F52" w:rsidRDefault="00D141B1" w:rsidP="00D141B1">
    <w:pPr>
      <w:pStyle w:val="Footer"/>
    </w:pPr>
    <w:r>
      <w:t xml:space="preserve">NICE indicator guidance: </w:t>
    </w:r>
    <w:r w:rsidR="00054946">
      <w:t>NM09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B80E89"/>
    <w:multiLevelType w:val="hybridMultilevel"/>
    <w:tmpl w:val="4AE2428E"/>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A2EC9"/>
    <w:multiLevelType w:val="hybridMultilevel"/>
    <w:tmpl w:val="3FBEC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9"/>
  </w:num>
  <w:num w:numId="27">
    <w:abstractNumId w:val="28"/>
  </w:num>
  <w:num w:numId="28">
    <w:abstractNumId w:val="31"/>
  </w:num>
  <w:num w:numId="29">
    <w:abstractNumId w:val="14"/>
  </w:num>
  <w:num w:numId="30">
    <w:abstractNumId w:val="15"/>
  </w:num>
  <w:num w:numId="31">
    <w:abstractNumId w:val="11"/>
  </w:num>
  <w:num w:numId="32">
    <w:abstractNumId w:val="26"/>
  </w:num>
  <w:num w:numId="33">
    <w:abstractNumId w:val="30"/>
  </w:num>
  <w:num w:numId="34">
    <w:abstractNumId w:val="19"/>
  </w:num>
  <w:num w:numId="35">
    <w:abstractNumId w:val="10"/>
  </w:num>
  <w:num w:numId="36">
    <w:abstractNumId w:val="23"/>
  </w:num>
  <w:num w:numId="37">
    <w:abstractNumId w:val="24"/>
  </w:num>
  <w:num w:numId="38">
    <w:abstractNumId w:val="22"/>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0A75"/>
    <w:rsid w:val="000518F4"/>
    <w:rsid w:val="00054946"/>
    <w:rsid w:val="00056AE0"/>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A7DCE"/>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15CC"/>
    <w:rsid w:val="00412C67"/>
    <w:rsid w:val="00415E3E"/>
    <w:rsid w:val="00417A17"/>
    <w:rsid w:val="00420952"/>
    <w:rsid w:val="0043025C"/>
    <w:rsid w:val="00430B24"/>
    <w:rsid w:val="0043268D"/>
    <w:rsid w:val="00433AAB"/>
    <w:rsid w:val="00434024"/>
    <w:rsid w:val="00434E6A"/>
    <w:rsid w:val="00436977"/>
    <w:rsid w:val="0044093B"/>
    <w:rsid w:val="00443C7B"/>
    <w:rsid w:val="00446BEE"/>
    <w:rsid w:val="00450284"/>
    <w:rsid w:val="00450612"/>
    <w:rsid w:val="00450CC9"/>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578B0"/>
    <w:rsid w:val="005652AD"/>
    <w:rsid w:val="00565EE6"/>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12E"/>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2C68"/>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0B5D"/>
    <w:rsid w:val="008814FB"/>
    <w:rsid w:val="00884895"/>
    <w:rsid w:val="00891C26"/>
    <w:rsid w:val="00893BF2"/>
    <w:rsid w:val="008A50EC"/>
    <w:rsid w:val="008A6036"/>
    <w:rsid w:val="008B5FAE"/>
    <w:rsid w:val="008C1650"/>
    <w:rsid w:val="008D36D5"/>
    <w:rsid w:val="008E09B9"/>
    <w:rsid w:val="008E6DAD"/>
    <w:rsid w:val="008E70C4"/>
    <w:rsid w:val="008F5E30"/>
    <w:rsid w:val="009018F5"/>
    <w:rsid w:val="009027D5"/>
    <w:rsid w:val="0090299C"/>
    <w:rsid w:val="00914D7F"/>
    <w:rsid w:val="0091747A"/>
    <w:rsid w:val="00922271"/>
    <w:rsid w:val="009233EA"/>
    <w:rsid w:val="00926564"/>
    <w:rsid w:val="00926B7A"/>
    <w:rsid w:val="00931C2E"/>
    <w:rsid w:val="00933BF9"/>
    <w:rsid w:val="009442DC"/>
    <w:rsid w:val="0094450D"/>
    <w:rsid w:val="00947BD5"/>
    <w:rsid w:val="00947BDA"/>
    <w:rsid w:val="0095065B"/>
    <w:rsid w:val="00952793"/>
    <w:rsid w:val="00952977"/>
    <w:rsid w:val="00955DF7"/>
    <w:rsid w:val="00956C51"/>
    <w:rsid w:val="009607DA"/>
    <w:rsid w:val="009609A6"/>
    <w:rsid w:val="009619DE"/>
    <w:rsid w:val="00961FA9"/>
    <w:rsid w:val="00963B89"/>
    <w:rsid w:val="009729A4"/>
    <w:rsid w:val="00975E10"/>
    <w:rsid w:val="0098788C"/>
    <w:rsid w:val="00993DD3"/>
    <w:rsid w:val="00994DDF"/>
    <w:rsid w:val="009B71E0"/>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2E1B"/>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2CCF"/>
    <w:rsid w:val="00AF39C5"/>
    <w:rsid w:val="00AF4E0B"/>
    <w:rsid w:val="00AF6E62"/>
    <w:rsid w:val="00AF7D11"/>
    <w:rsid w:val="00B00BE5"/>
    <w:rsid w:val="00B01D8F"/>
    <w:rsid w:val="00B02E55"/>
    <w:rsid w:val="00B036C1"/>
    <w:rsid w:val="00B15469"/>
    <w:rsid w:val="00B17B0B"/>
    <w:rsid w:val="00B22F24"/>
    <w:rsid w:val="00B236FF"/>
    <w:rsid w:val="00B24724"/>
    <w:rsid w:val="00B2706C"/>
    <w:rsid w:val="00B30421"/>
    <w:rsid w:val="00B32F6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949AC"/>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14567"/>
    <w:rsid w:val="00F35DD0"/>
    <w:rsid w:val="00F362B0"/>
    <w:rsid w:val="00F472B7"/>
    <w:rsid w:val="00F546AA"/>
    <w:rsid w:val="00F553DE"/>
    <w:rsid w:val="00F56D0B"/>
    <w:rsid w:val="00F610AF"/>
    <w:rsid w:val="00F63E37"/>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rsid w:val="00A81422"/>
    <w:rPr>
      <w:sz w:val="20"/>
      <w:szCs w:val="20"/>
    </w:rPr>
  </w:style>
  <w:style w:type="character" w:customStyle="1" w:styleId="FootnoteTextChar">
    <w:name w:val="Footnote Text Char"/>
    <w:basedOn w:val="DefaultParagraphFont"/>
    <w:link w:val="FootnoteText"/>
    <w:rsid w:val="00A81422"/>
  </w:style>
  <w:style w:type="character" w:styleId="FootnoteReference">
    <w:name w:val="footnote reference"/>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 w:type="paragraph" w:customStyle="1" w:styleId="Bulletparagraph">
    <w:name w:val="Bullet (paragraph)"/>
    <w:basedOn w:val="Bulletleft1"/>
    <w:rsid w:val="00F14567"/>
    <w:pPr>
      <w:numPr>
        <w:numId w:val="39"/>
      </w:numPr>
      <w:spacing w:line="276"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6114">
      <w:bodyDiv w:val="1"/>
      <w:marLeft w:val="0"/>
      <w:marRight w:val="0"/>
      <w:marTop w:val="0"/>
      <w:marBottom w:val="0"/>
      <w:divBdr>
        <w:top w:val="none" w:sz="0" w:space="0" w:color="auto"/>
        <w:left w:val="none" w:sz="0" w:space="0" w:color="auto"/>
        <w:bottom w:val="none" w:sz="0" w:space="0" w:color="auto"/>
        <w:right w:val="none" w:sz="0" w:space="0" w:color="auto"/>
      </w:divBdr>
    </w:div>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124503">
      <w:bodyDiv w:val="1"/>
      <w:marLeft w:val="0"/>
      <w:marRight w:val="0"/>
      <w:marTop w:val="0"/>
      <w:marBottom w:val="0"/>
      <w:divBdr>
        <w:top w:val="none" w:sz="0" w:space="0" w:color="auto"/>
        <w:left w:val="none" w:sz="0" w:space="0" w:color="auto"/>
        <w:bottom w:val="none" w:sz="0" w:space="0" w:color="auto"/>
        <w:right w:val="none" w:sz="0" w:space="0" w:color="auto"/>
      </w:divBdr>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23148">
      <w:bodyDiv w:val="1"/>
      <w:marLeft w:val="0"/>
      <w:marRight w:val="0"/>
      <w:marTop w:val="0"/>
      <w:marBottom w:val="0"/>
      <w:divBdr>
        <w:top w:val="none" w:sz="0" w:space="0" w:color="auto"/>
        <w:left w:val="none" w:sz="0" w:space="0" w:color="auto"/>
        <w:bottom w:val="none" w:sz="0" w:space="0" w:color="auto"/>
        <w:right w:val="none" w:sz="0" w:space="0" w:color="auto"/>
      </w:divBdr>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076854181">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2020-10-26T15:51:00Z</dcterms:created>
  <dcterms:modified xsi:type="dcterms:W3CDTF">2020-10-26T15:51:00Z</dcterms:modified>
</cp:coreProperties>
</file>