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59EED8EF" w:rsidR="00B8026E" w:rsidRDefault="00B8026E" w:rsidP="00EE354D">
      <w:pPr>
        <w:pStyle w:val="Paragraph"/>
      </w:pPr>
      <w:r>
        <w:t>Date first published on NICE menu:</w:t>
      </w:r>
      <w:r w:rsidR="00DF637B">
        <w:t xml:space="preserve"> </w:t>
      </w:r>
      <w:r w:rsidR="00AF5ADF">
        <w:t>August 2015</w:t>
      </w:r>
    </w:p>
    <w:p w14:paraId="06BAB3FE" w14:textId="1DDE6F7F" w:rsidR="00B8026E" w:rsidRPr="00126C3F" w:rsidRDefault="00B8026E" w:rsidP="00EE354D">
      <w:pPr>
        <w:pStyle w:val="Paragraph"/>
        <w:rPr>
          <w:b/>
        </w:rPr>
      </w:pPr>
      <w:r>
        <w:t>Last update</w:t>
      </w:r>
      <w:r w:rsidRPr="00B8026E">
        <w:t xml:space="preserve">: </w:t>
      </w:r>
      <w:r w:rsidR="009F1479">
        <w:t xml:space="preserve">October </w:t>
      </w:r>
      <w:r w:rsidR="00AF5ADF">
        <w:t>2020</w:t>
      </w:r>
    </w:p>
    <w:p w14:paraId="6107852F" w14:textId="61DD6634" w:rsidR="006F0A86" w:rsidRDefault="006F0A86" w:rsidP="00126C3F">
      <w:pPr>
        <w:pStyle w:val="Heading1"/>
      </w:pPr>
      <w:r w:rsidRPr="00126C3F">
        <w:t xml:space="preserve">Indicator </w:t>
      </w:r>
      <w:r w:rsidR="00AF5ADF">
        <w:t>NM10</w:t>
      </w:r>
      <w:r w:rsidR="003E0DAC">
        <w:t>7</w:t>
      </w:r>
    </w:p>
    <w:p w14:paraId="0A6C169D" w14:textId="5A86F9C7" w:rsidR="00611A1D" w:rsidRDefault="00AF5ADF" w:rsidP="00611A1D">
      <w:pPr>
        <w:pStyle w:val="Paragraph"/>
      </w:pPr>
      <w:r>
        <w:t xml:space="preserve">The percentage of patients </w:t>
      </w:r>
      <w:r w:rsidR="003E0DAC">
        <w:t>diagnosed with dementia whose care plan has been reviewed in a face-to-face review in the preceding 12 months</w:t>
      </w:r>
      <w:r w:rsidR="007B0946">
        <w:t>.</w:t>
      </w:r>
    </w:p>
    <w:p w14:paraId="18778417" w14:textId="333A8E39" w:rsidR="00806B97" w:rsidRDefault="00806B97" w:rsidP="00806B97">
      <w:pPr>
        <w:pStyle w:val="Heading1"/>
      </w:pPr>
      <w:r w:rsidRPr="00806B97">
        <w:t xml:space="preserve">Indicator type </w:t>
      </w:r>
    </w:p>
    <w:p w14:paraId="1F16E37E" w14:textId="54E70293" w:rsidR="00F6535D" w:rsidRPr="00AF5ADF" w:rsidRDefault="001C31E9" w:rsidP="008E7A29">
      <w:pPr>
        <w:pStyle w:val="Paragraph"/>
      </w:pPr>
      <w:r w:rsidRPr="00AF5ADF">
        <w:t>General practice indicator suitable for use in the Quality and Outcomes Framework.</w:t>
      </w:r>
    </w:p>
    <w:p w14:paraId="5CBA37E8" w14:textId="6F58C6BE" w:rsidR="006F0A86" w:rsidRDefault="006F0A86" w:rsidP="00126C3F">
      <w:pPr>
        <w:pStyle w:val="Heading1"/>
        <w:rPr>
          <w:i/>
        </w:rPr>
      </w:pPr>
      <w:r w:rsidRPr="00011273">
        <w:t>Rationale</w:t>
      </w:r>
    </w:p>
    <w:p w14:paraId="6EFFAA47" w14:textId="25093509" w:rsidR="006F0A86" w:rsidRDefault="00AF5ADF" w:rsidP="00EE354D">
      <w:pPr>
        <w:pStyle w:val="Paragraph"/>
      </w:pPr>
      <w:r>
        <w:t xml:space="preserve">This indicator </w:t>
      </w:r>
      <w:r w:rsidR="003E0DAC">
        <w:t xml:space="preserve">measures the percentage of people with dementia who have an annual face-to-face review of their care plan with an aim to encourage the coordinated delivery of health and social care services for people with dementia. Care plans should be agreed with health and social services for people who have dementia and there should be formal reviews at agreed frequencies. Regular review is important because the needs of a person with dementia and his or her carers may change over time. A 12-month timeframe has been selected for this indicator in line with the frequency for review of social care plans recommended by the </w:t>
      </w:r>
      <w:hyperlink r:id="rId7" w:history="1">
        <w:r w:rsidR="003E0DAC" w:rsidRPr="003E0DAC">
          <w:rPr>
            <w:rStyle w:val="Hyperlink"/>
          </w:rPr>
          <w:t xml:space="preserve">Department of Health in the report Prioritising need in </w:t>
        </w:r>
        <w:r w:rsidR="003E0DAC">
          <w:rPr>
            <w:rStyle w:val="Hyperlink"/>
          </w:rPr>
          <w:t xml:space="preserve">the </w:t>
        </w:r>
        <w:r w:rsidR="003E0DAC" w:rsidRPr="003E0DAC">
          <w:rPr>
            <w:rStyle w:val="Hyperlink"/>
          </w:rPr>
          <w:t>context of Putting People First</w:t>
        </w:r>
      </w:hyperlink>
      <w:r w:rsidR="003E0DAC">
        <w:t xml:space="preserve"> (2010). A face-to-face review</w:t>
      </w:r>
      <w:r w:rsidR="00B35CED">
        <w:t xml:space="preserve"> allows primary care practitioners to fully assess the changing needs of people with dementia and their </w:t>
      </w:r>
      <w:proofErr w:type="spellStart"/>
      <w:r w:rsidR="00B35CED">
        <w:t>carers</w:t>
      </w:r>
      <w:proofErr w:type="spellEnd"/>
      <w:r w:rsidR="00B35CED">
        <w:t xml:space="preserve"> and ensure that coordination between health and social services is achieved.</w:t>
      </w:r>
    </w:p>
    <w:p w14:paraId="69D4A75D" w14:textId="00B0ED6D" w:rsidR="00D141B1" w:rsidRDefault="00D141B1" w:rsidP="00D141B1">
      <w:pPr>
        <w:pStyle w:val="Heading1"/>
        <w:rPr>
          <w:i/>
        </w:rPr>
      </w:pPr>
      <w:r w:rsidRPr="001F2B33">
        <w:lastRenderedPageBreak/>
        <w:t xml:space="preserve">Source guidance </w:t>
      </w:r>
    </w:p>
    <w:p w14:paraId="7FCA8501" w14:textId="2A99CFED" w:rsidR="00B35CED" w:rsidRDefault="003A40D2" w:rsidP="00EE354D">
      <w:pPr>
        <w:pStyle w:val="Paragraph"/>
      </w:pPr>
      <w:hyperlink r:id="rId8" w:history="1">
        <w:r w:rsidR="004E6078" w:rsidRPr="004E6078">
          <w:rPr>
            <w:rStyle w:val="Hyperlink"/>
          </w:rPr>
          <w:t xml:space="preserve">Dementia: assessment, management and support for people living with dementia and their </w:t>
        </w:r>
        <w:proofErr w:type="spellStart"/>
        <w:r w:rsidR="004E6078" w:rsidRPr="004E6078">
          <w:rPr>
            <w:rStyle w:val="Hyperlink"/>
          </w:rPr>
          <w:t>carers</w:t>
        </w:r>
        <w:proofErr w:type="spellEnd"/>
        <w:r w:rsidR="004E6078" w:rsidRPr="004E6078">
          <w:rPr>
            <w:rStyle w:val="Hyperlink"/>
          </w:rPr>
          <w:t>.</w:t>
        </w:r>
      </w:hyperlink>
      <w:r w:rsidR="004E6078" w:rsidRPr="004E6078">
        <w:t xml:space="preserve"> </w:t>
      </w:r>
      <w:hyperlink r:id="rId9" w:history="1">
        <w:r w:rsidR="004E6078" w:rsidRPr="004E6078">
          <w:rPr>
            <w:rStyle w:val="Hyperlink"/>
          </w:rPr>
          <w:t>NICE guideline NG97</w:t>
        </w:r>
      </w:hyperlink>
      <w:r w:rsidR="00B35CED">
        <w:t xml:space="preserve"> (2018), recommendation 1.3.2.</w:t>
      </w:r>
    </w:p>
    <w:p w14:paraId="00873766" w14:textId="325BF824" w:rsidR="00B35CED" w:rsidRDefault="003A40D2" w:rsidP="00EE354D">
      <w:pPr>
        <w:pStyle w:val="Paragraph"/>
      </w:pPr>
      <w:hyperlink r:id="rId10" w:history="1">
        <w:r w:rsidR="004E6078" w:rsidRPr="004E6078">
          <w:rPr>
            <w:rStyle w:val="Hyperlink"/>
          </w:rPr>
          <w:t>The dementia care pathway: full implementation guidance.</w:t>
        </w:r>
      </w:hyperlink>
      <w:r w:rsidR="004E6078" w:rsidRPr="004E6078">
        <w:t xml:space="preserve"> </w:t>
      </w:r>
      <w:hyperlink r:id="rId11" w:history="1">
        <w:r w:rsidR="004E6078" w:rsidRPr="004E6078">
          <w:rPr>
            <w:rStyle w:val="Hyperlink"/>
          </w:rPr>
          <w:t>National Collaborating Centre for Mental Health</w:t>
        </w:r>
      </w:hyperlink>
      <w:r w:rsidR="00B35CED">
        <w:t xml:space="preserve"> (2018), section 3.2.1.</w:t>
      </w:r>
    </w:p>
    <w:p w14:paraId="5ECF1001" w14:textId="3CDF9C62" w:rsidR="00DC41DC" w:rsidRPr="00BD6253" w:rsidRDefault="003A40D2" w:rsidP="00EE354D">
      <w:pPr>
        <w:pStyle w:val="Paragraph"/>
      </w:pPr>
      <w:hyperlink r:id="rId12" w:history="1">
        <w:r w:rsidR="004E6078" w:rsidRPr="004E6078">
          <w:rPr>
            <w:rStyle w:val="Hyperlink"/>
          </w:rPr>
          <w:t>Prioritising need in the context of Putting People First: a whole system approach to eligibility for social care – guidance on eligibility criteria for adult social care, England 2010</w:t>
        </w:r>
      </w:hyperlink>
      <w:r w:rsidR="004E6078" w:rsidRPr="004E6078">
        <w:t xml:space="preserve">. </w:t>
      </w:r>
      <w:hyperlink r:id="rId13" w:history="1">
        <w:r w:rsidR="004E6078" w:rsidRPr="004E6078">
          <w:rPr>
            <w:rStyle w:val="Hyperlink"/>
          </w:rPr>
          <w:t>Department of Health</w:t>
        </w:r>
      </w:hyperlink>
      <w:r w:rsidR="00DC41DC">
        <w:t xml:space="preserve"> (2010) (archived)</w:t>
      </w:r>
    </w:p>
    <w:p w14:paraId="05AD89C4" w14:textId="77777777" w:rsidR="00D141B1" w:rsidRDefault="00D141B1" w:rsidP="00126C3F">
      <w:pPr>
        <w:pStyle w:val="Heading1"/>
      </w:pPr>
      <w:r>
        <w:t xml:space="preserve">Specification </w:t>
      </w:r>
    </w:p>
    <w:p w14:paraId="4B62A813" w14:textId="1DDA1720" w:rsidR="0009195D" w:rsidRDefault="00D141B1" w:rsidP="00EE354D">
      <w:pPr>
        <w:pStyle w:val="Paragraph"/>
      </w:pPr>
      <w:r>
        <w:t>Numerator</w:t>
      </w:r>
      <w:r w:rsidR="009C7809">
        <w:t>: The number of patients in the denominator who</w:t>
      </w:r>
      <w:r w:rsidR="001E7956">
        <w:t>se care plan has been reviewed in a face-to-face review in the preceding 12 months.</w:t>
      </w:r>
    </w:p>
    <w:p w14:paraId="06B62F8F" w14:textId="63C7571E" w:rsidR="00D141B1" w:rsidRDefault="00D141B1" w:rsidP="00EE354D">
      <w:pPr>
        <w:pStyle w:val="Paragraph"/>
      </w:pPr>
      <w:r>
        <w:t xml:space="preserve">Denominator: </w:t>
      </w:r>
      <w:r w:rsidR="009C7809">
        <w:t xml:space="preserve">The number of patients on the </w:t>
      </w:r>
      <w:r w:rsidR="001E7956">
        <w:t>dementia</w:t>
      </w:r>
      <w:r w:rsidR="009C7809">
        <w:t xml:space="preserve"> register.</w:t>
      </w:r>
    </w:p>
    <w:p w14:paraId="04501E11" w14:textId="2BA30261" w:rsidR="0009195D" w:rsidRDefault="0009195D" w:rsidP="00EE354D">
      <w:pPr>
        <w:pStyle w:val="Paragraph"/>
      </w:pPr>
      <w:r>
        <w:t>Calculation</w:t>
      </w:r>
      <w:r w:rsidRPr="009C7809">
        <w:t>: (Numerator/</w:t>
      </w:r>
      <w:proofErr w:type="gramStart"/>
      <w:r w:rsidRPr="009C7809">
        <w:t>denominator)*</w:t>
      </w:r>
      <w:proofErr w:type="gramEnd"/>
      <w:r w:rsidRPr="009C7809">
        <w:t>100</w:t>
      </w:r>
    </w:p>
    <w:p w14:paraId="200701E0" w14:textId="697F373D" w:rsidR="00D141B1" w:rsidRPr="009C7809" w:rsidRDefault="00D141B1" w:rsidP="00EE354D">
      <w:pPr>
        <w:pStyle w:val="Paragraph"/>
      </w:pPr>
      <w:r>
        <w:t xml:space="preserve">Exclusions: </w:t>
      </w:r>
      <w:r w:rsidR="00E80213">
        <w:t>None</w:t>
      </w:r>
    </w:p>
    <w:p w14:paraId="15239063" w14:textId="58DFE2C7" w:rsidR="00706451" w:rsidRDefault="00706451" w:rsidP="00EE354D">
      <w:pPr>
        <w:pStyle w:val="Paragraph"/>
      </w:pPr>
      <w:r w:rsidRPr="009C7809">
        <w:t xml:space="preserve">Minimum population: </w:t>
      </w:r>
      <w:r w:rsidR="000D5395" w:rsidRPr="009C7809">
        <w:t xml:space="preserve">The indicator would be appropriate </w:t>
      </w:r>
      <w:r w:rsidR="00391F4B" w:rsidRPr="009C7809">
        <w:t xml:space="preserve">to assess performance </w:t>
      </w:r>
      <w:r w:rsidR="003B53D0" w:rsidRPr="009C7809">
        <w:t xml:space="preserve">at </w:t>
      </w:r>
      <w:r w:rsidR="00391F4B" w:rsidRPr="009C7809">
        <w:t>individual</w:t>
      </w:r>
      <w:r w:rsidR="000D5395" w:rsidRPr="009C7809">
        <w:t xml:space="preserve"> general practice</w:t>
      </w:r>
      <w:r w:rsidR="00391F4B" w:rsidRPr="009C7809">
        <w:t xml:space="preserve"> level</w:t>
      </w:r>
      <w:r w:rsidR="000D5395" w:rsidRPr="009C7809">
        <w:t xml:space="preserve">. </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14"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46F8D604" w:rsidR="00245B12" w:rsidRPr="00EA7F52" w:rsidRDefault="00D141B1" w:rsidP="00D141B1">
    <w:pPr>
      <w:pStyle w:val="Footer"/>
    </w:pPr>
    <w:r>
      <w:t xml:space="preserve">NICE indicator guidance: </w:t>
    </w:r>
    <w:r w:rsidR="00E406B3">
      <w:t>NM10</w:t>
    </w:r>
    <w:r w:rsidR="001E7956">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6531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E7956"/>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A40D2"/>
    <w:rsid w:val="003B53D0"/>
    <w:rsid w:val="003C7AAF"/>
    <w:rsid w:val="003D61BE"/>
    <w:rsid w:val="003D6D57"/>
    <w:rsid w:val="003E0DAC"/>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078"/>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946"/>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C7809"/>
    <w:rsid w:val="009D037B"/>
    <w:rsid w:val="009D28EE"/>
    <w:rsid w:val="009D3369"/>
    <w:rsid w:val="009D400A"/>
    <w:rsid w:val="009D717F"/>
    <w:rsid w:val="009E680B"/>
    <w:rsid w:val="009F0C5C"/>
    <w:rsid w:val="009F1479"/>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5ADF"/>
    <w:rsid w:val="00AF6E62"/>
    <w:rsid w:val="00AF7D11"/>
    <w:rsid w:val="00B00BE5"/>
    <w:rsid w:val="00B01D8F"/>
    <w:rsid w:val="00B02E55"/>
    <w:rsid w:val="00B036C1"/>
    <w:rsid w:val="00B10E3B"/>
    <w:rsid w:val="00B15469"/>
    <w:rsid w:val="00B17B0B"/>
    <w:rsid w:val="00B22F24"/>
    <w:rsid w:val="00B236FF"/>
    <w:rsid w:val="00B2706C"/>
    <w:rsid w:val="00B30421"/>
    <w:rsid w:val="00B35CED"/>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C41DC"/>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06B3"/>
    <w:rsid w:val="00E41AA3"/>
    <w:rsid w:val="00E51920"/>
    <w:rsid w:val="00E64120"/>
    <w:rsid w:val="00E660A1"/>
    <w:rsid w:val="00E74036"/>
    <w:rsid w:val="00E80213"/>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97" TargetMode="External"/><Relationship Id="rId13" Type="http://schemas.openxmlformats.org/officeDocument/2006/relationships/hyperlink" Target="https://webarchive.nationalarchives.gov.uk/20130105053920/http:/www.dh.gov.uk/en/Publicationsandstatistics/Publications/PublicationsPolicyAndGuidance/DH_113154" TargetMode="External"/><Relationship Id="rId3" Type="http://schemas.openxmlformats.org/officeDocument/2006/relationships/settings" Target="settings.xml"/><Relationship Id="rId7" Type="http://schemas.openxmlformats.org/officeDocument/2006/relationships/hyperlink" Target="https://webarchive.nationalarchives.gov.uk/20130105053920/http:/www.dh.gov.uk/en/Publicationsandstatistics/Publications/PublicationsPolicyAndGuidance/DH_113154" TargetMode="External"/><Relationship Id="rId12" Type="http://schemas.openxmlformats.org/officeDocument/2006/relationships/hyperlink" Target="https://webarchive.nationalarchives.gov.uk/20130105053920/http:/www.dh.gov.uk/en/Publicationsandstatistics/Publications/PublicationsPolicyAndGuidance/DH_11315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psych.ac.uk/improving-care/nccmh/care-pathways/dementi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cpsych.ac.uk/improving-care/nccmh/care-pathways/dementia" TargetMode="External"/><Relationship Id="rId4" Type="http://schemas.openxmlformats.org/officeDocument/2006/relationships/webSettings" Target="webSettings.xml"/><Relationship Id="rId9" Type="http://schemas.openxmlformats.org/officeDocument/2006/relationships/hyperlink" Target="https://www.nice.org.uk/guidance/ng97" TargetMode="External"/><Relationship Id="rId14"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2020-10-26T17:33:00Z</dcterms:created>
  <dcterms:modified xsi:type="dcterms:W3CDTF">2020-10-26T17:33:00Z</dcterms:modified>
</cp:coreProperties>
</file>