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DB3B29">
      <w:pPr>
        <w:pStyle w:val="Heading1"/>
        <w:jc w:val="center"/>
      </w:pPr>
      <w:r w:rsidRPr="00697B97">
        <w:t xml:space="preserve">NICE </w:t>
      </w:r>
      <w:r w:rsidR="00126C3F">
        <w:t>indicator guidance</w:t>
      </w:r>
    </w:p>
    <w:p w14:paraId="47C90B13" w14:textId="6C9CC7CC" w:rsidR="00B8026E" w:rsidRDefault="00B8026E" w:rsidP="00EE354D">
      <w:pPr>
        <w:pStyle w:val="Paragraph"/>
      </w:pPr>
      <w:r>
        <w:t>Date first published on NICE menu:</w:t>
      </w:r>
      <w:r w:rsidR="00DF637B">
        <w:t xml:space="preserve"> </w:t>
      </w:r>
      <w:r w:rsidR="000C64A1">
        <w:t xml:space="preserve">August </w:t>
      </w:r>
      <w:proofErr w:type="gramStart"/>
      <w:r w:rsidR="000C64A1">
        <w:t>2015</w:t>
      </w:r>
      <w:proofErr w:type="gramEnd"/>
    </w:p>
    <w:p w14:paraId="06BAB3FE" w14:textId="5D79DC4A" w:rsidR="00B8026E" w:rsidRPr="00126C3F" w:rsidRDefault="00B8026E" w:rsidP="00EE354D">
      <w:pPr>
        <w:pStyle w:val="Paragraph"/>
        <w:rPr>
          <w:b/>
        </w:rPr>
      </w:pPr>
      <w:r w:rsidRPr="000C64A1">
        <w:t xml:space="preserve">Last update: </w:t>
      </w:r>
      <w:r w:rsidR="00FB5810">
        <w:t>June 2022</w:t>
      </w:r>
    </w:p>
    <w:p w14:paraId="6107852F" w14:textId="6D08F21B" w:rsidR="006F0A86" w:rsidRDefault="006F0A86" w:rsidP="00DB3B29">
      <w:pPr>
        <w:pStyle w:val="Heading2"/>
      </w:pPr>
      <w:r w:rsidRPr="00126C3F">
        <w:t xml:space="preserve">Indicator </w:t>
      </w:r>
      <w:r w:rsidR="00916092">
        <w:t>NM123</w:t>
      </w:r>
    </w:p>
    <w:p w14:paraId="0A6C169D" w14:textId="4C143855" w:rsidR="00611A1D" w:rsidRPr="00611A1D" w:rsidRDefault="00916092" w:rsidP="00611A1D">
      <w:pPr>
        <w:pStyle w:val="Paragraph"/>
      </w:pPr>
      <w:r w:rsidRPr="00916092">
        <w:t>The percentage of patients with a new diagnosis of depression and/or anxiety disorder in the preceding 1 April to 31 March, whose notes record an offer of referral for psychological treatment within 3 months of the date of diagnosis</w:t>
      </w:r>
      <w:r>
        <w:t>.</w:t>
      </w:r>
    </w:p>
    <w:p w14:paraId="18778417" w14:textId="333A8E39" w:rsidR="00806B97" w:rsidRDefault="00806B97" w:rsidP="00DB3B29">
      <w:pPr>
        <w:pStyle w:val="Heading2"/>
      </w:pPr>
      <w:r w:rsidRPr="00806B97">
        <w:t xml:space="preserve">Indicator type </w:t>
      </w:r>
    </w:p>
    <w:p w14:paraId="1F16E37E" w14:textId="54E70293" w:rsidR="00F6535D" w:rsidRDefault="001C31E9" w:rsidP="008E7A29">
      <w:pPr>
        <w:pStyle w:val="Paragraph"/>
        <w:rPr>
          <w:highlight w:val="lightGray"/>
        </w:rPr>
      </w:pPr>
      <w:r w:rsidRPr="00916092">
        <w:t>General practice indicator suitable for use in the Quality and Outcomes Framework.</w:t>
      </w:r>
    </w:p>
    <w:p w14:paraId="5CBA37E8" w14:textId="6F58C6BE" w:rsidR="006F0A86" w:rsidRDefault="006F0A86" w:rsidP="00DB3B29">
      <w:pPr>
        <w:pStyle w:val="Heading2"/>
        <w:rPr>
          <w:i/>
        </w:rPr>
      </w:pPr>
      <w:r w:rsidRPr="00011273">
        <w:t>Rationale</w:t>
      </w:r>
    </w:p>
    <w:p w14:paraId="4C488955" w14:textId="73D08A71" w:rsidR="00770D90" w:rsidRDefault="00770D90" w:rsidP="00C819EE">
      <w:pPr>
        <w:pStyle w:val="Paragraph"/>
      </w:pPr>
      <w:r>
        <w:t>This indicator aims to ensure that people with a new diagnosis of either depression or anxiety disorder are offered referral for psychological treatments.</w:t>
      </w:r>
      <w:r w:rsidR="00111AFF" w:rsidRPr="00111AFF">
        <w:t xml:space="preserve"> </w:t>
      </w:r>
      <w:r w:rsidR="00111AFF">
        <w:t>P</w:t>
      </w:r>
      <w:r w:rsidR="00111AFF" w:rsidRPr="00111AFF">
        <w:t xml:space="preserve">sychological interventions can be effective treatments </w:t>
      </w:r>
      <w:r w:rsidR="00C819EE">
        <w:t xml:space="preserve">that aim to restore health through the relief of symptoms and restoration of function. </w:t>
      </w:r>
    </w:p>
    <w:p w14:paraId="69D4A75D" w14:textId="00B0ED6D" w:rsidR="00D141B1" w:rsidRDefault="00D141B1" w:rsidP="00DB3B29">
      <w:pPr>
        <w:pStyle w:val="Heading2"/>
        <w:rPr>
          <w:i/>
        </w:rPr>
      </w:pPr>
      <w:r w:rsidRPr="001F2B33">
        <w:t xml:space="preserve">Source guidance </w:t>
      </w:r>
    </w:p>
    <w:p w14:paraId="39DCE379" w14:textId="2704EA66" w:rsidR="00FB5810" w:rsidRDefault="006278C9" w:rsidP="00945406">
      <w:pPr>
        <w:pStyle w:val="Paragraphnonumbers"/>
      </w:pPr>
      <w:hyperlink r:id="rId7" w:history="1">
        <w:r w:rsidR="00FB5810" w:rsidRPr="006278C9">
          <w:rPr>
            <w:rStyle w:val="Hyperlink"/>
          </w:rPr>
          <w:t>Depression in adults. NICE guideline NG</w:t>
        </w:r>
        <w:r w:rsidR="005E7924" w:rsidRPr="006278C9">
          <w:rPr>
            <w:rStyle w:val="Hyperlink"/>
          </w:rPr>
          <w:t>222</w:t>
        </w:r>
      </w:hyperlink>
      <w:r w:rsidR="00FB5810">
        <w:t xml:space="preserve"> (2022), recommendations 1.5.2 and 1.6.1</w:t>
      </w:r>
    </w:p>
    <w:p w14:paraId="00E60A0A" w14:textId="4AD71F69" w:rsidR="00945406" w:rsidRPr="005D3429" w:rsidRDefault="006278C9" w:rsidP="00945406">
      <w:pPr>
        <w:pStyle w:val="Paragraphnonumbers"/>
        <w:rPr>
          <w:lang w:val="en-US"/>
        </w:rPr>
      </w:pPr>
      <w:hyperlink r:id="rId8" w:history="1">
        <w:r w:rsidR="00945406" w:rsidRPr="001B0CB4">
          <w:rPr>
            <w:rStyle w:val="Hyperlink"/>
            <w:lang w:val="en-US"/>
          </w:rPr>
          <w:t>Post-traumatic stress disorder</w:t>
        </w:r>
        <w:r w:rsidR="0019323D" w:rsidRPr="001B0CB4">
          <w:rPr>
            <w:rStyle w:val="Hyperlink"/>
            <w:lang w:val="en-US"/>
          </w:rPr>
          <w:t>. NICE guideline NG116</w:t>
        </w:r>
      </w:hyperlink>
      <w:r w:rsidR="00945406">
        <w:rPr>
          <w:lang w:val="en-US"/>
        </w:rPr>
        <w:t xml:space="preserve"> (2018)</w:t>
      </w:r>
      <w:r w:rsidR="0019323D">
        <w:rPr>
          <w:lang w:val="en-US"/>
        </w:rPr>
        <w:t xml:space="preserve">, </w:t>
      </w:r>
      <w:r w:rsidR="00945406">
        <w:rPr>
          <w:lang w:val="en-US"/>
        </w:rPr>
        <w:t>recommendations 1.6.6, 1.6.7 and 1.6.11.</w:t>
      </w:r>
    </w:p>
    <w:p w14:paraId="68A0B8FE" w14:textId="541A716B" w:rsidR="00945406" w:rsidRPr="005D3429" w:rsidRDefault="006278C9" w:rsidP="00945406">
      <w:pPr>
        <w:pStyle w:val="Paragraphnonumbers"/>
        <w:rPr>
          <w:lang w:val="en-US"/>
        </w:rPr>
      </w:pPr>
      <w:hyperlink r:id="rId9" w:history="1">
        <w:r w:rsidR="00DD75C3">
          <w:rPr>
            <w:rStyle w:val="Hyperlink"/>
            <w:lang w:val="en-US"/>
          </w:rPr>
          <w:t>Social anxiety disorder: recognition, assessment, and treatment. NICE guideline CG159</w:t>
        </w:r>
      </w:hyperlink>
      <w:r w:rsidR="00945406" w:rsidRPr="005D3429">
        <w:rPr>
          <w:lang w:val="en-US"/>
        </w:rPr>
        <w:t xml:space="preserve"> (2013)</w:t>
      </w:r>
      <w:r w:rsidR="00945406">
        <w:rPr>
          <w:lang w:val="en-US"/>
        </w:rPr>
        <w:t>, recommendation 1.3.2.</w:t>
      </w:r>
    </w:p>
    <w:p w14:paraId="6066B209" w14:textId="3FC8B989" w:rsidR="00945406" w:rsidRDefault="006278C9" w:rsidP="00945406">
      <w:pPr>
        <w:pStyle w:val="Paragraph"/>
      </w:pPr>
      <w:hyperlink r:id="rId10" w:history="1">
        <w:r w:rsidR="00945406" w:rsidRPr="001B0CB4">
          <w:rPr>
            <w:rStyle w:val="Hyperlink"/>
          </w:rPr>
          <w:t>Common mental health problems: identification and pathways to care</w:t>
        </w:r>
        <w:r w:rsidR="001B0CB4" w:rsidRPr="001B0CB4">
          <w:rPr>
            <w:rStyle w:val="Hyperlink"/>
          </w:rPr>
          <w:t>. NICE guideline CG123</w:t>
        </w:r>
      </w:hyperlink>
      <w:r w:rsidR="00945406">
        <w:t xml:space="preserve"> </w:t>
      </w:r>
      <w:r w:rsidR="00945406" w:rsidRPr="00992D0F">
        <w:t>(2011)</w:t>
      </w:r>
      <w:r w:rsidR="00945406">
        <w:t>, recommendation 1.4.1.4.</w:t>
      </w:r>
    </w:p>
    <w:p w14:paraId="13CF3596" w14:textId="07E6446D" w:rsidR="00E576E2" w:rsidRDefault="006278C9" w:rsidP="00E576E2">
      <w:pPr>
        <w:pStyle w:val="Paragraphnonumbers"/>
      </w:pPr>
      <w:hyperlink r:id="rId11" w:history="1">
        <w:r w:rsidR="00E576E2" w:rsidRPr="001B0CB4">
          <w:rPr>
            <w:rStyle w:val="Hyperlink"/>
          </w:rPr>
          <w:t>Obsessive-compulsive disorder and body dysmorphic disorder: treatment</w:t>
        </w:r>
        <w:r w:rsidR="001B0CB4" w:rsidRPr="001B0CB4">
          <w:rPr>
            <w:rStyle w:val="Hyperlink"/>
          </w:rPr>
          <w:t>. NICE guideline CG31</w:t>
        </w:r>
      </w:hyperlink>
      <w:r w:rsidR="00E576E2">
        <w:t xml:space="preserve"> </w:t>
      </w:r>
      <w:r w:rsidR="00E576E2" w:rsidRPr="00992D0F">
        <w:t xml:space="preserve">(2005) </w:t>
      </w:r>
      <w:r w:rsidR="00E576E2">
        <w:t>recommendation 1.5.1.8.</w:t>
      </w:r>
    </w:p>
    <w:p w14:paraId="05AD89C4" w14:textId="77777777" w:rsidR="00D141B1" w:rsidRDefault="00D141B1" w:rsidP="00DB3B29">
      <w:pPr>
        <w:pStyle w:val="Heading2"/>
      </w:pPr>
      <w:r>
        <w:t xml:space="preserve">Specification </w:t>
      </w:r>
    </w:p>
    <w:p w14:paraId="4B62A813" w14:textId="7ED87374" w:rsidR="0009195D" w:rsidRDefault="00D141B1" w:rsidP="00EE354D">
      <w:pPr>
        <w:pStyle w:val="Paragraph"/>
      </w:pPr>
      <w:r>
        <w:t xml:space="preserve">Numerator: </w:t>
      </w:r>
      <w:r w:rsidR="00021836" w:rsidRPr="00021836">
        <w:t xml:space="preserve">The </w:t>
      </w:r>
      <w:r w:rsidR="00021836">
        <w:t xml:space="preserve">number of </w:t>
      </w:r>
      <w:r w:rsidR="00021836" w:rsidRPr="00021836">
        <w:t xml:space="preserve">patients </w:t>
      </w:r>
      <w:r w:rsidR="00021836">
        <w:t xml:space="preserve">in the denominator </w:t>
      </w:r>
      <w:r w:rsidR="00021836" w:rsidRPr="00021836">
        <w:t>whose notes record an offer of referral for psychological treatment within 3 months of the date of diagnosis</w:t>
      </w:r>
    </w:p>
    <w:p w14:paraId="06B62F8F" w14:textId="2C800FE7" w:rsidR="00D141B1" w:rsidRDefault="00D141B1" w:rsidP="00EE354D">
      <w:pPr>
        <w:pStyle w:val="Paragraph"/>
      </w:pPr>
      <w:r>
        <w:t xml:space="preserve">Denominator: </w:t>
      </w:r>
      <w:r w:rsidR="00021836" w:rsidRPr="00021836">
        <w:t xml:space="preserve">The </w:t>
      </w:r>
      <w:r w:rsidR="00021836">
        <w:t xml:space="preserve">number of </w:t>
      </w:r>
      <w:r w:rsidR="00021836" w:rsidRPr="00021836">
        <w:t>patients with a new diagnosis of depression and/or anxiety disorder in the preceding 1 April to 31 March</w:t>
      </w:r>
      <w:r w:rsidR="00021836">
        <w:t>.</w:t>
      </w:r>
    </w:p>
    <w:p w14:paraId="04501E11" w14:textId="1BE53467" w:rsidR="0009195D" w:rsidRDefault="0009195D" w:rsidP="00EE354D">
      <w:pPr>
        <w:pStyle w:val="Paragraph"/>
      </w:pPr>
      <w:r>
        <w:t>Calculation:</w:t>
      </w:r>
      <w:r w:rsidR="00021836" w:rsidRPr="00021836">
        <w:t>(</w:t>
      </w:r>
      <w:r w:rsidRPr="00021836">
        <w:t>Numerator/</w:t>
      </w:r>
      <w:proofErr w:type="gramStart"/>
      <w:r w:rsidRPr="00021836">
        <w:t>denominator)*</w:t>
      </w:r>
      <w:proofErr w:type="gramEnd"/>
      <w:r w:rsidRPr="00021836">
        <w:t>100</w:t>
      </w:r>
    </w:p>
    <w:p w14:paraId="15239063" w14:textId="418F48EF" w:rsidR="00706451" w:rsidRDefault="00706451" w:rsidP="00EE354D">
      <w:pPr>
        <w:pStyle w:val="Paragraph"/>
      </w:pPr>
      <w:r>
        <w:t xml:space="preserve">Minimum population: </w:t>
      </w:r>
      <w:r w:rsidR="000D5395" w:rsidRPr="000C64A1">
        <w:t xml:space="preserve">The indicator would be appropriate </w:t>
      </w:r>
      <w:r w:rsidR="00391F4B" w:rsidRPr="000C64A1">
        <w:t xml:space="preserve">to assess performance </w:t>
      </w:r>
      <w:r w:rsidR="003B53D0" w:rsidRPr="000C64A1">
        <w:t xml:space="preserve">at </w:t>
      </w:r>
      <w:r w:rsidR="00391F4B" w:rsidRPr="000C64A1">
        <w:t>individual</w:t>
      </w:r>
      <w:r w:rsidR="000D5395" w:rsidRPr="000C64A1">
        <w:t xml:space="preserve"> general practice</w:t>
      </w:r>
      <w:r w:rsidR="00391F4B" w:rsidRPr="000C64A1">
        <w:t xml:space="preserve"> level</w:t>
      </w:r>
      <w:r w:rsidR="000D5395" w:rsidRPr="000C64A1">
        <w:t xml:space="preserve">. </w:t>
      </w:r>
    </w:p>
    <w:p w14:paraId="0E3BA30D" w14:textId="77777777" w:rsidR="009C6081" w:rsidRDefault="009C6081" w:rsidP="009C6081">
      <w:pPr>
        <w:pStyle w:val="Paragraph"/>
      </w:pPr>
      <w:r>
        <w:t>Reporting: Where local commissioning arrangements allow patients to self-refer to these services then this should be recorded using the appropriate Read codes and these patients will be included in the numerator for this indicator. When an offer is made but the referral is declined by the patient then these patients will also be included in the numerator for this indicator.</w:t>
      </w:r>
    </w:p>
    <w:p w14:paraId="23935248" w14:textId="528C6A33" w:rsidR="009C6081" w:rsidRDefault="009C6081" w:rsidP="00EE354D">
      <w:pPr>
        <w:pStyle w:val="Paragraph"/>
      </w:pPr>
      <w:r>
        <w:t>When a patient is recorded as having a new diagnosis of both depression and anxiety then the offer of referral will be evaluated against the earliest of these diagnoses.</w:t>
      </w:r>
    </w:p>
    <w:p w14:paraId="129ECA00" w14:textId="65691789" w:rsidR="0009195D" w:rsidRPr="0009195D" w:rsidRDefault="0009195D" w:rsidP="00DB3B29">
      <w:pPr>
        <w:pStyle w:val="Heading2"/>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2"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99D0" w14:textId="77777777" w:rsidR="006B41AF" w:rsidRDefault="006B41AF" w:rsidP="00446BEE">
      <w:r>
        <w:separator/>
      </w:r>
    </w:p>
  </w:endnote>
  <w:endnote w:type="continuationSeparator" w:id="0">
    <w:p w14:paraId="513FFF3F" w14:textId="77777777" w:rsidR="006B41AF" w:rsidRDefault="006B41A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13DB349E" w:rsidR="00245B12" w:rsidRPr="00EA7F52" w:rsidRDefault="00D141B1" w:rsidP="00D141B1">
    <w:pPr>
      <w:pStyle w:val="Footer"/>
    </w:pPr>
    <w:r>
      <w:t xml:space="preserve">NICE indicator guidance: </w:t>
    </w:r>
    <w:r w:rsidR="00916092">
      <w:t>NM123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4A47C" w14:textId="77777777" w:rsidR="006B41AF" w:rsidRDefault="006B41AF" w:rsidP="00446BEE">
      <w:r>
        <w:separator/>
      </w:r>
    </w:p>
  </w:footnote>
  <w:footnote w:type="continuationSeparator" w:id="0">
    <w:p w14:paraId="1C91129D" w14:textId="77777777" w:rsidR="006B41AF" w:rsidRDefault="006B41AF"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1836"/>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64A1"/>
    <w:rsid w:val="000C751D"/>
    <w:rsid w:val="000D1DDA"/>
    <w:rsid w:val="000D2996"/>
    <w:rsid w:val="000D5395"/>
    <w:rsid w:val="000E0D4A"/>
    <w:rsid w:val="000E71BD"/>
    <w:rsid w:val="000E7E9F"/>
    <w:rsid w:val="000F1F98"/>
    <w:rsid w:val="000F2A39"/>
    <w:rsid w:val="000F62E9"/>
    <w:rsid w:val="00100706"/>
    <w:rsid w:val="00104C5A"/>
    <w:rsid w:val="00106C72"/>
    <w:rsid w:val="00107EDC"/>
    <w:rsid w:val="00110085"/>
    <w:rsid w:val="00111AFF"/>
    <w:rsid w:val="00111CCE"/>
    <w:rsid w:val="001134E7"/>
    <w:rsid w:val="00126C3F"/>
    <w:rsid w:val="0015609C"/>
    <w:rsid w:val="0015655B"/>
    <w:rsid w:val="00156AF4"/>
    <w:rsid w:val="001630B3"/>
    <w:rsid w:val="0017169E"/>
    <w:rsid w:val="00172282"/>
    <w:rsid w:val="00176A01"/>
    <w:rsid w:val="00181BEC"/>
    <w:rsid w:val="001849F3"/>
    <w:rsid w:val="00191328"/>
    <w:rsid w:val="0019323D"/>
    <w:rsid w:val="001A0EA2"/>
    <w:rsid w:val="001A2CB8"/>
    <w:rsid w:val="001A2FF4"/>
    <w:rsid w:val="001A7C4E"/>
    <w:rsid w:val="001B0CB4"/>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C63DA"/>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1418"/>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5864"/>
    <w:rsid w:val="0059615A"/>
    <w:rsid w:val="005A20A0"/>
    <w:rsid w:val="005A63EF"/>
    <w:rsid w:val="005A6544"/>
    <w:rsid w:val="005A6B79"/>
    <w:rsid w:val="005B27BA"/>
    <w:rsid w:val="005B2BDD"/>
    <w:rsid w:val="005B3063"/>
    <w:rsid w:val="005B459F"/>
    <w:rsid w:val="005B7EC6"/>
    <w:rsid w:val="005C0DDC"/>
    <w:rsid w:val="005C1308"/>
    <w:rsid w:val="005C1FED"/>
    <w:rsid w:val="005C312E"/>
    <w:rsid w:val="005C3E00"/>
    <w:rsid w:val="005C54C9"/>
    <w:rsid w:val="005C56E8"/>
    <w:rsid w:val="005C57C1"/>
    <w:rsid w:val="005C71B4"/>
    <w:rsid w:val="005D0FDD"/>
    <w:rsid w:val="005D1D43"/>
    <w:rsid w:val="005E1A06"/>
    <w:rsid w:val="005E67C6"/>
    <w:rsid w:val="005E720D"/>
    <w:rsid w:val="005E7924"/>
    <w:rsid w:val="005F57CE"/>
    <w:rsid w:val="005F59EC"/>
    <w:rsid w:val="005F5E00"/>
    <w:rsid w:val="005F65A3"/>
    <w:rsid w:val="005F7A02"/>
    <w:rsid w:val="006015E7"/>
    <w:rsid w:val="0060572D"/>
    <w:rsid w:val="00610F28"/>
    <w:rsid w:val="00611A1D"/>
    <w:rsid w:val="006203A9"/>
    <w:rsid w:val="006241CC"/>
    <w:rsid w:val="006278C9"/>
    <w:rsid w:val="00631D73"/>
    <w:rsid w:val="00633DB7"/>
    <w:rsid w:val="00640BC8"/>
    <w:rsid w:val="00660B63"/>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2B35"/>
    <w:rsid w:val="006B41AF"/>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6E8"/>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0D90"/>
    <w:rsid w:val="00772105"/>
    <w:rsid w:val="00775824"/>
    <w:rsid w:val="00776C1F"/>
    <w:rsid w:val="00780393"/>
    <w:rsid w:val="00787D75"/>
    <w:rsid w:val="00792305"/>
    <w:rsid w:val="00794AAC"/>
    <w:rsid w:val="00794DA0"/>
    <w:rsid w:val="007A17B3"/>
    <w:rsid w:val="007A5C12"/>
    <w:rsid w:val="007A7DFB"/>
    <w:rsid w:val="007B0F36"/>
    <w:rsid w:val="007B5B4D"/>
    <w:rsid w:val="007B5CC6"/>
    <w:rsid w:val="007B7996"/>
    <w:rsid w:val="007C6EDB"/>
    <w:rsid w:val="007D5B33"/>
    <w:rsid w:val="007E5A42"/>
    <w:rsid w:val="007E7021"/>
    <w:rsid w:val="007E7F51"/>
    <w:rsid w:val="007F5B50"/>
    <w:rsid w:val="007F6A12"/>
    <w:rsid w:val="007F7022"/>
    <w:rsid w:val="007F7863"/>
    <w:rsid w:val="00801B8E"/>
    <w:rsid w:val="00803961"/>
    <w:rsid w:val="00804009"/>
    <w:rsid w:val="00804B03"/>
    <w:rsid w:val="0080688E"/>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66EC4"/>
    <w:rsid w:val="00873A86"/>
    <w:rsid w:val="008771EE"/>
    <w:rsid w:val="008814FB"/>
    <w:rsid w:val="00884895"/>
    <w:rsid w:val="008867E7"/>
    <w:rsid w:val="00891C26"/>
    <w:rsid w:val="00893BF2"/>
    <w:rsid w:val="008A50EC"/>
    <w:rsid w:val="008A6036"/>
    <w:rsid w:val="008B5FAE"/>
    <w:rsid w:val="008C1650"/>
    <w:rsid w:val="008D1575"/>
    <w:rsid w:val="008D36D5"/>
    <w:rsid w:val="008E09B9"/>
    <w:rsid w:val="008E6DAD"/>
    <w:rsid w:val="008E7A29"/>
    <w:rsid w:val="008F5E30"/>
    <w:rsid w:val="009018F5"/>
    <w:rsid w:val="009027D5"/>
    <w:rsid w:val="0090299C"/>
    <w:rsid w:val="00914D7F"/>
    <w:rsid w:val="00916092"/>
    <w:rsid w:val="0091747A"/>
    <w:rsid w:val="00922271"/>
    <w:rsid w:val="009233EA"/>
    <w:rsid w:val="00926564"/>
    <w:rsid w:val="00926B7A"/>
    <w:rsid w:val="00933BF9"/>
    <w:rsid w:val="009442DC"/>
    <w:rsid w:val="00945406"/>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5AC1"/>
    <w:rsid w:val="009A74EB"/>
    <w:rsid w:val="009C0BD9"/>
    <w:rsid w:val="009C6081"/>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9784C"/>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6418D"/>
    <w:rsid w:val="00B747F1"/>
    <w:rsid w:val="00B77578"/>
    <w:rsid w:val="00B8026E"/>
    <w:rsid w:val="00B81CC4"/>
    <w:rsid w:val="00B82792"/>
    <w:rsid w:val="00B940DC"/>
    <w:rsid w:val="00B968B4"/>
    <w:rsid w:val="00BA02F9"/>
    <w:rsid w:val="00BA0F05"/>
    <w:rsid w:val="00BA2026"/>
    <w:rsid w:val="00BA78E0"/>
    <w:rsid w:val="00BC05E2"/>
    <w:rsid w:val="00BC192B"/>
    <w:rsid w:val="00BC4FA5"/>
    <w:rsid w:val="00BC6478"/>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19EE"/>
    <w:rsid w:val="00C8355F"/>
    <w:rsid w:val="00C8732C"/>
    <w:rsid w:val="00C952C7"/>
    <w:rsid w:val="00C96411"/>
    <w:rsid w:val="00CA2F61"/>
    <w:rsid w:val="00CA6A8F"/>
    <w:rsid w:val="00CB07C6"/>
    <w:rsid w:val="00CB2C9F"/>
    <w:rsid w:val="00CB52E4"/>
    <w:rsid w:val="00CC11B1"/>
    <w:rsid w:val="00CC2B2E"/>
    <w:rsid w:val="00CD26BE"/>
    <w:rsid w:val="00CD5E73"/>
    <w:rsid w:val="00CD633D"/>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66125"/>
    <w:rsid w:val="00D70963"/>
    <w:rsid w:val="00D81F38"/>
    <w:rsid w:val="00D81F78"/>
    <w:rsid w:val="00D86BF0"/>
    <w:rsid w:val="00D8732A"/>
    <w:rsid w:val="00D92D94"/>
    <w:rsid w:val="00D94AAE"/>
    <w:rsid w:val="00DA5875"/>
    <w:rsid w:val="00DA7D68"/>
    <w:rsid w:val="00DB0256"/>
    <w:rsid w:val="00DB20D9"/>
    <w:rsid w:val="00DB3B29"/>
    <w:rsid w:val="00DC047A"/>
    <w:rsid w:val="00DC06BC"/>
    <w:rsid w:val="00DC28B0"/>
    <w:rsid w:val="00DD5F41"/>
    <w:rsid w:val="00DD6008"/>
    <w:rsid w:val="00DD75C3"/>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576E2"/>
    <w:rsid w:val="00E64120"/>
    <w:rsid w:val="00E660A1"/>
    <w:rsid w:val="00E74036"/>
    <w:rsid w:val="00E81FB1"/>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E70FE"/>
    <w:rsid w:val="00EF0440"/>
    <w:rsid w:val="00EF2B37"/>
    <w:rsid w:val="00EF3C58"/>
    <w:rsid w:val="00F0010B"/>
    <w:rsid w:val="00F014C2"/>
    <w:rsid w:val="00F025CE"/>
    <w:rsid w:val="00F050A1"/>
    <w:rsid w:val="00F055F1"/>
    <w:rsid w:val="00F07B2C"/>
    <w:rsid w:val="00F13F5B"/>
    <w:rsid w:val="00F345CF"/>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B5810"/>
    <w:rsid w:val="00FC25A2"/>
    <w:rsid w:val="00FC2D11"/>
    <w:rsid w:val="00FC3A0E"/>
    <w:rsid w:val="00FC60A0"/>
    <w:rsid w:val="00FC6230"/>
    <w:rsid w:val="00FE5504"/>
    <w:rsid w:val="00FE57F6"/>
    <w:rsid w:val="00FF53E5"/>
    <w:rsid w:val="00FF61E7"/>
    <w:rsid w:val="00FF673E"/>
    <w:rsid w:val="00FF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DB3B29"/>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DB3B29"/>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guidance/ng222" TargetMode="External"/><Relationship Id="rId12" Type="http://schemas.openxmlformats.org/officeDocument/2006/relationships/hyperlink" Target="https://www.nice.org.uk/Standards-and-Indicator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cg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guidance/cg123" TargetMode="External"/><Relationship Id="rId4" Type="http://schemas.openxmlformats.org/officeDocument/2006/relationships/webSettings" Target="webSettings.xml"/><Relationship Id="rId9" Type="http://schemas.openxmlformats.org/officeDocument/2006/relationships/hyperlink" Target="https://www.nice.org.uk/guidance/cg1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2022-06-22T10:22:00Z</dcterms:created>
  <dcterms:modified xsi:type="dcterms:W3CDTF">2022-06-22T10:22:00Z</dcterms:modified>
</cp:coreProperties>
</file>