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14880567" w:rsidR="00B8026E" w:rsidRDefault="00B8026E" w:rsidP="00B8026E">
      <w:pPr>
        <w:pStyle w:val="NICEnormal"/>
      </w:pPr>
      <w:r>
        <w:t>Date first published on NICE menu:</w:t>
      </w:r>
      <w:r w:rsidR="00DF637B">
        <w:t xml:space="preserve"> </w:t>
      </w:r>
      <w:r w:rsidR="00120474">
        <w:t>August 2015</w:t>
      </w:r>
    </w:p>
    <w:p w14:paraId="06BAB3FE" w14:textId="1987EFAE" w:rsidR="00B8026E" w:rsidRPr="00126C3F" w:rsidRDefault="00B8026E" w:rsidP="00B8026E">
      <w:pPr>
        <w:pStyle w:val="NICEnormal"/>
        <w:rPr>
          <w:b/>
        </w:rPr>
      </w:pPr>
      <w:bookmarkStart w:id="0" w:name="_Hlk25930499"/>
      <w:r>
        <w:t>Last update</w:t>
      </w:r>
      <w:r w:rsidRPr="00B8026E">
        <w:t xml:space="preserve">: </w:t>
      </w:r>
      <w:r w:rsidR="00F72ABD">
        <w:t>March</w:t>
      </w:r>
      <w:r w:rsidR="00CA30C3">
        <w:t xml:space="preserve"> 2020</w:t>
      </w:r>
    </w:p>
    <w:bookmarkEnd w:id="0"/>
    <w:p w14:paraId="6107852F" w14:textId="09ED8B32" w:rsidR="006F0A86" w:rsidRDefault="006F0A86" w:rsidP="00126C3F">
      <w:pPr>
        <w:pStyle w:val="Heading1"/>
      </w:pPr>
      <w:r w:rsidRPr="00126C3F">
        <w:t xml:space="preserve">Indicator </w:t>
      </w:r>
      <w:r w:rsidR="00120474">
        <w:t>NM124</w:t>
      </w:r>
    </w:p>
    <w:p w14:paraId="0A6C169D" w14:textId="09219686" w:rsidR="00611A1D" w:rsidRPr="00611A1D" w:rsidRDefault="00120474" w:rsidP="00611A1D">
      <w:pPr>
        <w:pStyle w:val="Paragraph"/>
      </w:pPr>
      <w:r w:rsidRPr="00120474">
        <w:t xml:space="preserve">The percentage of patients with schizophrenia, bipolar affective </w:t>
      </w:r>
      <w:proofErr w:type="gramStart"/>
      <w:r w:rsidRPr="00120474">
        <w:t>disorder</w:t>
      </w:r>
      <w:proofErr w:type="gramEnd"/>
      <w:r w:rsidRPr="00120474">
        <w:t xml:space="preserve"> or other psychoses whose notes record smoking status in the preceding 12 months</w:t>
      </w:r>
      <w:r w:rsidR="00074B9A">
        <w:t>.</w:t>
      </w:r>
    </w:p>
    <w:p w14:paraId="18778417" w14:textId="333A8E39" w:rsidR="00806B97" w:rsidRDefault="00806B97" w:rsidP="00806B97">
      <w:pPr>
        <w:pStyle w:val="Heading1"/>
      </w:pPr>
      <w:r w:rsidRPr="00806B97">
        <w:t xml:space="preserve">Indicator type </w:t>
      </w:r>
    </w:p>
    <w:p w14:paraId="1F16E37E" w14:textId="54E70293" w:rsidR="00F6535D" w:rsidRPr="00120474" w:rsidRDefault="001C31E9" w:rsidP="00F6535D">
      <w:pPr>
        <w:pStyle w:val="Paragraph"/>
      </w:pPr>
      <w:r w:rsidRPr="00120474">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5E7382B0" w14:textId="77777777" w:rsidR="00120474" w:rsidRDefault="00120474" w:rsidP="00F72ABD">
      <w:pPr>
        <w:pStyle w:val="NICEnormal"/>
        <w:spacing w:before="240"/>
      </w:pPr>
      <w:r>
        <w:t xml:space="preserve">This indicator measures the percentage of people with schizophrenia, bipolar disorder or psychosis who have had their smoking status recorded in the previous 12 months. </w:t>
      </w:r>
    </w:p>
    <w:p w14:paraId="6EFFAA47" w14:textId="33C516A1" w:rsidR="006F0A86" w:rsidRDefault="00120474" w:rsidP="00BD6253">
      <w:pPr>
        <w:pStyle w:val="NICEnormal"/>
      </w:pPr>
      <w:r>
        <w:t xml:space="preserve">NICE guidelines for </w:t>
      </w:r>
      <w:hyperlink r:id="rId7" w:history="1">
        <w:r w:rsidR="00F72ABD">
          <w:rPr>
            <w:rStyle w:val="Hyperlink"/>
          </w:rPr>
          <w:t>NICE's guidelines on psychosis and schizophrenia in adults</w:t>
        </w:r>
      </w:hyperlink>
      <w:r>
        <w:t xml:space="preserve"> and </w:t>
      </w:r>
      <w:hyperlink r:id="rId8" w:history="1">
        <w:r w:rsidRPr="00120474">
          <w:rPr>
            <w:rStyle w:val="Hyperlink"/>
          </w:rPr>
          <w:t>bipolar disorder</w:t>
        </w:r>
      </w:hyperlink>
      <w:r>
        <w:t xml:space="preserve"> highlight the importance of smoking cessation for people with schizophrenia, psychosis or bipolar disorder. People with schizophrenia in the UK are more likely to smoke than the rest of the population; data indicate that 73% of people with schizophrenia smoke, compared with 22% of the general population. There is evidence that premature death and smoking-related diseases, such as respiratory disorders and heart disease, are more common among people with serious mental illness who smoke than in the general population of smokers. It is therefore important that people with serious mental illness who smoke are identified, so that they can be offered smoking cessation treatment and support. </w:t>
      </w:r>
    </w:p>
    <w:p w14:paraId="69D4A75D" w14:textId="77777777" w:rsidR="00D141B1" w:rsidRDefault="00D141B1" w:rsidP="00D141B1">
      <w:pPr>
        <w:pStyle w:val="Heading1"/>
        <w:rPr>
          <w:i/>
        </w:rPr>
      </w:pPr>
      <w:r w:rsidRPr="001F2B33">
        <w:lastRenderedPageBreak/>
        <w:t xml:space="preserve">Source guidance </w:t>
      </w:r>
    </w:p>
    <w:p w14:paraId="42CE5316" w14:textId="689859B6" w:rsidR="00C36F08" w:rsidRDefault="00315F66" w:rsidP="00F72ABD">
      <w:pPr>
        <w:pStyle w:val="NICEnormal"/>
        <w:spacing w:before="240"/>
      </w:pPr>
      <w:hyperlink r:id="rId9" w:anchor="care-across-all-phases" w:history="1">
        <w:r w:rsidR="00F72ABD">
          <w:rPr>
            <w:rStyle w:val="Hyperlink"/>
          </w:rPr>
          <w:t>Psychosis and schizophrenia in adults. NICE guideline CG178</w:t>
        </w:r>
      </w:hyperlink>
      <w:r w:rsidR="00C36F08" w:rsidRPr="004D6FC5">
        <w:t xml:space="preserve"> (2014)</w:t>
      </w:r>
      <w:r w:rsidR="00C36F08">
        <w:t>, recommendations 1.1.3.3 and 1.1.3.4</w:t>
      </w:r>
      <w:r w:rsidR="00074B9A">
        <w:t>.</w:t>
      </w:r>
    </w:p>
    <w:p w14:paraId="1E259BBD" w14:textId="7D6763A0" w:rsidR="00D141B1" w:rsidRPr="00BD6253" w:rsidRDefault="00315F66" w:rsidP="00F72ABD">
      <w:pPr>
        <w:pStyle w:val="NICEnormal"/>
        <w:spacing w:before="240"/>
      </w:pPr>
      <w:hyperlink r:id="rId10" w:history="1">
        <w:r w:rsidR="00F72ABD">
          <w:rPr>
            <w:rStyle w:val="Hyperlink"/>
          </w:rPr>
          <w:t>Bipolar disorder. NICE guideline CG185</w:t>
        </w:r>
      </w:hyperlink>
      <w:r w:rsidR="00C36F08">
        <w:t xml:space="preserve"> (2014)</w:t>
      </w:r>
      <w:r w:rsidR="00F72ABD">
        <w:t xml:space="preserve">, </w:t>
      </w:r>
      <w:r w:rsidR="00C36F08">
        <w:t>recommendation 1.10.</w:t>
      </w:r>
      <w:r w:rsidR="00784BB4">
        <w:t>31</w:t>
      </w:r>
      <w:r w:rsidR="00074B9A">
        <w:t>.</w:t>
      </w:r>
    </w:p>
    <w:p w14:paraId="05AD89C4" w14:textId="77777777" w:rsidR="00D141B1" w:rsidRDefault="00D141B1" w:rsidP="00126C3F">
      <w:pPr>
        <w:pStyle w:val="Heading1"/>
      </w:pPr>
      <w:r>
        <w:t xml:space="preserve">Specification </w:t>
      </w:r>
    </w:p>
    <w:p w14:paraId="4B62A813" w14:textId="3F3FFA77" w:rsidR="0009195D" w:rsidRDefault="00D141B1" w:rsidP="00F72ABD">
      <w:pPr>
        <w:pStyle w:val="NICEnormal"/>
        <w:spacing w:before="240"/>
      </w:pPr>
      <w:r>
        <w:t xml:space="preserve">Numerator: </w:t>
      </w:r>
      <w:r w:rsidR="0009195D" w:rsidRPr="0027453A">
        <w:t xml:space="preserve">The number of patients in the denominator </w:t>
      </w:r>
      <w:r w:rsidR="0027453A" w:rsidRPr="0027453A">
        <w:t>whose notes record smoking status in the preceding 12 months</w:t>
      </w:r>
      <w:r w:rsidR="0009195D" w:rsidRPr="0027453A">
        <w:t>.</w:t>
      </w:r>
      <w:r w:rsidR="0009195D" w:rsidRPr="0009195D">
        <w:t xml:space="preserve"> </w:t>
      </w:r>
    </w:p>
    <w:p w14:paraId="06B62F8F" w14:textId="39DA5C2F" w:rsidR="00D141B1" w:rsidRDefault="00D141B1" w:rsidP="00D141B1">
      <w:pPr>
        <w:pStyle w:val="NICEnormal"/>
      </w:pPr>
      <w:r>
        <w:t xml:space="preserve">Denominator: </w:t>
      </w:r>
      <w:r w:rsidR="002B0BA6" w:rsidRPr="0027453A">
        <w:t>The number of patients register</w:t>
      </w:r>
      <w:r w:rsidR="0027453A" w:rsidRPr="0027453A">
        <w:t xml:space="preserve">ed with schizophrenia, bipolar affective </w:t>
      </w:r>
      <w:proofErr w:type="gramStart"/>
      <w:r w:rsidR="0027453A" w:rsidRPr="0027453A">
        <w:t>disorder</w:t>
      </w:r>
      <w:proofErr w:type="gramEnd"/>
      <w:r w:rsidR="0027453A" w:rsidRPr="0027453A">
        <w:t xml:space="preserve"> or other psychoses</w:t>
      </w:r>
      <w:r w:rsidR="002B0BA6">
        <w:t>.</w:t>
      </w:r>
    </w:p>
    <w:p w14:paraId="04501E11" w14:textId="714FBAB3" w:rsidR="0009195D" w:rsidRDefault="0009195D" w:rsidP="00D141B1">
      <w:pPr>
        <w:pStyle w:val="NICEnormal"/>
      </w:pPr>
      <w:r>
        <w:t>Calculation</w:t>
      </w:r>
      <w:r w:rsidRPr="0027453A">
        <w:t>: (Numerator/</w:t>
      </w:r>
      <w:proofErr w:type="gramStart"/>
      <w:r w:rsidRPr="0027453A">
        <w:t>denominator)*</w:t>
      </w:r>
      <w:proofErr w:type="gramEnd"/>
      <w:r w:rsidRPr="0027453A">
        <w:t>100</w:t>
      </w:r>
    </w:p>
    <w:p w14:paraId="78CADCA2" w14:textId="7E2BBD6E" w:rsidR="0027453A" w:rsidRDefault="00D141B1" w:rsidP="00D141B1">
      <w:pPr>
        <w:pStyle w:val="NICEnormal"/>
      </w:pPr>
      <w:r>
        <w:t xml:space="preserve">Exclusions: </w:t>
      </w:r>
      <w:r w:rsidR="00FA2F1F">
        <w:t>None</w:t>
      </w:r>
    </w:p>
    <w:p w14:paraId="247B6B1D" w14:textId="77777777" w:rsidR="0027453A" w:rsidRPr="0027453A" w:rsidRDefault="0027453A" w:rsidP="00D141B1">
      <w:pPr>
        <w:pStyle w:val="NICEnormal"/>
        <w:rPr>
          <w:b/>
          <w:bCs/>
        </w:rPr>
      </w:pPr>
      <w:r w:rsidRPr="0027453A">
        <w:rPr>
          <w:b/>
          <w:bCs/>
        </w:rPr>
        <w:t xml:space="preserve">Smokers </w:t>
      </w:r>
    </w:p>
    <w:p w14:paraId="10C43A11" w14:textId="77777777" w:rsidR="0027453A" w:rsidRDefault="0027453A" w:rsidP="00D141B1">
      <w:pPr>
        <w:pStyle w:val="NICEnormal"/>
      </w:pPr>
      <w:r>
        <w:t xml:space="preserve">For people who smoke, smoking status should be recorded in the previous 12 months. </w:t>
      </w:r>
    </w:p>
    <w:p w14:paraId="0188A9DF" w14:textId="77777777" w:rsidR="0027453A" w:rsidRPr="0027453A" w:rsidRDefault="0027453A" w:rsidP="00D141B1">
      <w:pPr>
        <w:pStyle w:val="NICEnormal"/>
        <w:rPr>
          <w:b/>
          <w:bCs/>
        </w:rPr>
      </w:pPr>
      <w:r w:rsidRPr="0027453A">
        <w:rPr>
          <w:b/>
          <w:bCs/>
        </w:rPr>
        <w:t xml:space="preserve">Non-smokers </w:t>
      </w:r>
    </w:p>
    <w:p w14:paraId="01F354C5" w14:textId="77777777" w:rsidR="0027453A" w:rsidRDefault="0027453A" w:rsidP="00D141B1">
      <w:pPr>
        <w:pStyle w:val="NICEnormal"/>
      </w:pPr>
      <w:r>
        <w:t xml:space="preserve">It is </w:t>
      </w:r>
      <w:proofErr w:type="spellStart"/>
      <w:r>
        <w:t>recognised</w:t>
      </w:r>
      <w:proofErr w:type="spellEnd"/>
      <w:r>
        <w:t xml:space="preserve"> that life-long non-smokers are unlikely to start smoking and repeatedly asking their smoking status can be unnecessary. Smoking status for this group of people should be recorded in the previous 12 months up to the end of the financial year in which the person reaches the age of 25. Once a person is over 25 (for example, in the financial year in which they reach 26 or in any year after that) to be classified as a non-smoker they should be recorded as: </w:t>
      </w:r>
    </w:p>
    <w:p w14:paraId="17C696D8" w14:textId="77777777" w:rsidR="0027453A" w:rsidRDefault="0027453A" w:rsidP="00D141B1">
      <w:pPr>
        <w:pStyle w:val="NICEnormal"/>
      </w:pPr>
      <w:r>
        <w:sym w:font="Symbol" w:char="F0B7"/>
      </w:r>
      <w:r>
        <w:t xml:space="preserve"> never smoked, which is both after their 25th birthday and after the earliest diagnosis date for the disease which led to the person’s inclusion on the NM124 register (for example, diagnosis of schizophrenia, </w:t>
      </w:r>
      <w:proofErr w:type="gramStart"/>
      <w:r>
        <w:t>psychosis</w:t>
      </w:r>
      <w:proofErr w:type="gramEnd"/>
      <w:r>
        <w:t xml:space="preserve"> or bipolar disorder). </w:t>
      </w:r>
    </w:p>
    <w:p w14:paraId="5F32AC64" w14:textId="77777777" w:rsidR="0027453A" w:rsidRPr="0027453A" w:rsidRDefault="0027453A" w:rsidP="00D141B1">
      <w:pPr>
        <w:pStyle w:val="NICEnormal"/>
        <w:rPr>
          <w:b/>
          <w:bCs/>
        </w:rPr>
      </w:pPr>
      <w:r w:rsidRPr="0027453A">
        <w:rPr>
          <w:b/>
          <w:bCs/>
        </w:rPr>
        <w:lastRenderedPageBreak/>
        <w:t xml:space="preserve">Ex-smokers </w:t>
      </w:r>
    </w:p>
    <w:p w14:paraId="15006788" w14:textId="6A0A799F" w:rsidR="0027453A" w:rsidRDefault="0027453A" w:rsidP="00D141B1">
      <w:pPr>
        <w:pStyle w:val="NICEnormal"/>
      </w:pPr>
      <w:r>
        <w:t xml:space="preserve">Ex-smokers can be recorded as such in the previous 12 months for NM124. Practices may choose to record ex-smoking status on an annual basis for 3 consecutive financial years and after that smoking status need only be recorded if there is a change. This is to </w:t>
      </w:r>
      <w:proofErr w:type="spellStart"/>
      <w:r>
        <w:t>recognise</w:t>
      </w:r>
      <w:proofErr w:type="spellEnd"/>
      <w:r>
        <w:t xml:space="preserve"> that once a person has been an ex-smoker for more than 3 </w:t>
      </w:r>
      <w:proofErr w:type="gramStart"/>
      <w:r>
        <w:t>years</w:t>
      </w:r>
      <w:proofErr w:type="gramEnd"/>
      <w:r>
        <w:t xml:space="preserve"> they are unlikely to restart. </w:t>
      </w:r>
    </w:p>
    <w:p w14:paraId="200701E0" w14:textId="360C680C" w:rsidR="00D141B1" w:rsidRDefault="0027453A" w:rsidP="00D141B1">
      <w:pPr>
        <w:pStyle w:val="NICEnormal"/>
      </w:pPr>
      <w:r>
        <w:t>For the purposes of QOF, users of electronic cigarettes who have never smoked or who have given up smoking should be classified as non-smokers or ex-smokers, respectively.</w:t>
      </w:r>
      <w:r w:rsidR="00DF45AD">
        <w:t xml:space="preserve"> </w:t>
      </w:r>
    </w:p>
    <w:p w14:paraId="15239063" w14:textId="70CFADF1" w:rsidR="00706451" w:rsidRDefault="00706451" w:rsidP="00D141B1">
      <w:pPr>
        <w:pStyle w:val="NICEnormal"/>
      </w:pPr>
      <w:r>
        <w:t>Minimum population</w:t>
      </w:r>
      <w:r w:rsidRPr="0027453A">
        <w:t xml:space="preserve">: </w:t>
      </w:r>
      <w:r w:rsidR="000D5395" w:rsidRPr="0027453A">
        <w:t xml:space="preserve">The indicator would be appropriate </w:t>
      </w:r>
      <w:r w:rsidR="00391F4B" w:rsidRPr="0027453A">
        <w:t xml:space="preserve">to assess performance </w:t>
      </w:r>
      <w:r w:rsidR="003B53D0" w:rsidRPr="0027453A">
        <w:t xml:space="preserve">at </w:t>
      </w:r>
      <w:r w:rsidR="00391F4B" w:rsidRPr="0027453A">
        <w:t>individual</w:t>
      </w:r>
      <w:r w:rsidR="000D5395" w:rsidRPr="0027453A">
        <w:t xml:space="preserve"> general practice</w:t>
      </w:r>
      <w:r w:rsidR="00391F4B" w:rsidRPr="0027453A">
        <w:t xml:space="preserve"> level</w:t>
      </w:r>
      <w:r w:rsidR="000D5395" w:rsidRPr="0027453A">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F72ABD">
      <w:pPr>
        <w:pStyle w:val="NICEnormal"/>
        <w:spacing w:before="240"/>
      </w:pPr>
      <w:bookmarkStart w:id="1"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5DB686E8" w:rsidR="00245B12" w:rsidRPr="00EA7F52" w:rsidRDefault="00D141B1" w:rsidP="00D141B1">
    <w:pPr>
      <w:pStyle w:val="Footer"/>
    </w:pPr>
    <w:r>
      <w:t xml:space="preserve">NICE indicator guidance: </w:t>
    </w:r>
    <w:r w:rsidR="00C36F08">
      <w:t>NM124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6640022">
    <w:abstractNumId w:val="22"/>
  </w:num>
  <w:num w:numId="2" w16cid:durableId="786853180">
    <w:abstractNumId w:val="25"/>
  </w:num>
  <w:num w:numId="3" w16cid:durableId="1078555457">
    <w:abstractNumId w:val="25"/>
    <w:lvlOverride w:ilvl="0">
      <w:startOverride w:val="1"/>
    </w:lvlOverride>
  </w:num>
  <w:num w:numId="4" w16cid:durableId="2090806015">
    <w:abstractNumId w:val="25"/>
    <w:lvlOverride w:ilvl="0">
      <w:startOverride w:val="1"/>
    </w:lvlOverride>
  </w:num>
  <w:num w:numId="5" w16cid:durableId="750354000">
    <w:abstractNumId w:val="25"/>
    <w:lvlOverride w:ilvl="0">
      <w:startOverride w:val="1"/>
    </w:lvlOverride>
  </w:num>
  <w:num w:numId="6" w16cid:durableId="302974742">
    <w:abstractNumId w:val="25"/>
    <w:lvlOverride w:ilvl="0">
      <w:startOverride w:val="1"/>
    </w:lvlOverride>
  </w:num>
  <w:num w:numId="7" w16cid:durableId="330063553">
    <w:abstractNumId w:val="25"/>
    <w:lvlOverride w:ilvl="0">
      <w:startOverride w:val="1"/>
    </w:lvlOverride>
  </w:num>
  <w:num w:numId="8" w16cid:durableId="1576278298">
    <w:abstractNumId w:val="9"/>
  </w:num>
  <w:num w:numId="9" w16cid:durableId="329647047">
    <w:abstractNumId w:val="7"/>
  </w:num>
  <w:num w:numId="10" w16cid:durableId="863858333">
    <w:abstractNumId w:val="6"/>
  </w:num>
  <w:num w:numId="11" w16cid:durableId="122818863">
    <w:abstractNumId w:val="5"/>
  </w:num>
  <w:num w:numId="12" w16cid:durableId="4334099">
    <w:abstractNumId w:val="4"/>
  </w:num>
  <w:num w:numId="13" w16cid:durableId="1199666522">
    <w:abstractNumId w:val="8"/>
  </w:num>
  <w:num w:numId="14" w16cid:durableId="1441412312">
    <w:abstractNumId w:val="3"/>
  </w:num>
  <w:num w:numId="15" w16cid:durableId="1459568734">
    <w:abstractNumId w:val="2"/>
  </w:num>
  <w:num w:numId="16" w16cid:durableId="246892029">
    <w:abstractNumId w:val="1"/>
  </w:num>
  <w:num w:numId="17" w16cid:durableId="338388234">
    <w:abstractNumId w:val="0"/>
  </w:num>
  <w:num w:numId="18" w16cid:durableId="1943567687">
    <w:abstractNumId w:val="16"/>
  </w:num>
  <w:num w:numId="19" w16cid:durableId="1862695502">
    <w:abstractNumId w:val="16"/>
    <w:lvlOverride w:ilvl="0">
      <w:startOverride w:val="1"/>
    </w:lvlOverride>
  </w:num>
  <w:num w:numId="20" w16cid:durableId="262614759">
    <w:abstractNumId w:val="12"/>
  </w:num>
  <w:num w:numId="21" w16cid:durableId="2017612170">
    <w:abstractNumId w:val="13"/>
  </w:num>
  <w:num w:numId="22" w16cid:durableId="1919245702">
    <w:abstractNumId w:val="17"/>
  </w:num>
  <w:num w:numId="23" w16cid:durableId="1287393673">
    <w:abstractNumId w:val="18"/>
  </w:num>
  <w:num w:numId="24" w16cid:durableId="1363743057">
    <w:abstractNumId w:val="22"/>
  </w:num>
  <w:num w:numId="25" w16cid:durableId="70664482">
    <w:abstractNumId w:val="20"/>
  </w:num>
  <w:num w:numId="26" w16cid:durableId="1131365934">
    <w:abstractNumId w:val="27"/>
  </w:num>
  <w:num w:numId="27" w16cid:durableId="1365910571">
    <w:abstractNumId w:val="26"/>
  </w:num>
  <w:num w:numId="28" w16cid:durableId="2083410979">
    <w:abstractNumId w:val="29"/>
  </w:num>
  <w:num w:numId="29" w16cid:durableId="740714126">
    <w:abstractNumId w:val="14"/>
  </w:num>
  <w:num w:numId="30" w16cid:durableId="321353384">
    <w:abstractNumId w:val="15"/>
  </w:num>
  <w:num w:numId="31" w16cid:durableId="430860182">
    <w:abstractNumId w:val="11"/>
  </w:num>
  <w:num w:numId="32" w16cid:durableId="1644461863">
    <w:abstractNumId w:val="24"/>
  </w:num>
  <w:num w:numId="33" w16cid:durableId="64425159">
    <w:abstractNumId w:val="28"/>
  </w:num>
  <w:num w:numId="34" w16cid:durableId="1366055992">
    <w:abstractNumId w:val="19"/>
  </w:num>
  <w:num w:numId="35" w16cid:durableId="1563297368">
    <w:abstractNumId w:val="10"/>
  </w:num>
  <w:num w:numId="36" w16cid:durableId="207687216">
    <w:abstractNumId w:val="22"/>
  </w:num>
  <w:num w:numId="37" w16cid:durableId="1251625796">
    <w:abstractNumId w:val="23"/>
  </w:num>
  <w:num w:numId="38" w16cid:durableId="14784525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4B9A"/>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0474"/>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453A"/>
    <w:rsid w:val="00276273"/>
    <w:rsid w:val="002819D7"/>
    <w:rsid w:val="002826F0"/>
    <w:rsid w:val="00292F85"/>
    <w:rsid w:val="002A31EA"/>
    <w:rsid w:val="002A6B84"/>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15F66"/>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4BB4"/>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33B"/>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86EB4"/>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1643"/>
    <w:rsid w:val="00BF4266"/>
    <w:rsid w:val="00BF50C4"/>
    <w:rsid w:val="00BF7FE0"/>
    <w:rsid w:val="00C00249"/>
    <w:rsid w:val="00C04B1E"/>
    <w:rsid w:val="00C04B88"/>
    <w:rsid w:val="00C05310"/>
    <w:rsid w:val="00C07B21"/>
    <w:rsid w:val="00C125B9"/>
    <w:rsid w:val="00C127B2"/>
    <w:rsid w:val="00C206B2"/>
    <w:rsid w:val="00C25D8A"/>
    <w:rsid w:val="00C35731"/>
    <w:rsid w:val="00C36F08"/>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30C3"/>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3B42"/>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36FC2"/>
    <w:rsid w:val="00F472B7"/>
    <w:rsid w:val="00F546AA"/>
    <w:rsid w:val="00F553DE"/>
    <w:rsid w:val="00F56D0B"/>
    <w:rsid w:val="00F610AF"/>
    <w:rsid w:val="00F6535D"/>
    <w:rsid w:val="00F72ABD"/>
    <w:rsid w:val="00F829F3"/>
    <w:rsid w:val="00F85171"/>
    <w:rsid w:val="00F9515E"/>
    <w:rsid w:val="00F9741E"/>
    <w:rsid w:val="00FA01FB"/>
    <w:rsid w:val="00FA09FA"/>
    <w:rsid w:val="00FA152E"/>
    <w:rsid w:val="00FA2C5A"/>
    <w:rsid w:val="00FA2F1F"/>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964854">
      <w:bodyDiv w:val="1"/>
      <w:marLeft w:val="0"/>
      <w:marRight w:val="0"/>
      <w:marTop w:val="0"/>
      <w:marBottom w:val="0"/>
      <w:divBdr>
        <w:top w:val="none" w:sz="0" w:space="0" w:color="auto"/>
        <w:left w:val="none" w:sz="0" w:space="0" w:color="auto"/>
        <w:bottom w:val="none" w:sz="0" w:space="0" w:color="auto"/>
        <w:right w:val="none" w:sz="0" w:space="0" w:color="auto"/>
      </w:divBdr>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944769973">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89802341">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cg1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ce.org.uk/guidance/cg17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www.nice.org.uk/guidance/cg185" TargetMode="External"/><Relationship Id="rId4" Type="http://schemas.openxmlformats.org/officeDocument/2006/relationships/webSettings" Target="webSettings.xml"/><Relationship Id="rId9" Type="http://schemas.openxmlformats.org/officeDocument/2006/relationships/hyperlink" Target="https://www.nice.org.uk/guidance/cg178/chapter/1-Recommend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3329</Characters>
  <Application>Microsoft Office Word</Application>
  <DocSecurity>0</DocSecurity>
  <Lines>27</Lines>
  <Paragraphs>7</Paragraphs>
  <ScaleCrop>false</ScaleCrop>
  <Company/>
  <LinksUpToDate>false</LinksUpToDate>
  <CharactersWithSpaces>3859</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2023-06-19T10:54:00Z</dcterms:created>
  <dcterms:modified xsi:type="dcterms:W3CDTF">2023-06-19T10:54:00Z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2023-06-19T10:54:10Z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63aefed8-d2af-4a3c-af74-a445ebcc6651</vt:lpwstr>
  </property>
  <property fmtid="{D5CDD505-2E9C-101B-9397-08002B2CF9AE}" pid="8" name="MSIP_Label_c69d85d5-6d9e-4305-a294-1f636ec0f2d6_ContentBits">
    <vt:lpwstr>0</vt:lpwstr>
  </property>
</Properties>
</file>