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4C611BD6" w:rsidR="00B8026E" w:rsidRDefault="00B8026E" w:rsidP="00EE354D">
      <w:pPr>
        <w:pStyle w:val="Paragraph"/>
      </w:pPr>
      <w:r>
        <w:t>Date first published on NICE menu:</w:t>
      </w:r>
      <w:r w:rsidR="00DF637B">
        <w:t xml:space="preserve"> </w:t>
      </w:r>
      <w:r w:rsidR="009C1359">
        <w:t xml:space="preserve">June </w:t>
      </w:r>
      <w:r w:rsidR="001F7F89">
        <w:t>201</w:t>
      </w:r>
      <w:r w:rsidR="000037F1">
        <w:t>1</w:t>
      </w:r>
    </w:p>
    <w:p w14:paraId="06BAB3FE" w14:textId="4475C11A" w:rsidR="00B8026E" w:rsidRPr="00126C3F" w:rsidRDefault="00B8026E" w:rsidP="00EE354D">
      <w:pPr>
        <w:pStyle w:val="Paragraph"/>
        <w:rPr>
          <w:b/>
        </w:rPr>
      </w:pPr>
      <w:r>
        <w:t>Last update</w:t>
      </w:r>
      <w:r w:rsidRPr="00B8026E">
        <w:t xml:space="preserve">: </w:t>
      </w:r>
      <w:r w:rsidR="000037F1">
        <w:t>October 2020</w:t>
      </w:r>
    </w:p>
    <w:p w14:paraId="6107852F" w14:textId="4D619ED6" w:rsidR="006F0A86" w:rsidRDefault="006F0A86" w:rsidP="00126C3F">
      <w:pPr>
        <w:pStyle w:val="Heading1"/>
      </w:pPr>
      <w:r w:rsidRPr="00126C3F">
        <w:t xml:space="preserve">Indicator </w:t>
      </w:r>
      <w:r w:rsidR="001F7F89">
        <w:t>NM13</w:t>
      </w:r>
    </w:p>
    <w:p w14:paraId="0A6C169D" w14:textId="25EF8256" w:rsidR="00611A1D" w:rsidRPr="00611A1D" w:rsidRDefault="001F7F89" w:rsidP="00611A1D">
      <w:pPr>
        <w:pStyle w:val="Paragraph"/>
      </w:pPr>
      <w:r w:rsidRPr="001F7F89">
        <w:t>The percentage of patients with diabetes with a record of a foot examination and risk classification: 1) low risk (normal sensation, palpable pulses), 2) increased risk (neuropathy or absent pulses), 3) high risk (neuropathy or absent pulses plus deformity or skin changes or previous ulcer) or 4) ulcerated foot within the preceding 15 months.</w:t>
      </w:r>
    </w:p>
    <w:p w14:paraId="18778417" w14:textId="333A8E39" w:rsidR="00806B97" w:rsidRDefault="00806B97" w:rsidP="00806B97">
      <w:pPr>
        <w:pStyle w:val="Heading1"/>
      </w:pPr>
      <w:r w:rsidRPr="00806B97">
        <w:t xml:space="preserve">Indicator type </w:t>
      </w:r>
    </w:p>
    <w:p w14:paraId="1F16E37E" w14:textId="54E70293" w:rsidR="00F6535D" w:rsidRPr="001F7F89" w:rsidRDefault="001C31E9" w:rsidP="008E7A29">
      <w:pPr>
        <w:pStyle w:val="Paragraph"/>
      </w:pPr>
      <w:r w:rsidRPr="001F7F89">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6A328188" w14:textId="1B6CAA55" w:rsidR="001F7F89" w:rsidRDefault="001F7F89" w:rsidP="001F7F89">
      <w:pPr>
        <w:pStyle w:val="Paragraph"/>
      </w:pPr>
      <w:r>
        <w:t>The risk of foot problems in people with diabetes is increased, largely because of either diabetic neuropathy (nerve damage or degeneration) or peripheral arterial disease (poor blood supply due to diseased large</w:t>
      </w:r>
      <w:r>
        <w:rPr>
          <w:rFonts w:ascii="Cambria Math" w:hAnsi="Cambria Math" w:cs="Cambria Math"/>
        </w:rPr>
        <w:t>‑</w:t>
      </w:r>
      <w:r>
        <w:t xml:space="preserve"> and medium</w:t>
      </w:r>
      <w:r>
        <w:rPr>
          <w:rFonts w:ascii="Cambria Math" w:hAnsi="Cambria Math" w:cs="Cambria Math"/>
        </w:rPr>
        <w:t>‑</w:t>
      </w:r>
      <w:r>
        <w:t>sized blood vessels in the legs), or both.</w:t>
      </w:r>
    </w:p>
    <w:p w14:paraId="39B3DF12" w14:textId="191D095A" w:rsidR="001F7F89" w:rsidRDefault="001F7F89" w:rsidP="001F7F89">
      <w:pPr>
        <w:pStyle w:val="Paragraph"/>
      </w:pPr>
      <w:r>
        <w:t xml:space="preserve">Evaluation of skin, soft tissue, musculoskeletal, </w:t>
      </w:r>
      <w:proofErr w:type="gramStart"/>
      <w:r>
        <w:t>vascular</w:t>
      </w:r>
      <w:proofErr w:type="gramEnd"/>
      <w:r>
        <w:t xml:space="preserve"> and neurological condition on an annual basis is important for the </w:t>
      </w:r>
      <w:r w:rsidR="004206CF">
        <w:t xml:space="preserve">identification </w:t>
      </w:r>
      <w:r>
        <w:t xml:space="preserve">of feet at </w:t>
      </w:r>
      <w:r w:rsidR="004206CF">
        <w:t>incre</w:t>
      </w:r>
      <w:r w:rsidR="00FB13CB">
        <w:t>a</w:t>
      </w:r>
      <w:r w:rsidR="004206CF">
        <w:t xml:space="preserve">sed </w:t>
      </w:r>
      <w:r>
        <w:t>risk of ulceration.</w:t>
      </w:r>
    </w:p>
    <w:p w14:paraId="448193CD" w14:textId="77777777" w:rsidR="001F7F89" w:rsidRDefault="001F7F89" w:rsidP="001F7F89">
      <w:pPr>
        <w:pStyle w:val="Paragraph"/>
      </w:pPr>
      <w:r>
        <w:t>The foot inspection and assessment should include:</w:t>
      </w:r>
    </w:p>
    <w:p w14:paraId="60424C75" w14:textId="4CAF7441" w:rsidR="001F7F89" w:rsidRDefault="001F7F89" w:rsidP="001F7F89">
      <w:pPr>
        <w:pStyle w:val="Paragraph"/>
        <w:numPr>
          <w:ilvl w:val="0"/>
          <w:numId w:val="39"/>
        </w:numPr>
      </w:pPr>
      <w:r>
        <w:t xml:space="preserve">identifying the presence of sensory neuropathy (loss of the ability to feel a monofilament, </w:t>
      </w:r>
      <w:proofErr w:type="gramStart"/>
      <w:r>
        <w:t>vibration</w:t>
      </w:r>
      <w:proofErr w:type="gramEnd"/>
      <w:r>
        <w:t xml:space="preserve"> or sharp touch) and/or the abnormal build</w:t>
      </w:r>
      <w:r w:rsidR="004206CF">
        <w:t>-</w:t>
      </w:r>
      <w:r>
        <w:t>up of callus</w:t>
      </w:r>
    </w:p>
    <w:p w14:paraId="482621D5" w14:textId="06DB6449" w:rsidR="001F7F89" w:rsidRDefault="001F7F89" w:rsidP="001F7F89">
      <w:pPr>
        <w:pStyle w:val="Paragraph"/>
        <w:numPr>
          <w:ilvl w:val="0"/>
          <w:numId w:val="39"/>
        </w:numPr>
      </w:pPr>
      <w:r>
        <w:lastRenderedPageBreak/>
        <w:t>identifying when the arterial supply to the foot is reduced (absent foot pulses, signs of tissue ischaemia or symptoms of intermittent claudication)</w:t>
      </w:r>
    </w:p>
    <w:p w14:paraId="09A1BE81" w14:textId="3551F4CC" w:rsidR="001F7F89" w:rsidRDefault="001F7F89" w:rsidP="001F7F89">
      <w:pPr>
        <w:pStyle w:val="Paragraph"/>
        <w:numPr>
          <w:ilvl w:val="0"/>
          <w:numId w:val="39"/>
        </w:numPr>
      </w:pPr>
      <w:r>
        <w:t xml:space="preserve">identifying deformities or problems of the foot (including bony deformities, dry </w:t>
      </w:r>
      <w:proofErr w:type="gramStart"/>
      <w:r>
        <w:t>skin</w:t>
      </w:r>
      <w:proofErr w:type="gramEnd"/>
      <w:r>
        <w:t xml:space="preserve"> or fungal infection), which may put it at risk</w:t>
      </w:r>
    </w:p>
    <w:p w14:paraId="7A444F2C" w14:textId="4DA38DB5" w:rsidR="00BD6253" w:rsidRDefault="001F7F89" w:rsidP="001F7F89">
      <w:pPr>
        <w:pStyle w:val="Paragraph"/>
        <w:numPr>
          <w:ilvl w:val="0"/>
          <w:numId w:val="39"/>
        </w:numPr>
      </w:pPr>
      <w:r>
        <w:t>identifying other factors that may put the foot at risk (which may include reduced capacity for self-care, impaired renal function, poor glycaemic control, cardiovascular and cerebrovascular disease, or previous amputation).</w:t>
      </w:r>
      <w:r w:rsidR="000B15A4">
        <w:t xml:space="preserve"> </w:t>
      </w:r>
    </w:p>
    <w:p w14:paraId="69D4A75D" w14:textId="00B0ED6D" w:rsidR="00D141B1" w:rsidRDefault="00D141B1" w:rsidP="00D141B1">
      <w:pPr>
        <w:pStyle w:val="Heading1"/>
        <w:rPr>
          <w:i/>
        </w:rPr>
      </w:pPr>
      <w:r w:rsidRPr="001F2B33">
        <w:t xml:space="preserve">Source guidance </w:t>
      </w:r>
    </w:p>
    <w:p w14:paraId="6AF2D1B1" w14:textId="70ADF1F7" w:rsidR="004C4ABD" w:rsidRPr="00BD6253" w:rsidRDefault="00BC639A" w:rsidP="001F7F89">
      <w:pPr>
        <w:pStyle w:val="Paragraph"/>
      </w:pPr>
      <w:hyperlink r:id="rId7" w:history="1">
        <w:r w:rsidR="001F7F89" w:rsidRPr="005B0D7D">
          <w:rPr>
            <w:rStyle w:val="Hyperlink"/>
          </w:rPr>
          <w:t>Diabetic foot problems: prevention and management</w:t>
        </w:r>
      </w:hyperlink>
      <w:r w:rsidR="001F7F89">
        <w:rPr>
          <w:rStyle w:val="Hyperlink"/>
        </w:rPr>
        <w:t>.</w:t>
      </w:r>
      <w:r w:rsidR="001F7F89">
        <w:t xml:space="preserve"> NICE guideline 19 (2015), </w:t>
      </w:r>
      <w:r w:rsidR="001F7F89" w:rsidRPr="00BD6253">
        <w:t>recommendation</w:t>
      </w:r>
      <w:r w:rsidR="001F7F89">
        <w:t>s 1.3.4 and 1.3.6</w:t>
      </w:r>
    </w:p>
    <w:p w14:paraId="05AD89C4" w14:textId="77777777" w:rsidR="00D141B1" w:rsidRDefault="00D141B1" w:rsidP="00126C3F">
      <w:pPr>
        <w:pStyle w:val="Heading1"/>
      </w:pPr>
      <w:r>
        <w:t xml:space="preserve">Specification </w:t>
      </w:r>
    </w:p>
    <w:p w14:paraId="4B62A813" w14:textId="1BBAE715" w:rsidR="0009195D" w:rsidRDefault="00D141B1" w:rsidP="00EE354D">
      <w:pPr>
        <w:pStyle w:val="Paragraph"/>
      </w:pPr>
      <w:r>
        <w:t xml:space="preserve">Numerator: </w:t>
      </w:r>
      <w:r w:rsidR="0009195D" w:rsidRPr="001F7F89">
        <w:t xml:space="preserve">The number of patients in the denominator </w:t>
      </w:r>
      <w:r w:rsidR="001F7F89" w:rsidRPr="001F7F89">
        <w:t>with</w:t>
      </w:r>
      <w:r w:rsidR="001F7F89">
        <w:t xml:space="preserve"> a record of a foot examination and risk classification: 1) low risk (normal sensation, palpable pulses), 2) increased risk (neuropathy or absent pulses), 3) high risk (neuropathy or absent pulses plus deformity or skin changes or previous ulcer) or 4) ulcerated foot within the preceding 15 months</w:t>
      </w:r>
      <w:r w:rsidR="0009195D">
        <w:t>.</w:t>
      </w:r>
      <w:r w:rsidR="0009195D" w:rsidRPr="0009195D">
        <w:t xml:space="preserve"> </w:t>
      </w:r>
    </w:p>
    <w:p w14:paraId="06B62F8F" w14:textId="1576CD61" w:rsidR="00D141B1" w:rsidRPr="001F7F89" w:rsidRDefault="00D141B1" w:rsidP="00EE354D">
      <w:pPr>
        <w:pStyle w:val="Paragraph"/>
      </w:pPr>
      <w:r>
        <w:t xml:space="preserve">Denominator: </w:t>
      </w:r>
      <w:r w:rsidR="002B0BA6" w:rsidRPr="001F7F89">
        <w:t>The number of patients on the diabetes register.</w:t>
      </w:r>
    </w:p>
    <w:p w14:paraId="04501E11" w14:textId="0D859F24" w:rsidR="0009195D" w:rsidRDefault="0009195D" w:rsidP="00EE354D">
      <w:pPr>
        <w:pStyle w:val="Paragraph"/>
      </w:pPr>
      <w:r w:rsidRPr="001F7F89">
        <w:t>Calculation: e.g. (Numerator/</w:t>
      </w:r>
      <w:proofErr w:type="gramStart"/>
      <w:r w:rsidRPr="001F7F89">
        <w:t>denominator)*</w:t>
      </w:r>
      <w:proofErr w:type="gramEnd"/>
      <w:r w:rsidRPr="001F7F89">
        <w:t>100</w:t>
      </w:r>
    </w:p>
    <w:p w14:paraId="200701E0" w14:textId="1C8AEAA9" w:rsidR="00D141B1" w:rsidRDefault="00D141B1" w:rsidP="0084323E">
      <w:pPr>
        <w:pStyle w:val="Paragraph"/>
        <w:rPr>
          <w:rFonts w:cs="Arial"/>
          <w:szCs w:val="20"/>
        </w:rPr>
      </w:pPr>
      <w:r>
        <w:t xml:space="preserve">Exclusions: </w:t>
      </w:r>
      <w:r w:rsidR="0084323E">
        <w:t xml:space="preserve">Patients who have had their right </w:t>
      </w:r>
      <w:r w:rsidR="00D60839">
        <w:t xml:space="preserve">or left </w:t>
      </w:r>
      <w:r w:rsidR="0084323E">
        <w:t xml:space="preserve">foot amputated; </w:t>
      </w:r>
      <w:r w:rsidR="0084323E">
        <w:rPr>
          <w:rFonts w:cs="Arial"/>
          <w:szCs w:val="20"/>
        </w:rPr>
        <w:t xml:space="preserve">patients who choose not to receive neuropathy testing, a foot examination or quality indicator care, or </w:t>
      </w:r>
      <w:r w:rsidR="00B34875">
        <w:rPr>
          <w:rFonts w:cs="Arial"/>
          <w:szCs w:val="20"/>
        </w:rPr>
        <w:t xml:space="preserve">patients </w:t>
      </w:r>
      <w:r w:rsidR="0084323E">
        <w:rPr>
          <w:rFonts w:cs="Arial"/>
          <w:szCs w:val="20"/>
        </w:rPr>
        <w:t>who have not responded to at least two diabetes care review invitations</w:t>
      </w:r>
      <w:r w:rsidR="00262A55">
        <w:rPr>
          <w:rFonts w:cs="Arial"/>
          <w:szCs w:val="20"/>
        </w:rPr>
        <w:t>.</w:t>
      </w:r>
    </w:p>
    <w:p w14:paraId="18591F80" w14:textId="246AC74F" w:rsidR="00211764" w:rsidRDefault="00211764" w:rsidP="0084323E">
      <w:pPr>
        <w:pStyle w:val="Paragraph"/>
      </w:pPr>
      <w:r>
        <w:t xml:space="preserve">Minimum population: </w:t>
      </w:r>
      <w:r w:rsidRPr="00211764">
        <w:t>The indicator would be appropriate to assess performance at individual general practice level.</w:t>
      </w:r>
    </w:p>
    <w:p w14:paraId="129ECA00" w14:textId="65691789" w:rsidR="0009195D" w:rsidRPr="0009195D" w:rsidRDefault="0009195D" w:rsidP="0009195D">
      <w:pPr>
        <w:pStyle w:val="Heading1"/>
      </w:pPr>
      <w:r w:rsidRPr="0009195D">
        <w:lastRenderedPageBreak/>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55C4E62A" w:rsidR="00245B12" w:rsidRPr="00EA7F52" w:rsidRDefault="00D141B1" w:rsidP="00D141B1">
    <w:pPr>
      <w:pStyle w:val="Footer"/>
    </w:pPr>
    <w:r>
      <w:t xml:space="preserve">NICE indicator guidance: </w:t>
    </w:r>
    <w:r w:rsidR="001F7F89">
      <w:t>NM13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6D5F1945"/>
    <w:multiLevelType w:val="hybridMultilevel"/>
    <w:tmpl w:val="61B0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4"/>
  </w:num>
  <w:num w:numId="33">
    <w:abstractNumId w:val="29"/>
  </w:num>
  <w:num w:numId="34">
    <w:abstractNumId w:val="19"/>
  </w:num>
  <w:num w:numId="35">
    <w:abstractNumId w:val="10"/>
  </w:num>
  <w:num w:numId="36">
    <w:abstractNumId w:val="22"/>
  </w:num>
  <w:num w:numId="37">
    <w:abstractNumId w:val="23"/>
  </w:num>
  <w:num w:numId="38">
    <w:abstractNumId w:val="2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37F1"/>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1F7F89"/>
    <w:rsid w:val="00201EFB"/>
    <w:rsid w:val="00201FB8"/>
    <w:rsid w:val="002040A1"/>
    <w:rsid w:val="002042FC"/>
    <w:rsid w:val="00211764"/>
    <w:rsid w:val="00212D33"/>
    <w:rsid w:val="00216F31"/>
    <w:rsid w:val="0022030D"/>
    <w:rsid w:val="002224EE"/>
    <w:rsid w:val="00232A20"/>
    <w:rsid w:val="002408EA"/>
    <w:rsid w:val="00245B12"/>
    <w:rsid w:val="00261E15"/>
    <w:rsid w:val="00262A5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6CF"/>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5184"/>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2709C"/>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4E92"/>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0411"/>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4323E"/>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C135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2C2C"/>
    <w:rsid w:val="00B15469"/>
    <w:rsid w:val="00B17B0B"/>
    <w:rsid w:val="00B22F24"/>
    <w:rsid w:val="00B236FF"/>
    <w:rsid w:val="00B2706C"/>
    <w:rsid w:val="00B30421"/>
    <w:rsid w:val="00B34875"/>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39A"/>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0839"/>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0759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3169"/>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13CB"/>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2020-10-26T16:04:00Z</dcterms:created>
  <dcterms:modified xsi:type="dcterms:W3CDTF">2020-10-26T16:04:00Z</dcterms:modified>
</cp:coreProperties>
</file>