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6D8" w14:textId="4B9520EC" w:rsidR="00594C3A" w:rsidRDefault="00F42A59" w:rsidP="00136206">
      <w:pPr>
        <w:pStyle w:val="Title"/>
      </w:pPr>
      <w:r>
        <w:t xml:space="preserve">Indicator development programme </w:t>
      </w:r>
    </w:p>
    <w:p w14:paraId="32A7F8F9" w14:textId="77777777" w:rsidR="00F42A59" w:rsidRDefault="00F42A59" w:rsidP="00F42A59">
      <w:pPr>
        <w:pStyle w:val="Title"/>
      </w:pPr>
      <w:r>
        <w:t>NICE indicator guidance</w:t>
      </w:r>
    </w:p>
    <w:p w14:paraId="6CB73C4F" w14:textId="77777777" w:rsidR="00271080" w:rsidRDefault="00271080" w:rsidP="00CF0EEF">
      <w:pPr>
        <w:pStyle w:val="Heading1"/>
      </w:pPr>
      <w:r w:rsidRPr="00271080">
        <w:t xml:space="preserve">Cardiovascular disease prevention: cardiovascular risk assessment for people newly diagnosed with hypertension or </w:t>
      </w:r>
      <w:proofErr w:type="gramStart"/>
      <w:r w:rsidRPr="00271080">
        <w:t>T2DM</w:t>
      </w:r>
      <w:proofErr w:type="gramEnd"/>
    </w:p>
    <w:p w14:paraId="7BF309D9" w14:textId="02720F07" w:rsidR="00F42A59" w:rsidRDefault="00F42A59" w:rsidP="00F42A59">
      <w:pPr>
        <w:pStyle w:val="Paragraph"/>
      </w:pPr>
      <w:r>
        <w:t xml:space="preserve">Date first published on NICE menu: </w:t>
      </w:r>
      <w:r w:rsidR="00ED2FB6">
        <w:t>June 2016</w:t>
      </w:r>
    </w:p>
    <w:p w14:paraId="35CDD067" w14:textId="6B7DC2F0" w:rsidR="00F42A59" w:rsidRDefault="00F42A59" w:rsidP="00F42A59">
      <w:pPr>
        <w:pStyle w:val="Paragraph"/>
      </w:pPr>
      <w:r>
        <w:t xml:space="preserve">Last update: </w:t>
      </w:r>
      <w:r w:rsidR="00ED2FB6">
        <w:t>May 2023</w:t>
      </w:r>
    </w:p>
    <w:p w14:paraId="33C0E1F3" w14:textId="409F8EF5" w:rsidR="00F42A59" w:rsidRDefault="00F42A59" w:rsidP="00F42A59">
      <w:pPr>
        <w:pStyle w:val="Paragraph"/>
      </w:pPr>
      <w:r>
        <w:t xml:space="preserve">Next review date: </w:t>
      </w:r>
      <w:r w:rsidR="00271080">
        <w:t>October 2023</w:t>
      </w:r>
    </w:p>
    <w:p w14:paraId="09A8FBA6" w14:textId="516DD166" w:rsidR="00F42A59" w:rsidRDefault="00F42A59" w:rsidP="00F42A59">
      <w:pPr>
        <w:pStyle w:val="Heading1"/>
      </w:pPr>
      <w:r>
        <w:t xml:space="preserve">Indicator </w:t>
      </w:r>
      <w:r w:rsidR="00B048CF">
        <w:t>NM132</w:t>
      </w:r>
    </w:p>
    <w:p w14:paraId="4AF64E5E" w14:textId="1B9AAAB2" w:rsidR="00ED2FB6" w:rsidRPr="00611A1D" w:rsidRDefault="00ED2FB6" w:rsidP="00ED2FB6">
      <w:pPr>
        <w:pStyle w:val="Paragraph"/>
      </w:pPr>
      <w:r w:rsidRPr="00E306EB">
        <w:t xml:space="preserve">The percentage of patients aged </w:t>
      </w:r>
      <w:r>
        <w:t xml:space="preserve">between </w:t>
      </w:r>
      <w:r w:rsidRPr="00E306EB">
        <w:t>25</w:t>
      </w:r>
      <w:r>
        <w:t xml:space="preserve"> and </w:t>
      </w:r>
      <w:r w:rsidRPr="00E306EB">
        <w:t xml:space="preserve">84 years with a new diagnosis of hypertension or type 2 diabetes, recorded </w:t>
      </w:r>
      <w:r w:rsidR="00204928">
        <w:t>in</w:t>
      </w:r>
      <w:r w:rsidR="00204928" w:rsidRPr="00E306EB">
        <w:t xml:space="preserve"> </w:t>
      </w:r>
      <w:r w:rsidRPr="00E306EB">
        <w:t xml:space="preserve">the preceding </w:t>
      </w:r>
      <w:r w:rsidR="00204928">
        <w:t>12 months</w:t>
      </w:r>
      <w:r w:rsidRPr="00E306EB">
        <w:t xml:space="preserve"> (excluding those with pre-existing </w:t>
      </w:r>
      <w:r>
        <w:t>cardiovascular disease, chronic kidney disease, familial hypercholesterolaemia or type 1 diabetes</w:t>
      </w:r>
      <w:r w:rsidRPr="00E306EB">
        <w:t>) who have had a</w:t>
      </w:r>
      <w:r>
        <w:t xml:space="preserve"> consultation for</w:t>
      </w:r>
      <w:r w:rsidRPr="00E306EB">
        <w:t xml:space="preserve"> </w:t>
      </w:r>
      <w:r>
        <w:t xml:space="preserve">full formal cardiovascular disease risk assessment </w:t>
      </w:r>
      <w:r w:rsidRPr="00E306EB">
        <w:t>between 3 months before or 3 months after date of diagnosis</w:t>
      </w:r>
      <w:r>
        <w:t>.</w:t>
      </w:r>
    </w:p>
    <w:p w14:paraId="2AA76169" w14:textId="77777777" w:rsidR="00F42A59" w:rsidRDefault="00F42A59" w:rsidP="00F42A59">
      <w:pPr>
        <w:pStyle w:val="Heading2"/>
      </w:pPr>
      <w:r>
        <w:t xml:space="preserve">Indicator type </w:t>
      </w:r>
    </w:p>
    <w:p w14:paraId="21A3E041" w14:textId="77777777" w:rsidR="00F42A59" w:rsidRPr="00204928" w:rsidRDefault="00F42A59" w:rsidP="00F42A59">
      <w:pPr>
        <w:pStyle w:val="Paragraph"/>
      </w:pPr>
      <w:r w:rsidRPr="00204928">
        <w:t>General practice indicator suitable for use in the Quality and Outcomes Framework.</w:t>
      </w:r>
    </w:p>
    <w:p w14:paraId="1E3A0B44" w14:textId="77777777" w:rsidR="00F42A59" w:rsidRDefault="00F42A59" w:rsidP="00F42A59">
      <w:pPr>
        <w:pStyle w:val="Heading2"/>
      </w:pPr>
      <w:r>
        <w:t>Rationale</w:t>
      </w:r>
    </w:p>
    <w:p w14:paraId="40E6642D" w14:textId="3F25C4F6" w:rsidR="00204928" w:rsidRDefault="00204928" w:rsidP="00204928">
      <w:pPr>
        <w:pStyle w:val="Paragraph"/>
      </w:pPr>
      <w:r>
        <w:t>The aim of this indicator is to identify people for intervention (lifestyle modification and statin therapy) to prevent cardiovascular events.</w:t>
      </w:r>
      <w:r w:rsidRPr="00204928">
        <w:t xml:space="preserve"> </w:t>
      </w:r>
      <w:r>
        <w:t>The 3-month timeframe has been chosen to allow practices enough time to carry out any required tests</w:t>
      </w:r>
      <w:r w:rsidR="00974C8E">
        <w:t xml:space="preserve">. </w:t>
      </w:r>
      <w:r w:rsidR="00974C8E" w:rsidRPr="00974C8E">
        <w:t>NICE quality standard 100 highlights a full formal risk assessment using the QRISK3 tool as a national priority for quality improvement.</w:t>
      </w:r>
    </w:p>
    <w:p w14:paraId="21C32A7D" w14:textId="0B114CAB" w:rsidR="00F42A59" w:rsidRDefault="00F42A59" w:rsidP="00F42A59">
      <w:pPr>
        <w:pStyle w:val="Heading2"/>
      </w:pPr>
      <w:r>
        <w:lastRenderedPageBreak/>
        <w:t xml:space="preserve">Source guidance </w:t>
      </w:r>
    </w:p>
    <w:p w14:paraId="5741D4DA" w14:textId="30DAEFE9" w:rsidR="00F42A59" w:rsidRDefault="008D542B" w:rsidP="00F42A59">
      <w:pPr>
        <w:pStyle w:val="Paragraph"/>
      </w:pPr>
      <w:hyperlink r:id="rId7" w:history="1">
        <w:r w:rsidR="00F42A59" w:rsidRPr="00204928">
          <w:rPr>
            <w:rStyle w:val="Hyperlink"/>
          </w:rPr>
          <w:t>NICE’s guideline for</w:t>
        </w:r>
        <w:r w:rsidR="00204928" w:rsidRPr="00204928">
          <w:rPr>
            <w:rStyle w:val="Hyperlink"/>
          </w:rPr>
          <w:t xml:space="preserve"> cardiovascular disease: risk assessment and reduction, including lipid modification</w:t>
        </w:r>
      </w:hyperlink>
      <w:r w:rsidR="00204928">
        <w:t xml:space="preserve"> (2014, updated 2023) recommendations 1.1.7 and 1.1.8</w:t>
      </w:r>
      <w:r w:rsidR="00F42A59">
        <w:t xml:space="preserve"> </w:t>
      </w:r>
    </w:p>
    <w:p w14:paraId="046391A0" w14:textId="77777777" w:rsidR="00F42A59" w:rsidRDefault="00F42A59" w:rsidP="00F42A59">
      <w:pPr>
        <w:pStyle w:val="Heading2"/>
      </w:pPr>
      <w:r>
        <w:t xml:space="preserve">Specification </w:t>
      </w:r>
    </w:p>
    <w:p w14:paraId="3F4CDF4C" w14:textId="17932331" w:rsidR="00204928" w:rsidRDefault="00F42A59" w:rsidP="00F42A59">
      <w:pPr>
        <w:pStyle w:val="Paragraph"/>
      </w:pPr>
      <w:r>
        <w:t xml:space="preserve">Numerator: </w:t>
      </w:r>
      <w:r w:rsidR="00204928" w:rsidRPr="00204928">
        <w:t>The number of patients in the denominator who have had consultation for</w:t>
      </w:r>
      <w:r w:rsidR="00204928">
        <w:t xml:space="preserve"> </w:t>
      </w:r>
      <w:r w:rsidR="00204928" w:rsidRPr="00204928">
        <w:t xml:space="preserve">a full formal </w:t>
      </w:r>
      <w:r w:rsidR="00BA3AE8">
        <w:t>cardiovascular disease</w:t>
      </w:r>
      <w:r w:rsidR="00204928" w:rsidRPr="00204928">
        <w:t xml:space="preserve"> risk assessment between 3 months before or 3 months after date of diagnosis. </w:t>
      </w:r>
    </w:p>
    <w:p w14:paraId="6900C8BB" w14:textId="02B9CEF2" w:rsidR="00F42A59" w:rsidRDefault="00F42A59" w:rsidP="00F42A59">
      <w:pPr>
        <w:pStyle w:val="Paragraph"/>
      </w:pPr>
      <w:r>
        <w:t xml:space="preserve">Denominator: </w:t>
      </w:r>
      <w:r w:rsidR="00204928" w:rsidRPr="00204928">
        <w:t>The number of patients aged between 25 and</w:t>
      </w:r>
      <w:r w:rsidR="001677E8">
        <w:t xml:space="preserve"> </w:t>
      </w:r>
      <w:r w:rsidR="00204928" w:rsidRPr="00204928">
        <w:t xml:space="preserve">84 years with a new diagnosis of hypertension or type 2 diabetes, recorded </w:t>
      </w:r>
      <w:r w:rsidR="00204928">
        <w:t>in</w:t>
      </w:r>
      <w:r w:rsidR="00204928" w:rsidRPr="00204928">
        <w:t xml:space="preserve"> the preceding </w:t>
      </w:r>
      <w:r w:rsidR="00204928">
        <w:t>12 months</w:t>
      </w:r>
      <w:r w:rsidR="00204928" w:rsidRPr="00204928">
        <w:t xml:space="preserve"> (excluding those with pre-existing</w:t>
      </w:r>
      <w:r w:rsidR="00204928">
        <w:t xml:space="preserve"> cardiovascular</w:t>
      </w:r>
      <w:r w:rsidR="00204928" w:rsidRPr="00204928">
        <w:t xml:space="preserve"> disease, chronic kidney disease, familial hypercholesterolaemia or type 1 diabetes).</w:t>
      </w:r>
    </w:p>
    <w:p w14:paraId="5E219E40" w14:textId="75304B12" w:rsidR="00F42A59" w:rsidRDefault="00F42A59" w:rsidP="00F42A59">
      <w:pPr>
        <w:pStyle w:val="Paragraph"/>
      </w:pPr>
      <w:r>
        <w:t xml:space="preserve">Calculation: </w:t>
      </w:r>
      <w:r w:rsidRPr="00204928">
        <w:t>Numerator</w:t>
      </w:r>
      <w:r w:rsidR="000770C1" w:rsidRPr="00204928">
        <w:t xml:space="preserve"> divided by the </w:t>
      </w:r>
      <w:r w:rsidRPr="00204928">
        <w:t>denominator</w:t>
      </w:r>
      <w:r w:rsidR="000770C1" w:rsidRPr="00204928">
        <w:t>, multiplied by 1</w:t>
      </w:r>
      <w:r w:rsidRPr="00204928">
        <w:t>00</w:t>
      </w:r>
      <w:r w:rsidR="000770C1" w:rsidRPr="00204928">
        <w:t>.</w:t>
      </w:r>
    </w:p>
    <w:p w14:paraId="2FFB5049" w14:textId="77777777" w:rsidR="00204928" w:rsidRDefault="00F42A59" w:rsidP="00204928">
      <w:pPr>
        <w:pStyle w:val="Paragraph"/>
      </w:pPr>
      <w:r>
        <w:t xml:space="preserve">Definitions: </w:t>
      </w:r>
    </w:p>
    <w:p w14:paraId="194BD104" w14:textId="257B8842" w:rsidR="00204928" w:rsidRDefault="00204928" w:rsidP="00204928">
      <w:pPr>
        <w:pStyle w:val="Bullets"/>
      </w:pPr>
      <w:r>
        <w:t xml:space="preserve">Cardiovascular disease is defined as angina, previous myocardial infarction, revascularisation, stroke or TIA or symptomatic peripheral arterial disease. </w:t>
      </w:r>
    </w:p>
    <w:p w14:paraId="4AC0E1CE" w14:textId="3CF5039F" w:rsidR="00F42A59" w:rsidRDefault="00204928" w:rsidP="00204928">
      <w:pPr>
        <w:pStyle w:val="Bullets"/>
      </w:pPr>
      <w:r>
        <w:t>Full formal cardiovascular disease risk assessment. NICE guidance recommends QRISK3 for full formal cardiovascular disease risk assessment however the indicator allows for additional coded tools to be used dependent on local practice.</w:t>
      </w:r>
    </w:p>
    <w:p w14:paraId="64A36C88" w14:textId="16D05DC3" w:rsidR="00F42A59" w:rsidRDefault="00F42A59" w:rsidP="00F42A59">
      <w:pPr>
        <w:pStyle w:val="Paragraph"/>
      </w:pPr>
      <w:r>
        <w:t xml:space="preserve">Exclusions: </w:t>
      </w:r>
      <w:r w:rsidR="00204928">
        <w:t>None.</w:t>
      </w:r>
      <w:r>
        <w:t xml:space="preserve"> </w:t>
      </w:r>
    </w:p>
    <w:p w14:paraId="0F38B792" w14:textId="3688F8C9" w:rsidR="00F42A59" w:rsidRDefault="00F42A59" w:rsidP="00F42A59">
      <w:pPr>
        <w:pStyle w:val="Paragraph"/>
      </w:pPr>
      <w:r>
        <w:t xml:space="preserve">Personalised care adjustments or exception reporting should be considered to account for situations where the patient declines, does not attend or if </w:t>
      </w:r>
      <w:r w:rsidR="00204928">
        <w:t>indicator</w:t>
      </w:r>
      <w:r>
        <w:t xml:space="preserve"> is not appropriate.</w:t>
      </w:r>
    </w:p>
    <w:p w14:paraId="78AFBA67" w14:textId="77777777" w:rsidR="00DC747F" w:rsidRDefault="00DC747F" w:rsidP="00F42A59">
      <w:pPr>
        <w:pStyle w:val="Paragraph"/>
      </w:pPr>
      <w:r w:rsidRPr="00DC747F">
        <w:t xml:space="preserve">Expected population size: </w:t>
      </w:r>
    </w:p>
    <w:p w14:paraId="3FBD040C" w14:textId="37349E75" w:rsidR="00DC747F" w:rsidRDefault="00DC747F" w:rsidP="00F42A59">
      <w:pPr>
        <w:pStyle w:val="Paragraph"/>
      </w:pPr>
      <w:r w:rsidRPr="00DC747F">
        <w:t>The indicator would be appropriate to assess performance at individual general practice level.</w:t>
      </w:r>
    </w:p>
    <w:p w14:paraId="7C17F105" w14:textId="77777777" w:rsidR="00F42A59" w:rsidRDefault="00F42A59" w:rsidP="00F42A59">
      <w:pPr>
        <w:pStyle w:val="Heading2"/>
      </w:pPr>
      <w:r>
        <w:lastRenderedPageBreak/>
        <w:t>Further information</w:t>
      </w:r>
    </w:p>
    <w:p w14:paraId="18A081BE" w14:textId="268A2E18" w:rsidR="00F42A59" w:rsidRDefault="00F42A59" w:rsidP="00F42A59">
      <w:pPr>
        <w:pStyle w:val="Paragraph"/>
      </w:pPr>
      <w:r>
        <w:t xml:space="preserve">This is NICE indicator guidance, which is part of the </w:t>
      </w:r>
      <w:hyperlink r:id="rId8" w:history="1">
        <w:r w:rsidRPr="00F42A59">
          <w:rPr>
            <w:rStyle w:val="Hyperlink"/>
          </w:rPr>
          <w:t>NICE menu of indicators</w:t>
        </w:r>
      </w:hyperlink>
      <w:r>
        <w:t>. This document does not represent formal NICE guidance.</w:t>
      </w:r>
    </w:p>
    <w:p w14:paraId="1E17208B" w14:textId="2893DDD0" w:rsidR="00DE6DA8" w:rsidRPr="00F42A59" w:rsidRDefault="00DE6DA8" w:rsidP="00F42A59">
      <w:pPr>
        <w:pStyle w:val="Paragraph"/>
      </w:pPr>
      <w:r w:rsidRPr="00DE6DA8">
        <w:t>© NICE [</w:t>
      </w:r>
      <w:r w:rsidR="00204928">
        <w:t>2023</w:t>
      </w:r>
      <w:r w:rsidRPr="00DE6DA8">
        <w:t xml:space="preserve">]. All rights reserved. Subject to </w:t>
      </w:r>
      <w:hyperlink r:id="rId9" w:anchor="notice-of-rights" w:history="1">
        <w:r w:rsidRPr="00DE6DA8">
          <w:rPr>
            <w:rStyle w:val="Hyperlink"/>
          </w:rPr>
          <w:t>Notice of rights</w:t>
        </w:r>
      </w:hyperlink>
      <w:r w:rsidRPr="00DE6DA8">
        <w:t>.</w:t>
      </w:r>
    </w:p>
    <w:sectPr w:rsidR="00DE6DA8" w:rsidRPr="00F42A59"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98A3" w14:textId="77777777" w:rsidR="00F42A59" w:rsidRDefault="00F42A59" w:rsidP="00446BEE">
      <w:r>
        <w:separator/>
      </w:r>
    </w:p>
  </w:endnote>
  <w:endnote w:type="continuationSeparator" w:id="0">
    <w:p w14:paraId="0EF48709" w14:textId="77777777" w:rsidR="00F42A59" w:rsidRDefault="00F42A5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6407F257" w:rsidR="00446BEE" w:rsidRDefault="00271080" w:rsidP="00446BEE">
    <w:pPr>
      <w:pStyle w:val="Footer"/>
    </w:pPr>
    <w:r>
      <w:t xml:space="preserve">NM132: </w:t>
    </w:r>
    <w:r w:rsidRPr="00271080">
      <w:t>Cardiovascular disease prevention: cardiovascular risk assessment for people newly diagnosed with hypertension or T2DM</w:t>
    </w:r>
    <w:r w:rsidR="00AD2F66">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8D542B">
      <w:fldChar w:fldCharType="begin"/>
    </w:r>
    <w:r w:rsidR="008D542B">
      <w:instrText xml:space="preserve"> NUMPAGES  </w:instrText>
    </w:r>
    <w:r w:rsidR="008D542B">
      <w:fldChar w:fldCharType="separate"/>
    </w:r>
    <w:r w:rsidR="00FA2C5A">
      <w:rPr>
        <w:noProof/>
      </w:rPr>
      <w:t>1</w:t>
    </w:r>
    <w:r w:rsidR="008D542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7C1E5CA7" w:rsidR="008E7826" w:rsidRDefault="00811DE4" w:rsidP="008E7826">
            <w:pPr>
              <w:pStyle w:val="Footer"/>
            </w:pPr>
            <w:r>
              <w:t xml:space="preserve">NM132: </w:t>
            </w:r>
            <w:r w:rsidRPr="00811DE4">
              <w:t>Cardiovascular disease prevention: cardiovascular risk assessment for people newly diagnosed with hypertension or T2DM</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D542B">
              <w:fldChar w:fldCharType="begin"/>
            </w:r>
            <w:r w:rsidR="008D542B">
              <w:instrText xml:space="preserve"> NUMPAGES  </w:instrText>
            </w:r>
            <w:r w:rsidR="008D542B">
              <w:fldChar w:fldCharType="separate"/>
            </w:r>
            <w:r w:rsidR="008E7826" w:rsidRPr="008E7826">
              <w:rPr>
                <w:noProof/>
              </w:rPr>
              <w:t>2</w:t>
            </w:r>
            <w:r w:rsidR="008D542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005" w14:textId="77777777" w:rsidR="00F42A59" w:rsidRDefault="00F42A59" w:rsidP="00446BEE">
      <w:r>
        <w:separator/>
      </w:r>
    </w:p>
  </w:footnote>
  <w:footnote w:type="continuationSeparator" w:id="0">
    <w:p w14:paraId="14C2B5C6" w14:textId="77777777" w:rsidR="00F42A59" w:rsidRDefault="00F42A5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77777777" w:rsidR="008F6FB7" w:rsidRDefault="008F6FB7">
    <w:pPr>
      <w:pStyle w:val="Header"/>
    </w:pPr>
    <w:r>
      <w:rPr>
        <w:noProof/>
      </w:rPr>
      <w:drawing>
        <wp:anchor distT="0" distB="0" distL="114300" distR="114300" simplePos="0" relativeHeight="251658240" behindDoc="0" locked="0" layoutInCell="1" allowOverlap="1" wp14:anchorId="1E8C375A" wp14:editId="4240F74B">
          <wp:simplePos x="0" y="0"/>
          <wp:positionH relativeFrom="column">
            <wp:posOffset>0</wp:posOffset>
          </wp:positionH>
          <wp:positionV relativeFrom="page">
            <wp:posOffset>447675</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493990455">
    <w:abstractNumId w:val="12"/>
  </w:num>
  <w:num w:numId="2" w16cid:durableId="721292764">
    <w:abstractNumId w:val="14"/>
  </w:num>
  <w:num w:numId="3" w16cid:durableId="1908833212">
    <w:abstractNumId w:val="14"/>
    <w:lvlOverride w:ilvl="0">
      <w:startOverride w:val="1"/>
    </w:lvlOverride>
  </w:num>
  <w:num w:numId="4" w16cid:durableId="590430424">
    <w:abstractNumId w:val="14"/>
    <w:lvlOverride w:ilvl="0">
      <w:startOverride w:val="1"/>
    </w:lvlOverride>
  </w:num>
  <w:num w:numId="5" w16cid:durableId="1380469149">
    <w:abstractNumId w:val="14"/>
    <w:lvlOverride w:ilvl="0">
      <w:startOverride w:val="1"/>
    </w:lvlOverride>
  </w:num>
  <w:num w:numId="6" w16cid:durableId="508184013">
    <w:abstractNumId w:val="14"/>
    <w:lvlOverride w:ilvl="0">
      <w:startOverride w:val="1"/>
    </w:lvlOverride>
  </w:num>
  <w:num w:numId="7" w16cid:durableId="147594296">
    <w:abstractNumId w:val="14"/>
    <w:lvlOverride w:ilvl="0">
      <w:startOverride w:val="1"/>
    </w:lvlOverride>
  </w:num>
  <w:num w:numId="8" w16cid:durableId="1542594475">
    <w:abstractNumId w:val="9"/>
  </w:num>
  <w:num w:numId="9" w16cid:durableId="1086925143">
    <w:abstractNumId w:val="7"/>
  </w:num>
  <w:num w:numId="10" w16cid:durableId="392124934">
    <w:abstractNumId w:val="6"/>
  </w:num>
  <w:num w:numId="11" w16cid:durableId="1220282592">
    <w:abstractNumId w:val="5"/>
  </w:num>
  <w:num w:numId="12" w16cid:durableId="1312128636">
    <w:abstractNumId w:val="4"/>
  </w:num>
  <w:num w:numId="13" w16cid:durableId="266154447">
    <w:abstractNumId w:val="8"/>
  </w:num>
  <w:num w:numId="14" w16cid:durableId="576286794">
    <w:abstractNumId w:val="3"/>
  </w:num>
  <w:num w:numId="15" w16cid:durableId="887495266">
    <w:abstractNumId w:val="2"/>
  </w:num>
  <w:num w:numId="16" w16cid:durableId="1293902094">
    <w:abstractNumId w:val="1"/>
  </w:num>
  <w:num w:numId="17" w16cid:durableId="189685181">
    <w:abstractNumId w:val="0"/>
  </w:num>
  <w:num w:numId="18" w16cid:durableId="273833326">
    <w:abstractNumId w:val="11"/>
  </w:num>
  <w:num w:numId="19" w16cid:durableId="1726568307">
    <w:abstractNumId w:val="11"/>
    <w:lvlOverride w:ilvl="0">
      <w:startOverride w:val="1"/>
    </w:lvlOverride>
  </w:num>
  <w:num w:numId="20" w16cid:durableId="617565902">
    <w:abstractNumId w:val="12"/>
  </w:num>
  <w:num w:numId="21" w16cid:durableId="1186557564">
    <w:abstractNumId w:val="14"/>
  </w:num>
  <w:num w:numId="22" w16cid:durableId="362362291">
    <w:abstractNumId w:val="11"/>
  </w:num>
  <w:num w:numId="23" w16cid:durableId="1261835420">
    <w:abstractNumId w:val="13"/>
  </w:num>
  <w:num w:numId="24" w16cid:durableId="1445811391">
    <w:abstractNumId w:val="15"/>
  </w:num>
  <w:num w:numId="25" w16cid:durableId="104230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70065"/>
    <w:rsid w:val="000770C1"/>
    <w:rsid w:val="000A4FEE"/>
    <w:rsid w:val="000B5939"/>
    <w:rsid w:val="00113116"/>
    <w:rsid w:val="001134E7"/>
    <w:rsid w:val="001336FF"/>
    <w:rsid w:val="00136206"/>
    <w:rsid w:val="00157BBE"/>
    <w:rsid w:val="001677E8"/>
    <w:rsid w:val="0017169E"/>
    <w:rsid w:val="001A6635"/>
    <w:rsid w:val="001B0EE9"/>
    <w:rsid w:val="001B65B3"/>
    <w:rsid w:val="001E60D6"/>
    <w:rsid w:val="00204928"/>
    <w:rsid w:val="002124D5"/>
    <w:rsid w:val="002408EA"/>
    <w:rsid w:val="0025603E"/>
    <w:rsid w:val="00262F98"/>
    <w:rsid w:val="00271080"/>
    <w:rsid w:val="002819D7"/>
    <w:rsid w:val="002C1A7E"/>
    <w:rsid w:val="002D3376"/>
    <w:rsid w:val="00311AFD"/>
    <w:rsid w:val="00311ED0"/>
    <w:rsid w:val="00316CC1"/>
    <w:rsid w:val="00344DDB"/>
    <w:rsid w:val="003648C5"/>
    <w:rsid w:val="003722FA"/>
    <w:rsid w:val="00391561"/>
    <w:rsid w:val="003C7AAF"/>
    <w:rsid w:val="003D39FF"/>
    <w:rsid w:val="003F0A04"/>
    <w:rsid w:val="003F1C1C"/>
    <w:rsid w:val="004075B6"/>
    <w:rsid w:val="00420952"/>
    <w:rsid w:val="00446BEE"/>
    <w:rsid w:val="004477B9"/>
    <w:rsid w:val="004C2B1E"/>
    <w:rsid w:val="004C517C"/>
    <w:rsid w:val="005025A1"/>
    <w:rsid w:val="0050314F"/>
    <w:rsid w:val="00524C51"/>
    <w:rsid w:val="00546EFB"/>
    <w:rsid w:val="00580D59"/>
    <w:rsid w:val="00594C3A"/>
    <w:rsid w:val="005A02D5"/>
    <w:rsid w:val="005D52D0"/>
    <w:rsid w:val="005F2FE6"/>
    <w:rsid w:val="005F3118"/>
    <w:rsid w:val="00624140"/>
    <w:rsid w:val="0062482B"/>
    <w:rsid w:val="006709A9"/>
    <w:rsid w:val="006802A7"/>
    <w:rsid w:val="006921E1"/>
    <w:rsid w:val="00696C0A"/>
    <w:rsid w:val="006A28FB"/>
    <w:rsid w:val="006A6A07"/>
    <w:rsid w:val="006D09CC"/>
    <w:rsid w:val="00732144"/>
    <w:rsid w:val="00736348"/>
    <w:rsid w:val="007545FB"/>
    <w:rsid w:val="0077376B"/>
    <w:rsid w:val="00781C41"/>
    <w:rsid w:val="007F565D"/>
    <w:rsid w:val="00811DE4"/>
    <w:rsid w:val="00833D8A"/>
    <w:rsid w:val="00837DE2"/>
    <w:rsid w:val="0084747C"/>
    <w:rsid w:val="00861B92"/>
    <w:rsid w:val="008746C4"/>
    <w:rsid w:val="008814FB"/>
    <w:rsid w:val="008A41BF"/>
    <w:rsid w:val="008A78A8"/>
    <w:rsid w:val="008D16F1"/>
    <w:rsid w:val="008D542B"/>
    <w:rsid w:val="008E7826"/>
    <w:rsid w:val="008F5E30"/>
    <w:rsid w:val="008F6FB7"/>
    <w:rsid w:val="00914D7F"/>
    <w:rsid w:val="0097305A"/>
    <w:rsid w:val="00974C49"/>
    <w:rsid w:val="00974C8E"/>
    <w:rsid w:val="00976037"/>
    <w:rsid w:val="009C727F"/>
    <w:rsid w:val="009E4F14"/>
    <w:rsid w:val="009E680B"/>
    <w:rsid w:val="00A15A1F"/>
    <w:rsid w:val="00A3325A"/>
    <w:rsid w:val="00A43013"/>
    <w:rsid w:val="00A9240C"/>
    <w:rsid w:val="00A93810"/>
    <w:rsid w:val="00AD2F66"/>
    <w:rsid w:val="00AF108A"/>
    <w:rsid w:val="00AF10CC"/>
    <w:rsid w:val="00B02E55"/>
    <w:rsid w:val="00B036C1"/>
    <w:rsid w:val="00B04218"/>
    <w:rsid w:val="00B048CF"/>
    <w:rsid w:val="00B5431F"/>
    <w:rsid w:val="00B55D0E"/>
    <w:rsid w:val="00B65A11"/>
    <w:rsid w:val="00B77AD1"/>
    <w:rsid w:val="00BA3AE8"/>
    <w:rsid w:val="00BC184B"/>
    <w:rsid w:val="00BF7FE0"/>
    <w:rsid w:val="00C36044"/>
    <w:rsid w:val="00C569D6"/>
    <w:rsid w:val="00C57670"/>
    <w:rsid w:val="00C77C66"/>
    <w:rsid w:val="00C85682"/>
    <w:rsid w:val="00C87496"/>
    <w:rsid w:val="00C96411"/>
    <w:rsid w:val="00CB2369"/>
    <w:rsid w:val="00CF0EEF"/>
    <w:rsid w:val="00CF2E5C"/>
    <w:rsid w:val="00CF3046"/>
    <w:rsid w:val="00CF58B7"/>
    <w:rsid w:val="00D02A8F"/>
    <w:rsid w:val="00D1699D"/>
    <w:rsid w:val="00D351C1"/>
    <w:rsid w:val="00D35EFB"/>
    <w:rsid w:val="00D47D55"/>
    <w:rsid w:val="00D504B3"/>
    <w:rsid w:val="00D86BF0"/>
    <w:rsid w:val="00DB7EAE"/>
    <w:rsid w:val="00DC747F"/>
    <w:rsid w:val="00DE6DA8"/>
    <w:rsid w:val="00E012B3"/>
    <w:rsid w:val="00E51079"/>
    <w:rsid w:val="00E51920"/>
    <w:rsid w:val="00E64120"/>
    <w:rsid w:val="00E660A1"/>
    <w:rsid w:val="00E72AE9"/>
    <w:rsid w:val="00E851C4"/>
    <w:rsid w:val="00EA20F5"/>
    <w:rsid w:val="00EB096F"/>
    <w:rsid w:val="00ED2FB6"/>
    <w:rsid w:val="00EE14CB"/>
    <w:rsid w:val="00EE44E0"/>
    <w:rsid w:val="00EE6600"/>
    <w:rsid w:val="00EE6F42"/>
    <w:rsid w:val="00F055F1"/>
    <w:rsid w:val="00F42A59"/>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2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7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cg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2700</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2023-06-02T13:27:00Z</dcterms:created>
  <dcterms:modified xsi:type="dcterms:W3CDTF">2023-06-02T13:27:00Z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2023-06-02T13:27:30Z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e0e4169f-ea9f-4cc3-9c12-74458927ec2b</vt:lpwstr>
  </property>
  <property fmtid="{D5CDD505-2E9C-101B-9397-08002B2CF9AE}" pid="8" name="MSIP_Label_c69d85d5-6d9e-4305-a294-1f636ec0f2d6_ContentBits">
    <vt:lpwstr>0</vt:lpwstr>
  </property>
</Properties>
</file>