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06500CE5" w:rsidR="00B8026E" w:rsidRDefault="00B8026E" w:rsidP="00EE354D">
      <w:pPr>
        <w:pStyle w:val="Paragraph"/>
      </w:pPr>
      <w:r>
        <w:t>Date first published on NICE menu:</w:t>
      </w:r>
      <w:r w:rsidR="00DF637B">
        <w:t xml:space="preserve"> </w:t>
      </w:r>
      <w:r w:rsidR="0047688B">
        <w:t>August 2016</w:t>
      </w:r>
    </w:p>
    <w:p w14:paraId="06BAB3FE" w14:textId="506A5918" w:rsidR="00B8026E" w:rsidRPr="00126C3F" w:rsidRDefault="00B8026E" w:rsidP="00EE354D">
      <w:pPr>
        <w:pStyle w:val="Paragraph"/>
        <w:rPr>
          <w:b/>
        </w:rPr>
      </w:pPr>
      <w:r>
        <w:t>Last update</w:t>
      </w:r>
      <w:r w:rsidRPr="00B8026E">
        <w:t xml:space="preserve">: </w:t>
      </w:r>
      <w:r w:rsidR="00312F30">
        <w:t xml:space="preserve">September </w:t>
      </w:r>
      <w:r w:rsidR="00D33F92">
        <w:t>202</w:t>
      </w:r>
      <w:r w:rsidR="00312F30">
        <w:t>2</w:t>
      </w:r>
    </w:p>
    <w:p w14:paraId="6107852F" w14:textId="7E1C2CD3" w:rsidR="006F0A86" w:rsidRDefault="006F0A86" w:rsidP="00126C3F">
      <w:pPr>
        <w:pStyle w:val="Heading1"/>
      </w:pPr>
      <w:r w:rsidRPr="00126C3F">
        <w:t xml:space="preserve">Indicator </w:t>
      </w:r>
      <w:r w:rsidR="0047688B">
        <w:t>NM143</w:t>
      </w:r>
    </w:p>
    <w:p w14:paraId="0A6C169D" w14:textId="4DEB0A44" w:rsidR="00611A1D" w:rsidRPr="00611A1D" w:rsidRDefault="0047688B" w:rsidP="00611A1D">
      <w:pPr>
        <w:pStyle w:val="Paragraph"/>
      </w:pPr>
      <w:r w:rsidRPr="0047688B">
        <w:t>The percentage of patients aged 18 or over who have had a record of a BMI being calculated in the preceding 5 years (and after their 18th birthday).</w:t>
      </w:r>
    </w:p>
    <w:p w14:paraId="18778417" w14:textId="333A8E39" w:rsidR="00806B97" w:rsidRDefault="00806B97" w:rsidP="00806B97">
      <w:pPr>
        <w:pStyle w:val="Heading1"/>
      </w:pPr>
      <w:r w:rsidRPr="00806B97">
        <w:t xml:space="preserve">Indicator type </w:t>
      </w:r>
    </w:p>
    <w:p w14:paraId="1F16E37E" w14:textId="54E70293" w:rsidR="00F6535D" w:rsidRPr="0047688B" w:rsidRDefault="001C31E9" w:rsidP="008E7A29">
      <w:pPr>
        <w:pStyle w:val="Paragraph"/>
      </w:pPr>
      <w:r w:rsidRPr="0047688B">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7583BD74" w14:textId="77777777" w:rsidR="0047688B" w:rsidRDefault="0047688B" w:rsidP="0047688B">
      <w:pPr>
        <w:pStyle w:val="Paragraphnonumbers"/>
      </w:pPr>
      <w:r>
        <w:t xml:space="preserve">The aim of this indicator is to encourage practices to record baseline BMI in adult patients (aged 18 years and over as of 1 April 2017) and for this to be updated at 5 yearly intervals. </w:t>
      </w:r>
    </w:p>
    <w:bookmarkStart w:id="0" w:name="_Hlk111204485"/>
    <w:p w14:paraId="5A07FC6E" w14:textId="760C2DF9" w:rsidR="0047688B" w:rsidRDefault="000B5705" w:rsidP="0047688B">
      <w:pPr>
        <w:pStyle w:val="Paragraphnonumbers"/>
      </w:pPr>
      <w:r w:rsidRPr="000B5705">
        <w:rPr>
          <w:bCs/>
          <w:lang w:eastAsia="en-US"/>
        </w:rPr>
        <w:fldChar w:fldCharType="begin"/>
      </w:r>
      <w:r w:rsidR="00C01100">
        <w:rPr>
          <w:bCs/>
          <w:lang w:eastAsia="en-US"/>
        </w:rPr>
        <w:instrText>HYPERLINK "https://www.nice.org.uk/guidance/cg189"</w:instrText>
      </w:r>
      <w:r w:rsidRPr="000B5705">
        <w:rPr>
          <w:bCs/>
          <w:lang w:eastAsia="en-US"/>
        </w:rPr>
        <w:fldChar w:fldCharType="separate"/>
      </w:r>
      <w:r w:rsidRPr="000B5705">
        <w:rPr>
          <w:rStyle w:val="Hyperlink"/>
          <w:bCs/>
          <w:lang w:eastAsia="en-US"/>
        </w:rPr>
        <w:t>NICE's guideline on obesity</w:t>
      </w:r>
      <w:r w:rsidRPr="000B5705">
        <w:rPr>
          <w:bCs/>
          <w:lang w:eastAsia="en-US"/>
        </w:rPr>
        <w:fldChar w:fldCharType="end"/>
      </w:r>
      <w:r>
        <w:rPr>
          <w:bCs/>
          <w:lang w:eastAsia="en-US"/>
        </w:rPr>
        <w:t xml:space="preserve"> </w:t>
      </w:r>
      <w:r w:rsidR="0047688B">
        <w:rPr>
          <w:lang w:eastAsia="en-US"/>
        </w:rPr>
        <w:t>recommends u</w:t>
      </w:r>
      <w:r w:rsidR="0047688B" w:rsidRPr="0045724B">
        <w:rPr>
          <w:lang w:eastAsia="en-US"/>
        </w:rPr>
        <w:t>s</w:t>
      </w:r>
      <w:r w:rsidR="0047688B">
        <w:rPr>
          <w:lang w:eastAsia="en-US"/>
        </w:rPr>
        <w:t>ing</w:t>
      </w:r>
      <w:r w:rsidR="0047688B" w:rsidRPr="0045724B">
        <w:rPr>
          <w:lang w:eastAsia="en-US"/>
        </w:rPr>
        <w:t xml:space="preserve"> BMI as a practical estimate of adiposity in adults</w:t>
      </w:r>
      <w:r w:rsidR="0047688B">
        <w:rPr>
          <w:lang w:eastAsia="en-US"/>
        </w:rPr>
        <w:t xml:space="preserve">. </w:t>
      </w:r>
      <w:r>
        <w:rPr>
          <w:lang w:eastAsia="en-US"/>
        </w:rPr>
        <w:t>Recording w</w:t>
      </w:r>
      <w:r w:rsidR="0047688B">
        <w:rPr>
          <w:lang w:eastAsia="en-US"/>
        </w:rPr>
        <w:t>aist circumference may also be useful in addition to BMI in people with a BMI of less than 35</w:t>
      </w:r>
      <w:r>
        <w:rPr>
          <w:lang w:eastAsia="en-US"/>
        </w:rPr>
        <w:t xml:space="preserve"> </w:t>
      </w:r>
      <w:r w:rsidR="0047688B">
        <w:rPr>
          <w:lang w:eastAsia="en-US"/>
        </w:rPr>
        <w:t>kg/m</w:t>
      </w:r>
      <w:r w:rsidR="0047688B" w:rsidRPr="001D54B3">
        <w:rPr>
          <w:vertAlign w:val="superscript"/>
          <w:lang w:eastAsia="en-US"/>
        </w:rPr>
        <w:t>2</w:t>
      </w:r>
      <w:r w:rsidR="0047688B">
        <w:rPr>
          <w:lang w:eastAsia="en-US"/>
        </w:rPr>
        <w:t>.</w:t>
      </w:r>
      <w:bookmarkEnd w:id="0"/>
      <w:r w:rsidR="0047688B">
        <w:rPr>
          <w:lang w:eastAsia="en-US"/>
        </w:rPr>
        <w:t xml:space="preserve"> </w:t>
      </w:r>
      <w:r w:rsidR="0047688B" w:rsidRPr="00891C26">
        <w:t xml:space="preserve">Calculating BMI </w:t>
      </w:r>
      <w:r w:rsidR="0047688B">
        <w:t xml:space="preserve">on a regular basis </w:t>
      </w:r>
      <w:r w:rsidR="0047688B" w:rsidRPr="00891C26">
        <w:t>will enable primary care to</w:t>
      </w:r>
      <w:r w:rsidR="0047688B">
        <w:t xml:space="preserve"> not only</w:t>
      </w:r>
      <w:r w:rsidR="0047688B" w:rsidRPr="00891C26">
        <w:t xml:space="preserve"> identi</w:t>
      </w:r>
      <w:r w:rsidR="0047688B">
        <w:t>fy people who are overweight or</w:t>
      </w:r>
      <w:r w:rsidR="0047688B" w:rsidRPr="00891C26">
        <w:t xml:space="preserve"> obese,</w:t>
      </w:r>
      <w:r w:rsidR="0047688B">
        <w:t xml:space="preserve"> but also provide a baseline against which to assess any unexplained weight loss. </w:t>
      </w:r>
    </w:p>
    <w:p w14:paraId="7F6BFA5F" w14:textId="183ABDDE" w:rsidR="0047688B" w:rsidRDefault="0047688B" w:rsidP="0047688B">
      <w:pPr>
        <w:pStyle w:val="Paragraphnonumbers"/>
      </w:pPr>
      <w:r>
        <w:t xml:space="preserve">The </w:t>
      </w:r>
      <w:hyperlink r:id="rId7" w:history="1">
        <w:r w:rsidRPr="00C80EC6">
          <w:rPr>
            <w:rStyle w:val="Hyperlink"/>
          </w:rPr>
          <w:t xml:space="preserve">Royal </w:t>
        </w:r>
        <w:r>
          <w:rPr>
            <w:rStyle w:val="Hyperlink"/>
          </w:rPr>
          <w:t>C</w:t>
        </w:r>
        <w:r w:rsidRPr="00C80EC6">
          <w:rPr>
            <w:rStyle w:val="Hyperlink"/>
          </w:rPr>
          <w:t>ollege of Physicians</w:t>
        </w:r>
      </w:hyperlink>
      <w:r>
        <w:t xml:space="preserve"> notes that primary care has a key role in the management of obesity through the assessment of risk and morbidity, and facilitating access to weight management support. NICE guidance recommendations for classification of the degree of overweight or obesity and appropriate weight management support are detailed in the tables below:</w:t>
      </w:r>
    </w:p>
    <w:p w14:paraId="6C711CB9" w14:textId="5532892F" w:rsidR="0047688B" w:rsidRDefault="0047688B" w:rsidP="003779AE">
      <w:pPr>
        <w:pStyle w:val="ListParagraph"/>
        <w:spacing w:line="360" w:lineRule="auto"/>
        <w:ind w:left="0"/>
        <w:rPr>
          <w:rFonts w:ascii="Arial" w:hAnsi="Arial" w:cs="Arial"/>
        </w:rPr>
      </w:pPr>
      <w:r w:rsidRPr="0027687A">
        <w:rPr>
          <w:rFonts w:ascii="Arial" w:hAnsi="Arial" w:cs="Arial"/>
        </w:rPr>
        <w:lastRenderedPageBreak/>
        <w:t>Base the level of intervention to discuss with the patient initially as follows (CG</w:t>
      </w:r>
      <w:r w:rsidR="00C01100">
        <w:rPr>
          <w:rFonts w:ascii="Arial" w:hAnsi="Arial" w:cs="Arial"/>
        </w:rPr>
        <w:t>189</w:t>
      </w:r>
      <w:r w:rsidRPr="0027687A">
        <w:rPr>
          <w:rFonts w:ascii="Arial" w:hAnsi="Arial" w:cs="Arial"/>
        </w:rPr>
        <w:t xml:space="preserve"> rec</w:t>
      </w:r>
      <w:r w:rsidR="00710134">
        <w:rPr>
          <w:rFonts w:ascii="Arial" w:hAnsi="Arial" w:cs="Arial"/>
        </w:rPr>
        <w:t>ommendations</w:t>
      </w:r>
      <w:r w:rsidRPr="0027687A">
        <w:rPr>
          <w:rFonts w:ascii="Arial" w:hAnsi="Arial" w:cs="Arial"/>
        </w:rPr>
        <w:t xml:space="preserve"> 1.2.1</w:t>
      </w:r>
      <w:r w:rsidR="00312F30">
        <w:rPr>
          <w:rFonts w:ascii="Arial" w:hAnsi="Arial" w:cs="Arial"/>
        </w:rPr>
        <w:t>5 and 1.2.16</w:t>
      </w:r>
      <w:r w:rsidRPr="0027687A">
        <w:rPr>
          <w:rFonts w:ascii="Arial" w:hAnsi="Arial" w:cs="Arial"/>
        </w:rPr>
        <w:t>):</w:t>
      </w:r>
    </w:p>
    <w:p w14:paraId="78A4FDC6" w14:textId="41C02BAF" w:rsidR="003C67D1" w:rsidRDefault="003C67D1" w:rsidP="003779AE">
      <w:pPr>
        <w:pStyle w:val="ListParagraph"/>
        <w:spacing w:line="360" w:lineRule="auto"/>
        <w:ind w:left="0"/>
        <w:rPr>
          <w:rFonts w:ascii="Arial" w:hAnsi="Arial" w:cs="Arial"/>
        </w:rPr>
      </w:pPr>
    </w:p>
    <w:p w14:paraId="60D52CF8" w14:textId="3C418D7C" w:rsidR="003C67D1" w:rsidRDefault="003C67D1" w:rsidP="003779AE">
      <w:pPr>
        <w:pStyle w:val="ListParagraph"/>
        <w:spacing w:line="360" w:lineRule="auto"/>
        <w:ind w:left="0"/>
        <w:rPr>
          <w:rFonts w:ascii="Arial" w:hAnsi="Arial" w:cs="Arial"/>
          <w:bCs/>
        </w:rPr>
      </w:pPr>
      <w:bookmarkStart w:id="1" w:name="_Hlk94773195"/>
      <w:r w:rsidRPr="003C67D1">
        <w:rPr>
          <w:rFonts w:ascii="Arial" w:hAnsi="Arial" w:cs="Arial"/>
          <w:bCs/>
        </w:rPr>
        <w:t>Discuss and agree the level of intervention with adults who:</w:t>
      </w:r>
    </w:p>
    <w:p w14:paraId="6D2B1A3B" w14:textId="77777777" w:rsidR="003C67D1" w:rsidRPr="003C67D1" w:rsidRDefault="003C67D1" w:rsidP="003779AE">
      <w:pPr>
        <w:pStyle w:val="ListParagraph"/>
        <w:numPr>
          <w:ilvl w:val="0"/>
          <w:numId w:val="39"/>
        </w:numPr>
        <w:spacing w:line="360" w:lineRule="auto"/>
        <w:rPr>
          <w:rFonts w:ascii="Arial" w:hAnsi="Arial" w:cs="Arial"/>
        </w:rPr>
      </w:pPr>
      <w:r w:rsidRPr="003C67D1">
        <w:rPr>
          <w:rFonts w:ascii="Arial" w:hAnsi="Arial" w:cs="Arial"/>
        </w:rPr>
        <w:t xml:space="preserve">are living with overweight or obesity </w:t>
      </w:r>
      <w:r w:rsidRPr="003C67D1">
        <w:rPr>
          <w:rFonts w:ascii="Arial" w:hAnsi="Arial" w:cs="Arial"/>
          <w:b/>
          <w:bCs/>
        </w:rPr>
        <w:t>or</w:t>
      </w:r>
    </w:p>
    <w:p w14:paraId="299A381B" w14:textId="77777777" w:rsidR="003C67D1" w:rsidRPr="003C67D1" w:rsidRDefault="003C67D1" w:rsidP="003779AE">
      <w:pPr>
        <w:pStyle w:val="ListParagraph"/>
        <w:numPr>
          <w:ilvl w:val="0"/>
          <w:numId w:val="39"/>
        </w:numPr>
        <w:spacing w:line="360" w:lineRule="auto"/>
        <w:rPr>
          <w:rFonts w:ascii="Arial" w:hAnsi="Arial" w:cs="Arial"/>
        </w:rPr>
      </w:pPr>
      <w:r w:rsidRPr="003C67D1">
        <w:rPr>
          <w:rFonts w:ascii="Arial" w:hAnsi="Arial" w:cs="Arial"/>
        </w:rPr>
        <w:t xml:space="preserve">have increased health risk based on their waist-to-height ratio. </w:t>
      </w:r>
    </w:p>
    <w:p w14:paraId="55FD9436" w14:textId="77777777" w:rsidR="003C67D1" w:rsidRDefault="003C67D1" w:rsidP="003779AE">
      <w:pPr>
        <w:pStyle w:val="ListParagraph"/>
        <w:spacing w:line="360" w:lineRule="auto"/>
        <w:ind w:left="0"/>
        <w:rPr>
          <w:rFonts w:ascii="Arial" w:hAnsi="Arial" w:cs="Arial"/>
        </w:rPr>
      </w:pPr>
    </w:p>
    <w:p w14:paraId="1C67223A" w14:textId="5D8F1A2A" w:rsidR="003C67D1" w:rsidRPr="003C67D1" w:rsidRDefault="003C67D1" w:rsidP="003779AE">
      <w:pPr>
        <w:pStyle w:val="ListParagraph"/>
        <w:spacing w:line="360" w:lineRule="auto"/>
        <w:ind w:left="0"/>
        <w:rPr>
          <w:rFonts w:ascii="Arial" w:hAnsi="Arial" w:cs="Arial"/>
        </w:rPr>
      </w:pPr>
      <w:proofErr w:type="gramStart"/>
      <w:r w:rsidRPr="003C67D1">
        <w:rPr>
          <w:rFonts w:ascii="Arial" w:hAnsi="Arial" w:cs="Arial"/>
        </w:rPr>
        <w:t>Take into account</w:t>
      </w:r>
      <w:proofErr w:type="gramEnd"/>
      <w:r w:rsidRPr="003C67D1">
        <w:rPr>
          <w:rFonts w:ascii="Arial" w:hAnsi="Arial" w:cs="Arial"/>
        </w:rPr>
        <w:t xml:space="preserve"> people’s individual needs and preferences, and factors such as weight-related comorbidities, ethnicity, socioeconomic status and family medical history, </w:t>
      </w:r>
      <w:bookmarkStart w:id="2" w:name="_Hlk105602606"/>
      <w:r w:rsidRPr="003C67D1">
        <w:rPr>
          <w:rFonts w:ascii="Arial" w:hAnsi="Arial" w:cs="Arial"/>
        </w:rPr>
        <w:t>and special educational needs and disabilities (SEND).</w:t>
      </w:r>
      <w:bookmarkEnd w:id="2"/>
      <w:bookmarkEnd w:id="1"/>
    </w:p>
    <w:p w14:paraId="0458A395" w14:textId="0E94420F" w:rsidR="003C67D1" w:rsidRDefault="003C67D1" w:rsidP="003779AE">
      <w:pPr>
        <w:pStyle w:val="ListParagraph"/>
        <w:spacing w:line="360" w:lineRule="auto"/>
        <w:ind w:left="0"/>
        <w:rPr>
          <w:rFonts w:ascii="Arial" w:hAnsi="Arial" w:cs="Arial"/>
        </w:rPr>
      </w:pPr>
    </w:p>
    <w:p w14:paraId="4A67DC1E" w14:textId="324C75F0" w:rsidR="0047688B" w:rsidRPr="0027687A" w:rsidRDefault="003C67D1" w:rsidP="003779AE">
      <w:pPr>
        <w:pStyle w:val="ListParagraph"/>
        <w:spacing w:line="360" w:lineRule="auto"/>
        <w:ind w:left="0"/>
        <w:rPr>
          <w:rFonts w:ascii="Arial" w:hAnsi="Arial" w:cs="Arial"/>
        </w:rPr>
      </w:pPr>
      <w:bookmarkStart w:id="3" w:name="_Hlk94705898"/>
      <w:bookmarkStart w:id="4" w:name="_Hlk94773233"/>
      <w:r w:rsidRPr="003C67D1">
        <w:rPr>
          <w:rFonts w:ascii="Arial" w:hAnsi="Arial" w:cs="Arial"/>
        </w:rPr>
        <w:t>Offer a higher level of intervention to people with weight-related comorbidities</w:t>
      </w:r>
      <w:bookmarkEnd w:id="3"/>
      <w:r>
        <w:rPr>
          <w:rFonts w:ascii="Arial" w:hAnsi="Arial" w:cs="Arial"/>
        </w:rPr>
        <w:t xml:space="preserve">. </w:t>
      </w:r>
      <w:r w:rsidRPr="003C67D1">
        <w:rPr>
          <w:rFonts w:ascii="Arial" w:hAnsi="Arial" w:cs="Arial"/>
        </w:rPr>
        <w:t>Adjust the approach depending on the person's clinical needs.</w:t>
      </w:r>
      <w:bookmarkEnd w:id="4"/>
    </w:p>
    <w:p w14:paraId="4D3E713A" w14:textId="1505C94C" w:rsidR="0047688B" w:rsidRDefault="0047688B" w:rsidP="003779AE">
      <w:pPr>
        <w:spacing w:line="360" w:lineRule="auto"/>
      </w:pPr>
    </w:p>
    <w:p w14:paraId="1DFA6559" w14:textId="2AF2CBC0" w:rsidR="0047688B" w:rsidRDefault="0047688B" w:rsidP="003779AE">
      <w:pPr>
        <w:pStyle w:val="ListParagraph"/>
        <w:spacing w:line="360" w:lineRule="auto"/>
        <w:ind w:left="0"/>
        <w:rPr>
          <w:rFonts w:ascii="Arial" w:hAnsi="Arial" w:cs="Arial"/>
        </w:rPr>
      </w:pPr>
      <w:r w:rsidRPr="0027687A">
        <w:rPr>
          <w:rFonts w:ascii="Arial" w:hAnsi="Arial" w:cs="Arial"/>
        </w:rPr>
        <w:t xml:space="preserve">Define the degree of overweight or obesity in adults </w:t>
      </w:r>
      <w:r w:rsidR="003C67D1">
        <w:rPr>
          <w:rFonts w:ascii="Arial" w:hAnsi="Arial" w:cs="Arial"/>
        </w:rPr>
        <w:t>as follows</w:t>
      </w:r>
      <w:r w:rsidRPr="0027687A">
        <w:rPr>
          <w:rFonts w:ascii="Arial" w:hAnsi="Arial" w:cs="Arial"/>
        </w:rPr>
        <w:t xml:space="preserve"> (CG</w:t>
      </w:r>
      <w:r w:rsidR="00C01100">
        <w:rPr>
          <w:rFonts w:ascii="Arial" w:hAnsi="Arial" w:cs="Arial"/>
        </w:rPr>
        <w:t>189</w:t>
      </w:r>
      <w:r w:rsidRPr="0027687A">
        <w:rPr>
          <w:rFonts w:ascii="Arial" w:hAnsi="Arial" w:cs="Arial"/>
        </w:rPr>
        <w:t xml:space="preserve"> rec</w:t>
      </w:r>
      <w:r w:rsidR="00710134">
        <w:rPr>
          <w:rFonts w:ascii="Arial" w:hAnsi="Arial" w:cs="Arial"/>
        </w:rPr>
        <w:t>ommendations</w:t>
      </w:r>
      <w:r w:rsidRPr="0027687A">
        <w:rPr>
          <w:rFonts w:ascii="Arial" w:hAnsi="Arial" w:cs="Arial"/>
        </w:rPr>
        <w:t xml:space="preserve"> 1.2.7</w:t>
      </w:r>
      <w:r w:rsidR="00710134">
        <w:rPr>
          <w:rFonts w:ascii="Arial" w:hAnsi="Arial" w:cs="Arial"/>
        </w:rPr>
        <w:t xml:space="preserve"> and 1.2.8</w:t>
      </w:r>
      <w:r w:rsidRPr="0027687A">
        <w:rPr>
          <w:rFonts w:ascii="Arial" w:hAnsi="Arial" w:cs="Arial"/>
        </w:rPr>
        <w:t>):</w:t>
      </w:r>
    </w:p>
    <w:p w14:paraId="04830AE2" w14:textId="77777777" w:rsidR="003C67D1" w:rsidRPr="003C67D1" w:rsidRDefault="003C67D1" w:rsidP="003779AE">
      <w:pPr>
        <w:pStyle w:val="ListParagraph"/>
        <w:numPr>
          <w:ilvl w:val="0"/>
          <w:numId w:val="40"/>
        </w:numPr>
        <w:spacing w:line="360" w:lineRule="auto"/>
        <w:rPr>
          <w:rFonts w:ascii="Arial" w:hAnsi="Arial" w:cs="Arial"/>
        </w:rPr>
      </w:pPr>
      <w:r w:rsidRPr="003C67D1">
        <w:rPr>
          <w:rFonts w:ascii="Arial" w:hAnsi="Arial" w:cs="Arial"/>
        </w:rPr>
        <w:t>healthy weight: BMI 18.5 kg/m</w:t>
      </w:r>
      <w:r w:rsidRPr="003C67D1">
        <w:rPr>
          <w:rFonts w:ascii="Arial" w:hAnsi="Arial" w:cs="Arial"/>
          <w:vertAlign w:val="superscript"/>
        </w:rPr>
        <w:t>2</w:t>
      </w:r>
      <w:r w:rsidRPr="003C67D1">
        <w:rPr>
          <w:rFonts w:ascii="Arial" w:hAnsi="Arial" w:cs="Arial"/>
        </w:rPr>
        <w:t xml:space="preserve"> to 24.9 kg/m</w:t>
      </w:r>
      <w:r w:rsidRPr="003C67D1">
        <w:rPr>
          <w:rFonts w:ascii="Arial" w:hAnsi="Arial" w:cs="Arial"/>
          <w:vertAlign w:val="superscript"/>
        </w:rPr>
        <w:t>2</w:t>
      </w:r>
    </w:p>
    <w:p w14:paraId="32454470" w14:textId="77777777" w:rsidR="003C67D1" w:rsidRPr="003C67D1" w:rsidRDefault="003C67D1" w:rsidP="003779AE">
      <w:pPr>
        <w:pStyle w:val="ListParagraph"/>
        <w:numPr>
          <w:ilvl w:val="0"/>
          <w:numId w:val="40"/>
        </w:numPr>
        <w:spacing w:line="360" w:lineRule="auto"/>
        <w:rPr>
          <w:rFonts w:ascii="Arial" w:hAnsi="Arial" w:cs="Arial"/>
        </w:rPr>
      </w:pPr>
      <w:r w:rsidRPr="003C67D1">
        <w:rPr>
          <w:rFonts w:ascii="Arial" w:hAnsi="Arial" w:cs="Arial"/>
        </w:rPr>
        <w:t>overweight: BMI 25 kg/m</w:t>
      </w:r>
      <w:r w:rsidRPr="003C67D1">
        <w:rPr>
          <w:rFonts w:ascii="Arial" w:hAnsi="Arial" w:cs="Arial"/>
          <w:vertAlign w:val="superscript"/>
        </w:rPr>
        <w:t>2</w:t>
      </w:r>
      <w:r w:rsidRPr="003C67D1">
        <w:rPr>
          <w:rFonts w:ascii="Arial" w:hAnsi="Arial" w:cs="Arial"/>
        </w:rPr>
        <w:t xml:space="preserve"> to 29.9 kg/m</w:t>
      </w:r>
      <w:r w:rsidRPr="003C67D1">
        <w:rPr>
          <w:rFonts w:ascii="Arial" w:hAnsi="Arial" w:cs="Arial"/>
          <w:vertAlign w:val="superscript"/>
        </w:rPr>
        <w:t>2</w:t>
      </w:r>
    </w:p>
    <w:p w14:paraId="265F4957" w14:textId="77777777" w:rsidR="003C67D1" w:rsidRPr="003C67D1" w:rsidRDefault="003C67D1" w:rsidP="003779AE">
      <w:pPr>
        <w:pStyle w:val="ListParagraph"/>
        <w:numPr>
          <w:ilvl w:val="0"/>
          <w:numId w:val="40"/>
        </w:numPr>
        <w:spacing w:line="360" w:lineRule="auto"/>
        <w:rPr>
          <w:rFonts w:ascii="Arial" w:hAnsi="Arial" w:cs="Arial"/>
        </w:rPr>
      </w:pPr>
      <w:r w:rsidRPr="003C67D1">
        <w:rPr>
          <w:rFonts w:ascii="Arial" w:hAnsi="Arial" w:cs="Arial"/>
        </w:rPr>
        <w:t>obesity class 1: BMI 30 kg/m</w:t>
      </w:r>
      <w:r w:rsidRPr="003C67D1">
        <w:rPr>
          <w:rFonts w:ascii="Arial" w:hAnsi="Arial" w:cs="Arial"/>
          <w:vertAlign w:val="superscript"/>
        </w:rPr>
        <w:t>2</w:t>
      </w:r>
      <w:r w:rsidRPr="003C67D1">
        <w:rPr>
          <w:rFonts w:ascii="Arial" w:hAnsi="Arial" w:cs="Arial"/>
        </w:rPr>
        <w:t xml:space="preserve"> to 34.9 kg/m</w:t>
      </w:r>
      <w:r w:rsidRPr="003C67D1">
        <w:rPr>
          <w:rFonts w:ascii="Arial" w:hAnsi="Arial" w:cs="Arial"/>
          <w:vertAlign w:val="superscript"/>
        </w:rPr>
        <w:t>2</w:t>
      </w:r>
    </w:p>
    <w:p w14:paraId="308D617A" w14:textId="77777777" w:rsidR="003C67D1" w:rsidRPr="003C67D1" w:rsidRDefault="003C67D1" w:rsidP="003779AE">
      <w:pPr>
        <w:pStyle w:val="ListParagraph"/>
        <w:numPr>
          <w:ilvl w:val="0"/>
          <w:numId w:val="40"/>
        </w:numPr>
        <w:spacing w:line="360" w:lineRule="auto"/>
        <w:rPr>
          <w:rFonts w:ascii="Arial" w:hAnsi="Arial" w:cs="Arial"/>
        </w:rPr>
      </w:pPr>
      <w:r w:rsidRPr="003C67D1">
        <w:rPr>
          <w:rFonts w:ascii="Arial" w:hAnsi="Arial" w:cs="Arial"/>
        </w:rPr>
        <w:t>obesity class 2: BMI 35 kg/m</w:t>
      </w:r>
      <w:r w:rsidRPr="003C67D1">
        <w:rPr>
          <w:rFonts w:ascii="Arial" w:hAnsi="Arial" w:cs="Arial"/>
          <w:vertAlign w:val="superscript"/>
        </w:rPr>
        <w:t>2</w:t>
      </w:r>
      <w:r w:rsidRPr="003C67D1">
        <w:rPr>
          <w:rFonts w:ascii="Arial" w:hAnsi="Arial" w:cs="Arial"/>
        </w:rPr>
        <w:t xml:space="preserve"> to 39.9 kg/m</w:t>
      </w:r>
      <w:r w:rsidRPr="003C67D1">
        <w:rPr>
          <w:rFonts w:ascii="Arial" w:hAnsi="Arial" w:cs="Arial"/>
          <w:vertAlign w:val="superscript"/>
        </w:rPr>
        <w:t>2</w:t>
      </w:r>
    </w:p>
    <w:p w14:paraId="3AE15B1D" w14:textId="77777777" w:rsidR="003C67D1" w:rsidRPr="003C67D1" w:rsidRDefault="003C67D1" w:rsidP="003779AE">
      <w:pPr>
        <w:pStyle w:val="ListParagraph"/>
        <w:numPr>
          <w:ilvl w:val="0"/>
          <w:numId w:val="40"/>
        </w:numPr>
        <w:spacing w:line="360" w:lineRule="auto"/>
        <w:rPr>
          <w:rFonts w:ascii="Arial" w:hAnsi="Arial" w:cs="Arial"/>
        </w:rPr>
      </w:pPr>
      <w:r w:rsidRPr="003C67D1">
        <w:rPr>
          <w:rFonts w:ascii="Arial" w:hAnsi="Arial" w:cs="Arial"/>
        </w:rPr>
        <w:t>obesity class 3: BMI 40 kg/m</w:t>
      </w:r>
      <w:r w:rsidRPr="003C67D1">
        <w:rPr>
          <w:rFonts w:ascii="Arial" w:hAnsi="Arial" w:cs="Arial"/>
          <w:vertAlign w:val="superscript"/>
        </w:rPr>
        <w:t xml:space="preserve">2 </w:t>
      </w:r>
      <w:r w:rsidRPr="003C67D1">
        <w:rPr>
          <w:rFonts w:ascii="Arial" w:hAnsi="Arial" w:cs="Arial"/>
        </w:rPr>
        <w:t>or more.</w:t>
      </w:r>
    </w:p>
    <w:p w14:paraId="3FE626C1" w14:textId="77777777" w:rsidR="003C67D1" w:rsidRDefault="003C67D1" w:rsidP="003779AE">
      <w:pPr>
        <w:pStyle w:val="ListParagraph"/>
        <w:spacing w:line="360" w:lineRule="auto"/>
        <w:ind w:left="0"/>
        <w:rPr>
          <w:rFonts w:ascii="Arial" w:hAnsi="Arial" w:cs="Arial"/>
        </w:rPr>
      </w:pPr>
    </w:p>
    <w:p w14:paraId="7FB74A3A" w14:textId="4CF65FD7" w:rsidR="005C0D56" w:rsidRDefault="003C67D1" w:rsidP="003779AE">
      <w:pPr>
        <w:pStyle w:val="ListParagraph"/>
        <w:spacing w:line="360" w:lineRule="auto"/>
        <w:ind w:left="0"/>
        <w:rPr>
          <w:rFonts w:ascii="Arial" w:hAnsi="Arial" w:cs="Arial"/>
        </w:rPr>
      </w:pPr>
      <w:r w:rsidRPr="003C67D1">
        <w:rPr>
          <w:rFonts w:ascii="Arial" w:hAnsi="Arial" w:cs="Arial"/>
        </w:rPr>
        <w:t xml:space="preserve">Use clinical judgement when interpreting the healthy weight category because a person in this category may nevertheless have central adiposity. See </w:t>
      </w:r>
      <w:hyperlink r:id="rId8" w:anchor="assessment-of-healthy-weight" w:history="1">
        <w:r w:rsidRPr="003C67D1">
          <w:rPr>
            <w:rStyle w:val="Hyperlink"/>
            <w:rFonts w:ascii="Arial" w:hAnsi="Arial" w:cs="Arial"/>
          </w:rPr>
          <w:t>Public Health England’s guidance on obesity and weight management for people with learning disabilities</w:t>
        </w:r>
      </w:hyperlink>
      <w:r w:rsidRPr="003C67D1">
        <w:rPr>
          <w:rFonts w:ascii="Arial" w:hAnsi="Arial" w:cs="Arial"/>
        </w:rPr>
        <w:t xml:space="preserve"> for information on reasonable adjustments that may need to be made</w:t>
      </w:r>
      <w:r>
        <w:rPr>
          <w:rFonts w:ascii="Arial" w:hAnsi="Arial" w:cs="Arial"/>
        </w:rPr>
        <w:t>.</w:t>
      </w:r>
    </w:p>
    <w:p w14:paraId="22C79E63" w14:textId="32C743AB" w:rsidR="00710134" w:rsidRDefault="00710134" w:rsidP="003779AE">
      <w:pPr>
        <w:pStyle w:val="ListParagraph"/>
        <w:spacing w:line="360" w:lineRule="auto"/>
        <w:ind w:left="0"/>
        <w:rPr>
          <w:rFonts w:ascii="Arial" w:hAnsi="Arial" w:cs="Arial"/>
        </w:rPr>
      </w:pPr>
    </w:p>
    <w:p w14:paraId="70E918B5" w14:textId="33FEAA48" w:rsidR="00710134" w:rsidRDefault="00710134" w:rsidP="003779AE">
      <w:pPr>
        <w:pStyle w:val="ListParagraph"/>
        <w:spacing w:line="360" w:lineRule="auto"/>
        <w:ind w:left="0"/>
        <w:rPr>
          <w:rFonts w:ascii="Arial" w:hAnsi="Arial" w:cs="Arial"/>
          <w:bCs/>
        </w:rPr>
      </w:pPr>
      <w:r w:rsidRPr="00710134">
        <w:rPr>
          <w:rFonts w:ascii="Arial" w:hAnsi="Arial" w:cs="Arial"/>
          <w:bCs/>
        </w:rPr>
        <w:t xml:space="preserve">People with a South Asian, Chinese, other Asian, Middle Eastern, Black </w:t>
      </w:r>
      <w:proofErr w:type="gramStart"/>
      <w:r w:rsidRPr="00710134">
        <w:rPr>
          <w:rFonts w:ascii="Arial" w:hAnsi="Arial" w:cs="Arial"/>
          <w:bCs/>
        </w:rPr>
        <w:t>African</w:t>
      </w:r>
      <w:proofErr w:type="gramEnd"/>
      <w:r w:rsidRPr="00710134">
        <w:rPr>
          <w:rFonts w:ascii="Arial" w:hAnsi="Arial" w:cs="Arial"/>
          <w:bCs/>
        </w:rPr>
        <w:t xml:space="preserve"> or African-Caribbean family background are prone to central adiposity and their cardiometabolic risk occurs at lower BMI, so use lower BMI thresholds as a practical measure of overweight and obesity:</w:t>
      </w:r>
    </w:p>
    <w:p w14:paraId="3965BDA8" w14:textId="77777777" w:rsidR="00710134" w:rsidRPr="00710134" w:rsidRDefault="00710134" w:rsidP="003779AE">
      <w:pPr>
        <w:pStyle w:val="ListParagraph"/>
        <w:numPr>
          <w:ilvl w:val="0"/>
          <w:numId w:val="41"/>
        </w:numPr>
        <w:spacing w:line="360" w:lineRule="auto"/>
        <w:rPr>
          <w:rFonts w:ascii="Arial" w:hAnsi="Arial" w:cs="Arial"/>
        </w:rPr>
      </w:pPr>
      <w:r w:rsidRPr="00710134">
        <w:rPr>
          <w:rFonts w:ascii="Arial" w:hAnsi="Arial" w:cs="Arial"/>
        </w:rPr>
        <w:t>overweight: BMI 23 kg/m</w:t>
      </w:r>
      <w:r w:rsidRPr="00710134">
        <w:rPr>
          <w:rFonts w:ascii="Arial" w:hAnsi="Arial" w:cs="Arial"/>
          <w:vertAlign w:val="superscript"/>
        </w:rPr>
        <w:t>2</w:t>
      </w:r>
      <w:r w:rsidRPr="00710134">
        <w:rPr>
          <w:rFonts w:ascii="Arial" w:hAnsi="Arial" w:cs="Arial"/>
        </w:rPr>
        <w:t xml:space="preserve"> to 27.4 kg/m</w:t>
      </w:r>
      <w:r w:rsidRPr="00710134">
        <w:rPr>
          <w:rFonts w:ascii="Arial" w:hAnsi="Arial" w:cs="Arial"/>
          <w:vertAlign w:val="superscript"/>
        </w:rPr>
        <w:t>2</w:t>
      </w:r>
      <w:r w:rsidRPr="00710134">
        <w:rPr>
          <w:rFonts w:ascii="Arial" w:hAnsi="Arial" w:cs="Arial"/>
        </w:rPr>
        <w:t xml:space="preserve"> </w:t>
      </w:r>
    </w:p>
    <w:p w14:paraId="0F29B113" w14:textId="0C3FE384" w:rsidR="00710134" w:rsidRDefault="00710134" w:rsidP="003779AE">
      <w:pPr>
        <w:pStyle w:val="ListParagraph"/>
        <w:numPr>
          <w:ilvl w:val="0"/>
          <w:numId w:val="41"/>
        </w:numPr>
        <w:spacing w:line="360" w:lineRule="auto"/>
        <w:rPr>
          <w:rFonts w:ascii="Arial" w:hAnsi="Arial" w:cs="Arial"/>
        </w:rPr>
      </w:pPr>
      <w:r w:rsidRPr="00710134">
        <w:rPr>
          <w:rFonts w:ascii="Arial" w:hAnsi="Arial" w:cs="Arial"/>
        </w:rPr>
        <w:lastRenderedPageBreak/>
        <w:t>obesity: BMI 27.5 kg/m</w:t>
      </w:r>
      <w:r w:rsidRPr="00710134">
        <w:rPr>
          <w:rFonts w:ascii="Arial" w:hAnsi="Arial" w:cs="Arial"/>
          <w:vertAlign w:val="superscript"/>
        </w:rPr>
        <w:t>2</w:t>
      </w:r>
      <w:r w:rsidRPr="00710134">
        <w:rPr>
          <w:rFonts w:ascii="Arial" w:hAnsi="Arial" w:cs="Arial"/>
        </w:rPr>
        <w:t xml:space="preserve"> or above.</w:t>
      </w:r>
    </w:p>
    <w:p w14:paraId="0A07FC8C" w14:textId="77777777" w:rsidR="00710134" w:rsidRPr="00710134" w:rsidRDefault="00710134" w:rsidP="003779AE">
      <w:pPr>
        <w:pStyle w:val="ListParagraph"/>
        <w:spacing w:line="360" w:lineRule="auto"/>
        <w:ind w:left="0"/>
        <w:rPr>
          <w:rFonts w:ascii="Arial" w:hAnsi="Arial" w:cs="Arial"/>
        </w:rPr>
      </w:pPr>
    </w:p>
    <w:p w14:paraId="217BD007" w14:textId="6C07DA44" w:rsidR="00710134" w:rsidRDefault="00710134" w:rsidP="003779AE">
      <w:pPr>
        <w:pStyle w:val="ListParagraph"/>
        <w:spacing w:line="360" w:lineRule="auto"/>
        <w:ind w:left="0"/>
        <w:rPr>
          <w:rFonts w:ascii="Arial" w:hAnsi="Arial" w:cs="Arial"/>
        </w:rPr>
      </w:pPr>
      <w:r w:rsidRPr="00710134">
        <w:rPr>
          <w:rFonts w:ascii="Arial" w:hAnsi="Arial" w:cs="Arial"/>
        </w:rPr>
        <w:t>For people in these groups, obesity classes 2 and 3 are usually identified by reducing the thresholds highlighted in recommendation 1.2.7 by 2.5 kg/m2</w:t>
      </w:r>
      <w:r w:rsidR="003779AE">
        <w:rPr>
          <w:rFonts w:ascii="Arial" w:hAnsi="Arial" w:cs="Arial"/>
        </w:rPr>
        <w:t>.</w:t>
      </w:r>
    </w:p>
    <w:p w14:paraId="69D4A75D" w14:textId="2F265140" w:rsidR="00D141B1" w:rsidRDefault="003779AE" w:rsidP="00D141B1">
      <w:pPr>
        <w:pStyle w:val="Heading1"/>
        <w:rPr>
          <w:i/>
        </w:rPr>
      </w:pPr>
      <w:r>
        <w:t>S</w:t>
      </w:r>
      <w:r w:rsidR="00D141B1" w:rsidRPr="001F2B33">
        <w:t xml:space="preserve">ource guidance </w:t>
      </w:r>
    </w:p>
    <w:p w14:paraId="71E7A71F" w14:textId="0137764E" w:rsidR="00896185" w:rsidRPr="00A132A2" w:rsidRDefault="0023721B" w:rsidP="00896185">
      <w:pPr>
        <w:pStyle w:val="Paragraphnonumbers"/>
        <w:rPr>
          <w:rFonts w:cs="Arial"/>
          <w:lang w:eastAsia="en-US"/>
        </w:rPr>
      </w:pPr>
      <w:hyperlink r:id="rId9" w:history="1">
        <w:r>
          <w:rPr>
            <w:rStyle w:val="Hyperlink"/>
          </w:rPr>
          <w:t xml:space="preserve">Obesity: identification, </w:t>
        </w:r>
        <w:proofErr w:type="gramStart"/>
        <w:r>
          <w:rPr>
            <w:rStyle w:val="Hyperlink"/>
          </w:rPr>
          <w:t>assessment</w:t>
        </w:r>
        <w:proofErr w:type="gramEnd"/>
        <w:r>
          <w:rPr>
            <w:rStyle w:val="Hyperlink"/>
          </w:rPr>
          <w:t xml:space="preserve"> and management. NICE guideline CG189</w:t>
        </w:r>
      </w:hyperlink>
      <w:r w:rsidR="00EB0312" w:rsidRPr="00EB0312">
        <w:t xml:space="preserve"> (2022)</w:t>
      </w:r>
      <w:r w:rsidR="00896185">
        <w:rPr>
          <w:bCs/>
          <w:lang w:eastAsia="en-US"/>
        </w:rPr>
        <w:t>, recommendations 1.2.1 and 1.2.</w:t>
      </w:r>
      <w:r w:rsidR="00EB0312">
        <w:rPr>
          <w:bCs/>
          <w:lang w:eastAsia="en-US"/>
        </w:rPr>
        <w:t>4</w:t>
      </w:r>
      <w:r w:rsidR="00896185">
        <w:rPr>
          <w:bCs/>
          <w:lang w:eastAsia="en-US"/>
        </w:rPr>
        <w:t>.</w:t>
      </w:r>
    </w:p>
    <w:p w14:paraId="05AD89C4" w14:textId="77777777" w:rsidR="00D141B1" w:rsidRDefault="00D141B1" w:rsidP="00126C3F">
      <w:pPr>
        <w:pStyle w:val="Heading1"/>
      </w:pPr>
      <w:r>
        <w:t xml:space="preserve">Specification </w:t>
      </w:r>
    </w:p>
    <w:p w14:paraId="4B62A813" w14:textId="47837A69" w:rsidR="0009195D" w:rsidRDefault="00D141B1" w:rsidP="00EE354D">
      <w:pPr>
        <w:pStyle w:val="Paragraph"/>
      </w:pPr>
      <w:r>
        <w:t xml:space="preserve">Numerator: </w:t>
      </w:r>
      <w:r w:rsidR="0009195D" w:rsidRPr="00896185">
        <w:t xml:space="preserve">The number of patients in the denominator </w:t>
      </w:r>
      <w:r w:rsidR="00896185" w:rsidRPr="00896185">
        <w:t>who have had a record of a BMI being calculated in the preceding 5 years (and after their 18th birthday)</w:t>
      </w:r>
      <w:r w:rsidR="0009195D">
        <w:t>.</w:t>
      </w:r>
      <w:r w:rsidR="0009195D" w:rsidRPr="0009195D">
        <w:t xml:space="preserve"> </w:t>
      </w:r>
    </w:p>
    <w:p w14:paraId="06B62F8F" w14:textId="77C690D4" w:rsidR="00D141B1" w:rsidRDefault="00D141B1" w:rsidP="00EE354D">
      <w:pPr>
        <w:pStyle w:val="Paragraph"/>
      </w:pPr>
      <w:r w:rsidRPr="001B1D97">
        <w:t xml:space="preserve">Denominator: </w:t>
      </w:r>
      <w:r w:rsidR="002B0BA6" w:rsidRPr="001B1D97">
        <w:t xml:space="preserve">The number of patients </w:t>
      </w:r>
      <w:r w:rsidR="001B1D97" w:rsidRPr="001B1D97">
        <w:t>aged 18 or over</w:t>
      </w:r>
      <w:r w:rsidR="00FF0E22">
        <w:t xml:space="preserve"> registered at a GP practice</w:t>
      </w:r>
      <w:r w:rsidR="002B0BA6">
        <w:t>.</w:t>
      </w:r>
    </w:p>
    <w:p w14:paraId="04501E11" w14:textId="21EF738C" w:rsidR="0009195D" w:rsidRDefault="0009195D" w:rsidP="00EE354D">
      <w:pPr>
        <w:pStyle w:val="Paragraph"/>
      </w:pPr>
      <w:r>
        <w:t xml:space="preserve">Calculation: </w:t>
      </w:r>
      <w:r w:rsidRPr="001B1D97">
        <w:t>(Numerator/</w:t>
      </w:r>
      <w:proofErr w:type="gramStart"/>
      <w:r w:rsidRPr="001B1D97">
        <w:t>denominator)*</w:t>
      </w:r>
      <w:proofErr w:type="gramEnd"/>
      <w:r w:rsidRPr="001B1D97">
        <w:t>100</w:t>
      </w:r>
    </w:p>
    <w:p w14:paraId="4DB1A9BE" w14:textId="4EE17108" w:rsidR="0099449C" w:rsidRDefault="0099449C" w:rsidP="00EE354D">
      <w:pPr>
        <w:pStyle w:val="Paragraph"/>
      </w:pPr>
      <w:r>
        <w:t xml:space="preserve">Exclusions: None. </w:t>
      </w:r>
    </w:p>
    <w:p w14:paraId="15239063" w14:textId="50399FBB" w:rsidR="00706451" w:rsidRDefault="00706451" w:rsidP="00EE354D">
      <w:pPr>
        <w:pStyle w:val="Paragraph"/>
      </w:pPr>
      <w:r>
        <w:t xml:space="preserve">Minimum population: </w:t>
      </w:r>
      <w:r w:rsidR="000D5395" w:rsidRPr="00FF0E22">
        <w:t xml:space="preserve">The indicator would be appropriate </w:t>
      </w:r>
      <w:r w:rsidR="00391F4B" w:rsidRPr="00FF0E22">
        <w:t xml:space="preserve">to assess performance </w:t>
      </w:r>
      <w:r w:rsidR="003B53D0" w:rsidRPr="00FF0E22">
        <w:t xml:space="preserve">at </w:t>
      </w:r>
      <w:r w:rsidR="00391F4B" w:rsidRPr="00FF0E22">
        <w:t>individual</w:t>
      </w:r>
      <w:r w:rsidR="000D5395" w:rsidRPr="00FF0E22">
        <w:t xml:space="preserve"> general practice</w:t>
      </w:r>
      <w:r w:rsidR="00391F4B" w:rsidRPr="00FF0E22">
        <w:t xml:space="preserve"> level</w:t>
      </w:r>
      <w:r w:rsidR="000D5395" w:rsidRPr="00FF0E22">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5" w:name="_Hlk14183092"/>
      <w:r w:rsidRPr="0009195D">
        <w:t xml:space="preserve">This is NICE indicator guidance, which is part of the </w:t>
      </w:r>
      <w:hyperlink r:id="rId10" w:history="1">
        <w:r w:rsidRPr="008541A5">
          <w:rPr>
            <w:rStyle w:val="Hyperlink"/>
          </w:rPr>
          <w:t>NICE menu of indicators</w:t>
        </w:r>
      </w:hyperlink>
      <w:r w:rsidRPr="0009195D">
        <w:t xml:space="preserve">. This document does not represent formal NICE guidance. </w:t>
      </w:r>
      <w:bookmarkEnd w:id="5"/>
    </w:p>
    <w:sectPr w:rsidR="0009195D" w:rsidRPr="0009195D" w:rsidSect="003D61B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3B4C7AF4" w:rsidR="00245B12" w:rsidRPr="00EA7F52" w:rsidRDefault="00D141B1" w:rsidP="00D141B1">
    <w:pPr>
      <w:pStyle w:val="Footer"/>
    </w:pPr>
    <w:r>
      <w:t xml:space="preserve">NICE indicator guidance: </w:t>
    </w:r>
    <w:r w:rsidR="00BB3E19">
      <w:t>NM143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5842996"/>
    <w:multiLevelType w:val="hybridMultilevel"/>
    <w:tmpl w:val="2D82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1" w15:restartNumberingAfterBreak="0">
    <w:nsid w:val="2E1C110F"/>
    <w:multiLevelType w:val="hybridMultilevel"/>
    <w:tmpl w:val="2262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83D7F"/>
    <w:multiLevelType w:val="hybridMultilevel"/>
    <w:tmpl w:val="0806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9"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8582405">
    <w:abstractNumId w:val="25"/>
  </w:num>
  <w:num w:numId="2" w16cid:durableId="97532012">
    <w:abstractNumId w:val="28"/>
  </w:num>
  <w:num w:numId="3" w16cid:durableId="1150319979">
    <w:abstractNumId w:val="28"/>
    <w:lvlOverride w:ilvl="0">
      <w:startOverride w:val="1"/>
    </w:lvlOverride>
  </w:num>
  <w:num w:numId="4" w16cid:durableId="464197888">
    <w:abstractNumId w:val="28"/>
    <w:lvlOverride w:ilvl="0">
      <w:startOverride w:val="1"/>
    </w:lvlOverride>
  </w:num>
  <w:num w:numId="5" w16cid:durableId="2075617830">
    <w:abstractNumId w:val="28"/>
    <w:lvlOverride w:ilvl="0">
      <w:startOverride w:val="1"/>
    </w:lvlOverride>
  </w:num>
  <w:num w:numId="6" w16cid:durableId="1791432185">
    <w:abstractNumId w:val="28"/>
    <w:lvlOverride w:ilvl="0">
      <w:startOverride w:val="1"/>
    </w:lvlOverride>
  </w:num>
  <w:num w:numId="7" w16cid:durableId="2118256501">
    <w:abstractNumId w:val="28"/>
    <w:lvlOverride w:ilvl="0">
      <w:startOverride w:val="1"/>
    </w:lvlOverride>
  </w:num>
  <w:num w:numId="8" w16cid:durableId="46031778">
    <w:abstractNumId w:val="9"/>
  </w:num>
  <w:num w:numId="9" w16cid:durableId="756368894">
    <w:abstractNumId w:val="7"/>
  </w:num>
  <w:num w:numId="10" w16cid:durableId="1942907198">
    <w:abstractNumId w:val="6"/>
  </w:num>
  <w:num w:numId="11" w16cid:durableId="938179007">
    <w:abstractNumId w:val="5"/>
  </w:num>
  <w:num w:numId="12" w16cid:durableId="1345858316">
    <w:abstractNumId w:val="4"/>
  </w:num>
  <w:num w:numId="13" w16cid:durableId="1622766763">
    <w:abstractNumId w:val="8"/>
  </w:num>
  <w:num w:numId="14" w16cid:durableId="1849562804">
    <w:abstractNumId w:val="3"/>
  </w:num>
  <w:num w:numId="15" w16cid:durableId="731851540">
    <w:abstractNumId w:val="2"/>
  </w:num>
  <w:num w:numId="16" w16cid:durableId="486940811">
    <w:abstractNumId w:val="1"/>
  </w:num>
  <w:num w:numId="17" w16cid:durableId="884367142">
    <w:abstractNumId w:val="0"/>
  </w:num>
  <w:num w:numId="18" w16cid:durableId="271667820">
    <w:abstractNumId w:val="17"/>
  </w:num>
  <w:num w:numId="19" w16cid:durableId="1006594716">
    <w:abstractNumId w:val="17"/>
    <w:lvlOverride w:ilvl="0">
      <w:startOverride w:val="1"/>
    </w:lvlOverride>
  </w:num>
  <w:num w:numId="20" w16cid:durableId="855769680">
    <w:abstractNumId w:val="12"/>
  </w:num>
  <w:num w:numId="21" w16cid:durableId="546720555">
    <w:abstractNumId w:val="13"/>
  </w:num>
  <w:num w:numId="22" w16cid:durableId="191190878">
    <w:abstractNumId w:val="18"/>
  </w:num>
  <w:num w:numId="23" w16cid:durableId="1416710218">
    <w:abstractNumId w:val="19"/>
  </w:num>
  <w:num w:numId="24" w16cid:durableId="714890186">
    <w:abstractNumId w:val="25"/>
  </w:num>
  <w:num w:numId="25" w16cid:durableId="1904681127">
    <w:abstractNumId w:val="22"/>
  </w:num>
  <w:num w:numId="26" w16cid:durableId="281612470">
    <w:abstractNumId w:val="30"/>
  </w:num>
  <w:num w:numId="27" w16cid:durableId="118495582">
    <w:abstractNumId w:val="29"/>
  </w:num>
  <w:num w:numId="28" w16cid:durableId="894126271">
    <w:abstractNumId w:val="32"/>
  </w:num>
  <w:num w:numId="29" w16cid:durableId="1872377444">
    <w:abstractNumId w:val="14"/>
  </w:num>
  <w:num w:numId="30" w16cid:durableId="573050896">
    <w:abstractNumId w:val="16"/>
  </w:num>
  <w:num w:numId="31" w16cid:durableId="1366519955">
    <w:abstractNumId w:val="11"/>
  </w:num>
  <w:num w:numId="32" w16cid:durableId="556938737">
    <w:abstractNumId w:val="27"/>
  </w:num>
  <w:num w:numId="33" w16cid:durableId="1304964767">
    <w:abstractNumId w:val="31"/>
  </w:num>
  <w:num w:numId="34" w16cid:durableId="1967199012">
    <w:abstractNumId w:val="20"/>
  </w:num>
  <w:num w:numId="35" w16cid:durableId="2054191932">
    <w:abstractNumId w:val="10"/>
  </w:num>
  <w:num w:numId="36" w16cid:durableId="2024940957">
    <w:abstractNumId w:val="25"/>
  </w:num>
  <w:num w:numId="37" w16cid:durableId="1802112682">
    <w:abstractNumId w:val="26"/>
  </w:num>
  <w:num w:numId="38" w16cid:durableId="303589507">
    <w:abstractNumId w:val="23"/>
  </w:num>
  <w:num w:numId="39" w16cid:durableId="37434248">
    <w:abstractNumId w:val="15"/>
  </w:num>
  <w:num w:numId="40" w16cid:durableId="2146581909">
    <w:abstractNumId w:val="21"/>
  </w:num>
  <w:num w:numId="41" w16cid:durableId="579142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1627A"/>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705"/>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2F9A"/>
    <w:rsid w:val="001849F3"/>
    <w:rsid w:val="00191328"/>
    <w:rsid w:val="001A0EA2"/>
    <w:rsid w:val="001A2CB8"/>
    <w:rsid w:val="001A2FF4"/>
    <w:rsid w:val="001A7C4E"/>
    <w:rsid w:val="001B0D96"/>
    <w:rsid w:val="001B0EE9"/>
    <w:rsid w:val="001B1D97"/>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3721B"/>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2F30"/>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779AE"/>
    <w:rsid w:val="00381A0E"/>
    <w:rsid w:val="00384D2A"/>
    <w:rsid w:val="00391208"/>
    <w:rsid w:val="00391CCC"/>
    <w:rsid w:val="00391F4B"/>
    <w:rsid w:val="0039208F"/>
    <w:rsid w:val="0039354B"/>
    <w:rsid w:val="003B53D0"/>
    <w:rsid w:val="003C67D1"/>
    <w:rsid w:val="003C7AAF"/>
    <w:rsid w:val="003D61BE"/>
    <w:rsid w:val="003D6D57"/>
    <w:rsid w:val="003E1C96"/>
    <w:rsid w:val="003E38A5"/>
    <w:rsid w:val="00402391"/>
    <w:rsid w:val="00402436"/>
    <w:rsid w:val="004070CA"/>
    <w:rsid w:val="004075B6"/>
    <w:rsid w:val="00412C67"/>
    <w:rsid w:val="00417A17"/>
    <w:rsid w:val="00420952"/>
    <w:rsid w:val="004216A1"/>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724B"/>
    <w:rsid w:val="004615A8"/>
    <w:rsid w:val="0047074B"/>
    <w:rsid w:val="00470B59"/>
    <w:rsid w:val="0047350D"/>
    <w:rsid w:val="0047688B"/>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043F8"/>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5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1C3B"/>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0134"/>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96185"/>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57B4B"/>
    <w:rsid w:val="009607DA"/>
    <w:rsid w:val="009609A6"/>
    <w:rsid w:val="009619DE"/>
    <w:rsid w:val="00961FA9"/>
    <w:rsid w:val="00963B89"/>
    <w:rsid w:val="009729A4"/>
    <w:rsid w:val="00975E10"/>
    <w:rsid w:val="0098788C"/>
    <w:rsid w:val="00993DD3"/>
    <w:rsid w:val="0099449C"/>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483E"/>
    <w:rsid w:val="00B968B4"/>
    <w:rsid w:val="00BA02F9"/>
    <w:rsid w:val="00BA0F05"/>
    <w:rsid w:val="00BA2026"/>
    <w:rsid w:val="00BA78E0"/>
    <w:rsid w:val="00BB3E19"/>
    <w:rsid w:val="00BC05E2"/>
    <w:rsid w:val="00BC4FA5"/>
    <w:rsid w:val="00BC6478"/>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1100"/>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4BB9"/>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92"/>
    <w:rsid w:val="00D33FFF"/>
    <w:rsid w:val="00D34F49"/>
    <w:rsid w:val="00D351C1"/>
    <w:rsid w:val="00D355D1"/>
    <w:rsid w:val="00D35EFB"/>
    <w:rsid w:val="00D37142"/>
    <w:rsid w:val="00D43489"/>
    <w:rsid w:val="00D465A2"/>
    <w:rsid w:val="00D47ACD"/>
    <w:rsid w:val="00D504B3"/>
    <w:rsid w:val="00D50C58"/>
    <w:rsid w:val="00D50EB4"/>
    <w:rsid w:val="00D56528"/>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729F"/>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031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356D"/>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0E22"/>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 w:type="paragraph" w:customStyle="1" w:styleId="TableTextLeft">
    <w:name w:val="~TableTextLeft"/>
    <w:basedOn w:val="Normal"/>
    <w:qFormat/>
    <w:rsid w:val="0047688B"/>
    <w:pPr>
      <w:spacing w:before="40" w:after="20"/>
    </w:pPr>
    <w:rPr>
      <w:rFonts w:ascii="Calibri" w:eastAsia="Calibri" w:hAnsi="Calibri"/>
      <w:sz w:val="20"/>
      <w:szCs w:val="22"/>
      <w:lang w:eastAsia="en-US"/>
    </w:rPr>
  </w:style>
  <w:style w:type="paragraph" w:customStyle="1" w:styleId="TableHeadingLeft">
    <w:name w:val="~TableHeadingLeft"/>
    <w:basedOn w:val="TableTextLeft"/>
    <w:qFormat/>
    <w:rsid w:val="0047688B"/>
    <w:rPr>
      <w:b/>
      <w:color w:val="00000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47346389">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obesity-weight-management-and-people-with-learning-disabilities/obesity-and-weight-management-for-people-with-learning-disabilities-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cplondon.ac.uk/projects/outputs/action-obesity-comprehensive-care-a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ce.org.uk/Standards-and-Indicators/index" TargetMode="External"/><Relationship Id="rId4" Type="http://schemas.openxmlformats.org/officeDocument/2006/relationships/webSettings" Target="webSettings.xml"/><Relationship Id="rId9" Type="http://schemas.openxmlformats.org/officeDocument/2006/relationships/hyperlink" Target="https://www.nice.org.uk/guidance/cg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2020-10-28T09:30:00Z</dcterms:created>
  <dcterms:modified xsi:type="dcterms:W3CDTF">2022-08-30T09:52:00Z</dcterms:modified>
</cp:coreProperties>
</file>