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74C6438" w:rsidR="00B8026E" w:rsidRDefault="00B8026E" w:rsidP="00B8026E">
      <w:pPr>
        <w:pStyle w:val="NICEnormal"/>
      </w:pPr>
      <w:r>
        <w:t>Date first published on NICE menu:</w:t>
      </w:r>
      <w:r w:rsidR="00642581">
        <w:t xml:space="preserve"> August 2017</w:t>
      </w:r>
    </w:p>
    <w:p w14:paraId="06BAB3FE" w14:textId="0B7ED152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997B0D">
        <w:t>February 2020</w:t>
      </w:r>
    </w:p>
    <w:p w14:paraId="6107852F" w14:textId="66054281" w:rsidR="006F0A86" w:rsidRDefault="006F0A86" w:rsidP="00126C3F">
      <w:pPr>
        <w:pStyle w:val="Heading1"/>
      </w:pPr>
      <w:r w:rsidRPr="00126C3F">
        <w:t xml:space="preserve">Indicator </w:t>
      </w:r>
      <w:r w:rsidR="00642581">
        <w:t>NM147</w:t>
      </w:r>
    </w:p>
    <w:p w14:paraId="4E9BD731" w14:textId="77777777" w:rsidR="00642581" w:rsidRDefault="00642581" w:rsidP="00642581">
      <w:pPr>
        <w:pStyle w:val="Paragraph"/>
      </w:pPr>
      <w:r>
        <w:t>The percentage of patients with atrial fibrillation, currently treated with an anticoagulant, who have had a review in the preceding 12 months which included:</w:t>
      </w:r>
    </w:p>
    <w:p w14:paraId="4B9B50B0" w14:textId="6C3B441D" w:rsidR="00642581" w:rsidRDefault="00642581" w:rsidP="00642581">
      <w:pPr>
        <w:pStyle w:val="Paragraph"/>
        <w:numPr>
          <w:ilvl w:val="0"/>
          <w:numId w:val="39"/>
        </w:numPr>
      </w:pPr>
      <w:bookmarkStart w:id="0" w:name="_Hlk27399678"/>
      <w:r>
        <w:t>Assessment of stroke/VTE risk</w:t>
      </w:r>
    </w:p>
    <w:p w14:paraId="20733A45" w14:textId="781AC4D2" w:rsidR="00642581" w:rsidRDefault="00642581" w:rsidP="00642581">
      <w:pPr>
        <w:pStyle w:val="Paragraph"/>
        <w:numPr>
          <w:ilvl w:val="0"/>
          <w:numId w:val="39"/>
        </w:numPr>
      </w:pPr>
      <w:r>
        <w:t>Assessment of bleeding risk</w:t>
      </w:r>
    </w:p>
    <w:p w14:paraId="7F8F23BB" w14:textId="5D25EE3E" w:rsidR="00642581" w:rsidRDefault="00642581" w:rsidP="00642581">
      <w:pPr>
        <w:pStyle w:val="Paragraph"/>
        <w:numPr>
          <w:ilvl w:val="0"/>
          <w:numId w:val="39"/>
        </w:numPr>
      </w:pPr>
      <w:r>
        <w:t>Assessment of renal function, creatinine clearance, FBC and LFTs as appropriate for their anticoagulation therapy</w:t>
      </w:r>
    </w:p>
    <w:p w14:paraId="315AC5C1" w14:textId="75A49DC9" w:rsidR="00642581" w:rsidRDefault="00642581" w:rsidP="00642581">
      <w:pPr>
        <w:pStyle w:val="Paragraph"/>
        <w:numPr>
          <w:ilvl w:val="0"/>
          <w:numId w:val="39"/>
        </w:numPr>
      </w:pPr>
      <w:r>
        <w:t>Any adverse effects related to anticoagulation</w:t>
      </w:r>
    </w:p>
    <w:p w14:paraId="02614AAB" w14:textId="661AEB90" w:rsidR="00642581" w:rsidRDefault="00642581" w:rsidP="00642581">
      <w:pPr>
        <w:pStyle w:val="Paragraph"/>
        <w:numPr>
          <w:ilvl w:val="0"/>
          <w:numId w:val="39"/>
        </w:numPr>
      </w:pPr>
      <w:r>
        <w:t>Assessment of compliance</w:t>
      </w:r>
    </w:p>
    <w:p w14:paraId="0A6C169D" w14:textId="2E0B2B6E" w:rsidR="00611A1D" w:rsidRPr="00611A1D" w:rsidRDefault="00642581" w:rsidP="00642581">
      <w:pPr>
        <w:pStyle w:val="Paragraph"/>
        <w:numPr>
          <w:ilvl w:val="0"/>
          <w:numId w:val="39"/>
        </w:numPr>
      </w:pPr>
      <w:r>
        <w:t>Choice of anticoagulant</w:t>
      </w:r>
    </w:p>
    <w:bookmarkEnd w:id="0"/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3423258A" w:rsidR="001C31E9" w:rsidRPr="00642581" w:rsidRDefault="001C31E9" w:rsidP="00F6535D">
      <w:pPr>
        <w:pStyle w:val="Paragraph"/>
      </w:pPr>
      <w:r w:rsidRPr="00642581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4C20FEC3" w14:textId="2E54A903" w:rsidR="00642581" w:rsidRDefault="00642581" w:rsidP="00642581">
      <w:pPr>
        <w:pStyle w:val="NICEnormal"/>
      </w:pPr>
      <w:r>
        <w:t>Reviewing the quality of and need for anticoagulation at least annually can ensure that a person's risks of stroke and of having a major bleed are as low as possible.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1E259BBD" w14:textId="39C3D4F9" w:rsidR="00D141B1" w:rsidRPr="00BD6253" w:rsidRDefault="008E481C" w:rsidP="00D141B1">
      <w:pPr>
        <w:pStyle w:val="NICEnormal"/>
      </w:pPr>
      <w:hyperlink r:id="rId7" w:history="1">
        <w:r w:rsidRPr="00EA6B11">
          <w:rPr>
            <w:rStyle w:val="Hyperlink"/>
          </w:rPr>
          <w:t xml:space="preserve">Atrial fibrillation: </w:t>
        </w:r>
        <w:r>
          <w:rPr>
            <w:rStyle w:val="Hyperlink"/>
          </w:rPr>
          <w:t xml:space="preserve">diagnosis and </w:t>
        </w:r>
        <w:r w:rsidRPr="00EA6B11">
          <w:rPr>
            <w:rStyle w:val="Hyperlink"/>
          </w:rPr>
          <w:t>management</w:t>
        </w:r>
        <w:r w:rsidRPr="00EA6B11">
          <w:rPr>
            <w:rStyle w:val="Hyperlink"/>
          </w:rPr>
          <w:t>.</w:t>
        </w:r>
        <w:r w:rsidRPr="00EA6B11">
          <w:rPr>
            <w:rStyle w:val="Hyperlink"/>
          </w:rPr>
          <w:t xml:space="preserve"> </w:t>
        </w:r>
        <w:r w:rsidRPr="00EA6B11">
          <w:rPr>
            <w:rStyle w:val="Hyperlink"/>
          </w:rPr>
          <w:t>N</w:t>
        </w:r>
        <w:r w:rsidRPr="00EA6B11">
          <w:rPr>
            <w:rStyle w:val="Hyperlink"/>
          </w:rPr>
          <w:t xml:space="preserve">ICE guideline </w:t>
        </w:r>
        <w:r>
          <w:rPr>
            <w:rStyle w:val="Hyperlink"/>
          </w:rPr>
          <w:t>196</w:t>
        </w:r>
      </w:hyperlink>
      <w:r w:rsidR="00C33979" w:rsidRPr="00C33979">
        <w:t xml:space="preserve"> </w:t>
      </w:r>
      <w:r w:rsidR="00D141B1" w:rsidRPr="00BD6253">
        <w:t>(</w:t>
      </w:r>
      <w:r w:rsidR="00C33979">
        <w:t>20</w:t>
      </w:r>
      <w:r w:rsidR="009B7B77">
        <w:t>2</w:t>
      </w:r>
      <w:r w:rsidR="00C33979">
        <w:t>1</w:t>
      </w:r>
      <w:r w:rsidR="00D141B1" w:rsidRPr="00BD6253">
        <w:t>), recommendatio</w:t>
      </w:r>
      <w:r w:rsidR="00C33979">
        <w:t xml:space="preserve">ns </w:t>
      </w:r>
      <w:r w:rsidR="00A74CB7" w:rsidRPr="00A74CB7">
        <w:t>1.2.1, 1.2.2, 1.2.3 and 1.6.16</w:t>
      </w:r>
      <w:r w:rsidR="00D141B1" w:rsidRPr="00BD6253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3FF4AF9F" w14:textId="43974BD3" w:rsidR="00CF0C6F" w:rsidRDefault="00D141B1" w:rsidP="00D141B1">
      <w:pPr>
        <w:pStyle w:val="NICEnormal"/>
      </w:pPr>
      <w:r>
        <w:t>Numerator:</w:t>
      </w:r>
      <w:r w:rsidR="00CF0C6F">
        <w:t xml:space="preserve"> </w:t>
      </w:r>
      <w:r w:rsidR="0009195D" w:rsidRPr="00CF0C6F">
        <w:t xml:space="preserve">The number of patients in the denominator </w:t>
      </w:r>
      <w:r w:rsidR="00C33979" w:rsidRPr="00C33979">
        <w:t>who have had a review in the preceding 12 months which included</w:t>
      </w:r>
      <w:r w:rsidR="00CF0C6F">
        <w:t>:</w:t>
      </w:r>
    </w:p>
    <w:p w14:paraId="5FA65135" w14:textId="2C899C8D" w:rsidR="00CF0C6F" w:rsidRDefault="00CF0C6F" w:rsidP="00CF0C6F">
      <w:pPr>
        <w:pStyle w:val="Paragraph"/>
        <w:numPr>
          <w:ilvl w:val="0"/>
          <w:numId w:val="39"/>
        </w:numPr>
      </w:pPr>
      <w:r>
        <w:t>Assessment of stroke/VTE risk</w:t>
      </w:r>
    </w:p>
    <w:p w14:paraId="0A864895" w14:textId="77777777" w:rsidR="00CF0C6F" w:rsidRDefault="00CF0C6F" w:rsidP="00CF0C6F">
      <w:pPr>
        <w:pStyle w:val="Paragraph"/>
        <w:numPr>
          <w:ilvl w:val="0"/>
          <w:numId w:val="39"/>
        </w:numPr>
      </w:pPr>
      <w:r>
        <w:t>Assessment of bleeding risk</w:t>
      </w:r>
    </w:p>
    <w:p w14:paraId="5C9B25F0" w14:textId="77777777" w:rsidR="00CF0C6F" w:rsidRDefault="00CF0C6F" w:rsidP="00CF0C6F">
      <w:pPr>
        <w:pStyle w:val="Paragraph"/>
        <w:numPr>
          <w:ilvl w:val="0"/>
          <w:numId w:val="39"/>
        </w:numPr>
      </w:pPr>
      <w:r>
        <w:t>Assessment of renal function, creatinine clearance, FBC and LFTs as appropriate for their anticoagulation therapy</w:t>
      </w:r>
    </w:p>
    <w:p w14:paraId="470B4FAA" w14:textId="77777777" w:rsidR="00CF0C6F" w:rsidRDefault="00CF0C6F" w:rsidP="00CF0C6F">
      <w:pPr>
        <w:pStyle w:val="Paragraph"/>
        <w:numPr>
          <w:ilvl w:val="0"/>
          <w:numId w:val="39"/>
        </w:numPr>
      </w:pPr>
      <w:r>
        <w:t>Any adverse effects related to anticoagulation</w:t>
      </w:r>
    </w:p>
    <w:p w14:paraId="17FC00AE" w14:textId="77777777" w:rsidR="00CF0C6F" w:rsidRDefault="00CF0C6F" w:rsidP="00CF0C6F">
      <w:pPr>
        <w:pStyle w:val="Paragraph"/>
        <w:numPr>
          <w:ilvl w:val="0"/>
          <w:numId w:val="39"/>
        </w:numPr>
      </w:pPr>
      <w:r>
        <w:t>Assessment of compliance</w:t>
      </w:r>
    </w:p>
    <w:p w14:paraId="4B62A813" w14:textId="2DAF220F" w:rsidR="0009195D" w:rsidRDefault="00CF0C6F" w:rsidP="00D141B1">
      <w:pPr>
        <w:pStyle w:val="Paragraph"/>
        <w:numPr>
          <w:ilvl w:val="0"/>
          <w:numId w:val="39"/>
        </w:numPr>
      </w:pPr>
      <w:r>
        <w:t>Choice of anticoagulant</w:t>
      </w:r>
    </w:p>
    <w:p w14:paraId="06B62F8F" w14:textId="6695ED7E" w:rsidR="00D141B1" w:rsidRDefault="00D141B1" w:rsidP="00D141B1">
      <w:pPr>
        <w:pStyle w:val="NICEnormal"/>
      </w:pPr>
      <w:r>
        <w:t xml:space="preserve">Denominator: </w:t>
      </w:r>
      <w:r w:rsidR="002B0BA6" w:rsidRPr="00CF0C6F">
        <w:t xml:space="preserve">The number of </w:t>
      </w:r>
      <w:r w:rsidR="00CF0C6F" w:rsidRPr="00CF0C6F">
        <w:t>patients with atrial fibrillation, currently treated with an anticoagulant</w:t>
      </w:r>
      <w:r w:rsidR="002B0BA6">
        <w:t>.</w:t>
      </w:r>
    </w:p>
    <w:p w14:paraId="04501E11" w14:textId="1CC5AE63" w:rsidR="0009195D" w:rsidRDefault="0009195D" w:rsidP="00D141B1">
      <w:pPr>
        <w:pStyle w:val="NICEnormal"/>
      </w:pPr>
      <w:r w:rsidRPr="00CF0C6F">
        <w:t>Calculation: (Numerator/</w:t>
      </w:r>
      <w:proofErr w:type="gramStart"/>
      <w:r w:rsidRPr="00CF0C6F">
        <w:t>denominator)*</w:t>
      </w:r>
      <w:proofErr w:type="gramEnd"/>
      <w:r w:rsidRPr="00CF0C6F">
        <w:t>100</w:t>
      </w:r>
    </w:p>
    <w:p w14:paraId="711579B4" w14:textId="77777777" w:rsidR="00654D38" w:rsidRDefault="00D141B1" w:rsidP="00D141B1">
      <w:pPr>
        <w:pStyle w:val="NICEnormal"/>
      </w:pPr>
      <w:r>
        <w:t xml:space="preserve">Exclusions: </w:t>
      </w:r>
    </w:p>
    <w:p w14:paraId="51FE387B" w14:textId="57A801AB" w:rsidR="00654D38" w:rsidRDefault="00A04B24" w:rsidP="00F36C1A">
      <w:pPr>
        <w:pStyle w:val="Paragraph"/>
        <w:numPr>
          <w:ilvl w:val="0"/>
          <w:numId w:val="39"/>
        </w:numPr>
      </w:pPr>
      <w:r>
        <w:t>P</w:t>
      </w:r>
      <w:r w:rsidR="00BE36BA">
        <w:t>atients</w:t>
      </w:r>
      <w:r>
        <w:t xml:space="preserve"> aged 18 years</w:t>
      </w:r>
      <w:r w:rsidR="00BE36BA">
        <w:t xml:space="preserve"> and under</w:t>
      </w:r>
      <w:r w:rsidR="001B5BC1">
        <w:t xml:space="preserve"> </w:t>
      </w:r>
    </w:p>
    <w:p w14:paraId="0D2624A5" w14:textId="101D7A45" w:rsidR="009607DA" w:rsidRDefault="00654D38" w:rsidP="00F36C1A">
      <w:pPr>
        <w:pStyle w:val="Paragraph"/>
        <w:numPr>
          <w:ilvl w:val="0"/>
          <w:numId w:val="39"/>
        </w:numPr>
      </w:pPr>
      <w:r>
        <w:t>P</w:t>
      </w:r>
      <w:r w:rsidR="001B5BC1">
        <w:t>atients</w:t>
      </w:r>
      <w:r w:rsidR="0043569A">
        <w:t xml:space="preserve"> </w:t>
      </w:r>
      <w:proofErr w:type="gramStart"/>
      <w:r w:rsidR="0043569A">
        <w:t>not</w:t>
      </w:r>
      <w:r w:rsidR="001B5BC1">
        <w:t xml:space="preserve"> prescribed</w:t>
      </w:r>
      <w:proofErr w:type="gramEnd"/>
      <w:r w:rsidR="001B5BC1">
        <w:t xml:space="preserve"> an anticoagulant in the preceding 6 months</w:t>
      </w:r>
      <w:r>
        <w:t>.</w:t>
      </w:r>
      <w:r w:rsidR="00DF45AD">
        <w:t xml:space="preserve"> </w:t>
      </w:r>
    </w:p>
    <w:p w14:paraId="788853CF" w14:textId="7576C12D" w:rsidR="004E7623" w:rsidRDefault="004E7623" w:rsidP="004E7623">
      <w:pPr>
        <w:pStyle w:val="Paragraph"/>
        <w:rPr>
          <w:highlight w:val="lightGray"/>
        </w:rPr>
      </w:pPr>
      <w:r>
        <w:t xml:space="preserve">Minimum population: </w:t>
      </w:r>
      <w:r w:rsidRPr="004E7623">
        <w:t xml:space="preserve">The indicator would be appropriate to assess performance at individual general practice level.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1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375F7D41" w:rsidR="00245B12" w:rsidRPr="00EA7F52" w:rsidRDefault="00D141B1" w:rsidP="00D141B1">
    <w:pPr>
      <w:pStyle w:val="Footer"/>
    </w:pPr>
    <w:r>
      <w:t xml:space="preserve">NICE indicator guidance: </w:t>
    </w:r>
    <w:r w:rsidR="00642581">
      <w:t>NM147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4668"/>
    <w:multiLevelType w:val="hybridMultilevel"/>
    <w:tmpl w:val="7E18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34B5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364C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2CF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421C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5BC1"/>
    <w:rsid w:val="001B65B3"/>
    <w:rsid w:val="001C31E9"/>
    <w:rsid w:val="001C506B"/>
    <w:rsid w:val="001C7C0D"/>
    <w:rsid w:val="001D0FBE"/>
    <w:rsid w:val="001E5835"/>
    <w:rsid w:val="001F23E6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33BD"/>
    <w:rsid w:val="002E5744"/>
    <w:rsid w:val="002F25FC"/>
    <w:rsid w:val="002F6A33"/>
    <w:rsid w:val="002F7742"/>
    <w:rsid w:val="00305DF6"/>
    <w:rsid w:val="00306A73"/>
    <w:rsid w:val="00311ED0"/>
    <w:rsid w:val="00312208"/>
    <w:rsid w:val="00312B41"/>
    <w:rsid w:val="00313297"/>
    <w:rsid w:val="00333F8D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69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10FF"/>
    <w:rsid w:val="004B7B45"/>
    <w:rsid w:val="004C4C2D"/>
    <w:rsid w:val="004C6A5C"/>
    <w:rsid w:val="004D0D69"/>
    <w:rsid w:val="004E1F75"/>
    <w:rsid w:val="004E2A20"/>
    <w:rsid w:val="004E4974"/>
    <w:rsid w:val="004E68CA"/>
    <w:rsid w:val="004E7623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42581"/>
    <w:rsid w:val="00654D3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5154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45CC6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C1949"/>
    <w:rsid w:val="008D36D5"/>
    <w:rsid w:val="008E09B9"/>
    <w:rsid w:val="008E481C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97B0D"/>
    <w:rsid w:val="009A74EB"/>
    <w:rsid w:val="009B7B77"/>
    <w:rsid w:val="009C06FD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4B24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4CB7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B4B8D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36AFA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36BA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3979"/>
    <w:rsid w:val="00C35731"/>
    <w:rsid w:val="00C42C69"/>
    <w:rsid w:val="00C46D9D"/>
    <w:rsid w:val="00C4726C"/>
    <w:rsid w:val="00C478C4"/>
    <w:rsid w:val="00C625B6"/>
    <w:rsid w:val="00C66A0A"/>
    <w:rsid w:val="00C67481"/>
    <w:rsid w:val="00C77632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D7A72"/>
    <w:rsid w:val="00CF0C6F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38D9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2536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36C1A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2021-01-13T13:47:00Z</dcterms:created>
  <dcterms:modified xsi:type="dcterms:W3CDTF">2021-04-22T11:10:00Z</dcterms:modified>
</cp:coreProperties>
</file>