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BD77D3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717BBAFF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2F479F">
        <w:t>August 2010</w:t>
      </w:r>
    </w:p>
    <w:p w14:paraId="06BAB3FE" w14:textId="4BCFD572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C73594">
        <w:t>October</w:t>
      </w:r>
      <w:r w:rsidR="009714C4">
        <w:t xml:space="preserve"> 2020</w:t>
      </w:r>
    </w:p>
    <w:p w14:paraId="6107852F" w14:textId="71A2E0A2" w:rsidR="006F0A86" w:rsidRDefault="006F0A86" w:rsidP="00BD77D3">
      <w:pPr>
        <w:pStyle w:val="Heading2"/>
      </w:pPr>
      <w:r w:rsidRPr="00126C3F">
        <w:t xml:space="preserve">Indicator </w:t>
      </w:r>
      <w:r w:rsidR="002F479F">
        <w:t>NM16</w:t>
      </w:r>
    </w:p>
    <w:p w14:paraId="0A6C169D" w14:textId="7605DA30" w:rsidR="00611A1D" w:rsidRPr="00611A1D" w:rsidRDefault="002F479F" w:rsidP="00611A1D">
      <w:pPr>
        <w:pStyle w:val="Paragraph"/>
      </w:pPr>
      <w:r w:rsidRPr="002F479F">
        <w:t>The percentage of patients with schizophrenia, bipolar affective disorder and other psychoses who have a record of BMI in the preceding 15 months</w:t>
      </w:r>
      <w:r w:rsidR="00D77154">
        <w:t>.</w:t>
      </w:r>
    </w:p>
    <w:p w14:paraId="18778417" w14:textId="333A8E39" w:rsidR="00806B97" w:rsidRDefault="00806B97" w:rsidP="00BD77D3">
      <w:pPr>
        <w:pStyle w:val="Heading2"/>
      </w:pPr>
      <w:r w:rsidRPr="00806B97">
        <w:t xml:space="preserve">Indicator type </w:t>
      </w:r>
    </w:p>
    <w:p w14:paraId="1F16E37E" w14:textId="54E70293" w:rsidR="00F6535D" w:rsidRPr="002F479F" w:rsidRDefault="001C31E9" w:rsidP="008E7A29">
      <w:pPr>
        <w:pStyle w:val="Paragraph"/>
      </w:pPr>
      <w:r w:rsidRPr="002F479F">
        <w:t>General practice indicator suitable for use in the Quality and Outcomes Framework.</w:t>
      </w:r>
    </w:p>
    <w:p w14:paraId="5CBA37E8" w14:textId="6F58C6BE" w:rsidR="006F0A86" w:rsidRDefault="006F0A86" w:rsidP="00BD77D3">
      <w:pPr>
        <w:pStyle w:val="Heading2"/>
        <w:rPr>
          <w:i/>
        </w:rPr>
      </w:pPr>
      <w:r w:rsidRPr="00011273">
        <w:t>Rationale</w:t>
      </w:r>
    </w:p>
    <w:p w14:paraId="342579DB" w14:textId="2876BC6A" w:rsidR="006720FF" w:rsidRDefault="006720FF" w:rsidP="006720FF">
      <w:pPr>
        <w:pStyle w:val="Paragraph"/>
      </w:pPr>
      <w:r>
        <w:t xml:space="preserve">Obesity is common in people with schizophrenia, bipolar </w:t>
      </w:r>
      <w:r w:rsidR="001C759C">
        <w:t xml:space="preserve">affective </w:t>
      </w:r>
      <w:proofErr w:type="gramStart"/>
      <w:r>
        <w:t>disorder</w:t>
      </w:r>
      <w:proofErr w:type="gramEnd"/>
      <w:r w:rsidR="009C04DA">
        <w:t xml:space="preserve"> and other psychoses</w:t>
      </w:r>
      <w:r>
        <w:t>.</w:t>
      </w:r>
      <w:r w:rsidRPr="006720FF">
        <w:t xml:space="preserve"> </w:t>
      </w:r>
      <w:r>
        <w:t xml:space="preserve">It is associated with </w:t>
      </w:r>
      <w:r w:rsidRPr="006720FF">
        <w:t xml:space="preserve">physical health problems, including cardiovascular and metabolic disorders, such as type 2 diabetes, that can be exacerbated </w:t>
      </w:r>
      <w:proofErr w:type="gramStart"/>
      <w:r w:rsidRPr="006720FF">
        <w:t>by the use of</w:t>
      </w:r>
      <w:proofErr w:type="gramEnd"/>
      <w:r w:rsidRPr="006720FF">
        <w:t xml:space="preserve"> antipsychotics.</w:t>
      </w:r>
      <w:r w:rsidR="00E446EB">
        <w:t xml:space="preserve"> The indicator </w:t>
      </w:r>
      <w:r w:rsidR="000C020A">
        <w:t>requires</w:t>
      </w:r>
      <w:r w:rsidR="00E446EB">
        <w:t xml:space="preserve"> monitoring of BMI so that health and social care practitioners can offer </w:t>
      </w:r>
      <w:r w:rsidR="00533AE4">
        <w:t>support,</w:t>
      </w:r>
      <w:r w:rsidR="00E446EB">
        <w:t xml:space="preserve"> where necessary, to help people to maintain a healthy weight. </w:t>
      </w:r>
    </w:p>
    <w:p w14:paraId="69D4A75D" w14:textId="00B0ED6D" w:rsidR="00D141B1" w:rsidRDefault="00D141B1" w:rsidP="00BD77D3">
      <w:pPr>
        <w:pStyle w:val="Heading2"/>
        <w:rPr>
          <w:i/>
        </w:rPr>
      </w:pPr>
      <w:r w:rsidRPr="001F2B33">
        <w:t xml:space="preserve">Source guidance </w:t>
      </w:r>
    </w:p>
    <w:p w14:paraId="4DE5AF6B" w14:textId="22EBBAF9" w:rsidR="00625CB0" w:rsidRDefault="003D385A" w:rsidP="00EE354D">
      <w:pPr>
        <w:pStyle w:val="Paragraph"/>
      </w:pPr>
      <w:hyperlink r:id="rId7" w:history="1">
        <w:r w:rsidR="00625CB0" w:rsidRPr="009714C4">
          <w:rPr>
            <w:rStyle w:val="Hyperlink"/>
          </w:rPr>
          <w:t>Psychosis and schizophrenia in adults: prevention and management</w:t>
        </w:r>
        <w:r w:rsidR="009714C4" w:rsidRPr="009714C4">
          <w:rPr>
            <w:rStyle w:val="Hyperlink"/>
          </w:rPr>
          <w:t>. NICE guideline CG178</w:t>
        </w:r>
      </w:hyperlink>
      <w:r w:rsidR="00625CB0" w:rsidRPr="00FD0FF4">
        <w:t xml:space="preserve"> (2014), recommendation</w:t>
      </w:r>
      <w:r w:rsidR="00625CB0">
        <w:t>s</w:t>
      </w:r>
      <w:r w:rsidR="00625CB0" w:rsidRPr="00FD0FF4">
        <w:t xml:space="preserve"> 1.</w:t>
      </w:r>
      <w:r w:rsidR="00625CB0">
        <w:t xml:space="preserve">1.3.6, </w:t>
      </w:r>
      <w:r w:rsidR="00176463">
        <w:t>1.5.3.2 and</w:t>
      </w:r>
      <w:r w:rsidR="00625CB0">
        <w:t xml:space="preserve"> 1.5.3.3</w:t>
      </w:r>
      <w:r w:rsidR="00385B4F">
        <w:t>.</w:t>
      </w:r>
    </w:p>
    <w:p w14:paraId="3C2E90CA" w14:textId="7A7CAC37" w:rsidR="00625CB0" w:rsidRDefault="003D385A" w:rsidP="00625CB0">
      <w:pPr>
        <w:pStyle w:val="Paragraphnonumbers"/>
      </w:pPr>
      <w:hyperlink r:id="rId8" w:history="1">
        <w:r w:rsidR="00625CB0" w:rsidRPr="009714C4">
          <w:rPr>
            <w:rStyle w:val="Hyperlink"/>
          </w:rPr>
          <w:t>Bipolar disorder: assessment and management</w:t>
        </w:r>
        <w:r w:rsidR="009714C4" w:rsidRPr="009714C4">
          <w:rPr>
            <w:rStyle w:val="Hyperlink"/>
          </w:rPr>
          <w:t>.</w:t>
        </w:r>
        <w:r w:rsidR="00625CB0" w:rsidRPr="009714C4">
          <w:rPr>
            <w:rStyle w:val="Hyperlink"/>
          </w:rPr>
          <w:t xml:space="preserve"> </w:t>
        </w:r>
        <w:r w:rsidR="009714C4" w:rsidRPr="009714C4">
          <w:rPr>
            <w:rStyle w:val="Hyperlink"/>
          </w:rPr>
          <w:t>NICE guideline CG185</w:t>
        </w:r>
      </w:hyperlink>
      <w:r w:rsidR="009714C4">
        <w:t xml:space="preserve"> </w:t>
      </w:r>
      <w:r w:rsidR="00625CB0">
        <w:t>(2014, updated 2020), recommendation 1.2.12</w:t>
      </w:r>
      <w:r w:rsidR="00385B4F">
        <w:t>.</w:t>
      </w:r>
    </w:p>
    <w:p w14:paraId="05AD89C4" w14:textId="77777777" w:rsidR="00D141B1" w:rsidRDefault="00D141B1" w:rsidP="00BD77D3">
      <w:pPr>
        <w:pStyle w:val="Heading2"/>
      </w:pPr>
      <w:r>
        <w:t xml:space="preserve">Specification </w:t>
      </w:r>
    </w:p>
    <w:p w14:paraId="4B62A813" w14:textId="23C4D40D" w:rsidR="0009195D" w:rsidRDefault="00D141B1" w:rsidP="00EE354D">
      <w:pPr>
        <w:pStyle w:val="Paragraph"/>
      </w:pPr>
      <w:r>
        <w:t xml:space="preserve">Numerator: </w:t>
      </w:r>
      <w:r w:rsidR="0009195D" w:rsidRPr="00877457">
        <w:t xml:space="preserve">The number of patients in the denominator </w:t>
      </w:r>
      <w:r w:rsidR="00877457" w:rsidRPr="00877457">
        <w:t>who have a record of BMI in the preceding 15 months</w:t>
      </w:r>
      <w:r w:rsidR="0009195D" w:rsidRPr="00877457">
        <w:t>.</w:t>
      </w:r>
      <w:r w:rsidR="0009195D" w:rsidRPr="0009195D">
        <w:t xml:space="preserve"> </w:t>
      </w:r>
    </w:p>
    <w:p w14:paraId="06B62F8F" w14:textId="7676662B" w:rsidR="00D141B1" w:rsidRDefault="00D141B1" w:rsidP="00EE354D">
      <w:pPr>
        <w:pStyle w:val="Paragraph"/>
      </w:pPr>
      <w:r>
        <w:lastRenderedPageBreak/>
        <w:t xml:space="preserve">Denominator: </w:t>
      </w:r>
      <w:r w:rsidR="00877457" w:rsidRPr="00877457">
        <w:t xml:space="preserve">The number of patients on the mental health register with a diagnosis of psychosis, </w:t>
      </w:r>
      <w:proofErr w:type="gramStart"/>
      <w:r w:rsidR="00877457" w:rsidRPr="00877457">
        <w:t>schizophrenia</w:t>
      </w:r>
      <w:proofErr w:type="gramEnd"/>
      <w:r w:rsidR="00877457" w:rsidRPr="00877457">
        <w:t xml:space="preserve"> or bipolar affective disease.</w:t>
      </w:r>
    </w:p>
    <w:p w14:paraId="04501E11" w14:textId="6940455C" w:rsidR="0009195D" w:rsidRDefault="0009195D" w:rsidP="00EE354D">
      <w:pPr>
        <w:pStyle w:val="Paragraph"/>
      </w:pPr>
      <w:r>
        <w:t xml:space="preserve">Calculation: </w:t>
      </w:r>
      <w:r w:rsidRPr="00877457">
        <w:t>(Numerator/</w:t>
      </w:r>
      <w:proofErr w:type="gramStart"/>
      <w:r w:rsidRPr="00877457">
        <w:t>denominator)*</w:t>
      </w:r>
      <w:proofErr w:type="gramEnd"/>
      <w:r w:rsidRPr="00877457">
        <w:t>100</w:t>
      </w:r>
    </w:p>
    <w:p w14:paraId="200701E0" w14:textId="3D251576" w:rsidR="00D141B1" w:rsidRDefault="00D141B1" w:rsidP="00EE354D">
      <w:pPr>
        <w:pStyle w:val="Paragraph"/>
      </w:pPr>
      <w:r>
        <w:t>Exclusions</w:t>
      </w:r>
      <w:r w:rsidRPr="009C2BBC">
        <w:t xml:space="preserve">: </w:t>
      </w:r>
      <w:bookmarkStart w:id="0" w:name="_Hlk37237770"/>
      <w:r w:rsidR="008305BE" w:rsidRPr="008305BE">
        <w:t>People whose most recent diagnosis of schizophrenia, bipolar affective disorder or other psychoses is in remission</w:t>
      </w:r>
      <w:bookmarkEnd w:id="0"/>
      <w:r w:rsidR="00356C80">
        <w:t>.</w:t>
      </w:r>
      <w:r w:rsidR="00DF45AD">
        <w:t xml:space="preserve"> </w:t>
      </w:r>
      <w:r w:rsidR="00DB0A02">
        <w:t>P</w:t>
      </w:r>
      <w:r w:rsidR="00DB0A02" w:rsidRPr="00DB0A02">
        <w:t>atients with schizophrenia, bipolar affective disorder and other psychoses who</w:t>
      </w:r>
      <w:r w:rsidR="00DB0A02">
        <w:t xml:space="preserve"> chose not to have their BMI measured in the preceding 15 months.</w:t>
      </w:r>
    </w:p>
    <w:p w14:paraId="15239063" w14:textId="00ADD730" w:rsidR="00706451" w:rsidRDefault="00706451" w:rsidP="00EE354D">
      <w:pPr>
        <w:pStyle w:val="Paragraph"/>
      </w:pPr>
      <w:r>
        <w:t xml:space="preserve">Minimum population: </w:t>
      </w:r>
      <w:r w:rsidR="000D5395" w:rsidRPr="00176463">
        <w:t xml:space="preserve">The indicator would be appropriate </w:t>
      </w:r>
      <w:r w:rsidR="00391F4B" w:rsidRPr="00176463">
        <w:t xml:space="preserve">to assess performance </w:t>
      </w:r>
      <w:r w:rsidR="003B53D0" w:rsidRPr="00176463">
        <w:t xml:space="preserve">at </w:t>
      </w:r>
      <w:r w:rsidR="00391F4B" w:rsidRPr="00176463">
        <w:t>individual</w:t>
      </w:r>
      <w:r w:rsidR="000D5395" w:rsidRPr="00176463">
        <w:t xml:space="preserve"> general practice</w:t>
      </w:r>
      <w:r w:rsidR="00391F4B" w:rsidRPr="00176463">
        <w:t xml:space="preserve"> level</w:t>
      </w:r>
      <w:r w:rsidR="000D5395" w:rsidRPr="00176463">
        <w:t xml:space="preserve">. </w:t>
      </w:r>
    </w:p>
    <w:p w14:paraId="129ECA00" w14:textId="65691789" w:rsidR="0009195D" w:rsidRPr="0009195D" w:rsidRDefault="0009195D" w:rsidP="00BD77D3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9C7DA" w14:textId="77777777" w:rsidR="003D385A" w:rsidRDefault="003D385A" w:rsidP="00446BEE">
      <w:r>
        <w:separator/>
      </w:r>
    </w:p>
  </w:endnote>
  <w:endnote w:type="continuationSeparator" w:id="0">
    <w:p w14:paraId="4BE89CF0" w14:textId="77777777" w:rsidR="003D385A" w:rsidRDefault="003D385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42AD9848" w:rsidR="00245B12" w:rsidRPr="00EA7F52" w:rsidRDefault="00D141B1" w:rsidP="00D141B1">
    <w:pPr>
      <w:pStyle w:val="Footer"/>
    </w:pPr>
    <w:r>
      <w:t xml:space="preserve">NICE indicator guidance: </w:t>
    </w:r>
    <w:r w:rsidR="00244C60">
      <w:t>NM16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9396F" w14:textId="77777777" w:rsidR="003D385A" w:rsidRDefault="003D385A" w:rsidP="00446BEE">
      <w:r>
        <w:separator/>
      </w:r>
    </w:p>
  </w:footnote>
  <w:footnote w:type="continuationSeparator" w:id="0">
    <w:p w14:paraId="2566A472" w14:textId="77777777" w:rsidR="003D385A" w:rsidRDefault="003D385A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8D9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020A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463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59C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3ADD"/>
    <w:rsid w:val="00244C60"/>
    <w:rsid w:val="00245B12"/>
    <w:rsid w:val="00261E15"/>
    <w:rsid w:val="0026635F"/>
    <w:rsid w:val="00276273"/>
    <w:rsid w:val="002819D7"/>
    <w:rsid w:val="002826F0"/>
    <w:rsid w:val="00292F85"/>
    <w:rsid w:val="002A31EA"/>
    <w:rsid w:val="002A627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479F"/>
    <w:rsid w:val="002F6A33"/>
    <w:rsid w:val="00305DF6"/>
    <w:rsid w:val="00306A73"/>
    <w:rsid w:val="00311ED0"/>
    <w:rsid w:val="00312208"/>
    <w:rsid w:val="00312B41"/>
    <w:rsid w:val="00313297"/>
    <w:rsid w:val="00322555"/>
    <w:rsid w:val="00336D76"/>
    <w:rsid w:val="00337052"/>
    <w:rsid w:val="00350F6F"/>
    <w:rsid w:val="00352F88"/>
    <w:rsid w:val="0035406C"/>
    <w:rsid w:val="00355319"/>
    <w:rsid w:val="00355DA8"/>
    <w:rsid w:val="00356C80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85B4F"/>
    <w:rsid w:val="00391208"/>
    <w:rsid w:val="00391CCC"/>
    <w:rsid w:val="00391F4B"/>
    <w:rsid w:val="0039208F"/>
    <w:rsid w:val="0039354B"/>
    <w:rsid w:val="003B53D0"/>
    <w:rsid w:val="003C7AAF"/>
    <w:rsid w:val="003D385A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1B7F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360C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33AE4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25CB0"/>
    <w:rsid w:val="00631D73"/>
    <w:rsid w:val="00633DB7"/>
    <w:rsid w:val="00640BC8"/>
    <w:rsid w:val="006628FD"/>
    <w:rsid w:val="00662ABE"/>
    <w:rsid w:val="006720FF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05BE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03C6"/>
    <w:rsid w:val="00861B92"/>
    <w:rsid w:val="00873A86"/>
    <w:rsid w:val="008771EE"/>
    <w:rsid w:val="00877457"/>
    <w:rsid w:val="00881213"/>
    <w:rsid w:val="008814FB"/>
    <w:rsid w:val="00884895"/>
    <w:rsid w:val="00891C26"/>
    <w:rsid w:val="00893BF2"/>
    <w:rsid w:val="0089549D"/>
    <w:rsid w:val="008A50EC"/>
    <w:rsid w:val="008A6036"/>
    <w:rsid w:val="008B27B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14C4"/>
    <w:rsid w:val="009729A4"/>
    <w:rsid w:val="00975E10"/>
    <w:rsid w:val="0098788C"/>
    <w:rsid w:val="00993DD3"/>
    <w:rsid w:val="00994DDF"/>
    <w:rsid w:val="009A1AB4"/>
    <w:rsid w:val="009A74EB"/>
    <w:rsid w:val="009C04DA"/>
    <w:rsid w:val="009C0BD9"/>
    <w:rsid w:val="009C2BBC"/>
    <w:rsid w:val="009D037B"/>
    <w:rsid w:val="009D28EE"/>
    <w:rsid w:val="009D3369"/>
    <w:rsid w:val="009D400A"/>
    <w:rsid w:val="009D717F"/>
    <w:rsid w:val="009E680B"/>
    <w:rsid w:val="009F0C5C"/>
    <w:rsid w:val="009F1642"/>
    <w:rsid w:val="009F1968"/>
    <w:rsid w:val="009F1B55"/>
    <w:rsid w:val="009F2995"/>
    <w:rsid w:val="009F5AEE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61D05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D77D3"/>
    <w:rsid w:val="00BE0F18"/>
    <w:rsid w:val="00BE58AF"/>
    <w:rsid w:val="00BE645F"/>
    <w:rsid w:val="00BE69B6"/>
    <w:rsid w:val="00BF04C9"/>
    <w:rsid w:val="00BF2168"/>
    <w:rsid w:val="00BF2AD4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73594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0A02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2F8E"/>
    <w:rsid w:val="00E24349"/>
    <w:rsid w:val="00E33001"/>
    <w:rsid w:val="00E338B1"/>
    <w:rsid w:val="00E37339"/>
    <w:rsid w:val="00E41AA3"/>
    <w:rsid w:val="00E446EB"/>
    <w:rsid w:val="00E51920"/>
    <w:rsid w:val="00E64120"/>
    <w:rsid w:val="00E660A1"/>
    <w:rsid w:val="00E66FE0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2E7C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BD77D3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D77D3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2020-10-26T16:06:00Z</dcterms:created>
  <dcterms:modified xsi:type="dcterms:W3CDTF">2020-11-02T13:49:00Z</dcterms:modified>
</cp:coreProperties>
</file>