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B41A6D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41C5BEA5" w:rsidR="00B8026E" w:rsidRDefault="00B8026E" w:rsidP="00B8026E">
      <w:pPr>
        <w:pStyle w:val="NICEnormal"/>
      </w:pPr>
      <w:r>
        <w:t xml:space="preserve">Date first published on NICE menu: </w:t>
      </w:r>
      <w:r w:rsidR="000B4245">
        <w:t>August 201</w:t>
      </w:r>
      <w:r w:rsidR="00362D86">
        <w:t>9</w:t>
      </w:r>
    </w:p>
    <w:p w14:paraId="06BAB3FE" w14:textId="55BF26A5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786678">
        <w:t>October</w:t>
      </w:r>
      <w:r w:rsidR="00D35AED">
        <w:t xml:space="preserve"> 2020</w:t>
      </w:r>
    </w:p>
    <w:p w14:paraId="6107852F" w14:textId="55043F93" w:rsidR="006F0A86" w:rsidRPr="00126C3F" w:rsidRDefault="006F0A86" w:rsidP="00B41A6D">
      <w:pPr>
        <w:pStyle w:val="Heading2"/>
        <w:rPr>
          <w:sz w:val="24"/>
          <w:szCs w:val="24"/>
        </w:rPr>
      </w:pPr>
      <w:r w:rsidRPr="00126C3F">
        <w:t xml:space="preserve">Indicator </w:t>
      </w:r>
      <w:r w:rsidR="000B4245">
        <w:t>NM</w:t>
      </w:r>
      <w:r w:rsidR="00696B47">
        <w:t>167</w:t>
      </w:r>
    </w:p>
    <w:p w14:paraId="406DC9CE" w14:textId="18FA3B3D" w:rsidR="00212D33" w:rsidRDefault="000B4245" w:rsidP="00D141B1">
      <w:pPr>
        <w:pStyle w:val="NICEnormal"/>
        <w:rPr>
          <w:highlight w:val="lightGray"/>
        </w:rPr>
      </w:pPr>
      <w:r w:rsidRPr="000B4245">
        <w:t xml:space="preserve">The percentage of patients with asthma on the register, </w:t>
      </w:r>
      <w:bookmarkStart w:id="0" w:name="_Hlk12974656"/>
      <w:r w:rsidRPr="000B4245">
        <w:t>who have had an asthma review in the preceding 12 months</w:t>
      </w:r>
      <w:bookmarkEnd w:id="0"/>
      <w:r w:rsidRPr="000B4245">
        <w:t xml:space="preserve"> that includes an assessment of asthma control using a validated asthma control questionnaire (including assessment of short acting beta agonist use), a recording of the number of exacerbations and a written </w:t>
      </w:r>
      <w:proofErr w:type="spellStart"/>
      <w:r w:rsidRPr="000B4245">
        <w:t>personalised</w:t>
      </w:r>
      <w:proofErr w:type="spellEnd"/>
      <w:r w:rsidRPr="000B4245">
        <w:t xml:space="preserve"> action plan</w:t>
      </w:r>
      <w:r w:rsidR="000B15A4" w:rsidRPr="000B4245">
        <w:t>.</w:t>
      </w:r>
    </w:p>
    <w:p w14:paraId="18778417" w14:textId="44B2D166" w:rsidR="00806B97" w:rsidRPr="00806B97" w:rsidRDefault="00806B97" w:rsidP="00B41A6D">
      <w:pPr>
        <w:pStyle w:val="Heading2"/>
      </w:pPr>
      <w:r w:rsidRPr="00806B97">
        <w:t xml:space="preserve">Indicator type </w:t>
      </w:r>
    </w:p>
    <w:p w14:paraId="119100DA" w14:textId="07EBA5EC" w:rsidR="00806B97" w:rsidRPr="00F36A58" w:rsidRDefault="00806B97" w:rsidP="00D141B1">
      <w:pPr>
        <w:pStyle w:val="NICEnormal"/>
      </w:pPr>
      <w:r w:rsidRPr="00F36A58">
        <w:t xml:space="preserve">General practice indicator suitable for </w:t>
      </w:r>
      <w:r w:rsidR="000E7E9F" w:rsidRPr="00F36A58">
        <w:t xml:space="preserve">use in </w:t>
      </w:r>
      <w:r w:rsidRPr="00F36A58">
        <w:t xml:space="preserve">the </w:t>
      </w:r>
      <w:r w:rsidR="00912D03">
        <w:t>QOF</w:t>
      </w:r>
      <w:r w:rsidRPr="00F36A58">
        <w:t>.</w:t>
      </w:r>
    </w:p>
    <w:p w14:paraId="5CBA37E8" w14:textId="262D1E4F" w:rsidR="006F0A86" w:rsidRDefault="006F0A86" w:rsidP="00B41A6D">
      <w:pPr>
        <w:pStyle w:val="Heading2"/>
        <w:rPr>
          <w:i/>
        </w:rPr>
      </w:pPr>
      <w:r w:rsidRPr="00011273">
        <w:t>Rationale</w:t>
      </w:r>
    </w:p>
    <w:p w14:paraId="6EFFAA47" w14:textId="65E1B227" w:rsidR="006F0A86" w:rsidRDefault="00045797" w:rsidP="00BD6253">
      <w:pPr>
        <w:pStyle w:val="NICEnormal"/>
      </w:pPr>
      <w:r>
        <w:t xml:space="preserve">This indicator aims to </w:t>
      </w:r>
      <w:r w:rsidR="00DA6275">
        <w:t xml:space="preserve">encourage the use of validated asthma questionnaires, recording of </w:t>
      </w:r>
      <w:r w:rsidR="00F36A58">
        <w:t xml:space="preserve">the </w:t>
      </w:r>
      <w:r w:rsidR="00DA6275">
        <w:t>number of exacerbations, and written action plans in annual asthma review</w:t>
      </w:r>
      <w:r w:rsidR="00F36A58">
        <w:t>s</w:t>
      </w:r>
      <w:r w:rsidR="00E83413">
        <w:t xml:space="preserve">. These reviews can help identify people at increased risk of poor </w:t>
      </w:r>
      <w:proofErr w:type="gramStart"/>
      <w:r w:rsidR="00E83413">
        <w:t>outcomes, and</w:t>
      </w:r>
      <w:proofErr w:type="gramEnd"/>
      <w:r w:rsidR="00E83413">
        <w:t xml:space="preserve"> allow them to use information from their review to self-manage their asthma and </w:t>
      </w:r>
      <w:proofErr w:type="spellStart"/>
      <w:r w:rsidR="00E83413">
        <w:t>maximise</w:t>
      </w:r>
      <w:proofErr w:type="spellEnd"/>
      <w:r w:rsidR="00E83413">
        <w:t xml:space="preserve"> their future health.</w:t>
      </w:r>
    </w:p>
    <w:p w14:paraId="69D4A75D" w14:textId="77777777" w:rsidR="00D141B1" w:rsidRDefault="00D141B1" w:rsidP="00B41A6D">
      <w:pPr>
        <w:pStyle w:val="Heading2"/>
        <w:rPr>
          <w:i/>
        </w:rPr>
      </w:pPr>
      <w:r w:rsidRPr="001F2B33">
        <w:t xml:space="preserve">Source guidance </w:t>
      </w:r>
    </w:p>
    <w:p w14:paraId="1E259BBD" w14:textId="47DDA086" w:rsidR="00D141B1" w:rsidRPr="00BD6253" w:rsidRDefault="00C96F94" w:rsidP="00D141B1">
      <w:pPr>
        <w:pStyle w:val="NICEnormal"/>
      </w:pPr>
      <w:hyperlink r:id="rId7" w:history="1">
        <w:r w:rsidR="004B02B4" w:rsidRPr="00F36A58">
          <w:rPr>
            <w:rStyle w:val="Hyperlink"/>
          </w:rPr>
          <w:t>Asthma: diagnosis, monitoring and chronic asthma management</w:t>
        </w:r>
      </w:hyperlink>
      <w:r w:rsidR="004B02B4" w:rsidRPr="004B02B4">
        <w:t xml:space="preserve"> </w:t>
      </w:r>
      <w:r w:rsidR="00D141B1" w:rsidRPr="00BD6253">
        <w:t>(</w:t>
      </w:r>
      <w:r w:rsidR="004B02B4">
        <w:t>2017</w:t>
      </w:r>
      <w:r w:rsidR="00D141B1" w:rsidRPr="00BD6253">
        <w:t xml:space="preserve">) NICE guideline </w:t>
      </w:r>
      <w:r w:rsidR="004B02B4">
        <w:t>NG80</w:t>
      </w:r>
      <w:r w:rsidR="00D141B1" w:rsidRPr="00BD6253">
        <w:t>, recommendation</w:t>
      </w:r>
      <w:r w:rsidR="004B02B4">
        <w:t>s 1.10.1, 1.10.</w:t>
      </w:r>
      <w:r w:rsidR="003E7AF7">
        <w:t>5</w:t>
      </w:r>
      <w:r w:rsidR="004B02B4">
        <w:t>, 1.1</w:t>
      </w:r>
      <w:r w:rsidR="003E7AF7">
        <w:t>3</w:t>
      </w:r>
      <w:r w:rsidR="004B02B4">
        <w:t>.2</w:t>
      </w:r>
      <w:r w:rsidR="00F36A58">
        <w:t>.</w:t>
      </w:r>
    </w:p>
    <w:p w14:paraId="05AD89C4" w14:textId="77777777" w:rsidR="00D141B1" w:rsidRDefault="00D141B1" w:rsidP="00B41A6D">
      <w:pPr>
        <w:pStyle w:val="Heading2"/>
      </w:pPr>
      <w:r>
        <w:t xml:space="preserve">Specification </w:t>
      </w:r>
    </w:p>
    <w:p w14:paraId="4B62A813" w14:textId="61F758C5" w:rsidR="0009195D" w:rsidRDefault="00D141B1" w:rsidP="00D141B1">
      <w:pPr>
        <w:pStyle w:val="NICEnormal"/>
      </w:pPr>
      <w:r>
        <w:t xml:space="preserve">Numerator: </w:t>
      </w:r>
      <w:r w:rsidR="0009195D" w:rsidRPr="004B02B4">
        <w:t xml:space="preserve">The number of patients in the denominator </w:t>
      </w:r>
      <w:r w:rsidR="004B02B4" w:rsidRPr="004B02B4">
        <w:t>who have had an asthma review in the preceding 12 months that include</w:t>
      </w:r>
      <w:r w:rsidR="004B02B4">
        <w:t>d</w:t>
      </w:r>
      <w:r w:rsidR="004B02B4" w:rsidRPr="004B02B4">
        <w:t xml:space="preserve"> an assessment of asthma control using a validated asthma control questionnaire (including assessment of short acting beta agonist use), a recording of the number of exacerbations and a written </w:t>
      </w:r>
      <w:proofErr w:type="spellStart"/>
      <w:r w:rsidR="004B02B4" w:rsidRPr="004B02B4">
        <w:t>personalised</w:t>
      </w:r>
      <w:proofErr w:type="spellEnd"/>
      <w:r w:rsidR="004B02B4" w:rsidRPr="004B02B4">
        <w:t xml:space="preserve"> action plan.</w:t>
      </w:r>
    </w:p>
    <w:p w14:paraId="06B62F8F" w14:textId="4977E0A3" w:rsidR="00D141B1" w:rsidRDefault="00D141B1" w:rsidP="00D141B1">
      <w:pPr>
        <w:pStyle w:val="NICEnormal"/>
      </w:pPr>
      <w:r>
        <w:lastRenderedPageBreak/>
        <w:t xml:space="preserve">Denominator: </w:t>
      </w:r>
      <w:r w:rsidR="004B02B4">
        <w:t>The number of patients on the asthma register</w:t>
      </w:r>
      <w:r w:rsidR="00362D86">
        <w:t xml:space="preserve"> (see NICE indicator NM165).</w:t>
      </w:r>
    </w:p>
    <w:p w14:paraId="04501E11" w14:textId="562C6A61" w:rsidR="0009195D" w:rsidRDefault="0009195D" w:rsidP="00D141B1">
      <w:pPr>
        <w:pStyle w:val="NICEnormal"/>
      </w:pPr>
      <w:r>
        <w:t xml:space="preserve">Calculation: </w:t>
      </w:r>
      <w:r w:rsidRPr="004B02B4">
        <w:t>(Numerator/denominator)</w:t>
      </w:r>
      <w:r w:rsidR="00912D03">
        <w:t xml:space="preserve"> </w:t>
      </w:r>
      <w:r w:rsidRPr="004B02B4">
        <w:t>*</w:t>
      </w:r>
      <w:r w:rsidR="00912D03">
        <w:t xml:space="preserve"> </w:t>
      </w:r>
      <w:r w:rsidRPr="004B02B4">
        <w:t>100</w:t>
      </w:r>
      <w:r w:rsidR="00362D86">
        <w:t>.</w:t>
      </w:r>
    </w:p>
    <w:p w14:paraId="200701E0" w14:textId="562EF3A9" w:rsidR="00D141B1" w:rsidRDefault="00D141B1" w:rsidP="00D141B1">
      <w:pPr>
        <w:pStyle w:val="NICEnormal"/>
      </w:pPr>
      <w:r>
        <w:t xml:space="preserve">Exclusions: </w:t>
      </w:r>
      <w:r w:rsidR="00DF45AD" w:rsidRPr="004B02B4">
        <w:t>Children under 5 years.</w:t>
      </w:r>
      <w:r w:rsidR="00DF45AD">
        <w:t xml:space="preserve"> </w:t>
      </w:r>
    </w:p>
    <w:p w14:paraId="15239063" w14:textId="09466424" w:rsidR="00706451" w:rsidRDefault="00706451" w:rsidP="00D141B1">
      <w:pPr>
        <w:pStyle w:val="NICEnormal"/>
      </w:pPr>
      <w:r>
        <w:t>Minimum population</w:t>
      </w:r>
      <w:r w:rsidRPr="00F36A58">
        <w:t xml:space="preserve">: </w:t>
      </w:r>
      <w:r w:rsidR="000D5395" w:rsidRPr="00F36A58">
        <w:t xml:space="preserve">The indicator would be appropriate </w:t>
      </w:r>
      <w:r w:rsidR="00391F4B" w:rsidRPr="00F36A58">
        <w:t xml:space="preserve">to assess performance </w:t>
      </w:r>
      <w:r w:rsidR="003B53D0" w:rsidRPr="00F36A58">
        <w:t xml:space="preserve">at </w:t>
      </w:r>
      <w:r w:rsidR="00391F4B" w:rsidRPr="00F36A58">
        <w:t>individual</w:t>
      </w:r>
      <w:r w:rsidR="000D5395" w:rsidRPr="00F36A58">
        <w:t xml:space="preserve"> general practice</w:t>
      </w:r>
      <w:r w:rsidR="00391F4B" w:rsidRPr="00F36A58">
        <w:t xml:space="preserve"> level</w:t>
      </w:r>
      <w:r w:rsidR="000D5395" w:rsidRPr="00F36A58">
        <w:t>.</w:t>
      </w:r>
    </w:p>
    <w:p w14:paraId="129ECA00" w14:textId="65691789" w:rsidR="0009195D" w:rsidRPr="0009195D" w:rsidRDefault="0009195D" w:rsidP="00B41A6D">
      <w:pPr>
        <w:pStyle w:val="Heading2"/>
      </w:pPr>
      <w:r w:rsidRPr="0009195D">
        <w:t>Further information</w:t>
      </w:r>
    </w:p>
    <w:p w14:paraId="29E44A56" w14:textId="77777777" w:rsidR="001F16B0" w:rsidRPr="0009195D" w:rsidRDefault="001F16B0" w:rsidP="001F16B0">
      <w:pPr>
        <w:pStyle w:val="NICEnormal"/>
      </w:pPr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</w:p>
    <w:p w14:paraId="70B822BC" w14:textId="4DD2C534" w:rsidR="0009195D" w:rsidRPr="0009195D" w:rsidRDefault="0009195D" w:rsidP="001F16B0">
      <w:pPr>
        <w:pStyle w:val="NICEnormal"/>
      </w:pPr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DC00D" w14:textId="77777777" w:rsidR="00C96F94" w:rsidRDefault="00C96F94" w:rsidP="00446BEE">
      <w:r>
        <w:separator/>
      </w:r>
    </w:p>
  </w:endnote>
  <w:endnote w:type="continuationSeparator" w:id="0">
    <w:p w14:paraId="70EB6A63" w14:textId="77777777" w:rsidR="00C96F94" w:rsidRDefault="00C96F9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B6815" w14:textId="2FC4A6A7" w:rsidR="00696B47" w:rsidRPr="00EA7F52" w:rsidRDefault="00D141B1" w:rsidP="00D141B1">
    <w:pPr>
      <w:pStyle w:val="Footer"/>
    </w:pPr>
    <w:r>
      <w:t xml:space="preserve">NICE indicator guidance: </w:t>
    </w:r>
    <w:r w:rsidR="00A256CC">
      <w:t>NM</w:t>
    </w:r>
    <w:r w:rsidR="00696B47">
      <w:t>167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583C0" w14:textId="77777777" w:rsidR="00C96F94" w:rsidRDefault="00C96F94" w:rsidP="00446BEE">
      <w:r>
        <w:separator/>
      </w:r>
    </w:p>
  </w:footnote>
  <w:footnote w:type="continuationSeparator" w:id="0">
    <w:p w14:paraId="22CC7940" w14:textId="77777777" w:rsidR="00C96F94" w:rsidRDefault="00C96F9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797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02FE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4245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506B"/>
    <w:rsid w:val="001C7C0D"/>
    <w:rsid w:val="001D0FBE"/>
    <w:rsid w:val="001E5835"/>
    <w:rsid w:val="001F16B0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D86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3E7AF7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3AAB"/>
    <w:rsid w:val="00434024"/>
    <w:rsid w:val="00434E6A"/>
    <w:rsid w:val="0044093B"/>
    <w:rsid w:val="00443C7B"/>
    <w:rsid w:val="00446BEE"/>
    <w:rsid w:val="00450284"/>
    <w:rsid w:val="00451ACF"/>
    <w:rsid w:val="00454041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02B4"/>
    <w:rsid w:val="004B7B45"/>
    <w:rsid w:val="004C2755"/>
    <w:rsid w:val="004C4C2D"/>
    <w:rsid w:val="004C6A5C"/>
    <w:rsid w:val="004D0D69"/>
    <w:rsid w:val="004D50EA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3BFE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572D"/>
    <w:rsid w:val="00610F28"/>
    <w:rsid w:val="006203A9"/>
    <w:rsid w:val="006241CC"/>
    <w:rsid w:val="00631D73"/>
    <w:rsid w:val="00633DB7"/>
    <w:rsid w:val="00637D61"/>
    <w:rsid w:val="00640BC8"/>
    <w:rsid w:val="006628FD"/>
    <w:rsid w:val="00662ABE"/>
    <w:rsid w:val="00670CBE"/>
    <w:rsid w:val="00677315"/>
    <w:rsid w:val="00683309"/>
    <w:rsid w:val="006839FB"/>
    <w:rsid w:val="00684D78"/>
    <w:rsid w:val="00687C11"/>
    <w:rsid w:val="006921E1"/>
    <w:rsid w:val="00692255"/>
    <w:rsid w:val="00694765"/>
    <w:rsid w:val="00696B47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6678"/>
    <w:rsid w:val="00787D75"/>
    <w:rsid w:val="00794AAC"/>
    <w:rsid w:val="00794DA0"/>
    <w:rsid w:val="007A17B3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300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2D03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562C0"/>
    <w:rsid w:val="009609A6"/>
    <w:rsid w:val="009619DE"/>
    <w:rsid w:val="00961FA9"/>
    <w:rsid w:val="00963B89"/>
    <w:rsid w:val="009729A4"/>
    <w:rsid w:val="00975387"/>
    <w:rsid w:val="00975E10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1763"/>
    <w:rsid w:val="00A053BA"/>
    <w:rsid w:val="00A064FB"/>
    <w:rsid w:val="00A07CED"/>
    <w:rsid w:val="00A132A2"/>
    <w:rsid w:val="00A132E3"/>
    <w:rsid w:val="00A134B1"/>
    <w:rsid w:val="00A15A1F"/>
    <w:rsid w:val="00A256CC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C39B9"/>
    <w:rsid w:val="00AC40E7"/>
    <w:rsid w:val="00AD2B6F"/>
    <w:rsid w:val="00AD4960"/>
    <w:rsid w:val="00AD75F4"/>
    <w:rsid w:val="00AE008D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1A6D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6AB1"/>
    <w:rsid w:val="00B77578"/>
    <w:rsid w:val="00B8026E"/>
    <w:rsid w:val="00B8121F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96F94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AED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62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413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36A58"/>
    <w:rsid w:val="00F472B7"/>
    <w:rsid w:val="00F546AA"/>
    <w:rsid w:val="00F553DE"/>
    <w:rsid w:val="00F56D0B"/>
    <w:rsid w:val="00F610AF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B41A6D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41A6D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2020-10-27T10:32:00Z</dcterms:created>
  <dcterms:modified xsi:type="dcterms:W3CDTF">2020-11-02T16:08:00Z</dcterms:modified>
</cp:coreProperties>
</file>