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71CC2" w14:textId="77777777" w:rsidR="00482C01" w:rsidRDefault="00482C01" w:rsidP="00482C01">
      <w:pPr>
        <w:jc w:val="center"/>
        <w:rPr>
          <w:rFonts w:ascii="Arial" w:hAnsi="Arial" w:cs="Arial"/>
          <w:b/>
          <w:sz w:val="32"/>
          <w:szCs w:val="32"/>
        </w:rPr>
      </w:pPr>
      <w:bookmarkStart w:id="0" w:name="_Toc383595130"/>
      <w:r w:rsidRPr="00861C2E">
        <w:rPr>
          <w:rFonts w:ascii="Arial" w:hAnsi="Arial" w:cs="Arial"/>
          <w:b/>
          <w:sz w:val="32"/>
          <w:szCs w:val="32"/>
        </w:rPr>
        <w:t>NATIONAL INSTITUTE FOR HEALTH AND CARE EXCELLENCE</w:t>
      </w:r>
      <w:bookmarkEnd w:id="0"/>
    </w:p>
    <w:p w14:paraId="48B70D73" w14:textId="77777777" w:rsidR="008C183F" w:rsidRPr="00861C2E" w:rsidRDefault="008C183F" w:rsidP="00482C01">
      <w:pPr>
        <w:jc w:val="center"/>
        <w:rPr>
          <w:rFonts w:ascii="Arial" w:hAnsi="Arial" w:cs="Arial"/>
          <w:b/>
          <w:sz w:val="32"/>
          <w:szCs w:val="32"/>
        </w:rPr>
      </w:pPr>
    </w:p>
    <w:p w14:paraId="318BDFDA" w14:textId="77777777" w:rsidR="00482C01" w:rsidRPr="00861C2E" w:rsidRDefault="00482C01" w:rsidP="00482C01">
      <w:pPr>
        <w:jc w:val="center"/>
        <w:rPr>
          <w:rFonts w:ascii="Arial" w:hAnsi="Arial" w:cs="Arial"/>
          <w:b/>
          <w:sz w:val="32"/>
          <w:szCs w:val="32"/>
        </w:rPr>
      </w:pPr>
      <w:bookmarkStart w:id="1" w:name="_Toc383595131"/>
      <w:r w:rsidRPr="00861C2E">
        <w:rPr>
          <w:rFonts w:ascii="Arial" w:hAnsi="Arial" w:cs="Arial"/>
          <w:b/>
          <w:sz w:val="32"/>
          <w:szCs w:val="32"/>
        </w:rPr>
        <w:t>INDICATOR DEVELOPMENT PROGRAMME</w:t>
      </w:r>
      <w:bookmarkEnd w:id="1"/>
    </w:p>
    <w:p w14:paraId="5E177753" w14:textId="77777777" w:rsidR="00482C01" w:rsidRDefault="00482C01" w:rsidP="00482C01">
      <w:pPr>
        <w:tabs>
          <w:tab w:val="left" w:pos="6471"/>
        </w:tabs>
        <w:rPr>
          <w:rFonts w:ascii="Arial" w:hAnsi="Arial" w:cs="Arial"/>
          <w:b/>
          <w:sz w:val="32"/>
          <w:szCs w:val="32"/>
        </w:rPr>
      </w:pPr>
      <w:bookmarkStart w:id="2" w:name="_Toc383595132"/>
      <w:r>
        <w:rPr>
          <w:rFonts w:ascii="Arial" w:hAnsi="Arial" w:cs="Arial"/>
          <w:b/>
          <w:sz w:val="32"/>
          <w:szCs w:val="32"/>
        </w:rPr>
        <w:tab/>
      </w:r>
      <w:bookmarkStart w:id="3" w:name="_GoBack"/>
      <w:bookmarkEnd w:id="3"/>
    </w:p>
    <w:p w14:paraId="45498FC8" w14:textId="62E8FFEC" w:rsidR="00482C01" w:rsidRDefault="00482C01" w:rsidP="00482C01">
      <w:pPr>
        <w:jc w:val="center"/>
        <w:rPr>
          <w:rFonts w:ascii="Arial" w:hAnsi="Arial" w:cs="Arial"/>
          <w:b/>
          <w:sz w:val="32"/>
          <w:szCs w:val="32"/>
        </w:rPr>
      </w:pPr>
      <w:r w:rsidRPr="00861C2E">
        <w:rPr>
          <w:rFonts w:ascii="Arial" w:hAnsi="Arial" w:cs="Arial"/>
          <w:b/>
          <w:sz w:val="32"/>
          <w:szCs w:val="32"/>
        </w:rPr>
        <w:t>Consultation report</w:t>
      </w:r>
      <w:bookmarkEnd w:id="2"/>
    </w:p>
    <w:p w14:paraId="321DC353" w14:textId="77777777" w:rsidR="00482C01" w:rsidRDefault="00482C01" w:rsidP="00482C01">
      <w:pPr>
        <w:jc w:val="center"/>
        <w:rPr>
          <w:rFonts w:ascii="Arial" w:hAnsi="Arial" w:cs="Arial"/>
          <w:b/>
          <w:sz w:val="32"/>
          <w:szCs w:val="32"/>
        </w:rPr>
      </w:pPr>
    </w:p>
    <w:p w14:paraId="3ADB0E8F" w14:textId="57C93B2B" w:rsidR="003953C7" w:rsidRDefault="00575207" w:rsidP="003953C7">
      <w:pPr>
        <w:pStyle w:val="Introtext"/>
        <w:pBdr>
          <w:top w:val="single" w:sz="4" w:space="0" w:color="auto"/>
        </w:pBdr>
        <w:rPr>
          <w:lang w:val="en-GB"/>
        </w:rPr>
      </w:pPr>
      <w:r>
        <w:rPr>
          <w:b/>
          <w:lang w:val="en-GB"/>
        </w:rPr>
        <w:t>I</w:t>
      </w:r>
      <w:r w:rsidR="003953C7" w:rsidRPr="00BA424C">
        <w:rPr>
          <w:b/>
          <w:lang w:val="en-GB"/>
        </w:rPr>
        <w:t>ndicator area:</w:t>
      </w:r>
      <w:r w:rsidR="003953C7" w:rsidRPr="00BA424C">
        <w:rPr>
          <w:lang w:val="en-GB"/>
        </w:rPr>
        <w:t xml:space="preserve"> </w:t>
      </w:r>
      <w:r w:rsidR="00C308F5">
        <w:rPr>
          <w:lang w:val="en-GB"/>
        </w:rPr>
        <w:t>COPD</w:t>
      </w:r>
    </w:p>
    <w:p w14:paraId="5271DFC9" w14:textId="77777777" w:rsidR="008B0428" w:rsidRDefault="008B0428" w:rsidP="008B0428">
      <w:pPr>
        <w:pStyle w:val="Introtext"/>
        <w:pBdr>
          <w:top w:val="single" w:sz="4" w:space="0" w:color="auto"/>
        </w:pBdr>
        <w:rPr>
          <w:lang w:val="en-GB"/>
        </w:rPr>
      </w:pPr>
      <w:r>
        <w:rPr>
          <w:b/>
          <w:lang w:val="en-GB"/>
        </w:rPr>
        <w:t>Consultation</w:t>
      </w:r>
      <w:r w:rsidRPr="009019A9">
        <w:rPr>
          <w:b/>
          <w:lang w:val="en-GB"/>
        </w:rPr>
        <w:t xml:space="preserve"> period:</w:t>
      </w:r>
      <w:r w:rsidRPr="009019A9">
        <w:rPr>
          <w:lang w:val="en-GB"/>
        </w:rPr>
        <w:t xml:space="preserve"> </w:t>
      </w:r>
      <w:r>
        <w:rPr>
          <w:lang w:val="en-GB"/>
        </w:rPr>
        <w:t>17 April – 16 May 2019</w:t>
      </w:r>
    </w:p>
    <w:p w14:paraId="75A30BAA" w14:textId="77777777" w:rsidR="008B0428" w:rsidRDefault="008B0428" w:rsidP="008B0428">
      <w:pPr>
        <w:pStyle w:val="Introtext"/>
        <w:pBdr>
          <w:top w:val="single" w:sz="4" w:space="0" w:color="auto"/>
        </w:pBdr>
        <w:spacing w:before="100" w:beforeAutospacing="1" w:after="100" w:afterAutospacing="1" w:line="360" w:lineRule="auto"/>
        <w:contextualSpacing/>
        <w:rPr>
          <w:lang w:val="en-GB"/>
        </w:rPr>
      </w:pPr>
      <w:r w:rsidRPr="00BA424C">
        <w:rPr>
          <w:b/>
          <w:lang w:val="en-GB"/>
        </w:rPr>
        <w:t>Date of Indicator Advisory Committee meeting:</w:t>
      </w:r>
      <w:r>
        <w:rPr>
          <w:lang w:val="en-GB"/>
        </w:rPr>
        <w:t xml:space="preserve"> 4 June 2019</w:t>
      </w:r>
    </w:p>
    <w:p w14:paraId="0B037D4F" w14:textId="77777777" w:rsidR="008B0428" w:rsidRPr="00525B72" w:rsidRDefault="008B0428" w:rsidP="008B0428">
      <w:pPr>
        <w:pStyle w:val="Introtext"/>
        <w:pBdr>
          <w:top w:val="single" w:sz="4" w:space="0" w:color="auto"/>
        </w:pBdr>
        <w:spacing w:before="100" w:beforeAutospacing="1" w:after="100" w:afterAutospacing="1" w:line="360" w:lineRule="auto"/>
        <w:contextualSpacing/>
        <w:rPr>
          <w:b/>
          <w:lang w:val="en-GB"/>
        </w:rPr>
      </w:pPr>
      <w:r w:rsidRPr="00987B83">
        <w:rPr>
          <w:b/>
          <w:lang w:val="en-GB"/>
        </w:rPr>
        <w:t>Output:</w:t>
      </w:r>
      <w:r>
        <w:rPr>
          <w:b/>
          <w:lang w:val="en-GB"/>
        </w:rPr>
        <w:t xml:space="preserve"> </w:t>
      </w:r>
      <w:r>
        <w:rPr>
          <w:lang w:val="en-GB"/>
        </w:rPr>
        <w:t>New indicators for general practice</w:t>
      </w:r>
      <w:r>
        <w:rPr>
          <w:b/>
          <w:lang w:val="en-GB"/>
        </w:rPr>
        <w:t xml:space="preserve"> </w:t>
      </w:r>
    </w:p>
    <w:p w14:paraId="1C403EAF" w14:textId="77777777" w:rsidR="00482C01" w:rsidRPr="007F14A6" w:rsidRDefault="00482C01" w:rsidP="007F14A6">
      <w:pPr>
        <w:pStyle w:val="TOC1"/>
        <w:tabs>
          <w:tab w:val="right" w:leader="dot" w:pos="8303"/>
        </w:tabs>
        <w:rPr>
          <w:b/>
          <w:bCs/>
          <w:kern w:val="32"/>
          <w:sz w:val="28"/>
          <w:szCs w:val="32"/>
        </w:rPr>
      </w:pPr>
    </w:p>
    <w:p w14:paraId="67B186D4" w14:textId="77777777" w:rsidR="007F14A6" w:rsidRPr="007F14A6" w:rsidRDefault="007F14A6" w:rsidP="007F14A6"/>
    <w:p w14:paraId="208E6941" w14:textId="77777777" w:rsidR="00482C01" w:rsidRPr="00802740" w:rsidRDefault="00482C01" w:rsidP="00855549">
      <w:pPr>
        <w:pStyle w:val="TOC1"/>
        <w:tabs>
          <w:tab w:val="right" w:leader="dot" w:pos="8303"/>
        </w:tabs>
      </w:pPr>
      <w:r>
        <w:rPr>
          <w:b/>
          <w:bCs/>
          <w:kern w:val="32"/>
          <w:sz w:val="28"/>
          <w:szCs w:val="32"/>
        </w:rPr>
        <w:t>Contents</w:t>
      </w:r>
    </w:p>
    <w:p w14:paraId="22E68B33" w14:textId="6E13EB93" w:rsidR="00AD1879" w:rsidRDefault="00472CEC">
      <w:pPr>
        <w:pStyle w:val="TOC1"/>
        <w:tabs>
          <w:tab w:val="right" w:leader="dot" w:pos="8303"/>
        </w:tabs>
        <w:rPr>
          <w:rFonts w:asciiTheme="minorHAnsi" w:eastAsiaTheme="minorEastAsia" w:hAnsiTheme="minorHAnsi" w:cstheme="minorBidi"/>
          <w:noProof/>
          <w:sz w:val="22"/>
          <w:szCs w:val="22"/>
          <w:lang w:eastAsia="en-GB"/>
        </w:rPr>
      </w:pPr>
      <w:r w:rsidRPr="00802740">
        <w:rPr>
          <w:rStyle w:val="Hyperlink"/>
          <w:noProof/>
        </w:rPr>
        <w:fldChar w:fldCharType="begin"/>
      </w:r>
      <w:r w:rsidR="00482C01" w:rsidRPr="00802740">
        <w:rPr>
          <w:rStyle w:val="Hyperlink"/>
          <w:noProof/>
        </w:rPr>
        <w:instrText xml:space="preserve"> TOC \o "1-3" \h \z \u </w:instrText>
      </w:r>
      <w:r w:rsidRPr="00802740">
        <w:rPr>
          <w:rStyle w:val="Hyperlink"/>
          <w:noProof/>
        </w:rPr>
        <w:fldChar w:fldCharType="separate"/>
      </w:r>
      <w:hyperlink w:anchor="_Toc17816096" w:history="1">
        <w:r w:rsidR="00AD1879" w:rsidRPr="00E91CD9">
          <w:rPr>
            <w:rStyle w:val="Hyperlink"/>
            <w:noProof/>
          </w:rPr>
          <w:t>Introduction</w:t>
        </w:r>
        <w:r w:rsidR="00AD1879">
          <w:rPr>
            <w:noProof/>
            <w:webHidden/>
          </w:rPr>
          <w:tab/>
        </w:r>
        <w:r w:rsidR="00AD1879">
          <w:rPr>
            <w:noProof/>
            <w:webHidden/>
          </w:rPr>
          <w:fldChar w:fldCharType="begin"/>
        </w:r>
        <w:r w:rsidR="00AD1879">
          <w:rPr>
            <w:noProof/>
            <w:webHidden/>
          </w:rPr>
          <w:instrText xml:space="preserve"> PAGEREF _Toc17816096 \h </w:instrText>
        </w:r>
        <w:r w:rsidR="00AD1879">
          <w:rPr>
            <w:noProof/>
            <w:webHidden/>
          </w:rPr>
        </w:r>
        <w:r w:rsidR="00AD1879">
          <w:rPr>
            <w:noProof/>
            <w:webHidden/>
          </w:rPr>
          <w:fldChar w:fldCharType="separate"/>
        </w:r>
        <w:r w:rsidR="00AD1879">
          <w:rPr>
            <w:noProof/>
            <w:webHidden/>
          </w:rPr>
          <w:t>2</w:t>
        </w:r>
        <w:r w:rsidR="00AD1879">
          <w:rPr>
            <w:noProof/>
            <w:webHidden/>
          </w:rPr>
          <w:fldChar w:fldCharType="end"/>
        </w:r>
      </w:hyperlink>
    </w:p>
    <w:p w14:paraId="0176DD27" w14:textId="5D452855" w:rsidR="00AD1879" w:rsidRDefault="00AD1879">
      <w:pPr>
        <w:pStyle w:val="TOC1"/>
        <w:tabs>
          <w:tab w:val="right" w:leader="dot" w:pos="8303"/>
        </w:tabs>
        <w:rPr>
          <w:rFonts w:asciiTheme="minorHAnsi" w:eastAsiaTheme="minorEastAsia" w:hAnsiTheme="minorHAnsi" w:cstheme="minorBidi"/>
          <w:noProof/>
          <w:sz w:val="22"/>
          <w:szCs w:val="22"/>
          <w:lang w:eastAsia="en-GB"/>
        </w:rPr>
      </w:pPr>
      <w:hyperlink w:anchor="_Toc17816097" w:history="1">
        <w:r w:rsidRPr="00E91CD9">
          <w:rPr>
            <w:rStyle w:val="Hyperlink"/>
            <w:noProof/>
          </w:rPr>
          <w:t>Summary of indicators included in the consultation</w:t>
        </w:r>
        <w:r>
          <w:rPr>
            <w:noProof/>
            <w:webHidden/>
          </w:rPr>
          <w:tab/>
        </w:r>
        <w:r>
          <w:rPr>
            <w:noProof/>
            <w:webHidden/>
          </w:rPr>
          <w:fldChar w:fldCharType="begin"/>
        </w:r>
        <w:r>
          <w:rPr>
            <w:noProof/>
            <w:webHidden/>
          </w:rPr>
          <w:instrText xml:space="preserve"> PAGEREF _Toc17816097 \h </w:instrText>
        </w:r>
        <w:r>
          <w:rPr>
            <w:noProof/>
            <w:webHidden/>
          </w:rPr>
        </w:r>
        <w:r>
          <w:rPr>
            <w:noProof/>
            <w:webHidden/>
          </w:rPr>
          <w:fldChar w:fldCharType="separate"/>
        </w:r>
        <w:r>
          <w:rPr>
            <w:noProof/>
            <w:webHidden/>
          </w:rPr>
          <w:t>3</w:t>
        </w:r>
        <w:r>
          <w:rPr>
            <w:noProof/>
            <w:webHidden/>
          </w:rPr>
          <w:fldChar w:fldCharType="end"/>
        </w:r>
      </w:hyperlink>
    </w:p>
    <w:p w14:paraId="480EC86E" w14:textId="41A3E1CF" w:rsidR="00AD1879" w:rsidRDefault="00AD1879">
      <w:pPr>
        <w:pStyle w:val="TOC1"/>
        <w:tabs>
          <w:tab w:val="right" w:leader="dot" w:pos="8303"/>
        </w:tabs>
        <w:rPr>
          <w:rFonts w:asciiTheme="minorHAnsi" w:eastAsiaTheme="minorEastAsia" w:hAnsiTheme="minorHAnsi" w:cstheme="minorBidi"/>
          <w:noProof/>
          <w:sz w:val="22"/>
          <w:szCs w:val="22"/>
          <w:lang w:eastAsia="en-GB"/>
        </w:rPr>
      </w:pPr>
      <w:hyperlink w:anchor="_Toc17816098" w:history="1">
        <w:r w:rsidRPr="00E91CD9">
          <w:rPr>
            <w:rStyle w:val="Hyperlink"/>
            <w:noProof/>
          </w:rPr>
          <w:t>IND67 Objective testing to support diagnosis</w:t>
        </w:r>
        <w:r>
          <w:rPr>
            <w:noProof/>
            <w:webHidden/>
          </w:rPr>
          <w:tab/>
        </w:r>
        <w:r>
          <w:rPr>
            <w:noProof/>
            <w:webHidden/>
          </w:rPr>
          <w:fldChar w:fldCharType="begin"/>
        </w:r>
        <w:r>
          <w:rPr>
            <w:noProof/>
            <w:webHidden/>
          </w:rPr>
          <w:instrText xml:space="preserve"> PAGEREF _Toc17816098 \h </w:instrText>
        </w:r>
        <w:r>
          <w:rPr>
            <w:noProof/>
            <w:webHidden/>
          </w:rPr>
        </w:r>
        <w:r>
          <w:rPr>
            <w:noProof/>
            <w:webHidden/>
          </w:rPr>
          <w:fldChar w:fldCharType="separate"/>
        </w:r>
        <w:r>
          <w:rPr>
            <w:noProof/>
            <w:webHidden/>
          </w:rPr>
          <w:t>4</w:t>
        </w:r>
        <w:r>
          <w:rPr>
            <w:noProof/>
            <w:webHidden/>
          </w:rPr>
          <w:fldChar w:fldCharType="end"/>
        </w:r>
      </w:hyperlink>
    </w:p>
    <w:p w14:paraId="7A2C04B1" w14:textId="4771A3EE" w:rsidR="00AD1879" w:rsidRDefault="00AD1879">
      <w:pPr>
        <w:pStyle w:val="TOC1"/>
        <w:tabs>
          <w:tab w:val="right" w:leader="dot" w:pos="8303"/>
        </w:tabs>
        <w:rPr>
          <w:rFonts w:asciiTheme="minorHAnsi" w:eastAsiaTheme="minorEastAsia" w:hAnsiTheme="minorHAnsi" w:cstheme="minorBidi"/>
          <w:noProof/>
          <w:sz w:val="22"/>
          <w:szCs w:val="22"/>
          <w:lang w:eastAsia="en-GB"/>
        </w:rPr>
      </w:pPr>
      <w:hyperlink w:anchor="_Toc17816099" w:history="1">
        <w:r w:rsidRPr="00E91CD9">
          <w:rPr>
            <w:rStyle w:val="Hyperlink"/>
            <w:noProof/>
          </w:rPr>
          <w:t>IND68 Annual review including recording of exacerbations</w:t>
        </w:r>
        <w:r>
          <w:rPr>
            <w:noProof/>
            <w:webHidden/>
          </w:rPr>
          <w:tab/>
        </w:r>
        <w:r>
          <w:rPr>
            <w:noProof/>
            <w:webHidden/>
          </w:rPr>
          <w:fldChar w:fldCharType="begin"/>
        </w:r>
        <w:r>
          <w:rPr>
            <w:noProof/>
            <w:webHidden/>
          </w:rPr>
          <w:instrText xml:space="preserve"> PAGEREF _Toc17816099 \h </w:instrText>
        </w:r>
        <w:r>
          <w:rPr>
            <w:noProof/>
            <w:webHidden/>
          </w:rPr>
        </w:r>
        <w:r>
          <w:rPr>
            <w:noProof/>
            <w:webHidden/>
          </w:rPr>
          <w:fldChar w:fldCharType="separate"/>
        </w:r>
        <w:r>
          <w:rPr>
            <w:noProof/>
            <w:webHidden/>
          </w:rPr>
          <w:t>6</w:t>
        </w:r>
        <w:r>
          <w:rPr>
            <w:noProof/>
            <w:webHidden/>
          </w:rPr>
          <w:fldChar w:fldCharType="end"/>
        </w:r>
      </w:hyperlink>
    </w:p>
    <w:p w14:paraId="05BCF2B7" w14:textId="2AE40F12" w:rsidR="00AD1879" w:rsidRDefault="00AD1879">
      <w:pPr>
        <w:pStyle w:val="TOC1"/>
        <w:tabs>
          <w:tab w:val="right" w:leader="dot" w:pos="8303"/>
        </w:tabs>
        <w:rPr>
          <w:rFonts w:asciiTheme="minorHAnsi" w:eastAsiaTheme="minorEastAsia" w:hAnsiTheme="minorHAnsi" w:cstheme="minorBidi"/>
          <w:noProof/>
          <w:sz w:val="22"/>
          <w:szCs w:val="22"/>
          <w:lang w:eastAsia="en-GB"/>
        </w:rPr>
      </w:pPr>
      <w:hyperlink w:anchor="_Toc17816100" w:history="1">
        <w:r w:rsidRPr="00E91CD9">
          <w:rPr>
            <w:rStyle w:val="Hyperlink"/>
            <w:noProof/>
          </w:rPr>
          <w:t>General Comments</w:t>
        </w:r>
        <w:r>
          <w:rPr>
            <w:noProof/>
            <w:webHidden/>
          </w:rPr>
          <w:tab/>
        </w:r>
        <w:r>
          <w:rPr>
            <w:noProof/>
            <w:webHidden/>
          </w:rPr>
          <w:fldChar w:fldCharType="begin"/>
        </w:r>
        <w:r>
          <w:rPr>
            <w:noProof/>
            <w:webHidden/>
          </w:rPr>
          <w:instrText xml:space="preserve"> PAGEREF _Toc17816100 \h </w:instrText>
        </w:r>
        <w:r>
          <w:rPr>
            <w:noProof/>
            <w:webHidden/>
          </w:rPr>
        </w:r>
        <w:r>
          <w:rPr>
            <w:noProof/>
            <w:webHidden/>
          </w:rPr>
          <w:fldChar w:fldCharType="separate"/>
        </w:r>
        <w:r>
          <w:rPr>
            <w:noProof/>
            <w:webHidden/>
          </w:rPr>
          <w:t>8</w:t>
        </w:r>
        <w:r>
          <w:rPr>
            <w:noProof/>
            <w:webHidden/>
          </w:rPr>
          <w:fldChar w:fldCharType="end"/>
        </w:r>
      </w:hyperlink>
    </w:p>
    <w:p w14:paraId="3CB8060F" w14:textId="5018A687" w:rsidR="00AD1879" w:rsidRDefault="00AD1879">
      <w:pPr>
        <w:pStyle w:val="TOC1"/>
        <w:tabs>
          <w:tab w:val="right" w:leader="dot" w:pos="8303"/>
        </w:tabs>
        <w:rPr>
          <w:rFonts w:asciiTheme="minorHAnsi" w:eastAsiaTheme="minorEastAsia" w:hAnsiTheme="minorHAnsi" w:cstheme="minorBidi"/>
          <w:noProof/>
          <w:sz w:val="22"/>
          <w:szCs w:val="22"/>
          <w:lang w:eastAsia="en-GB"/>
        </w:rPr>
      </w:pPr>
      <w:hyperlink w:anchor="_Toc17816101" w:history="1">
        <w:r w:rsidRPr="00E91CD9">
          <w:rPr>
            <w:rStyle w:val="Hyperlink"/>
            <w:noProof/>
          </w:rPr>
          <w:t>Appendix A: Consultation comments</w:t>
        </w:r>
        <w:r>
          <w:rPr>
            <w:noProof/>
            <w:webHidden/>
          </w:rPr>
          <w:tab/>
        </w:r>
        <w:r>
          <w:rPr>
            <w:noProof/>
            <w:webHidden/>
          </w:rPr>
          <w:fldChar w:fldCharType="begin"/>
        </w:r>
        <w:r>
          <w:rPr>
            <w:noProof/>
            <w:webHidden/>
          </w:rPr>
          <w:instrText xml:space="preserve"> PAGEREF _Toc17816101 \h </w:instrText>
        </w:r>
        <w:r>
          <w:rPr>
            <w:noProof/>
            <w:webHidden/>
          </w:rPr>
        </w:r>
        <w:r>
          <w:rPr>
            <w:noProof/>
            <w:webHidden/>
          </w:rPr>
          <w:fldChar w:fldCharType="separate"/>
        </w:r>
        <w:r>
          <w:rPr>
            <w:noProof/>
            <w:webHidden/>
          </w:rPr>
          <w:t>9</w:t>
        </w:r>
        <w:r>
          <w:rPr>
            <w:noProof/>
            <w:webHidden/>
          </w:rPr>
          <w:fldChar w:fldCharType="end"/>
        </w:r>
      </w:hyperlink>
    </w:p>
    <w:p w14:paraId="470D1788" w14:textId="0FB80D65" w:rsidR="009C3C0C" w:rsidRDefault="00472CEC" w:rsidP="00C939FE">
      <w:pPr>
        <w:pStyle w:val="Paragraphnonumbers"/>
        <w:rPr>
          <w:rStyle w:val="Hyperlink"/>
          <w:noProof/>
        </w:rPr>
      </w:pPr>
      <w:r w:rsidRPr="00802740">
        <w:rPr>
          <w:rStyle w:val="Hyperlink"/>
          <w:noProof/>
        </w:rPr>
        <w:fldChar w:fldCharType="end"/>
      </w:r>
    </w:p>
    <w:p w14:paraId="5C4C9BCA" w14:textId="77777777" w:rsidR="009C3C0C" w:rsidRDefault="009C3C0C">
      <w:pPr>
        <w:rPr>
          <w:rStyle w:val="Hyperlink"/>
          <w:rFonts w:ascii="Arial" w:hAnsi="Arial"/>
          <w:b/>
          <w:bCs/>
          <w:noProof/>
          <w:kern w:val="32"/>
          <w:sz w:val="28"/>
          <w:szCs w:val="32"/>
        </w:rPr>
      </w:pPr>
      <w:r>
        <w:rPr>
          <w:rStyle w:val="Hyperlink"/>
          <w:noProof/>
        </w:rPr>
        <w:br w:type="page"/>
      </w:r>
    </w:p>
    <w:p w14:paraId="27E2F1CD" w14:textId="77777777" w:rsidR="00C939FE" w:rsidRDefault="00C939FE" w:rsidP="00C939FE">
      <w:pPr>
        <w:pStyle w:val="Heading1"/>
      </w:pPr>
      <w:bookmarkStart w:id="4" w:name="_Toc8998064"/>
      <w:bookmarkStart w:id="5" w:name="_Toc17816096"/>
      <w:r>
        <w:lastRenderedPageBreak/>
        <w:t>Introduction</w:t>
      </w:r>
      <w:bookmarkEnd w:id="5"/>
      <w:r>
        <w:t xml:space="preserve"> </w:t>
      </w:r>
    </w:p>
    <w:p w14:paraId="4CD96128" w14:textId="77777777" w:rsidR="008B0428" w:rsidRDefault="00C939FE" w:rsidP="00C939FE">
      <w:pPr>
        <w:pStyle w:val="Paragraphnonumbers"/>
      </w:pPr>
      <w:r>
        <w:t xml:space="preserve">The </w:t>
      </w:r>
      <w:hyperlink r:id="rId8" w:history="1">
        <w:r w:rsidR="007D7C52">
          <w:rPr>
            <w:rStyle w:val="Hyperlink"/>
          </w:rPr>
          <w:t>QOF review</w:t>
        </w:r>
      </w:hyperlink>
      <w:r>
        <w:t xml:space="preserve"> recommended refreshing and renewing indicators with a focus on personalised care, addressing over- and under-treatment, and ensuring the best outcomes for patients. </w:t>
      </w:r>
    </w:p>
    <w:p w14:paraId="486307EF" w14:textId="4E5C7AA1" w:rsidR="00C939FE" w:rsidRDefault="00C939FE" w:rsidP="00C939FE">
      <w:pPr>
        <w:pStyle w:val="Paragraphnonumbers"/>
      </w:pPr>
      <w:r>
        <w:t xml:space="preserve">In February and April 2019, a respiratory working group convened to consider what matters most to people with COPD and how best to help them achieve their best outcomes. </w:t>
      </w:r>
      <w:r w:rsidR="00CF0CDD">
        <w:t xml:space="preserve">The group had representation from: </w:t>
      </w:r>
    </w:p>
    <w:p w14:paraId="40B3A84C" w14:textId="68E810E1" w:rsidR="00CF0CDD" w:rsidRDefault="00CF0CDD" w:rsidP="00CF0CDD">
      <w:pPr>
        <w:pStyle w:val="Paragraphnonumbers"/>
        <w:numPr>
          <w:ilvl w:val="0"/>
          <w:numId w:val="40"/>
        </w:numPr>
      </w:pPr>
      <w:r>
        <w:t xml:space="preserve">Asthma UK </w:t>
      </w:r>
    </w:p>
    <w:p w14:paraId="29DC7DD4" w14:textId="1C570F2B" w:rsidR="00CF0CDD" w:rsidRDefault="00CF0CDD" w:rsidP="00CF0CDD">
      <w:pPr>
        <w:pStyle w:val="Paragraphnonumbers"/>
        <w:numPr>
          <w:ilvl w:val="0"/>
          <w:numId w:val="40"/>
        </w:numPr>
      </w:pPr>
      <w:r>
        <w:t xml:space="preserve">British Lung Foundation </w:t>
      </w:r>
    </w:p>
    <w:p w14:paraId="6703DB6F" w14:textId="7607324E" w:rsidR="00CF0CDD" w:rsidRDefault="00A66AC8" w:rsidP="00CF0CDD">
      <w:pPr>
        <w:pStyle w:val="Paragraphnonumbers"/>
        <w:numPr>
          <w:ilvl w:val="0"/>
          <w:numId w:val="40"/>
        </w:numPr>
      </w:pPr>
      <w:r>
        <w:t xml:space="preserve">BMA’S </w:t>
      </w:r>
      <w:r w:rsidR="00CF0CDD">
        <w:t xml:space="preserve">GPC </w:t>
      </w:r>
    </w:p>
    <w:p w14:paraId="5A5EAEC3" w14:textId="20B8B442" w:rsidR="00CF0CDD" w:rsidRDefault="00CF0CDD" w:rsidP="00CF0CDD">
      <w:pPr>
        <w:pStyle w:val="Paragraphnonumbers"/>
        <w:numPr>
          <w:ilvl w:val="0"/>
          <w:numId w:val="40"/>
        </w:numPr>
      </w:pPr>
      <w:r>
        <w:t xml:space="preserve">North East Quality Observatory Service </w:t>
      </w:r>
    </w:p>
    <w:p w14:paraId="14F58ED2" w14:textId="77777777" w:rsidR="00CF0CDD" w:rsidRDefault="00CF0CDD" w:rsidP="00CF0CDD">
      <w:pPr>
        <w:pStyle w:val="Paragraphnonumbers"/>
        <w:numPr>
          <w:ilvl w:val="0"/>
          <w:numId w:val="40"/>
        </w:numPr>
      </w:pPr>
      <w:r>
        <w:t xml:space="preserve">NHS Digital </w:t>
      </w:r>
    </w:p>
    <w:p w14:paraId="428120A0" w14:textId="329EF33C" w:rsidR="00CF0CDD" w:rsidRDefault="00CF0CDD" w:rsidP="00CF0CDD">
      <w:pPr>
        <w:pStyle w:val="Paragraphnonumbers"/>
        <w:numPr>
          <w:ilvl w:val="0"/>
          <w:numId w:val="40"/>
        </w:numPr>
      </w:pPr>
      <w:r>
        <w:t xml:space="preserve">NHS England </w:t>
      </w:r>
    </w:p>
    <w:p w14:paraId="16E61473" w14:textId="50F47C97" w:rsidR="008B0428" w:rsidRDefault="008B0428" w:rsidP="00CF0CDD">
      <w:pPr>
        <w:pStyle w:val="Paragraphnonumbers"/>
        <w:numPr>
          <w:ilvl w:val="0"/>
          <w:numId w:val="40"/>
        </w:numPr>
      </w:pPr>
      <w:r>
        <w:t>RCGP</w:t>
      </w:r>
    </w:p>
    <w:p w14:paraId="18512502" w14:textId="7C92DAC8" w:rsidR="00CF0CDD" w:rsidRDefault="00CF0CDD" w:rsidP="00CF0CDD">
      <w:pPr>
        <w:pStyle w:val="Paragraphnonumbers"/>
        <w:numPr>
          <w:ilvl w:val="0"/>
          <w:numId w:val="40"/>
        </w:numPr>
      </w:pPr>
      <w:r>
        <w:t>NICE</w:t>
      </w:r>
      <w:r w:rsidR="00EF0646">
        <w:t xml:space="preserve"> including IAC members</w:t>
      </w:r>
    </w:p>
    <w:p w14:paraId="3906A4F4" w14:textId="5A121512" w:rsidR="00CF0CDD" w:rsidRDefault="00CF0CDD" w:rsidP="00CF0CDD">
      <w:pPr>
        <w:pStyle w:val="Paragraphnonumbers"/>
        <w:numPr>
          <w:ilvl w:val="0"/>
          <w:numId w:val="40"/>
        </w:numPr>
      </w:pPr>
      <w:r>
        <w:t xml:space="preserve">Primary Care Respiratory Society </w:t>
      </w:r>
    </w:p>
    <w:p w14:paraId="1A343A16" w14:textId="77777777" w:rsidR="00C939FE" w:rsidRDefault="00C939FE" w:rsidP="00C939FE">
      <w:pPr>
        <w:pStyle w:val="Paragraphnonumbers"/>
      </w:pPr>
      <w:r>
        <w:t xml:space="preserve">The results of these discussions were presented for public consultation in April 2019. The Indicator Advisory Committee is asked to consider this feedback and advise on inclusion on the NICE menu.  </w:t>
      </w:r>
    </w:p>
    <w:bookmarkEnd w:id="4"/>
    <w:p w14:paraId="3CF8D313" w14:textId="77777777" w:rsidR="00DA1451" w:rsidRDefault="00DA1451">
      <w:pPr>
        <w:rPr>
          <w:rFonts w:ascii="Arial" w:hAnsi="Arial"/>
          <w:b/>
          <w:bCs/>
          <w:kern w:val="32"/>
          <w:sz w:val="28"/>
          <w:szCs w:val="32"/>
        </w:rPr>
      </w:pPr>
      <w:r>
        <w:br w:type="page"/>
      </w:r>
    </w:p>
    <w:p w14:paraId="408341C5" w14:textId="078B309C" w:rsidR="00A5389F" w:rsidRDefault="00683913" w:rsidP="00C308F5">
      <w:pPr>
        <w:pStyle w:val="Heading1"/>
      </w:pPr>
      <w:bookmarkStart w:id="6" w:name="_Toc17816097"/>
      <w:r>
        <w:lastRenderedPageBreak/>
        <w:t>Summary of indicators included in the consultation</w:t>
      </w:r>
      <w:bookmarkEnd w:id="6"/>
    </w:p>
    <w:tbl>
      <w:tblPr>
        <w:tblStyle w:val="TableGrid"/>
        <w:tblW w:w="9781" w:type="dxa"/>
        <w:tblInd w:w="-572" w:type="dxa"/>
        <w:tblLayout w:type="fixed"/>
        <w:tblLook w:val="04A0" w:firstRow="1" w:lastRow="0" w:firstColumn="1" w:lastColumn="0" w:noHBand="0" w:noVBand="1"/>
      </w:tblPr>
      <w:tblGrid>
        <w:gridCol w:w="993"/>
        <w:gridCol w:w="2929"/>
        <w:gridCol w:w="2929"/>
        <w:gridCol w:w="2930"/>
      </w:tblGrid>
      <w:tr w:rsidR="00A5389F" w:rsidRPr="001036A1" w14:paraId="765B58E9" w14:textId="77777777" w:rsidTr="00A5389F">
        <w:trPr>
          <w:trHeight w:val="263"/>
        </w:trPr>
        <w:tc>
          <w:tcPr>
            <w:tcW w:w="993" w:type="dxa"/>
          </w:tcPr>
          <w:p w14:paraId="5BAEDC51" w14:textId="77777777" w:rsidR="00A5389F" w:rsidRPr="001036A1" w:rsidRDefault="00A5389F" w:rsidP="005A14A3">
            <w:pPr>
              <w:pStyle w:val="Tabletext"/>
              <w:rPr>
                <w:b/>
                <w:szCs w:val="22"/>
                <w:lang w:val="en-GB"/>
              </w:rPr>
            </w:pPr>
            <w:bookmarkStart w:id="7" w:name="_Hlk9235995"/>
            <w:r w:rsidRPr="001036A1">
              <w:rPr>
                <w:b/>
                <w:szCs w:val="22"/>
                <w:lang w:val="en-GB"/>
              </w:rPr>
              <w:t>ID</w:t>
            </w:r>
          </w:p>
        </w:tc>
        <w:tc>
          <w:tcPr>
            <w:tcW w:w="2929" w:type="dxa"/>
          </w:tcPr>
          <w:p w14:paraId="5E46E8E3" w14:textId="77777777" w:rsidR="00A5389F" w:rsidRPr="001036A1" w:rsidRDefault="00A5389F" w:rsidP="005A14A3">
            <w:pPr>
              <w:pStyle w:val="Tabletext"/>
              <w:rPr>
                <w:b/>
                <w:szCs w:val="22"/>
                <w:lang w:val="en-GB"/>
              </w:rPr>
            </w:pPr>
            <w:r>
              <w:rPr>
                <w:b/>
                <w:szCs w:val="22"/>
                <w:lang w:val="en-GB"/>
              </w:rPr>
              <w:t>Existing indicator</w:t>
            </w:r>
          </w:p>
        </w:tc>
        <w:tc>
          <w:tcPr>
            <w:tcW w:w="2929" w:type="dxa"/>
          </w:tcPr>
          <w:p w14:paraId="61614805" w14:textId="77777777" w:rsidR="00A5389F" w:rsidRPr="001036A1" w:rsidRDefault="00A5389F" w:rsidP="005A14A3">
            <w:pPr>
              <w:pStyle w:val="Tabletext"/>
              <w:rPr>
                <w:b/>
                <w:szCs w:val="22"/>
                <w:lang w:val="en-GB"/>
              </w:rPr>
            </w:pPr>
            <w:r>
              <w:rPr>
                <w:b/>
                <w:szCs w:val="22"/>
                <w:lang w:val="en-GB"/>
              </w:rPr>
              <w:t>Proposed i</w:t>
            </w:r>
            <w:r w:rsidRPr="001036A1">
              <w:rPr>
                <w:b/>
                <w:szCs w:val="22"/>
                <w:lang w:val="en-GB"/>
              </w:rPr>
              <w:t>ndicator</w:t>
            </w:r>
          </w:p>
        </w:tc>
        <w:tc>
          <w:tcPr>
            <w:tcW w:w="2930" w:type="dxa"/>
          </w:tcPr>
          <w:p w14:paraId="6C14D5CF" w14:textId="77777777" w:rsidR="00A5389F" w:rsidRPr="001036A1" w:rsidRDefault="00A5389F" w:rsidP="005A14A3">
            <w:pPr>
              <w:pStyle w:val="Tabletext"/>
              <w:rPr>
                <w:b/>
                <w:szCs w:val="22"/>
                <w:lang w:val="en-GB"/>
              </w:rPr>
            </w:pPr>
            <w:r w:rsidRPr="001036A1">
              <w:rPr>
                <w:b/>
                <w:szCs w:val="22"/>
                <w:lang w:val="en-GB"/>
              </w:rPr>
              <w:t>Evidence source</w:t>
            </w:r>
          </w:p>
        </w:tc>
      </w:tr>
      <w:tr w:rsidR="00A5389F" w:rsidRPr="00DA1451" w14:paraId="50376FC2" w14:textId="77777777" w:rsidTr="00A5389F">
        <w:tblPrEx>
          <w:tblLook w:val="01E0" w:firstRow="1" w:lastRow="1" w:firstColumn="1" w:lastColumn="1" w:noHBand="0" w:noVBand="0"/>
        </w:tblPrEx>
        <w:trPr>
          <w:trHeight w:val="263"/>
        </w:trPr>
        <w:tc>
          <w:tcPr>
            <w:tcW w:w="993" w:type="dxa"/>
          </w:tcPr>
          <w:p w14:paraId="773C84E0" w14:textId="77777777" w:rsidR="00A5389F" w:rsidRPr="00DA1451" w:rsidRDefault="00A5389F" w:rsidP="005A14A3">
            <w:pPr>
              <w:pStyle w:val="Tabletext"/>
              <w:rPr>
                <w:szCs w:val="22"/>
                <w:lang w:val="en-GB"/>
              </w:rPr>
            </w:pPr>
            <w:r w:rsidRPr="00A2017B">
              <w:rPr>
                <w:szCs w:val="22"/>
                <w:lang w:val="en-GB"/>
              </w:rPr>
              <w:t>IND67</w:t>
            </w:r>
          </w:p>
        </w:tc>
        <w:tc>
          <w:tcPr>
            <w:tcW w:w="2929" w:type="dxa"/>
          </w:tcPr>
          <w:p w14:paraId="67C272B1" w14:textId="77777777" w:rsidR="00A5389F" w:rsidRPr="00A2017B" w:rsidRDefault="00A5389F" w:rsidP="005A14A3">
            <w:pPr>
              <w:pStyle w:val="Tabletext"/>
              <w:rPr>
                <w:szCs w:val="22"/>
                <w:lang w:val="en-GB"/>
              </w:rPr>
            </w:pPr>
            <w:r w:rsidRPr="00A2017B">
              <w:rPr>
                <w:szCs w:val="22"/>
                <w:lang w:val="en-GB"/>
              </w:rPr>
              <w:t xml:space="preserve">COPD001: The contractor establishes and maintains a register of patients with COPD </w:t>
            </w:r>
          </w:p>
          <w:p w14:paraId="479A08E0" w14:textId="77777777" w:rsidR="00A5389F" w:rsidRDefault="00A5389F" w:rsidP="005A14A3">
            <w:pPr>
              <w:pStyle w:val="Tabletext"/>
              <w:rPr>
                <w:szCs w:val="22"/>
                <w:lang w:val="en-GB"/>
              </w:rPr>
            </w:pPr>
          </w:p>
          <w:p w14:paraId="29B6F11B" w14:textId="29128C38" w:rsidR="00A5389F" w:rsidRPr="00A2017B" w:rsidRDefault="00A5389F" w:rsidP="005A14A3">
            <w:pPr>
              <w:pStyle w:val="Tabletext"/>
              <w:rPr>
                <w:szCs w:val="22"/>
                <w:lang w:val="en-GB"/>
              </w:rPr>
            </w:pPr>
            <w:r w:rsidRPr="00A2017B">
              <w:rPr>
                <w:szCs w:val="22"/>
                <w:lang w:val="en-GB"/>
              </w:rPr>
              <w:t>COPD002: The percentage of patients with COPD (diagnosed on or after 1 April 2011) in whom the diagnosis has been confirmed by post bronchodilator spirometry between 3 months before and 12 months after entering on to the register.</w:t>
            </w:r>
          </w:p>
          <w:p w14:paraId="62F5AEE7" w14:textId="77777777" w:rsidR="00A5389F" w:rsidRDefault="00A5389F" w:rsidP="005A14A3">
            <w:pPr>
              <w:pStyle w:val="Tabletext"/>
              <w:rPr>
                <w:szCs w:val="22"/>
                <w:lang w:val="en-GB"/>
              </w:rPr>
            </w:pPr>
          </w:p>
          <w:p w14:paraId="6A4C5580" w14:textId="14D24D8C" w:rsidR="00A5389F" w:rsidRPr="00DA1451" w:rsidRDefault="00A5389F" w:rsidP="005A14A3">
            <w:pPr>
              <w:pStyle w:val="Tabletext"/>
              <w:rPr>
                <w:szCs w:val="22"/>
                <w:lang w:val="en-GB"/>
              </w:rPr>
            </w:pPr>
            <w:r w:rsidRPr="00A2017B">
              <w:rPr>
                <w:szCs w:val="22"/>
                <w:lang w:val="en-GB"/>
              </w:rPr>
              <w:t>NICE menu ID: NM103.</w:t>
            </w:r>
          </w:p>
        </w:tc>
        <w:tc>
          <w:tcPr>
            <w:tcW w:w="2929" w:type="dxa"/>
          </w:tcPr>
          <w:p w14:paraId="0D78EE4A" w14:textId="77777777" w:rsidR="00A5389F" w:rsidRPr="00A2017B" w:rsidRDefault="00A5389F" w:rsidP="005A14A3">
            <w:pPr>
              <w:pStyle w:val="Tabletext"/>
              <w:rPr>
                <w:szCs w:val="22"/>
                <w:lang w:val="en-GB"/>
              </w:rPr>
            </w:pPr>
            <w:r w:rsidRPr="00A2017B">
              <w:rPr>
                <w:szCs w:val="22"/>
                <w:lang w:val="en-GB"/>
              </w:rPr>
              <w:t xml:space="preserve">The contractor establishes and maintains a register of: </w:t>
            </w:r>
          </w:p>
          <w:p w14:paraId="4EB5A1F1" w14:textId="77777777" w:rsidR="00A5389F" w:rsidRDefault="00A5389F" w:rsidP="005A14A3">
            <w:pPr>
              <w:pStyle w:val="Tabletext"/>
              <w:rPr>
                <w:szCs w:val="22"/>
                <w:lang w:val="en-GB"/>
              </w:rPr>
            </w:pPr>
            <w:r w:rsidRPr="00A2017B">
              <w:rPr>
                <w:szCs w:val="22"/>
                <w:lang w:val="en-GB"/>
              </w:rPr>
              <w:t xml:space="preserve">1. Patients with a clinical diagnosis of COPD before (date of implementation), and </w:t>
            </w:r>
          </w:p>
          <w:p w14:paraId="735A37BD" w14:textId="1914D17F" w:rsidR="00A5389F" w:rsidRPr="00DA1451" w:rsidRDefault="00A5389F" w:rsidP="005A14A3">
            <w:pPr>
              <w:pStyle w:val="Tabletext"/>
              <w:rPr>
                <w:szCs w:val="22"/>
                <w:lang w:val="en-GB"/>
              </w:rPr>
            </w:pPr>
            <w:r w:rsidRPr="00A2017B">
              <w:rPr>
                <w:szCs w:val="22"/>
                <w:lang w:val="en-GB"/>
              </w:rPr>
              <w:t>2. Patients with a clinical diagnosis of COPD on or after (date of implementation) whose diagnosis has been confirmed by a quality assured post bronchodilator spirometry FEV1/FVC ratio below 0.7 between 3 months before or 3 months after diagnosis.</w:t>
            </w:r>
          </w:p>
        </w:tc>
        <w:tc>
          <w:tcPr>
            <w:tcW w:w="2930" w:type="dxa"/>
          </w:tcPr>
          <w:p w14:paraId="671949F7" w14:textId="77777777" w:rsidR="00A5389F" w:rsidRPr="00DA1451" w:rsidRDefault="00AD1879" w:rsidP="005A14A3">
            <w:pPr>
              <w:pStyle w:val="Tabletext"/>
              <w:rPr>
                <w:lang w:val="en-GB"/>
              </w:rPr>
            </w:pPr>
            <w:hyperlink r:id="rId9" w:history="1">
              <w:r w:rsidR="00A5389F" w:rsidRPr="00A2017B">
                <w:rPr>
                  <w:rStyle w:val="Hyperlink"/>
                  <w:lang w:val="en-GB"/>
                </w:rPr>
                <w:t>Chronic obstructive pulmonary disease in over 16s: diagnosis and management</w:t>
              </w:r>
            </w:hyperlink>
            <w:r w:rsidR="00A5389F" w:rsidRPr="00A2017B">
              <w:rPr>
                <w:lang w:val="en-GB"/>
              </w:rPr>
              <w:t xml:space="preserve"> (2018) NICE guideline NG115, recommendations 1.1.4, 1.1.5, Table 4 Gradation of severity of airflow obstruction</w:t>
            </w:r>
          </w:p>
        </w:tc>
      </w:tr>
      <w:tr w:rsidR="00A5389F" w:rsidRPr="00DA1451" w14:paraId="30BCB3E4" w14:textId="77777777" w:rsidTr="00A5389F">
        <w:tblPrEx>
          <w:tblLook w:val="01E0" w:firstRow="1" w:lastRow="1" w:firstColumn="1" w:lastColumn="1" w:noHBand="0" w:noVBand="0"/>
        </w:tblPrEx>
        <w:trPr>
          <w:trHeight w:val="263"/>
        </w:trPr>
        <w:tc>
          <w:tcPr>
            <w:tcW w:w="993" w:type="dxa"/>
          </w:tcPr>
          <w:p w14:paraId="79C735F2" w14:textId="77777777" w:rsidR="00A5389F" w:rsidRPr="00DA1451" w:rsidRDefault="00A5389F" w:rsidP="005A14A3">
            <w:pPr>
              <w:pStyle w:val="Tabletext"/>
              <w:rPr>
                <w:szCs w:val="22"/>
                <w:lang w:val="en-GB"/>
              </w:rPr>
            </w:pPr>
            <w:r w:rsidRPr="00A2017B">
              <w:rPr>
                <w:szCs w:val="22"/>
                <w:lang w:val="en-GB"/>
              </w:rPr>
              <w:t>IND68</w:t>
            </w:r>
          </w:p>
        </w:tc>
        <w:tc>
          <w:tcPr>
            <w:tcW w:w="2929" w:type="dxa"/>
          </w:tcPr>
          <w:p w14:paraId="6A6D8843" w14:textId="77777777" w:rsidR="00A5389F" w:rsidRPr="00A2017B" w:rsidRDefault="00A5389F" w:rsidP="005A14A3">
            <w:pPr>
              <w:pStyle w:val="Tabletext"/>
              <w:rPr>
                <w:szCs w:val="22"/>
                <w:lang w:val="en-GB"/>
              </w:rPr>
            </w:pPr>
            <w:r w:rsidRPr="00A2017B">
              <w:rPr>
                <w:szCs w:val="22"/>
                <w:lang w:val="en-GB"/>
              </w:rPr>
              <w:t>COPD003</w:t>
            </w:r>
            <w:r>
              <w:rPr>
                <w:szCs w:val="22"/>
                <w:lang w:val="en-GB"/>
              </w:rPr>
              <w:t xml:space="preserve">: </w:t>
            </w:r>
            <w:r w:rsidRPr="00A2017B">
              <w:rPr>
                <w:szCs w:val="22"/>
                <w:lang w:val="en-GB"/>
              </w:rPr>
              <w:t>The percentage of patients with COPD who have had a review, undertaken by a healthcare professional, including an assessment of breathlessness using the Medical Research Council dyspnoea scale in the preceding 12 months.</w:t>
            </w:r>
          </w:p>
          <w:p w14:paraId="6E31345A" w14:textId="77777777" w:rsidR="00A5389F" w:rsidRDefault="00A5389F" w:rsidP="005A14A3">
            <w:pPr>
              <w:pStyle w:val="Tabletext"/>
              <w:rPr>
                <w:szCs w:val="22"/>
                <w:lang w:val="en-GB"/>
              </w:rPr>
            </w:pPr>
          </w:p>
          <w:p w14:paraId="07115C38" w14:textId="0643B2DB" w:rsidR="00A5389F" w:rsidRPr="00DA1451" w:rsidRDefault="00A5389F" w:rsidP="005A14A3">
            <w:pPr>
              <w:pStyle w:val="Tabletext"/>
              <w:rPr>
                <w:szCs w:val="22"/>
                <w:lang w:val="en-GB"/>
              </w:rPr>
            </w:pPr>
            <w:r w:rsidRPr="00A2017B">
              <w:rPr>
                <w:szCs w:val="22"/>
                <w:lang w:val="en-GB"/>
              </w:rPr>
              <w:t>NICE menu ID: NM104.</w:t>
            </w:r>
          </w:p>
        </w:tc>
        <w:tc>
          <w:tcPr>
            <w:tcW w:w="2929" w:type="dxa"/>
          </w:tcPr>
          <w:p w14:paraId="400B76B5" w14:textId="77777777" w:rsidR="00A5389F" w:rsidRPr="00DA1451" w:rsidRDefault="00A5389F" w:rsidP="005A14A3">
            <w:pPr>
              <w:pStyle w:val="Tabletext"/>
              <w:rPr>
                <w:szCs w:val="22"/>
                <w:lang w:val="en-GB"/>
              </w:rPr>
            </w:pPr>
            <w:r w:rsidRPr="00A2017B">
              <w:rPr>
                <w:szCs w:val="22"/>
                <w:lang w:val="en-GB"/>
              </w:rPr>
              <w:t>The percentage of patients with COPD on the register, who have had a review in the preceding 12 months, including a record of the number of exacerbations and an assessment of breathlessness using the Medical Research Council dyspnoea scale.</w:t>
            </w:r>
          </w:p>
        </w:tc>
        <w:tc>
          <w:tcPr>
            <w:tcW w:w="2930" w:type="dxa"/>
          </w:tcPr>
          <w:p w14:paraId="12D5D799" w14:textId="77777777" w:rsidR="00A5389F" w:rsidRPr="00DA1451" w:rsidRDefault="00AD1879" w:rsidP="005A14A3">
            <w:pPr>
              <w:pStyle w:val="Tabletext"/>
              <w:rPr>
                <w:lang w:val="en-GB"/>
              </w:rPr>
            </w:pPr>
            <w:hyperlink r:id="rId10" w:history="1">
              <w:r w:rsidR="00A5389F" w:rsidRPr="00A2017B">
                <w:rPr>
                  <w:rStyle w:val="Hyperlink"/>
                  <w:lang w:val="en-GB"/>
                </w:rPr>
                <w:t>Chronic obstructive pulmonary disease in over 16s: diagnosis and management</w:t>
              </w:r>
            </w:hyperlink>
            <w:r w:rsidR="00A5389F" w:rsidRPr="00A2017B">
              <w:rPr>
                <w:lang w:val="en-GB"/>
              </w:rPr>
              <w:t xml:space="preserve"> (2018) NICE guideline NG115, recommendation 1.1.3</w:t>
            </w:r>
          </w:p>
        </w:tc>
      </w:tr>
      <w:bookmarkEnd w:id="7"/>
    </w:tbl>
    <w:p w14:paraId="4CC828A8" w14:textId="5721408D" w:rsidR="00A5389F" w:rsidRPr="00C308F5" w:rsidRDefault="00AB1161" w:rsidP="00C308F5">
      <w:pPr>
        <w:rPr>
          <w:rFonts w:ascii="Arial" w:hAnsi="Arial"/>
          <w:b/>
          <w:bCs/>
          <w:kern w:val="32"/>
          <w:sz w:val="28"/>
          <w:szCs w:val="32"/>
        </w:rPr>
      </w:pPr>
      <w:r>
        <w:br w:type="page"/>
      </w:r>
    </w:p>
    <w:p w14:paraId="35CCA2A7" w14:textId="5B8134D7" w:rsidR="00A5389F" w:rsidRDefault="00A5389F" w:rsidP="00A5389F">
      <w:pPr>
        <w:pStyle w:val="Heading1"/>
      </w:pPr>
      <w:bookmarkStart w:id="8" w:name="_Hlk8993504"/>
      <w:bookmarkStart w:id="9" w:name="_Toc17816098"/>
      <w:r>
        <w:lastRenderedPageBreak/>
        <w:t xml:space="preserve">IND67 </w:t>
      </w:r>
      <w:r w:rsidRPr="00A5389F">
        <w:t>Objective testing to support diagnosis</w:t>
      </w:r>
      <w:bookmarkEnd w:id="9"/>
    </w:p>
    <w:p w14:paraId="1E27C8CD" w14:textId="77777777" w:rsidR="00A5389F" w:rsidRPr="00A5389F" w:rsidRDefault="00A5389F" w:rsidP="00A5389F">
      <w:pPr>
        <w:pStyle w:val="Paragraph"/>
        <w:rPr>
          <w:i/>
        </w:rPr>
      </w:pPr>
      <w:r w:rsidRPr="00A5389F">
        <w:rPr>
          <w:i/>
        </w:rPr>
        <w:t xml:space="preserve">The contractor establishes and maintains a register of: </w:t>
      </w:r>
    </w:p>
    <w:p w14:paraId="0B24ED9E" w14:textId="11D181D1" w:rsidR="00A5389F" w:rsidRDefault="00A5389F" w:rsidP="00845593">
      <w:pPr>
        <w:pStyle w:val="Paragraph"/>
        <w:numPr>
          <w:ilvl w:val="0"/>
          <w:numId w:val="29"/>
        </w:numPr>
        <w:rPr>
          <w:i/>
        </w:rPr>
      </w:pPr>
      <w:r w:rsidRPr="00A5389F">
        <w:rPr>
          <w:i/>
        </w:rPr>
        <w:t xml:space="preserve">Patients with a clinical diagnosis of COPD before (date of implementation), and </w:t>
      </w:r>
    </w:p>
    <w:p w14:paraId="4A18465E" w14:textId="0DE451DB" w:rsidR="00A5389F" w:rsidRDefault="00A5389F" w:rsidP="00845593">
      <w:pPr>
        <w:pStyle w:val="Paragraph"/>
        <w:numPr>
          <w:ilvl w:val="0"/>
          <w:numId w:val="29"/>
        </w:numPr>
        <w:rPr>
          <w:i/>
        </w:rPr>
      </w:pPr>
      <w:r w:rsidRPr="00A5389F">
        <w:rPr>
          <w:i/>
        </w:rPr>
        <w:t>Patients with a clinical diagnosis of COPD on or after (date of implementation) whose diagnosis has been confirmed by a quality assured post bronchodilator spirometry FEV1/FVC ratio below 0.7 between 3 months before or 3 months after diagnosis.</w:t>
      </w:r>
    </w:p>
    <w:p w14:paraId="44E99019" w14:textId="4365BB42" w:rsidR="00A5389F" w:rsidRDefault="00A5389F" w:rsidP="00A5389F">
      <w:pPr>
        <w:pStyle w:val="Paragraph"/>
        <w:rPr>
          <w:b/>
          <w:bCs/>
          <w:kern w:val="32"/>
          <w:u w:val="single"/>
        </w:rPr>
      </w:pPr>
      <w:r>
        <w:rPr>
          <w:b/>
          <w:bCs/>
          <w:kern w:val="32"/>
          <w:u w:val="single"/>
        </w:rPr>
        <w:t>Rationale</w:t>
      </w:r>
    </w:p>
    <w:p w14:paraId="13DA68F2" w14:textId="24F6EA37" w:rsidR="00A5389F" w:rsidRDefault="00A5389F" w:rsidP="00A5389F">
      <w:pPr>
        <w:pStyle w:val="Paragraph"/>
      </w:pPr>
      <w:r>
        <w:t>Demonstration of the presence of airflow obstruction is critical to making a diagnosis of COPD, with NICE guidance (</w:t>
      </w:r>
      <w:hyperlink r:id="rId11" w:history="1">
        <w:r w:rsidR="007D7C52" w:rsidRPr="007D7C52">
          <w:rPr>
            <w:rStyle w:val="Hyperlink"/>
          </w:rPr>
          <w:t xml:space="preserve">NICE </w:t>
        </w:r>
        <w:r w:rsidRPr="007D7C52">
          <w:rPr>
            <w:rStyle w:val="Hyperlink"/>
          </w:rPr>
          <w:t>NG115</w:t>
        </w:r>
      </w:hyperlink>
      <w:r>
        <w:t xml:space="preserve">) recommending spirometry. For people with a clinical diagnosis on or after </w:t>
      </w:r>
      <w:r w:rsidR="00E03076">
        <w:t>the date of implementation</w:t>
      </w:r>
      <w:r>
        <w:t xml:space="preserve"> the new indicator </w:t>
      </w:r>
      <w:r w:rsidR="00E03076">
        <w:t xml:space="preserve">promotes </w:t>
      </w:r>
      <w:r>
        <w:t>a diagnosis of COPD supported by objective testing 3</w:t>
      </w:r>
      <w:r w:rsidR="00E03076">
        <w:t> </w:t>
      </w:r>
      <w:r>
        <w:t>months before or 3 months after initial diagnosis</w:t>
      </w:r>
      <w:r w:rsidR="00EF0646">
        <w:t>.</w:t>
      </w:r>
    </w:p>
    <w:p w14:paraId="5E6F60A4" w14:textId="77777777" w:rsidR="008B0428" w:rsidRDefault="00A5389F" w:rsidP="00A5389F">
      <w:pPr>
        <w:pStyle w:val="Paragraph"/>
      </w:pPr>
      <w:r>
        <w:t>Evidence from Wales (</w:t>
      </w:r>
      <w:hyperlink r:id="rId12" w:history="1">
        <w:r w:rsidRPr="007D7C52">
          <w:rPr>
            <w:rStyle w:val="Hyperlink"/>
          </w:rPr>
          <w:t>Fisk et al. 2019</w:t>
        </w:r>
      </w:hyperlink>
      <w:r>
        <w:t xml:space="preserve">) highlights that 25% of people on the COPD register had spirometry incompatible with COPD, similar data for England would be expected.  </w:t>
      </w:r>
    </w:p>
    <w:p w14:paraId="7EB07EDA" w14:textId="07DDAE2B" w:rsidR="00A5389F" w:rsidRDefault="00A5389F" w:rsidP="00A5389F">
      <w:pPr>
        <w:pStyle w:val="Paragraph"/>
      </w:pPr>
      <w:r>
        <w:t>Linking diagnosis and objective testing to entry onto the QOF COPD disease register aims to contribute towards a reduction in both misdiagnosis and the risk of overtreatment in people with COPD.</w:t>
      </w:r>
    </w:p>
    <w:p w14:paraId="72790A65" w14:textId="2C096067" w:rsidR="00A5389F" w:rsidRDefault="00D5210B" w:rsidP="00A5389F">
      <w:pPr>
        <w:pStyle w:val="Paragraph"/>
        <w:rPr>
          <w:b/>
          <w:bCs/>
          <w:kern w:val="32"/>
          <w:u w:val="single"/>
        </w:rPr>
      </w:pPr>
      <w:r>
        <w:rPr>
          <w:b/>
          <w:bCs/>
          <w:kern w:val="32"/>
          <w:u w:val="single"/>
        </w:rPr>
        <w:t>Summary of consultation comments</w:t>
      </w:r>
    </w:p>
    <w:p w14:paraId="2890C14D" w14:textId="4095FEA8" w:rsidR="00A5389F" w:rsidRDefault="00900B98" w:rsidP="00845593">
      <w:pPr>
        <w:pStyle w:val="Paragraph"/>
        <w:numPr>
          <w:ilvl w:val="0"/>
          <w:numId w:val="28"/>
        </w:numPr>
        <w:rPr>
          <w:bCs/>
          <w:kern w:val="32"/>
        </w:rPr>
      </w:pPr>
      <w:r>
        <w:rPr>
          <w:bCs/>
          <w:kern w:val="32"/>
        </w:rPr>
        <w:t xml:space="preserve">Multiple stakeholders gave comments of support for new indicator IND67. Specific comments referenced reducing the time to diagnosis and subsequent treatment as well as the specification of a </w:t>
      </w:r>
      <w:r w:rsidRPr="00900B98">
        <w:rPr>
          <w:bCs/>
          <w:kern w:val="32"/>
        </w:rPr>
        <w:t>FEV1/FVC</w:t>
      </w:r>
      <w:r>
        <w:rPr>
          <w:bCs/>
          <w:kern w:val="32"/>
        </w:rPr>
        <w:t xml:space="preserve"> ratio giving objective guidance to GPs and other staff involved in spirometry.</w:t>
      </w:r>
    </w:p>
    <w:p w14:paraId="54545D25" w14:textId="7ADDB871" w:rsidR="00A5389F" w:rsidRDefault="00900B98" w:rsidP="00845593">
      <w:pPr>
        <w:pStyle w:val="Paragraph"/>
        <w:numPr>
          <w:ilvl w:val="0"/>
          <w:numId w:val="28"/>
        </w:numPr>
        <w:rPr>
          <w:bCs/>
          <w:kern w:val="32"/>
        </w:rPr>
      </w:pPr>
      <w:bookmarkStart w:id="10" w:name="_Hlk9250996"/>
      <w:r>
        <w:rPr>
          <w:bCs/>
          <w:kern w:val="32"/>
        </w:rPr>
        <w:t>Potential barriers to implementation identified by stakeholders included:</w:t>
      </w:r>
    </w:p>
    <w:bookmarkEnd w:id="10"/>
    <w:p w14:paraId="26F9C1F9" w14:textId="24DDDFD0" w:rsidR="00900B98" w:rsidRDefault="00900B98" w:rsidP="00900B98">
      <w:pPr>
        <w:pStyle w:val="Paragraph"/>
        <w:numPr>
          <w:ilvl w:val="1"/>
          <w:numId w:val="28"/>
        </w:numPr>
        <w:rPr>
          <w:bCs/>
          <w:kern w:val="32"/>
        </w:rPr>
      </w:pPr>
      <w:r>
        <w:rPr>
          <w:bCs/>
          <w:kern w:val="32"/>
        </w:rPr>
        <w:t>The need to address potential incorrect asthma diagnosis when COPD is subsequently diagnosed. Providing training to staff can help to address this potential barrier.</w:t>
      </w:r>
    </w:p>
    <w:p w14:paraId="3C1225A1" w14:textId="71B6F271" w:rsidR="004744F6" w:rsidRDefault="004744F6" w:rsidP="004744F6">
      <w:pPr>
        <w:pStyle w:val="Paragraph"/>
        <w:numPr>
          <w:ilvl w:val="1"/>
          <w:numId w:val="28"/>
        </w:numPr>
        <w:rPr>
          <w:bCs/>
          <w:kern w:val="32"/>
        </w:rPr>
      </w:pPr>
      <w:r>
        <w:rPr>
          <w:bCs/>
          <w:kern w:val="32"/>
        </w:rPr>
        <w:t xml:space="preserve">The need for adequate supply of spirometers in the chosen setting to conduct reviews in the </w:t>
      </w:r>
      <w:r w:rsidR="00B52D86">
        <w:rPr>
          <w:bCs/>
          <w:kern w:val="32"/>
        </w:rPr>
        <w:t>3-month</w:t>
      </w:r>
      <w:r>
        <w:rPr>
          <w:bCs/>
          <w:kern w:val="32"/>
        </w:rPr>
        <w:t xml:space="preserve"> time period</w:t>
      </w:r>
      <w:r w:rsidR="00B52D86">
        <w:rPr>
          <w:bCs/>
          <w:kern w:val="32"/>
        </w:rPr>
        <w:t>, as well as a general concern about 3 months being a tight timescale.</w:t>
      </w:r>
    </w:p>
    <w:p w14:paraId="57F5827E" w14:textId="52149F0D" w:rsidR="00B52D86" w:rsidRPr="004744F6" w:rsidRDefault="00B52D86" w:rsidP="004744F6">
      <w:pPr>
        <w:pStyle w:val="Paragraph"/>
        <w:numPr>
          <w:ilvl w:val="1"/>
          <w:numId w:val="28"/>
        </w:numPr>
        <w:rPr>
          <w:bCs/>
          <w:kern w:val="32"/>
        </w:rPr>
      </w:pPr>
      <w:r>
        <w:rPr>
          <w:bCs/>
          <w:kern w:val="32"/>
        </w:rPr>
        <w:lastRenderedPageBreak/>
        <w:t>A concern about the workload involved to determine if a patient has had quality spirometry at the time of diagnosis</w:t>
      </w:r>
    </w:p>
    <w:p w14:paraId="50272297" w14:textId="41E511C4" w:rsidR="00900B98" w:rsidRDefault="00900B98" w:rsidP="00900B98">
      <w:pPr>
        <w:pStyle w:val="Paragraph"/>
        <w:numPr>
          <w:ilvl w:val="0"/>
          <w:numId w:val="28"/>
        </w:numPr>
        <w:rPr>
          <w:bCs/>
          <w:kern w:val="32"/>
        </w:rPr>
      </w:pPr>
      <w:r>
        <w:rPr>
          <w:bCs/>
          <w:kern w:val="32"/>
        </w:rPr>
        <w:t xml:space="preserve">Potential unintended consequences to </w:t>
      </w:r>
      <w:r w:rsidR="004744F6">
        <w:rPr>
          <w:bCs/>
          <w:kern w:val="32"/>
        </w:rPr>
        <w:t>introducing IND67 included:</w:t>
      </w:r>
    </w:p>
    <w:p w14:paraId="0BE76B37" w14:textId="24F11110" w:rsidR="005B6AB8" w:rsidRDefault="005B6AB8" w:rsidP="005B6AB8">
      <w:pPr>
        <w:pStyle w:val="Paragraph"/>
        <w:numPr>
          <w:ilvl w:val="1"/>
          <w:numId w:val="28"/>
        </w:numPr>
        <w:rPr>
          <w:bCs/>
          <w:kern w:val="32"/>
        </w:rPr>
      </w:pPr>
      <w:r>
        <w:rPr>
          <w:bCs/>
          <w:kern w:val="32"/>
        </w:rPr>
        <w:t xml:space="preserve">Patients with </w:t>
      </w:r>
      <w:r w:rsidRPr="005B6AB8">
        <w:rPr>
          <w:bCs/>
          <w:kern w:val="32"/>
        </w:rPr>
        <w:t>emphysema who may have preserved FEV</w:t>
      </w:r>
      <w:r w:rsidR="00BB23AB">
        <w:rPr>
          <w:bCs/>
          <w:kern w:val="32"/>
        </w:rPr>
        <w:t>1</w:t>
      </w:r>
      <w:r w:rsidRPr="005B6AB8">
        <w:rPr>
          <w:bCs/>
          <w:kern w:val="32"/>
        </w:rPr>
        <w:t xml:space="preserve">/FVC ratio, and </w:t>
      </w:r>
      <w:r>
        <w:rPr>
          <w:bCs/>
          <w:kern w:val="32"/>
        </w:rPr>
        <w:t>patients</w:t>
      </w:r>
      <w:r w:rsidRPr="005B6AB8">
        <w:rPr>
          <w:bCs/>
          <w:kern w:val="32"/>
        </w:rPr>
        <w:t xml:space="preserve"> who have mixed </w:t>
      </w:r>
      <w:r>
        <w:rPr>
          <w:bCs/>
          <w:kern w:val="32"/>
        </w:rPr>
        <w:t>o</w:t>
      </w:r>
      <w:r w:rsidRPr="005B6AB8">
        <w:rPr>
          <w:bCs/>
          <w:kern w:val="32"/>
        </w:rPr>
        <w:t xml:space="preserve">bstruction and </w:t>
      </w:r>
      <w:r>
        <w:rPr>
          <w:bCs/>
          <w:kern w:val="32"/>
        </w:rPr>
        <w:t>r</w:t>
      </w:r>
      <w:r w:rsidRPr="005B6AB8">
        <w:rPr>
          <w:bCs/>
          <w:kern w:val="32"/>
        </w:rPr>
        <w:t>estrictive lung defects</w:t>
      </w:r>
      <w:r>
        <w:rPr>
          <w:bCs/>
          <w:kern w:val="32"/>
        </w:rPr>
        <w:t xml:space="preserve"> being removed from follow ups if they have a spirometry ratio above 0.7</w:t>
      </w:r>
    </w:p>
    <w:p w14:paraId="7E5CA754" w14:textId="11B6DDF1" w:rsidR="004744F6" w:rsidRDefault="004744F6" w:rsidP="004744F6">
      <w:pPr>
        <w:pStyle w:val="Paragraph"/>
        <w:numPr>
          <w:ilvl w:val="0"/>
          <w:numId w:val="28"/>
        </w:numPr>
        <w:rPr>
          <w:bCs/>
          <w:kern w:val="32"/>
        </w:rPr>
      </w:pPr>
      <w:bookmarkStart w:id="11" w:name="_Hlk9251376"/>
      <w:r>
        <w:rPr>
          <w:bCs/>
          <w:kern w:val="32"/>
        </w:rPr>
        <w:t>Potential differential impact across people with protected characteristics include</w:t>
      </w:r>
      <w:r w:rsidR="0006775F">
        <w:rPr>
          <w:bCs/>
          <w:kern w:val="32"/>
        </w:rPr>
        <w:t>s</w:t>
      </w:r>
      <w:r>
        <w:rPr>
          <w:bCs/>
          <w:kern w:val="32"/>
        </w:rPr>
        <w:t>:</w:t>
      </w:r>
    </w:p>
    <w:bookmarkEnd w:id="11"/>
    <w:p w14:paraId="129D82A7" w14:textId="596CD43E" w:rsidR="004744F6" w:rsidRDefault="004744F6" w:rsidP="004744F6">
      <w:pPr>
        <w:pStyle w:val="Paragraph"/>
        <w:numPr>
          <w:ilvl w:val="1"/>
          <w:numId w:val="28"/>
        </w:numPr>
        <w:rPr>
          <w:bCs/>
          <w:kern w:val="32"/>
        </w:rPr>
      </w:pPr>
      <w:r>
        <w:rPr>
          <w:bCs/>
          <w:kern w:val="32"/>
        </w:rPr>
        <w:t>The need to take gender in to account when considering spirometry results</w:t>
      </w:r>
    </w:p>
    <w:p w14:paraId="48C712C4" w14:textId="5FB3A64B" w:rsidR="00B52D86" w:rsidRPr="00187404" w:rsidRDefault="005B6AB8" w:rsidP="00187404">
      <w:pPr>
        <w:pStyle w:val="ListParagraph"/>
        <w:numPr>
          <w:ilvl w:val="0"/>
          <w:numId w:val="28"/>
        </w:numPr>
        <w:rPr>
          <w:rFonts w:ascii="Arial" w:hAnsi="Arial"/>
          <w:bCs/>
          <w:kern w:val="32"/>
        </w:rPr>
      </w:pPr>
      <w:r>
        <w:rPr>
          <w:rFonts w:ascii="Arial" w:hAnsi="Arial"/>
          <w:bCs/>
          <w:kern w:val="32"/>
        </w:rPr>
        <w:t>No p</w:t>
      </w:r>
      <w:r w:rsidR="004744F6" w:rsidRPr="004744F6">
        <w:rPr>
          <w:rFonts w:ascii="Arial" w:hAnsi="Arial"/>
          <w:bCs/>
          <w:kern w:val="32"/>
        </w:rPr>
        <w:t xml:space="preserve">otential </w:t>
      </w:r>
      <w:r w:rsidR="004744F6">
        <w:rPr>
          <w:rFonts w:ascii="Arial" w:hAnsi="Arial"/>
          <w:bCs/>
          <w:kern w:val="32"/>
        </w:rPr>
        <w:t>adverse</w:t>
      </w:r>
      <w:r w:rsidR="004744F6" w:rsidRPr="004744F6">
        <w:rPr>
          <w:rFonts w:ascii="Arial" w:hAnsi="Arial"/>
          <w:bCs/>
          <w:kern w:val="32"/>
        </w:rPr>
        <w:t xml:space="preserve"> impact across </w:t>
      </w:r>
      <w:r w:rsidR="004744F6">
        <w:rPr>
          <w:rFonts w:ascii="Arial" w:hAnsi="Arial"/>
          <w:bCs/>
          <w:kern w:val="32"/>
        </w:rPr>
        <w:t xml:space="preserve">different groups in the community </w:t>
      </w:r>
      <w:r>
        <w:rPr>
          <w:rFonts w:ascii="Arial" w:hAnsi="Arial"/>
          <w:bCs/>
          <w:kern w:val="32"/>
        </w:rPr>
        <w:t>were identified</w:t>
      </w:r>
      <w:bookmarkEnd w:id="8"/>
      <w:r>
        <w:rPr>
          <w:rFonts w:ascii="Arial" w:hAnsi="Arial"/>
          <w:bCs/>
          <w:kern w:val="32"/>
        </w:rPr>
        <w:t>.</w:t>
      </w:r>
    </w:p>
    <w:p w14:paraId="1474052C" w14:textId="15A6D430" w:rsidR="00187404" w:rsidRDefault="00187404" w:rsidP="00187404">
      <w:pPr>
        <w:pStyle w:val="Paragraph"/>
        <w:numPr>
          <w:ilvl w:val="0"/>
          <w:numId w:val="28"/>
        </w:numPr>
        <w:rPr>
          <w:bCs/>
          <w:kern w:val="32"/>
        </w:rPr>
      </w:pPr>
      <w:r>
        <w:rPr>
          <w:bCs/>
          <w:kern w:val="32"/>
        </w:rPr>
        <w:t xml:space="preserve">One stakeholder advocated the use of the </w:t>
      </w:r>
      <w:r w:rsidR="00BB23AB">
        <w:rPr>
          <w:bCs/>
          <w:kern w:val="32"/>
        </w:rPr>
        <w:t>l</w:t>
      </w:r>
      <w:r>
        <w:rPr>
          <w:bCs/>
          <w:kern w:val="32"/>
        </w:rPr>
        <w:t xml:space="preserve">ower </w:t>
      </w:r>
      <w:r w:rsidR="00BB23AB">
        <w:rPr>
          <w:bCs/>
          <w:kern w:val="32"/>
        </w:rPr>
        <w:t>l</w:t>
      </w:r>
      <w:r>
        <w:rPr>
          <w:bCs/>
          <w:kern w:val="32"/>
        </w:rPr>
        <w:t xml:space="preserve">imits of </w:t>
      </w:r>
      <w:r w:rsidR="00BB23AB">
        <w:rPr>
          <w:bCs/>
          <w:kern w:val="32"/>
        </w:rPr>
        <w:t>n</w:t>
      </w:r>
      <w:r>
        <w:rPr>
          <w:bCs/>
          <w:kern w:val="32"/>
        </w:rPr>
        <w:t>ormal to quantify airflow obstruction rather that the fixed ration of 0.7 or below. They felt that this would help address risks of over and under diagnosis at both ends of the age spectrum.</w:t>
      </w:r>
    </w:p>
    <w:p w14:paraId="41F72D3F" w14:textId="77777777" w:rsidR="00187404" w:rsidRDefault="00187404" w:rsidP="00187404">
      <w:pPr>
        <w:pStyle w:val="Paragraph"/>
        <w:numPr>
          <w:ilvl w:val="0"/>
          <w:numId w:val="28"/>
        </w:numPr>
        <w:rPr>
          <w:bCs/>
          <w:kern w:val="32"/>
        </w:rPr>
      </w:pPr>
      <w:r>
        <w:rPr>
          <w:bCs/>
          <w:kern w:val="32"/>
        </w:rPr>
        <w:t>One stakeholder queried if NICE would define ‘quality assured spirometry’ and if there would be a code solely for ‘quality assured’ spirometry.</w:t>
      </w:r>
    </w:p>
    <w:p w14:paraId="428F8F92" w14:textId="77777777" w:rsidR="00187404" w:rsidRPr="005B6AB8" w:rsidRDefault="00187404" w:rsidP="00187404">
      <w:pPr>
        <w:pStyle w:val="Paragraph"/>
        <w:numPr>
          <w:ilvl w:val="0"/>
          <w:numId w:val="28"/>
        </w:numPr>
        <w:rPr>
          <w:bCs/>
          <w:kern w:val="32"/>
        </w:rPr>
      </w:pPr>
      <w:r>
        <w:rPr>
          <w:bCs/>
          <w:kern w:val="32"/>
        </w:rPr>
        <w:t>One stakeholder advocated for alternative wording, specifically using ‘supported’ rather than ‘confirmed’</w:t>
      </w:r>
    </w:p>
    <w:p w14:paraId="14A4F48A" w14:textId="77777777" w:rsidR="00A27551" w:rsidRDefault="00A27551" w:rsidP="00A27551">
      <w:pPr>
        <w:pStyle w:val="Paragraph"/>
        <w:rPr>
          <w:b/>
          <w:bCs/>
          <w:kern w:val="32"/>
          <w:u w:val="single"/>
        </w:rPr>
      </w:pPr>
      <w:bookmarkStart w:id="12" w:name="_Hlk9947984"/>
      <w:r w:rsidRPr="00A27551">
        <w:rPr>
          <w:b/>
          <w:bCs/>
          <w:kern w:val="32"/>
          <w:u w:val="single"/>
        </w:rPr>
        <w:t>Considerations for the advisory committee</w:t>
      </w:r>
    </w:p>
    <w:bookmarkEnd w:id="12"/>
    <w:p w14:paraId="2882A88D" w14:textId="77777777" w:rsidR="00ED5C41" w:rsidRPr="00417785" w:rsidRDefault="00ED5C41" w:rsidP="00ED5C41">
      <w:pPr>
        <w:pStyle w:val="Paragraph"/>
        <w:rPr>
          <w:b/>
          <w:bCs/>
          <w:kern w:val="32"/>
          <w:u w:val="single"/>
        </w:rPr>
      </w:pPr>
      <w:r w:rsidRPr="00FB0CC9">
        <w:t>The committee is asked to consider:</w:t>
      </w:r>
    </w:p>
    <w:p w14:paraId="69F0DB41" w14:textId="66C608A6" w:rsidR="00A27551" w:rsidRPr="00ED5C41" w:rsidRDefault="00ED5C41" w:rsidP="00ED5C41">
      <w:pPr>
        <w:pStyle w:val="Paragraph"/>
        <w:numPr>
          <w:ilvl w:val="0"/>
          <w:numId w:val="28"/>
        </w:numPr>
        <w:rPr>
          <w:bCs/>
          <w:kern w:val="32"/>
        </w:rPr>
      </w:pPr>
      <w:r>
        <w:t xml:space="preserve">Availability of </w:t>
      </w:r>
      <w:r w:rsidR="00A27551" w:rsidRPr="00ED5C41">
        <w:rPr>
          <w:bCs/>
          <w:kern w:val="32"/>
        </w:rPr>
        <w:t>spirometry equipment</w:t>
      </w:r>
    </w:p>
    <w:p w14:paraId="6351F1C6" w14:textId="77777777" w:rsidR="00ED5C41" w:rsidRDefault="00ED5C41" w:rsidP="00ED5C41">
      <w:pPr>
        <w:pStyle w:val="Paragraph"/>
        <w:numPr>
          <w:ilvl w:val="0"/>
          <w:numId w:val="28"/>
        </w:numPr>
        <w:rPr>
          <w:bCs/>
          <w:kern w:val="32"/>
        </w:rPr>
      </w:pPr>
      <w:r>
        <w:rPr>
          <w:bCs/>
          <w:kern w:val="32"/>
        </w:rPr>
        <w:t>Risks of under-treatment in people with spirometry ratio above 0.7</w:t>
      </w:r>
    </w:p>
    <w:p w14:paraId="6A3082FF" w14:textId="59B51BE9" w:rsidR="00A27551" w:rsidRPr="00ED5C41" w:rsidRDefault="00A27551" w:rsidP="00ED5C41">
      <w:pPr>
        <w:pStyle w:val="Paragraph"/>
        <w:numPr>
          <w:ilvl w:val="0"/>
          <w:numId w:val="28"/>
        </w:numPr>
        <w:rPr>
          <w:bCs/>
          <w:kern w:val="32"/>
        </w:rPr>
      </w:pPr>
      <w:r w:rsidRPr="00ED5C41">
        <w:rPr>
          <w:bCs/>
          <w:kern w:val="32"/>
        </w:rPr>
        <w:t>Impact on workload</w:t>
      </w:r>
    </w:p>
    <w:p w14:paraId="3DAD2F30" w14:textId="18756002" w:rsidR="00900B98" w:rsidRDefault="00900B98" w:rsidP="00A27551">
      <w:pPr>
        <w:pStyle w:val="Paragraph"/>
        <w:rPr>
          <w:b/>
          <w:bCs/>
          <w:kern w:val="32"/>
          <w:sz w:val="28"/>
          <w:szCs w:val="32"/>
        </w:rPr>
      </w:pPr>
      <w:r>
        <w:br w:type="page"/>
      </w:r>
    </w:p>
    <w:p w14:paraId="70C9FCEA" w14:textId="3A1473D9" w:rsidR="00A5389F" w:rsidRDefault="00A5389F" w:rsidP="00A5389F">
      <w:pPr>
        <w:pStyle w:val="Heading1"/>
      </w:pPr>
      <w:bookmarkStart w:id="13" w:name="_Toc17816099"/>
      <w:r>
        <w:lastRenderedPageBreak/>
        <w:t xml:space="preserve">IND68 </w:t>
      </w:r>
      <w:r w:rsidRPr="00A5389F">
        <w:t>Annual review including recording of exacerbations</w:t>
      </w:r>
      <w:bookmarkEnd w:id="13"/>
      <w:r w:rsidRPr="00A5389F">
        <w:t xml:space="preserve">  </w:t>
      </w:r>
    </w:p>
    <w:p w14:paraId="79B45C5A" w14:textId="77777777" w:rsidR="00A5389F" w:rsidRDefault="00A5389F" w:rsidP="00A5389F">
      <w:pPr>
        <w:pStyle w:val="Paragraph"/>
        <w:rPr>
          <w:i/>
        </w:rPr>
      </w:pPr>
      <w:r w:rsidRPr="00A5389F">
        <w:rPr>
          <w:i/>
        </w:rPr>
        <w:t>The percentage of patients with COPD on the register, who have had a review in the preceding 12 months, including a record of the number of exacerbations and an assessment of breathlessness using the Medical Research Council dyspnoea scale.</w:t>
      </w:r>
    </w:p>
    <w:p w14:paraId="1213D076" w14:textId="0A7A519B" w:rsidR="00A5389F" w:rsidRDefault="00A5389F" w:rsidP="00A5389F">
      <w:pPr>
        <w:pStyle w:val="Paragraph"/>
        <w:rPr>
          <w:b/>
          <w:bCs/>
          <w:kern w:val="32"/>
          <w:u w:val="single"/>
        </w:rPr>
      </w:pPr>
      <w:r>
        <w:rPr>
          <w:b/>
          <w:bCs/>
          <w:kern w:val="32"/>
          <w:u w:val="single"/>
        </w:rPr>
        <w:t>Rationale</w:t>
      </w:r>
    </w:p>
    <w:p w14:paraId="1AD4F714" w14:textId="3327D6DC" w:rsidR="00A5389F" w:rsidRDefault="00A5389F" w:rsidP="00A5389F">
      <w:pPr>
        <w:pStyle w:val="Paragraph"/>
      </w:pPr>
      <w:r>
        <w:t>Exacerbations affect morbidity in people with COPD, with evidence that people with COPD at the highest risk of exacerbations can be identified by exploring medical history for the presence of prior exacerbations (</w:t>
      </w:r>
      <w:proofErr w:type="spellStart"/>
      <w:r w:rsidR="007D7C52">
        <w:fldChar w:fldCharType="begin"/>
      </w:r>
      <w:r w:rsidR="007D7C52">
        <w:instrText xml:space="preserve"> HYPERLINK "https://bmjopen.bmj.com/content/bmjopen/4/12/e006171.full.pdf" </w:instrText>
      </w:r>
      <w:r w:rsidR="007D7C52">
        <w:fldChar w:fldCharType="separate"/>
      </w:r>
      <w:r w:rsidRPr="007D7C52">
        <w:rPr>
          <w:rStyle w:val="Hyperlink"/>
        </w:rPr>
        <w:t>Mullerova</w:t>
      </w:r>
      <w:proofErr w:type="spellEnd"/>
      <w:r w:rsidRPr="007D7C52">
        <w:rPr>
          <w:rStyle w:val="Hyperlink"/>
        </w:rPr>
        <w:t xml:space="preserve"> et al. 2014</w:t>
      </w:r>
      <w:r w:rsidR="007D7C52">
        <w:fldChar w:fldCharType="end"/>
      </w:r>
      <w:r>
        <w:t>).  Evidence from the UK (</w:t>
      </w:r>
      <w:hyperlink r:id="rId13" w:history="1">
        <w:r w:rsidRPr="007D7C52">
          <w:rPr>
            <w:rStyle w:val="Hyperlink"/>
          </w:rPr>
          <w:t>Quint et al. 2011</w:t>
        </w:r>
      </w:hyperlink>
      <w:r>
        <w:t xml:space="preserve">) reports that people with COPD remember the number of exacerbations that they have experienced, with the authors noting that patient recall is sufficiently robust to inform stratification to identify frequent and infrequent exacerbator groups for subsequent years. </w:t>
      </w:r>
    </w:p>
    <w:p w14:paraId="796C3009" w14:textId="1F854608" w:rsidR="00A5389F" w:rsidRDefault="00A5389F" w:rsidP="00A5389F">
      <w:pPr>
        <w:pStyle w:val="Paragraph"/>
      </w:pPr>
      <w:r>
        <w:t>Understanding the frequency of exacerbations can help when creating personalised management plans, identifying triggers and avoiding future exacerbations.</w:t>
      </w:r>
    </w:p>
    <w:p w14:paraId="11995877" w14:textId="77777777" w:rsidR="00D5210B" w:rsidRDefault="00D5210B" w:rsidP="00D5210B">
      <w:pPr>
        <w:pStyle w:val="Paragraph"/>
        <w:rPr>
          <w:b/>
          <w:bCs/>
          <w:kern w:val="32"/>
          <w:u w:val="single"/>
        </w:rPr>
      </w:pPr>
      <w:r>
        <w:rPr>
          <w:b/>
          <w:bCs/>
          <w:kern w:val="32"/>
          <w:u w:val="single"/>
        </w:rPr>
        <w:t>Summary of consultation comments</w:t>
      </w:r>
    </w:p>
    <w:p w14:paraId="7C71D5DD" w14:textId="55575078" w:rsidR="00A5389F" w:rsidRDefault="001A7DB5" w:rsidP="00845593">
      <w:pPr>
        <w:pStyle w:val="Paragraph"/>
        <w:numPr>
          <w:ilvl w:val="0"/>
          <w:numId w:val="28"/>
        </w:numPr>
        <w:rPr>
          <w:bCs/>
          <w:kern w:val="32"/>
        </w:rPr>
      </w:pPr>
      <w:r w:rsidRPr="001A7DB5">
        <w:rPr>
          <w:bCs/>
          <w:kern w:val="32"/>
        </w:rPr>
        <w:t>Multiple stakeholders gave comments of support for new indicator IND6</w:t>
      </w:r>
      <w:r>
        <w:rPr>
          <w:bCs/>
          <w:kern w:val="32"/>
        </w:rPr>
        <w:t>8</w:t>
      </w:r>
      <w:r w:rsidRPr="001A7DB5">
        <w:rPr>
          <w:bCs/>
          <w:kern w:val="32"/>
        </w:rPr>
        <w:t>. Specific comments referenced</w:t>
      </w:r>
      <w:r>
        <w:rPr>
          <w:bCs/>
          <w:kern w:val="32"/>
        </w:rPr>
        <w:t xml:space="preserve"> the importance of the number of exacerbations in COPD reviews, the information clinicians will gain about the level of control of COPD from measuring exacerbations, reductions in hospital admissions and complications, and improvements in control.</w:t>
      </w:r>
    </w:p>
    <w:p w14:paraId="32522CA1" w14:textId="5C9FBB45" w:rsidR="001A7DB5" w:rsidRDefault="001A7DB5" w:rsidP="001A7DB5">
      <w:pPr>
        <w:pStyle w:val="Paragraph"/>
        <w:numPr>
          <w:ilvl w:val="0"/>
          <w:numId w:val="28"/>
        </w:numPr>
        <w:rPr>
          <w:bCs/>
          <w:kern w:val="32"/>
        </w:rPr>
      </w:pPr>
      <w:r w:rsidRPr="001A7DB5">
        <w:rPr>
          <w:bCs/>
          <w:kern w:val="32"/>
        </w:rPr>
        <w:t>Potential barriers to implementation identified by stakeholders included:</w:t>
      </w:r>
    </w:p>
    <w:p w14:paraId="76E02539" w14:textId="39853EDB" w:rsidR="001A7DB5" w:rsidRDefault="001A7DB5" w:rsidP="001A7DB5">
      <w:pPr>
        <w:pStyle w:val="Paragraph"/>
        <w:numPr>
          <w:ilvl w:val="1"/>
          <w:numId w:val="28"/>
        </w:numPr>
        <w:rPr>
          <w:bCs/>
          <w:kern w:val="32"/>
        </w:rPr>
      </w:pPr>
      <w:r>
        <w:rPr>
          <w:bCs/>
          <w:kern w:val="32"/>
        </w:rPr>
        <w:t>Difficulty in monitoring the number of exacerbations, mainly due to more moderate exacerbations not leading to hospital admission and therefore not being formally recorded.</w:t>
      </w:r>
    </w:p>
    <w:p w14:paraId="47C92C01" w14:textId="2B104049" w:rsidR="00CB7319" w:rsidRDefault="00CB7319" w:rsidP="001A7DB5">
      <w:pPr>
        <w:pStyle w:val="Paragraph"/>
        <w:numPr>
          <w:ilvl w:val="1"/>
          <w:numId w:val="28"/>
        </w:numPr>
        <w:rPr>
          <w:bCs/>
          <w:kern w:val="32"/>
        </w:rPr>
      </w:pPr>
      <w:r>
        <w:rPr>
          <w:bCs/>
          <w:kern w:val="32"/>
        </w:rPr>
        <w:t>There was a need identified for consistent coding between COPD and asthma</w:t>
      </w:r>
      <w:r w:rsidR="007235D3">
        <w:rPr>
          <w:bCs/>
          <w:kern w:val="32"/>
        </w:rPr>
        <w:t>.</w:t>
      </w:r>
    </w:p>
    <w:p w14:paraId="4AEEF9EE" w14:textId="77777777" w:rsidR="00BB23AB" w:rsidRPr="00BB23AB" w:rsidRDefault="00BB23AB" w:rsidP="007D7C52">
      <w:pPr>
        <w:pStyle w:val="Paragraph"/>
        <w:numPr>
          <w:ilvl w:val="1"/>
          <w:numId w:val="28"/>
        </w:numPr>
        <w:rPr>
          <w:bCs/>
          <w:kern w:val="32"/>
        </w:rPr>
      </w:pPr>
      <w:r w:rsidRPr="00BB23AB">
        <w:rPr>
          <w:bCs/>
          <w:kern w:val="32"/>
        </w:rPr>
        <w:t>Exacerbations are likely to be remembered and interpreted differently by different individuals in different groups. A guide and clear definition could help reduce the likelihood of this.</w:t>
      </w:r>
    </w:p>
    <w:p w14:paraId="6F9AF686" w14:textId="0EDDA1B3" w:rsidR="001A7DB5" w:rsidRPr="001A7DB5" w:rsidRDefault="001A7DB5" w:rsidP="007D7C52">
      <w:pPr>
        <w:pStyle w:val="Paragraph"/>
        <w:numPr>
          <w:ilvl w:val="0"/>
          <w:numId w:val="28"/>
        </w:numPr>
        <w:rPr>
          <w:bCs/>
          <w:kern w:val="32"/>
        </w:rPr>
      </w:pPr>
      <w:r w:rsidRPr="001A7DB5">
        <w:rPr>
          <w:bCs/>
          <w:kern w:val="32"/>
        </w:rPr>
        <w:t>Potential unintended consequences to introducing IND6</w:t>
      </w:r>
      <w:r>
        <w:rPr>
          <w:bCs/>
          <w:kern w:val="32"/>
        </w:rPr>
        <w:t>8</w:t>
      </w:r>
      <w:r w:rsidRPr="001A7DB5">
        <w:rPr>
          <w:bCs/>
          <w:kern w:val="32"/>
        </w:rPr>
        <w:t xml:space="preserve"> included:</w:t>
      </w:r>
    </w:p>
    <w:p w14:paraId="5F2E60D7" w14:textId="1A57EB79" w:rsidR="001A7DB5" w:rsidRDefault="001A7DB5" w:rsidP="001A7DB5">
      <w:pPr>
        <w:pStyle w:val="Paragraph"/>
        <w:numPr>
          <w:ilvl w:val="1"/>
          <w:numId w:val="28"/>
        </w:numPr>
        <w:rPr>
          <w:bCs/>
          <w:kern w:val="32"/>
        </w:rPr>
      </w:pPr>
      <w:r>
        <w:rPr>
          <w:bCs/>
          <w:kern w:val="32"/>
        </w:rPr>
        <w:lastRenderedPageBreak/>
        <w:t xml:space="preserve">Over recording of exacerbations leading to inappropriate increases in </w:t>
      </w:r>
      <w:r w:rsidRPr="001A7DB5">
        <w:rPr>
          <w:bCs/>
          <w:kern w:val="32"/>
        </w:rPr>
        <w:t>inhaled corticosteroid prescribing</w:t>
      </w:r>
    </w:p>
    <w:p w14:paraId="3FE9E556" w14:textId="73CA94CF" w:rsidR="001A7DB5" w:rsidRDefault="001A7DB5" w:rsidP="001A7DB5">
      <w:pPr>
        <w:pStyle w:val="Paragraph"/>
        <w:numPr>
          <w:ilvl w:val="1"/>
          <w:numId w:val="28"/>
        </w:numPr>
        <w:rPr>
          <w:bCs/>
          <w:kern w:val="32"/>
        </w:rPr>
      </w:pPr>
      <w:r>
        <w:rPr>
          <w:bCs/>
          <w:kern w:val="32"/>
        </w:rPr>
        <w:t>Routine issue of rescue packs to patients leading to overuse if they have not had appropriate education</w:t>
      </w:r>
    </w:p>
    <w:p w14:paraId="68447960" w14:textId="0F5900F2" w:rsidR="00BB23AB" w:rsidRPr="00BB23AB" w:rsidRDefault="001A7DB5" w:rsidP="00BB23AB">
      <w:pPr>
        <w:pStyle w:val="ListParagraph"/>
        <w:numPr>
          <w:ilvl w:val="0"/>
          <w:numId w:val="28"/>
        </w:numPr>
        <w:rPr>
          <w:rFonts w:ascii="Arial" w:hAnsi="Arial"/>
          <w:bCs/>
          <w:kern w:val="32"/>
        </w:rPr>
      </w:pPr>
      <w:r>
        <w:rPr>
          <w:rFonts w:ascii="Arial" w:hAnsi="Arial"/>
          <w:bCs/>
          <w:kern w:val="32"/>
        </w:rPr>
        <w:t>No</w:t>
      </w:r>
      <w:r w:rsidRPr="001A7DB5">
        <w:rPr>
          <w:rFonts w:ascii="Arial" w:hAnsi="Arial"/>
          <w:bCs/>
          <w:kern w:val="32"/>
        </w:rPr>
        <w:t xml:space="preserve"> differential impact across people with protected characteristics </w:t>
      </w:r>
      <w:r w:rsidR="00CB7319">
        <w:rPr>
          <w:rFonts w:ascii="Arial" w:hAnsi="Arial"/>
          <w:bCs/>
          <w:kern w:val="32"/>
        </w:rPr>
        <w:t>was identified.</w:t>
      </w:r>
    </w:p>
    <w:p w14:paraId="22F07AFF" w14:textId="5CCDB6C9" w:rsidR="00641677" w:rsidRDefault="00641677" w:rsidP="001A7DB5">
      <w:pPr>
        <w:pStyle w:val="Paragraph"/>
        <w:numPr>
          <w:ilvl w:val="0"/>
          <w:numId w:val="28"/>
        </w:numPr>
        <w:rPr>
          <w:bCs/>
          <w:kern w:val="32"/>
        </w:rPr>
      </w:pPr>
      <w:r>
        <w:rPr>
          <w:bCs/>
          <w:kern w:val="32"/>
        </w:rPr>
        <w:t>Stakeholders suggested additional</w:t>
      </w:r>
      <w:r w:rsidRPr="00641677">
        <w:rPr>
          <w:bCs/>
          <w:kern w:val="32"/>
        </w:rPr>
        <w:t xml:space="preserve"> breathlessness referral tools be added to the indicator</w:t>
      </w:r>
      <w:r>
        <w:rPr>
          <w:bCs/>
          <w:kern w:val="32"/>
        </w:rPr>
        <w:t>, including:</w:t>
      </w:r>
    </w:p>
    <w:p w14:paraId="11A146E7" w14:textId="191AAE60" w:rsidR="00641677" w:rsidRDefault="00641677" w:rsidP="00641677">
      <w:pPr>
        <w:pStyle w:val="Paragraph"/>
        <w:numPr>
          <w:ilvl w:val="1"/>
          <w:numId w:val="28"/>
        </w:numPr>
        <w:rPr>
          <w:bCs/>
          <w:kern w:val="32"/>
        </w:rPr>
      </w:pPr>
      <w:r w:rsidRPr="00641677">
        <w:rPr>
          <w:bCs/>
          <w:kern w:val="32"/>
        </w:rPr>
        <w:t>oxygen saturation assessment</w:t>
      </w:r>
      <w:r>
        <w:rPr>
          <w:bCs/>
          <w:kern w:val="32"/>
        </w:rPr>
        <w:t xml:space="preserve">, </w:t>
      </w:r>
      <w:r w:rsidRPr="00641677">
        <w:rPr>
          <w:bCs/>
          <w:kern w:val="32"/>
        </w:rPr>
        <w:t>so that referrals to long term oxygen therapy can be triggered when appropriate</w:t>
      </w:r>
    </w:p>
    <w:p w14:paraId="2FA0580A" w14:textId="4C293798" w:rsidR="00641677" w:rsidRDefault="00641677" w:rsidP="00641677">
      <w:pPr>
        <w:pStyle w:val="Paragraph"/>
        <w:numPr>
          <w:ilvl w:val="1"/>
          <w:numId w:val="28"/>
        </w:numPr>
        <w:rPr>
          <w:bCs/>
          <w:kern w:val="32"/>
        </w:rPr>
      </w:pPr>
      <w:r w:rsidRPr="00641677">
        <w:rPr>
          <w:bCs/>
          <w:kern w:val="32"/>
        </w:rPr>
        <w:t>inhaler technique</w:t>
      </w:r>
    </w:p>
    <w:p w14:paraId="64469B9B" w14:textId="24D00E9F" w:rsidR="00641677" w:rsidRDefault="00641677" w:rsidP="00641677">
      <w:pPr>
        <w:pStyle w:val="Paragraph"/>
        <w:numPr>
          <w:ilvl w:val="1"/>
          <w:numId w:val="28"/>
        </w:numPr>
        <w:rPr>
          <w:bCs/>
          <w:kern w:val="32"/>
        </w:rPr>
      </w:pPr>
      <w:proofErr w:type="spellStart"/>
      <w:r w:rsidRPr="00641677">
        <w:rPr>
          <w:bCs/>
          <w:kern w:val="32"/>
        </w:rPr>
        <w:t>CATest</w:t>
      </w:r>
      <w:proofErr w:type="spellEnd"/>
    </w:p>
    <w:p w14:paraId="2EE110AB" w14:textId="70CCF250" w:rsidR="00641677" w:rsidRPr="001A7DB5" w:rsidRDefault="00641677" w:rsidP="001A7DB5">
      <w:pPr>
        <w:pStyle w:val="Paragraph"/>
        <w:numPr>
          <w:ilvl w:val="0"/>
          <w:numId w:val="28"/>
        </w:numPr>
        <w:rPr>
          <w:bCs/>
          <w:kern w:val="32"/>
        </w:rPr>
      </w:pPr>
      <w:r>
        <w:rPr>
          <w:bCs/>
          <w:kern w:val="32"/>
        </w:rPr>
        <w:t>One stakeholder suggested alternative wording for the indicator</w:t>
      </w:r>
      <w:r w:rsidR="00BB23AB">
        <w:rPr>
          <w:bCs/>
          <w:kern w:val="32"/>
        </w:rPr>
        <w:t xml:space="preserve"> as ‘</w:t>
      </w:r>
      <w:r w:rsidR="00BB23AB" w:rsidRPr="00BB23AB">
        <w:rPr>
          <w:bCs/>
          <w:kern w:val="32"/>
        </w:rPr>
        <w:t>The</w:t>
      </w:r>
      <w:r w:rsidR="00BB23AB">
        <w:rPr>
          <w:bCs/>
          <w:kern w:val="32"/>
        </w:rPr>
        <w:t xml:space="preserve"> </w:t>
      </w:r>
      <w:r w:rsidR="00BB23AB" w:rsidRPr="00BB23AB">
        <w:rPr>
          <w:bCs/>
          <w:kern w:val="32"/>
        </w:rPr>
        <w:t>percentage of patients on the register with COPD</w:t>
      </w:r>
      <w:r w:rsidR="00BB23AB">
        <w:rPr>
          <w:bCs/>
          <w:kern w:val="32"/>
        </w:rPr>
        <w:t>…’</w:t>
      </w:r>
    </w:p>
    <w:p w14:paraId="4716AFFD" w14:textId="77777777" w:rsidR="00ED5C41" w:rsidRDefault="00A27551" w:rsidP="00ED5C41">
      <w:pPr>
        <w:pStyle w:val="Paragraph"/>
        <w:rPr>
          <w:b/>
          <w:bCs/>
          <w:kern w:val="32"/>
          <w:u w:val="single"/>
        </w:rPr>
      </w:pPr>
      <w:r w:rsidRPr="00A27551">
        <w:rPr>
          <w:b/>
          <w:bCs/>
          <w:kern w:val="32"/>
          <w:u w:val="single"/>
        </w:rPr>
        <w:t>Considerations for the advisory committee</w:t>
      </w:r>
    </w:p>
    <w:p w14:paraId="72259050" w14:textId="2828FA4A" w:rsidR="00ED5C41" w:rsidRPr="00ED5C41" w:rsidRDefault="00ED5C41" w:rsidP="00ED5C41">
      <w:pPr>
        <w:pStyle w:val="Paragraph"/>
        <w:rPr>
          <w:b/>
          <w:bCs/>
          <w:kern w:val="32"/>
          <w:u w:val="single"/>
        </w:rPr>
      </w:pPr>
      <w:r w:rsidRPr="00FB0CC9">
        <w:t>The committee is asked to consider:</w:t>
      </w:r>
    </w:p>
    <w:p w14:paraId="56C6D0CF" w14:textId="0B7EDA81" w:rsidR="00A27551" w:rsidRDefault="00ED5C41" w:rsidP="00ED5C41">
      <w:pPr>
        <w:pStyle w:val="Paragraph"/>
        <w:numPr>
          <w:ilvl w:val="0"/>
          <w:numId w:val="28"/>
        </w:numPr>
        <w:rPr>
          <w:bCs/>
          <w:kern w:val="32"/>
        </w:rPr>
      </w:pPr>
      <w:r>
        <w:rPr>
          <w:bCs/>
          <w:kern w:val="32"/>
        </w:rPr>
        <w:t xml:space="preserve">Difficulties defining and identifying </w:t>
      </w:r>
      <w:r w:rsidR="00737933" w:rsidRPr="00737933">
        <w:rPr>
          <w:bCs/>
          <w:kern w:val="32"/>
        </w:rPr>
        <w:t>exacerbations</w:t>
      </w:r>
      <w:r>
        <w:rPr>
          <w:bCs/>
          <w:kern w:val="32"/>
        </w:rPr>
        <w:t>.</w:t>
      </w:r>
      <w:r w:rsidR="00737933">
        <w:rPr>
          <w:bCs/>
          <w:kern w:val="32"/>
        </w:rPr>
        <w:t xml:space="preserve"> </w:t>
      </w:r>
    </w:p>
    <w:p w14:paraId="7580BCAB" w14:textId="0BFE65C8" w:rsidR="00737933" w:rsidRDefault="00ED5C41" w:rsidP="00ED5C41">
      <w:pPr>
        <w:pStyle w:val="Paragraph"/>
        <w:numPr>
          <w:ilvl w:val="0"/>
          <w:numId w:val="28"/>
        </w:numPr>
        <w:rPr>
          <w:bCs/>
          <w:kern w:val="32"/>
        </w:rPr>
      </w:pPr>
      <w:r>
        <w:rPr>
          <w:bCs/>
          <w:kern w:val="32"/>
        </w:rPr>
        <w:t>Risks of over-treatment with c</w:t>
      </w:r>
      <w:r w:rsidR="00737933">
        <w:rPr>
          <w:bCs/>
          <w:kern w:val="32"/>
        </w:rPr>
        <w:t>orticosteroid</w:t>
      </w:r>
      <w:r>
        <w:rPr>
          <w:bCs/>
          <w:kern w:val="32"/>
        </w:rPr>
        <w:t>s / rescue packs.</w:t>
      </w:r>
    </w:p>
    <w:p w14:paraId="1C8538AE" w14:textId="550963C4" w:rsidR="00737933" w:rsidRPr="00737933" w:rsidRDefault="00ED5C41" w:rsidP="00ED5C41">
      <w:pPr>
        <w:pStyle w:val="Paragraph"/>
        <w:numPr>
          <w:ilvl w:val="0"/>
          <w:numId w:val="28"/>
        </w:numPr>
        <w:rPr>
          <w:bCs/>
          <w:kern w:val="32"/>
        </w:rPr>
      </w:pPr>
      <w:r>
        <w:rPr>
          <w:bCs/>
          <w:kern w:val="32"/>
        </w:rPr>
        <w:t>Use of</w:t>
      </w:r>
      <w:r w:rsidR="00737933">
        <w:rPr>
          <w:bCs/>
          <w:kern w:val="32"/>
        </w:rPr>
        <w:t xml:space="preserve"> other breathlessness referral tools</w:t>
      </w:r>
      <w:r>
        <w:rPr>
          <w:bCs/>
          <w:kern w:val="32"/>
        </w:rPr>
        <w:t>.</w:t>
      </w:r>
    </w:p>
    <w:p w14:paraId="003011E4" w14:textId="18CBA006" w:rsidR="00974156" w:rsidRPr="00A27551" w:rsidRDefault="00974156" w:rsidP="00A27551">
      <w:pPr>
        <w:pStyle w:val="Paragraph"/>
        <w:rPr>
          <w:b/>
          <w:bCs/>
          <w:kern w:val="32"/>
          <w:u w:val="single"/>
        </w:rPr>
      </w:pPr>
      <w:r>
        <w:br w:type="page"/>
      </w:r>
    </w:p>
    <w:p w14:paraId="4F2B0BFA" w14:textId="5A53DA31" w:rsidR="00974156" w:rsidRDefault="00974156" w:rsidP="00974156">
      <w:pPr>
        <w:pStyle w:val="Heading1"/>
      </w:pPr>
      <w:bookmarkStart w:id="14" w:name="_Toc17816100"/>
      <w:r>
        <w:lastRenderedPageBreak/>
        <w:t>General Comments</w:t>
      </w:r>
      <w:bookmarkEnd w:id="14"/>
    </w:p>
    <w:p w14:paraId="172110FB" w14:textId="77777777" w:rsidR="00974156" w:rsidRDefault="00974156" w:rsidP="00974156">
      <w:pPr>
        <w:pStyle w:val="Paragraph"/>
        <w:rPr>
          <w:b/>
          <w:bCs/>
          <w:kern w:val="32"/>
          <w:u w:val="single"/>
        </w:rPr>
      </w:pPr>
      <w:r>
        <w:rPr>
          <w:b/>
          <w:bCs/>
          <w:kern w:val="32"/>
          <w:u w:val="single"/>
        </w:rPr>
        <w:t xml:space="preserve">Issues raised by stakeholders </w:t>
      </w:r>
    </w:p>
    <w:p w14:paraId="5DE66270" w14:textId="2F8418D9" w:rsidR="00974156" w:rsidRDefault="00974156" w:rsidP="00974156">
      <w:pPr>
        <w:pStyle w:val="Paragraph"/>
        <w:numPr>
          <w:ilvl w:val="0"/>
          <w:numId w:val="38"/>
        </w:numPr>
      </w:pPr>
      <w:r>
        <w:t xml:space="preserve">Stakeholders </w:t>
      </w:r>
      <w:r w:rsidR="00EC07DC">
        <w:t>commented</w:t>
      </w:r>
      <w:r>
        <w:t xml:space="preserve"> that there should either be incorporation of malnutrition into all COPD indicators or suggested new indicators around COPD and malnutrition, referencing NICE QS24.</w:t>
      </w:r>
    </w:p>
    <w:p w14:paraId="5EBBF3D3" w14:textId="76E3B606" w:rsidR="00974156" w:rsidRDefault="00EF0646" w:rsidP="00974156">
      <w:pPr>
        <w:pStyle w:val="Paragraph"/>
        <w:numPr>
          <w:ilvl w:val="0"/>
          <w:numId w:val="38"/>
        </w:numPr>
      </w:pPr>
      <w:r>
        <w:t>The importan</w:t>
      </w:r>
      <w:r w:rsidR="000C5085">
        <w:t>ce</w:t>
      </w:r>
      <w:r>
        <w:t xml:space="preserve"> </w:t>
      </w:r>
      <w:r w:rsidR="000C5085">
        <w:t>of aligning</w:t>
      </w:r>
      <w:r w:rsidR="00974156">
        <w:t xml:space="preserve"> COPD indicators and coding with those used by the </w:t>
      </w:r>
      <w:r w:rsidR="00974156" w:rsidRPr="00974156">
        <w:t>RCP National Audit of COPD and asthma programme (NACAP) primary care audit</w:t>
      </w:r>
    </w:p>
    <w:p w14:paraId="38FFA98B" w14:textId="403DC0F6" w:rsidR="00974156" w:rsidRDefault="00EC07DC" w:rsidP="00974156">
      <w:pPr>
        <w:pStyle w:val="Paragraph"/>
        <w:numPr>
          <w:ilvl w:val="0"/>
          <w:numId w:val="38"/>
        </w:numPr>
      </w:pPr>
      <w:r>
        <w:t>Some stakeholders commented that there should be an additional indicator addressing tobacco dependency in people with a COPD diagnosis</w:t>
      </w:r>
    </w:p>
    <w:p w14:paraId="52EDF960" w14:textId="08019830" w:rsidR="00EC07DC" w:rsidRPr="00EC07DC" w:rsidRDefault="00EC07DC" w:rsidP="00EC07DC">
      <w:pPr>
        <w:pStyle w:val="ListParagraph"/>
        <w:numPr>
          <w:ilvl w:val="0"/>
          <w:numId w:val="38"/>
        </w:numPr>
        <w:rPr>
          <w:rFonts w:ascii="Arial" w:hAnsi="Arial"/>
        </w:rPr>
      </w:pPr>
      <w:r>
        <w:rPr>
          <w:rFonts w:ascii="Arial" w:hAnsi="Arial"/>
        </w:rPr>
        <w:t>One</w:t>
      </w:r>
      <w:r w:rsidRPr="00EC07DC">
        <w:rPr>
          <w:rFonts w:ascii="Arial" w:hAnsi="Arial"/>
        </w:rPr>
        <w:t xml:space="preserve"> stakeholder commented that there should be an additional indicator addressing </w:t>
      </w:r>
      <w:r>
        <w:rPr>
          <w:rFonts w:ascii="Arial" w:hAnsi="Arial"/>
        </w:rPr>
        <w:t>flu vaccination</w:t>
      </w:r>
      <w:r w:rsidRPr="00EC07DC">
        <w:rPr>
          <w:rFonts w:ascii="Arial" w:hAnsi="Arial"/>
        </w:rPr>
        <w:t xml:space="preserve"> in people with a COPD diagnosis</w:t>
      </w:r>
    </w:p>
    <w:p w14:paraId="03B2A65A" w14:textId="0D4F9F8B" w:rsidR="00EC07DC" w:rsidRPr="00EC07DC" w:rsidRDefault="00EC07DC" w:rsidP="00EC07DC">
      <w:pPr>
        <w:pStyle w:val="Paragraph"/>
        <w:numPr>
          <w:ilvl w:val="0"/>
          <w:numId w:val="38"/>
        </w:numPr>
      </w:pPr>
      <w:r>
        <w:t>One</w:t>
      </w:r>
      <w:r w:rsidRPr="00EC07DC">
        <w:t xml:space="preserve"> stakeholder commented that there should be an additional indicator addressing </w:t>
      </w:r>
      <w:r>
        <w:t>referrals to pulmonary rehabilitation</w:t>
      </w:r>
      <w:r w:rsidRPr="00EC07DC">
        <w:t xml:space="preserve"> in people with a COPD diagnosis</w:t>
      </w:r>
    </w:p>
    <w:p w14:paraId="1C206573" w14:textId="110395CA" w:rsidR="00EC07DC" w:rsidRPr="00974156" w:rsidRDefault="00EC07DC" w:rsidP="00EC07DC">
      <w:pPr>
        <w:pStyle w:val="Paragraph"/>
        <w:numPr>
          <w:ilvl w:val="0"/>
          <w:numId w:val="38"/>
        </w:numPr>
      </w:pPr>
      <w:r>
        <w:t>One</w:t>
      </w:r>
      <w:r w:rsidRPr="00EC07DC">
        <w:t xml:space="preserve"> stakeholder commented that there should be an additional indicator addressing </w:t>
      </w:r>
      <w:r>
        <w:t>frailty</w:t>
      </w:r>
      <w:r w:rsidRPr="00EC07DC">
        <w:t xml:space="preserve"> in people with a COPD diagnosis</w:t>
      </w:r>
    </w:p>
    <w:p w14:paraId="76CF842F" w14:textId="0DF80DA4" w:rsidR="00391E74" w:rsidRPr="004C7E15" w:rsidRDefault="00391E74" w:rsidP="004C7E15">
      <w:pPr>
        <w:pStyle w:val="Paragraph"/>
        <w:rPr>
          <w:bCs/>
          <w:kern w:val="32"/>
        </w:rPr>
      </w:pPr>
      <w:r>
        <w:br w:type="page"/>
      </w:r>
    </w:p>
    <w:p w14:paraId="7194DAD0" w14:textId="77777777" w:rsidR="00E861CD" w:rsidRDefault="00E861CD" w:rsidP="007F2EB4">
      <w:pPr>
        <w:pStyle w:val="Heading1"/>
        <w:sectPr w:rsidR="00E861CD" w:rsidSect="00391E74">
          <w:headerReference w:type="default" r:id="rId14"/>
          <w:footerReference w:type="default" r:id="rId15"/>
          <w:pgSz w:w="11907" w:h="16840" w:code="9"/>
          <w:pgMar w:top="1440" w:right="1797" w:bottom="1440" w:left="1797" w:header="709" w:footer="709" w:gutter="0"/>
          <w:cols w:space="708"/>
          <w:docGrid w:linePitch="360"/>
        </w:sectPr>
      </w:pPr>
    </w:p>
    <w:p w14:paraId="26A99B87" w14:textId="7E35D0B6" w:rsidR="00F374CD" w:rsidRPr="00F374CD" w:rsidRDefault="00C130C8" w:rsidP="007F2EB4">
      <w:pPr>
        <w:pStyle w:val="Heading1"/>
      </w:pPr>
      <w:bookmarkStart w:id="15" w:name="_Toc17816101"/>
      <w:r>
        <w:lastRenderedPageBreak/>
        <w:t>Appendix A</w:t>
      </w:r>
      <w:r w:rsidR="007F2EB4">
        <w:t>: C</w:t>
      </w:r>
      <w:r>
        <w:t>onsultation comments</w:t>
      </w:r>
      <w:bookmarkEnd w:id="15"/>
      <w:r>
        <w:t xml:space="preserve"> </w:t>
      </w:r>
    </w:p>
    <w:p w14:paraId="43B6701C" w14:textId="77777777" w:rsidR="00F374CD" w:rsidRDefault="00F374CD" w:rsidP="00F53495">
      <w:pPr>
        <w:pStyle w:val="Paragraph"/>
        <w:spacing w:line="240" w:lineRule="auto"/>
        <w:rPr>
          <w:rFonts w:cs="Arial"/>
          <w:sz w:val="22"/>
          <w:szCs w:val="22"/>
        </w:rPr>
      </w:pPr>
    </w:p>
    <w:tbl>
      <w:tblPr>
        <w:tblStyle w:val="TableGrid"/>
        <w:tblW w:w="14737" w:type="dxa"/>
        <w:tblLayout w:type="fixed"/>
        <w:tblLook w:val="0020" w:firstRow="1" w:lastRow="0" w:firstColumn="0" w:lastColumn="0" w:noHBand="0" w:noVBand="0"/>
      </w:tblPr>
      <w:tblGrid>
        <w:gridCol w:w="704"/>
        <w:gridCol w:w="1276"/>
        <w:gridCol w:w="1843"/>
        <w:gridCol w:w="10914"/>
      </w:tblGrid>
      <w:tr w:rsidR="00B877ED" w:rsidRPr="005A14A3" w14:paraId="56A004B7" w14:textId="77777777" w:rsidTr="00AD1879">
        <w:trPr>
          <w:trHeight w:val="316"/>
        </w:trPr>
        <w:tc>
          <w:tcPr>
            <w:tcW w:w="704" w:type="dxa"/>
          </w:tcPr>
          <w:p w14:paraId="5F4E60AE" w14:textId="3DF162B7" w:rsidR="00B877ED" w:rsidRPr="00B877ED" w:rsidRDefault="00B877ED" w:rsidP="00B877ED">
            <w:pPr>
              <w:rPr>
                <w:rFonts w:ascii="Arial" w:hAnsi="Arial" w:cs="Arial"/>
                <w:b/>
                <w:bCs/>
                <w:sz w:val="20"/>
                <w:szCs w:val="20"/>
                <w:lang w:eastAsia="en-GB"/>
              </w:rPr>
            </w:pPr>
            <w:bookmarkStart w:id="16" w:name="_Toc418246141"/>
            <w:r w:rsidRPr="00B877ED">
              <w:rPr>
                <w:rFonts w:ascii="Arial" w:hAnsi="Arial" w:cs="Arial"/>
                <w:b/>
                <w:bCs/>
                <w:sz w:val="20"/>
                <w:szCs w:val="20"/>
                <w:lang w:eastAsia="en-GB"/>
              </w:rPr>
              <w:t>ID</w:t>
            </w:r>
          </w:p>
        </w:tc>
        <w:tc>
          <w:tcPr>
            <w:tcW w:w="1276" w:type="dxa"/>
          </w:tcPr>
          <w:p w14:paraId="3C6DC771" w14:textId="6BE585E4" w:rsidR="00B877ED" w:rsidRPr="005A14A3" w:rsidRDefault="00B877ED" w:rsidP="00B877ED">
            <w:pPr>
              <w:rPr>
                <w:rFonts w:ascii="Arial" w:hAnsi="Arial" w:cs="Arial"/>
                <w:b/>
                <w:sz w:val="20"/>
                <w:szCs w:val="20"/>
                <w:lang w:eastAsia="en-GB"/>
              </w:rPr>
            </w:pPr>
            <w:r w:rsidRPr="005A14A3">
              <w:rPr>
                <w:rFonts w:ascii="Arial" w:hAnsi="Arial" w:cs="Arial"/>
                <w:b/>
                <w:bCs/>
                <w:sz w:val="20"/>
                <w:szCs w:val="20"/>
                <w:lang w:eastAsia="en-GB"/>
              </w:rPr>
              <w:t>Indicator</w:t>
            </w:r>
          </w:p>
        </w:tc>
        <w:tc>
          <w:tcPr>
            <w:tcW w:w="1843" w:type="dxa"/>
          </w:tcPr>
          <w:p w14:paraId="5A891144" w14:textId="77777777" w:rsidR="00B877ED" w:rsidRPr="005A14A3" w:rsidRDefault="00B877ED" w:rsidP="00B877ED">
            <w:pPr>
              <w:rPr>
                <w:rFonts w:ascii="Arial" w:hAnsi="Arial" w:cs="Arial"/>
                <w:b/>
                <w:sz w:val="20"/>
                <w:szCs w:val="20"/>
                <w:lang w:eastAsia="en-GB"/>
              </w:rPr>
            </w:pPr>
            <w:r w:rsidRPr="005A14A3">
              <w:rPr>
                <w:rFonts w:ascii="Arial" w:hAnsi="Arial" w:cs="Arial"/>
                <w:b/>
                <w:bCs/>
                <w:sz w:val="20"/>
                <w:szCs w:val="20"/>
                <w:lang w:eastAsia="en-GB"/>
              </w:rPr>
              <w:t>Stakeholder</w:t>
            </w:r>
          </w:p>
        </w:tc>
        <w:tc>
          <w:tcPr>
            <w:tcW w:w="10914" w:type="dxa"/>
          </w:tcPr>
          <w:p w14:paraId="57684806" w14:textId="77777777" w:rsidR="00B877ED" w:rsidRPr="005A14A3" w:rsidRDefault="00B877ED" w:rsidP="00B877ED">
            <w:pPr>
              <w:rPr>
                <w:rFonts w:ascii="Arial" w:hAnsi="Arial" w:cs="Arial"/>
                <w:b/>
                <w:sz w:val="20"/>
                <w:szCs w:val="20"/>
                <w:lang w:eastAsia="en-GB"/>
              </w:rPr>
            </w:pPr>
            <w:r w:rsidRPr="005A14A3">
              <w:rPr>
                <w:rFonts w:ascii="Arial" w:hAnsi="Arial" w:cs="Arial"/>
                <w:b/>
                <w:bCs/>
                <w:sz w:val="20"/>
                <w:szCs w:val="20"/>
                <w:lang w:eastAsia="en-GB"/>
              </w:rPr>
              <w:t>Comment</w:t>
            </w:r>
          </w:p>
        </w:tc>
      </w:tr>
      <w:tr w:rsidR="00B877ED" w:rsidRPr="005A14A3" w14:paraId="65D45BA2" w14:textId="77777777" w:rsidTr="00AD1879">
        <w:tc>
          <w:tcPr>
            <w:tcW w:w="704" w:type="dxa"/>
          </w:tcPr>
          <w:p w14:paraId="139E9CCF" w14:textId="7064D6BA" w:rsidR="00B877ED" w:rsidRPr="00B877ED" w:rsidRDefault="00B877ED" w:rsidP="00B877ED">
            <w:pPr>
              <w:jc w:val="center"/>
              <w:rPr>
                <w:rFonts w:ascii="Arial" w:hAnsi="Arial" w:cs="Arial"/>
                <w:b/>
                <w:sz w:val="20"/>
                <w:szCs w:val="20"/>
                <w:lang w:eastAsia="en-GB"/>
              </w:rPr>
            </w:pPr>
            <w:r w:rsidRPr="00B877ED">
              <w:rPr>
                <w:rFonts w:ascii="Calibri" w:hAnsi="Calibri" w:cs="Calibri"/>
                <w:b/>
                <w:color w:val="000000"/>
                <w:sz w:val="22"/>
                <w:szCs w:val="22"/>
              </w:rPr>
              <w:t>1</w:t>
            </w:r>
          </w:p>
        </w:tc>
        <w:tc>
          <w:tcPr>
            <w:tcW w:w="1276" w:type="dxa"/>
          </w:tcPr>
          <w:p w14:paraId="40BA99F9" w14:textId="5CDFDFEE" w:rsidR="00B877ED" w:rsidRPr="005A14A3" w:rsidRDefault="00B877ED" w:rsidP="00B877ED">
            <w:pPr>
              <w:jc w:val="center"/>
              <w:rPr>
                <w:rFonts w:ascii="Arial" w:hAnsi="Arial" w:cs="Arial"/>
                <w:b/>
                <w:sz w:val="20"/>
                <w:szCs w:val="20"/>
                <w:lang w:eastAsia="en-GB"/>
              </w:rPr>
            </w:pPr>
            <w:r w:rsidRPr="005A14A3">
              <w:rPr>
                <w:rFonts w:ascii="Arial" w:hAnsi="Arial" w:cs="Arial"/>
                <w:b/>
                <w:sz w:val="20"/>
                <w:szCs w:val="20"/>
                <w:lang w:eastAsia="en-GB"/>
              </w:rPr>
              <w:t>General</w:t>
            </w:r>
          </w:p>
        </w:tc>
        <w:tc>
          <w:tcPr>
            <w:tcW w:w="1843" w:type="dxa"/>
          </w:tcPr>
          <w:p w14:paraId="51B1B21C" w14:textId="77777777" w:rsidR="00B877ED" w:rsidRPr="005A14A3" w:rsidRDefault="00B877ED" w:rsidP="00B877ED">
            <w:pPr>
              <w:jc w:val="center"/>
              <w:rPr>
                <w:rFonts w:ascii="Arial" w:hAnsi="Arial" w:cs="Arial"/>
                <w:b/>
                <w:sz w:val="20"/>
                <w:szCs w:val="20"/>
                <w:lang w:eastAsia="en-GB"/>
              </w:rPr>
            </w:pPr>
            <w:proofErr w:type="spellStart"/>
            <w:r w:rsidRPr="005A14A3">
              <w:rPr>
                <w:rFonts w:ascii="Arial" w:hAnsi="Arial" w:cs="Arial"/>
                <w:b/>
                <w:sz w:val="20"/>
                <w:szCs w:val="20"/>
                <w:lang w:eastAsia="en-GB"/>
              </w:rPr>
              <w:t>Nutricia</w:t>
            </w:r>
            <w:proofErr w:type="spellEnd"/>
            <w:r w:rsidRPr="005A14A3">
              <w:rPr>
                <w:rFonts w:ascii="Arial" w:hAnsi="Arial" w:cs="Arial"/>
                <w:b/>
                <w:sz w:val="20"/>
                <w:szCs w:val="20"/>
                <w:lang w:eastAsia="en-GB"/>
              </w:rPr>
              <w:t xml:space="preserve"> Advanced Medical Nutrition</w:t>
            </w:r>
          </w:p>
        </w:tc>
        <w:tc>
          <w:tcPr>
            <w:tcW w:w="10914" w:type="dxa"/>
          </w:tcPr>
          <w:p w14:paraId="290AAF0B" w14:textId="77777777" w:rsidR="00B877ED" w:rsidRPr="005A14A3" w:rsidRDefault="00B877ED" w:rsidP="00B877ED">
            <w:pPr>
              <w:rPr>
                <w:rFonts w:ascii="Arial" w:hAnsi="Arial" w:cs="Arial"/>
                <w:sz w:val="20"/>
                <w:szCs w:val="20"/>
              </w:rPr>
            </w:pPr>
            <w:r w:rsidRPr="005A14A3">
              <w:rPr>
                <w:rFonts w:ascii="Arial" w:hAnsi="Arial" w:cs="Arial"/>
                <w:sz w:val="20"/>
                <w:szCs w:val="20"/>
              </w:rPr>
              <w:t xml:space="preserve">Advise the incorporation of nutrition screening and management into all indicators especially in relation to multimorbidity, frailty and COPD because for example in NICE QS24 it clearly states that </w:t>
            </w:r>
          </w:p>
          <w:p w14:paraId="19EA0ECB" w14:textId="77777777" w:rsidR="00B877ED" w:rsidRPr="005A14A3" w:rsidRDefault="00B877ED" w:rsidP="00B877ED">
            <w:pPr>
              <w:rPr>
                <w:rFonts w:ascii="Arial" w:hAnsi="Arial" w:cs="Arial"/>
                <w:sz w:val="20"/>
                <w:szCs w:val="20"/>
              </w:rPr>
            </w:pPr>
          </w:p>
          <w:p w14:paraId="43463466" w14:textId="77777777" w:rsidR="00B877ED" w:rsidRPr="005A14A3" w:rsidRDefault="00B877ED" w:rsidP="00B877ED">
            <w:pPr>
              <w:numPr>
                <w:ilvl w:val="0"/>
                <w:numId w:val="31"/>
              </w:numPr>
              <w:ind w:right="902"/>
              <w:contextualSpacing/>
              <w:rPr>
                <w:rFonts w:ascii="Arial" w:hAnsi="Arial" w:cs="Arial"/>
                <w:sz w:val="20"/>
                <w:szCs w:val="20"/>
                <w:lang w:eastAsia="en-GB"/>
              </w:rPr>
            </w:pPr>
            <w:r w:rsidRPr="005A14A3">
              <w:rPr>
                <w:rFonts w:ascii="Arial" w:hAnsi="Arial" w:cs="Arial"/>
                <w:sz w:val="20"/>
                <w:szCs w:val="20"/>
                <w:lang w:eastAsia="en-GB"/>
              </w:rPr>
              <w:t>People in care settings are screened for the risk of malnutrition using a validated screening tool</w:t>
            </w:r>
          </w:p>
          <w:p w14:paraId="7754FECC" w14:textId="77777777" w:rsidR="00B877ED" w:rsidRPr="005A14A3" w:rsidRDefault="00B877ED" w:rsidP="00B877ED">
            <w:pPr>
              <w:numPr>
                <w:ilvl w:val="0"/>
                <w:numId w:val="31"/>
              </w:numPr>
              <w:ind w:right="902"/>
              <w:contextualSpacing/>
              <w:rPr>
                <w:rFonts w:ascii="Arial" w:hAnsi="Arial" w:cs="Arial"/>
                <w:sz w:val="20"/>
                <w:szCs w:val="20"/>
                <w:lang w:eastAsia="en-GB"/>
              </w:rPr>
            </w:pPr>
            <w:r w:rsidRPr="005A14A3">
              <w:rPr>
                <w:rFonts w:ascii="Arial" w:hAnsi="Arial" w:cs="Arial"/>
                <w:sz w:val="20"/>
                <w:szCs w:val="20"/>
                <w:lang w:eastAsia="en-GB"/>
              </w:rPr>
              <w:t>People who are malnourished or at risk of malnutrition have a management care plan that aims to meet their complete nutritional requirements</w:t>
            </w:r>
          </w:p>
          <w:p w14:paraId="12BFDED5" w14:textId="77777777" w:rsidR="00B877ED" w:rsidRPr="005A14A3" w:rsidRDefault="00B877ED" w:rsidP="00B877ED">
            <w:pPr>
              <w:numPr>
                <w:ilvl w:val="0"/>
                <w:numId w:val="31"/>
              </w:numPr>
              <w:ind w:right="902"/>
              <w:contextualSpacing/>
              <w:rPr>
                <w:rFonts w:ascii="Arial" w:hAnsi="Arial" w:cs="Arial"/>
                <w:sz w:val="20"/>
                <w:szCs w:val="20"/>
                <w:lang w:eastAsia="en-GB"/>
              </w:rPr>
            </w:pPr>
            <w:r w:rsidRPr="005A14A3">
              <w:rPr>
                <w:rFonts w:ascii="Arial" w:hAnsi="Arial" w:cs="Arial"/>
                <w:sz w:val="20"/>
                <w:szCs w:val="20"/>
                <w:lang w:eastAsia="en-GB"/>
              </w:rPr>
              <w:t>All people who are screened for the risk of malnutrition have their screening results and nutrition support goals (if applicable), documented and communicated in writing within and between settings</w:t>
            </w:r>
          </w:p>
        </w:tc>
      </w:tr>
      <w:tr w:rsidR="00B877ED" w:rsidRPr="005A14A3" w14:paraId="66B9FB4F" w14:textId="77777777" w:rsidTr="00AD1879">
        <w:tc>
          <w:tcPr>
            <w:tcW w:w="704" w:type="dxa"/>
          </w:tcPr>
          <w:p w14:paraId="5B9457F3" w14:textId="678E8C03" w:rsidR="00B877ED" w:rsidRPr="00B877ED" w:rsidRDefault="00B877ED" w:rsidP="00B877ED">
            <w:pPr>
              <w:jc w:val="center"/>
              <w:rPr>
                <w:rFonts w:ascii="Arial" w:hAnsi="Arial" w:cs="Arial"/>
                <w:b/>
                <w:sz w:val="20"/>
                <w:szCs w:val="20"/>
                <w:lang w:eastAsia="en-GB"/>
              </w:rPr>
            </w:pPr>
            <w:r w:rsidRPr="00B877ED">
              <w:rPr>
                <w:rFonts w:ascii="Calibri" w:hAnsi="Calibri" w:cs="Calibri"/>
                <w:b/>
                <w:color w:val="000000"/>
                <w:sz w:val="22"/>
                <w:szCs w:val="22"/>
              </w:rPr>
              <w:t>2</w:t>
            </w:r>
          </w:p>
        </w:tc>
        <w:tc>
          <w:tcPr>
            <w:tcW w:w="1276" w:type="dxa"/>
          </w:tcPr>
          <w:p w14:paraId="1ECC2FEB" w14:textId="46F26187" w:rsidR="00B877ED" w:rsidRPr="005A14A3" w:rsidRDefault="00B877ED" w:rsidP="00B877ED">
            <w:pPr>
              <w:jc w:val="center"/>
              <w:rPr>
                <w:rFonts w:ascii="Arial" w:hAnsi="Arial" w:cs="Arial"/>
                <w:b/>
                <w:sz w:val="20"/>
                <w:szCs w:val="20"/>
                <w:lang w:eastAsia="en-GB"/>
              </w:rPr>
            </w:pPr>
            <w:r w:rsidRPr="005A14A3">
              <w:rPr>
                <w:rFonts w:ascii="Arial" w:hAnsi="Arial" w:cs="Arial"/>
                <w:b/>
                <w:sz w:val="20"/>
                <w:szCs w:val="20"/>
                <w:lang w:eastAsia="en-GB"/>
              </w:rPr>
              <w:t>General</w:t>
            </w:r>
          </w:p>
        </w:tc>
        <w:tc>
          <w:tcPr>
            <w:tcW w:w="1843" w:type="dxa"/>
          </w:tcPr>
          <w:p w14:paraId="1A570A96" w14:textId="77777777" w:rsidR="00B877ED" w:rsidRPr="005A14A3" w:rsidRDefault="00B877ED" w:rsidP="00B877ED">
            <w:pPr>
              <w:jc w:val="center"/>
              <w:rPr>
                <w:rFonts w:ascii="Arial" w:hAnsi="Arial" w:cs="Arial"/>
                <w:b/>
                <w:sz w:val="20"/>
                <w:szCs w:val="20"/>
                <w:lang w:eastAsia="en-GB"/>
              </w:rPr>
            </w:pPr>
            <w:proofErr w:type="spellStart"/>
            <w:r w:rsidRPr="005A14A3">
              <w:rPr>
                <w:rFonts w:ascii="Arial" w:hAnsi="Arial" w:cs="Arial"/>
                <w:b/>
                <w:sz w:val="20"/>
                <w:szCs w:val="20"/>
                <w:lang w:eastAsia="en-GB"/>
              </w:rPr>
              <w:t>Nutricia</w:t>
            </w:r>
            <w:proofErr w:type="spellEnd"/>
            <w:r w:rsidRPr="005A14A3">
              <w:rPr>
                <w:rFonts w:ascii="Arial" w:hAnsi="Arial" w:cs="Arial"/>
                <w:b/>
                <w:sz w:val="20"/>
                <w:szCs w:val="20"/>
                <w:lang w:eastAsia="en-GB"/>
              </w:rPr>
              <w:t xml:space="preserve"> Advanced Medical Nutrition</w:t>
            </w:r>
          </w:p>
        </w:tc>
        <w:tc>
          <w:tcPr>
            <w:tcW w:w="10914" w:type="dxa"/>
          </w:tcPr>
          <w:p w14:paraId="183DE985" w14:textId="77777777" w:rsidR="00B877ED" w:rsidRPr="005A14A3" w:rsidRDefault="00B877ED" w:rsidP="00B877ED">
            <w:pPr>
              <w:ind w:right="1202"/>
              <w:rPr>
                <w:rFonts w:ascii="Arial" w:hAnsi="Arial" w:cs="Arial"/>
                <w:sz w:val="20"/>
                <w:szCs w:val="20"/>
                <w:lang w:eastAsia="en-GB"/>
              </w:rPr>
            </w:pPr>
            <w:r w:rsidRPr="005A14A3">
              <w:rPr>
                <w:rFonts w:ascii="Arial" w:hAnsi="Arial" w:cs="Arial"/>
                <w:sz w:val="20"/>
                <w:szCs w:val="20"/>
                <w:lang w:eastAsia="en-GB"/>
              </w:rPr>
              <w:t xml:space="preserve">NICE has shown that substantial cost savings can result from identifying and treating malnutrition – implementation of Clinical Guideline 32: Nutrition Support in Adults and supporting Quality Standard 24 have been shown to have a high impact with respect to cost savings and therefore this supports the integration of nutrition into care pathways an including some form of indicator </w:t>
            </w:r>
            <w:proofErr w:type="spellStart"/>
            <w:r w:rsidRPr="005A14A3">
              <w:rPr>
                <w:rFonts w:ascii="Arial" w:hAnsi="Arial" w:cs="Arial"/>
                <w:sz w:val="20"/>
                <w:szCs w:val="20"/>
                <w:lang w:eastAsia="en-GB"/>
              </w:rPr>
              <w:t>ie</w:t>
            </w:r>
            <w:proofErr w:type="spellEnd"/>
            <w:r w:rsidRPr="005A14A3">
              <w:rPr>
                <w:rFonts w:ascii="Arial" w:hAnsi="Arial" w:cs="Arial"/>
                <w:sz w:val="20"/>
                <w:szCs w:val="20"/>
                <w:lang w:eastAsia="en-GB"/>
              </w:rPr>
              <w:t xml:space="preserve"> screening for malnutrition risk (as stated above in multimorbidity/frailty/COPD) using a validated screening tool such as ‘MUST’ and implementing a Managing Malnutrition Pathway such as the Managing Adult Malnutrition in the Community Pathway </w:t>
            </w:r>
            <w:hyperlink r:id="rId16" w:history="1">
              <w:r w:rsidRPr="005A14A3">
                <w:rPr>
                  <w:rFonts w:ascii="Arial" w:hAnsi="Arial" w:cs="Arial"/>
                  <w:sz w:val="20"/>
                  <w:szCs w:val="20"/>
                  <w:u w:val="single"/>
                  <w:lang w:eastAsia="en-GB"/>
                </w:rPr>
                <w:t>www.malnutritionpathway.co.uk</w:t>
              </w:r>
            </w:hyperlink>
            <w:r w:rsidRPr="005A14A3">
              <w:rPr>
                <w:rFonts w:ascii="Arial" w:hAnsi="Arial" w:cs="Arial"/>
                <w:sz w:val="20"/>
                <w:szCs w:val="20"/>
                <w:lang w:eastAsia="en-GB"/>
              </w:rPr>
              <w:t xml:space="preserve"> </w:t>
            </w:r>
          </w:p>
          <w:p w14:paraId="1A3462AB" w14:textId="77777777" w:rsidR="00B877ED" w:rsidRPr="005A14A3" w:rsidRDefault="00B877ED" w:rsidP="00B877ED">
            <w:pPr>
              <w:rPr>
                <w:rFonts w:ascii="Arial" w:hAnsi="Arial" w:cs="Arial"/>
                <w:sz w:val="20"/>
                <w:szCs w:val="20"/>
                <w:lang w:eastAsia="en-GB"/>
              </w:rPr>
            </w:pPr>
          </w:p>
        </w:tc>
      </w:tr>
      <w:tr w:rsidR="00B877ED" w:rsidRPr="005A14A3" w14:paraId="6151CC22" w14:textId="77777777" w:rsidTr="00AD1879">
        <w:tc>
          <w:tcPr>
            <w:tcW w:w="704" w:type="dxa"/>
          </w:tcPr>
          <w:p w14:paraId="23A23277" w14:textId="629E4566" w:rsidR="00B877ED" w:rsidRPr="00B877ED" w:rsidRDefault="00B877ED" w:rsidP="00B877ED">
            <w:pPr>
              <w:jc w:val="center"/>
              <w:rPr>
                <w:rFonts w:ascii="Arial" w:hAnsi="Arial" w:cs="Arial"/>
                <w:b/>
                <w:bCs/>
                <w:sz w:val="20"/>
                <w:szCs w:val="20"/>
                <w:lang w:eastAsia="en-GB"/>
              </w:rPr>
            </w:pPr>
            <w:r w:rsidRPr="00B877ED">
              <w:rPr>
                <w:rFonts w:ascii="Calibri" w:hAnsi="Calibri" w:cs="Calibri"/>
                <w:b/>
                <w:color w:val="000000"/>
                <w:sz w:val="22"/>
                <w:szCs w:val="22"/>
              </w:rPr>
              <w:t>3</w:t>
            </w:r>
          </w:p>
        </w:tc>
        <w:tc>
          <w:tcPr>
            <w:tcW w:w="1276" w:type="dxa"/>
          </w:tcPr>
          <w:p w14:paraId="07EAE097" w14:textId="64FEF24C" w:rsidR="00B877ED" w:rsidRPr="005A14A3" w:rsidRDefault="00B877ED" w:rsidP="00B877ED">
            <w:pPr>
              <w:jc w:val="center"/>
              <w:rPr>
                <w:rFonts w:ascii="Arial" w:hAnsi="Arial" w:cs="Arial"/>
                <w:b/>
                <w:sz w:val="20"/>
                <w:szCs w:val="20"/>
                <w:lang w:eastAsia="en-GB"/>
              </w:rPr>
            </w:pPr>
            <w:r w:rsidRPr="005A14A3">
              <w:rPr>
                <w:rFonts w:ascii="Arial" w:hAnsi="Arial" w:cs="Arial"/>
                <w:b/>
                <w:bCs/>
                <w:sz w:val="20"/>
                <w:szCs w:val="20"/>
                <w:lang w:eastAsia="en-GB"/>
              </w:rPr>
              <w:t>General</w:t>
            </w:r>
          </w:p>
        </w:tc>
        <w:tc>
          <w:tcPr>
            <w:tcW w:w="1843" w:type="dxa"/>
          </w:tcPr>
          <w:p w14:paraId="58B6C0FE" w14:textId="77777777" w:rsidR="00B877ED" w:rsidRPr="005A14A3" w:rsidRDefault="00B877ED" w:rsidP="00B877ED">
            <w:pPr>
              <w:jc w:val="center"/>
              <w:rPr>
                <w:rFonts w:ascii="Arial" w:hAnsi="Arial" w:cs="Arial"/>
                <w:b/>
                <w:sz w:val="20"/>
                <w:szCs w:val="20"/>
                <w:lang w:eastAsia="en-GB"/>
              </w:rPr>
            </w:pPr>
            <w:r w:rsidRPr="005A14A3">
              <w:rPr>
                <w:rFonts w:ascii="Arial" w:hAnsi="Arial" w:cs="Arial"/>
                <w:b/>
                <w:sz w:val="20"/>
                <w:szCs w:val="20"/>
                <w:lang w:eastAsia="en-GB"/>
              </w:rPr>
              <w:t>Primary Care Respiratory Society</w:t>
            </w:r>
          </w:p>
        </w:tc>
        <w:tc>
          <w:tcPr>
            <w:tcW w:w="10914" w:type="dxa"/>
          </w:tcPr>
          <w:p w14:paraId="7616BCB1" w14:textId="77777777" w:rsidR="00B877ED" w:rsidRPr="005A14A3" w:rsidRDefault="00B877ED" w:rsidP="00B877ED">
            <w:pPr>
              <w:rPr>
                <w:rFonts w:ascii="Arial" w:hAnsi="Arial" w:cs="Arial"/>
                <w:sz w:val="20"/>
                <w:szCs w:val="20"/>
                <w:lang w:eastAsia="en-GB"/>
              </w:rPr>
            </w:pPr>
            <w:r w:rsidRPr="005A14A3">
              <w:rPr>
                <w:rFonts w:ascii="Arial" w:hAnsi="Arial" w:cs="Arial"/>
                <w:sz w:val="20"/>
                <w:szCs w:val="20"/>
                <w:lang w:eastAsia="en-GB"/>
              </w:rPr>
              <w:t xml:space="preserve">Every effort should be made to align indicators and coding with those being used in the RCP National Audit of COPD and asthma programme (NACAP) primary care </w:t>
            </w:r>
            <w:proofErr w:type="gramStart"/>
            <w:r w:rsidRPr="005A14A3">
              <w:rPr>
                <w:rFonts w:ascii="Arial" w:hAnsi="Arial" w:cs="Arial"/>
                <w:sz w:val="20"/>
                <w:szCs w:val="20"/>
                <w:lang w:eastAsia="en-GB"/>
              </w:rPr>
              <w:t>audit ,</w:t>
            </w:r>
            <w:proofErr w:type="gramEnd"/>
            <w:r w:rsidRPr="005A14A3">
              <w:rPr>
                <w:rFonts w:ascii="Arial" w:hAnsi="Arial" w:cs="Arial"/>
                <w:sz w:val="20"/>
                <w:szCs w:val="20"/>
                <w:lang w:eastAsia="en-GB"/>
              </w:rPr>
              <w:t xml:space="preserve"> so that there is compatibility. </w:t>
            </w:r>
          </w:p>
        </w:tc>
      </w:tr>
      <w:tr w:rsidR="00B877ED" w:rsidRPr="005A14A3" w14:paraId="6FE6F78B" w14:textId="77777777" w:rsidTr="00AD1879">
        <w:tc>
          <w:tcPr>
            <w:tcW w:w="704" w:type="dxa"/>
          </w:tcPr>
          <w:p w14:paraId="07813B19" w14:textId="6CD952FD" w:rsidR="00B877ED" w:rsidRPr="00B877ED" w:rsidRDefault="00B877ED" w:rsidP="00B877ED">
            <w:pPr>
              <w:jc w:val="center"/>
              <w:rPr>
                <w:rFonts w:ascii="Arial" w:hAnsi="Arial" w:cs="Arial"/>
                <w:b/>
                <w:sz w:val="20"/>
                <w:szCs w:val="20"/>
                <w:lang w:eastAsia="en-GB"/>
              </w:rPr>
            </w:pPr>
            <w:r w:rsidRPr="00B877ED">
              <w:rPr>
                <w:rFonts w:ascii="Calibri" w:hAnsi="Calibri" w:cs="Calibri"/>
                <w:b/>
                <w:color w:val="000000"/>
                <w:sz w:val="22"/>
                <w:szCs w:val="22"/>
              </w:rPr>
              <w:t>4</w:t>
            </w:r>
          </w:p>
        </w:tc>
        <w:tc>
          <w:tcPr>
            <w:tcW w:w="1276" w:type="dxa"/>
          </w:tcPr>
          <w:p w14:paraId="64AE0A1E" w14:textId="2076C571" w:rsidR="00B877ED" w:rsidRPr="005A14A3" w:rsidRDefault="00B877ED" w:rsidP="00B877ED">
            <w:pPr>
              <w:jc w:val="center"/>
              <w:rPr>
                <w:rFonts w:ascii="Arial" w:hAnsi="Arial" w:cs="Arial"/>
                <w:b/>
                <w:sz w:val="20"/>
                <w:szCs w:val="20"/>
                <w:lang w:eastAsia="en-GB"/>
              </w:rPr>
            </w:pPr>
            <w:r w:rsidRPr="005A14A3">
              <w:rPr>
                <w:rFonts w:ascii="Arial" w:hAnsi="Arial" w:cs="Arial"/>
                <w:b/>
                <w:sz w:val="20"/>
                <w:szCs w:val="20"/>
                <w:lang w:eastAsia="en-GB"/>
              </w:rPr>
              <w:t>General</w:t>
            </w:r>
          </w:p>
        </w:tc>
        <w:tc>
          <w:tcPr>
            <w:tcW w:w="1843" w:type="dxa"/>
          </w:tcPr>
          <w:p w14:paraId="03C71F9B" w14:textId="77777777" w:rsidR="00B877ED" w:rsidRPr="005A14A3" w:rsidRDefault="00B877ED" w:rsidP="00B877ED">
            <w:pPr>
              <w:jc w:val="center"/>
              <w:rPr>
                <w:rFonts w:ascii="Arial" w:hAnsi="Arial" w:cs="Arial"/>
                <w:b/>
                <w:sz w:val="20"/>
                <w:szCs w:val="20"/>
                <w:lang w:eastAsia="en-GB"/>
              </w:rPr>
            </w:pPr>
            <w:r w:rsidRPr="005A14A3">
              <w:rPr>
                <w:rFonts w:ascii="Arial" w:hAnsi="Arial" w:cs="Arial"/>
                <w:b/>
                <w:sz w:val="20"/>
                <w:szCs w:val="20"/>
                <w:lang w:eastAsia="en-GB"/>
              </w:rPr>
              <w:t>Royal College of Nursing</w:t>
            </w:r>
          </w:p>
        </w:tc>
        <w:tc>
          <w:tcPr>
            <w:tcW w:w="10914" w:type="dxa"/>
          </w:tcPr>
          <w:p w14:paraId="091436B5" w14:textId="77777777" w:rsidR="00B877ED" w:rsidRPr="005A14A3" w:rsidRDefault="00B877ED" w:rsidP="00B877ED">
            <w:pPr>
              <w:rPr>
                <w:rFonts w:ascii="Arial" w:hAnsi="Arial" w:cs="Arial"/>
                <w:sz w:val="20"/>
                <w:szCs w:val="20"/>
              </w:rPr>
            </w:pPr>
            <w:r w:rsidRPr="005A14A3">
              <w:rPr>
                <w:rFonts w:ascii="Arial" w:hAnsi="Arial" w:cs="Arial"/>
                <w:sz w:val="20"/>
                <w:szCs w:val="20"/>
              </w:rPr>
              <w:t xml:space="preserve">The Royal College of Nursing (RCN) welcome the consultation on the listed NICE QOF indicators. The RCN invited members who care for people with the listed conditions to review the draft indicators on our behalf.  </w:t>
            </w:r>
          </w:p>
          <w:p w14:paraId="67837679" w14:textId="77777777" w:rsidR="00B877ED" w:rsidRPr="005A14A3" w:rsidRDefault="00B877ED" w:rsidP="00B877ED">
            <w:pPr>
              <w:rPr>
                <w:rFonts w:ascii="Arial" w:hAnsi="Arial" w:cs="Arial"/>
                <w:sz w:val="20"/>
                <w:szCs w:val="20"/>
              </w:rPr>
            </w:pPr>
          </w:p>
          <w:p w14:paraId="3964ED0E" w14:textId="77777777" w:rsidR="00B877ED" w:rsidRPr="005A14A3" w:rsidRDefault="00B877ED" w:rsidP="00B877ED">
            <w:pPr>
              <w:rPr>
                <w:rFonts w:ascii="Arial" w:hAnsi="Arial" w:cs="Arial"/>
                <w:sz w:val="20"/>
                <w:szCs w:val="20"/>
              </w:rPr>
            </w:pPr>
            <w:r w:rsidRPr="005A14A3">
              <w:rPr>
                <w:rFonts w:ascii="Arial" w:hAnsi="Arial" w:cs="Arial"/>
                <w:sz w:val="20"/>
                <w:szCs w:val="20"/>
              </w:rPr>
              <w:t>The comments below reflect the views of our reviewers.</w:t>
            </w:r>
          </w:p>
        </w:tc>
      </w:tr>
      <w:tr w:rsidR="00B877ED" w:rsidRPr="005A14A3" w14:paraId="050B9559" w14:textId="77777777" w:rsidTr="00AD1879">
        <w:tc>
          <w:tcPr>
            <w:tcW w:w="704" w:type="dxa"/>
          </w:tcPr>
          <w:p w14:paraId="33D173D4" w14:textId="68519431" w:rsidR="00B877ED" w:rsidRPr="00B877ED" w:rsidRDefault="00B877ED" w:rsidP="00B877ED">
            <w:pPr>
              <w:jc w:val="center"/>
              <w:rPr>
                <w:rFonts w:ascii="Arial" w:hAnsi="Arial" w:cs="Arial"/>
                <w:b/>
                <w:sz w:val="20"/>
                <w:szCs w:val="20"/>
                <w:lang w:eastAsia="en-GB"/>
              </w:rPr>
            </w:pPr>
            <w:r w:rsidRPr="00B877ED">
              <w:rPr>
                <w:rFonts w:ascii="Calibri" w:hAnsi="Calibri" w:cs="Calibri"/>
                <w:b/>
                <w:color w:val="000000"/>
                <w:sz w:val="22"/>
                <w:szCs w:val="22"/>
              </w:rPr>
              <w:t>5</w:t>
            </w:r>
          </w:p>
        </w:tc>
        <w:tc>
          <w:tcPr>
            <w:tcW w:w="1276" w:type="dxa"/>
          </w:tcPr>
          <w:p w14:paraId="0AB377F3" w14:textId="03C4E6A8" w:rsidR="00B877ED" w:rsidRPr="005A14A3" w:rsidRDefault="00B877ED" w:rsidP="00B877ED">
            <w:pPr>
              <w:jc w:val="center"/>
              <w:rPr>
                <w:rFonts w:ascii="Arial" w:hAnsi="Arial" w:cs="Arial"/>
                <w:b/>
                <w:sz w:val="20"/>
                <w:szCs w:val="20"/>
                <w:lang w:eastAsia="en-GB"/>
              </w:rPr>
            </w:pPr>
            <w:r w:rsidRPr="005A14A3">
              <w:rPr>
                <w:rFonts w:ascii="Arial" w:hAnsi="Arial" w:cs="Arial"/>
                <w:b/>
                <w:sz w:val="20"/>
                <w:szCs w:val="20"/>
                <w:lang w:eastAsia="en-GB"/>
              </w:rPr>
              <w:t>General</w:t>
            </w:r>
          </w:p>
        </w:tc>
        <w:tc>
          <w:tcPr>
            <w:tcW w:w="1843" w:type="dxa"/>
          </w:tcPr>
          <w:p w14:paraId="220D60D9" w14:textId="77777777" w:rsidR="00B877ED" w:rsidRPr="005A14A3" w:rsidRDefault="00B877ED" w:rsidP="00B877ED">
            <w:pPr>
              <w:jc w:val="center"/>
              <w:rPr>
                <w:rFonts w:ascii="Arial" w:hAnsi="Arial" w:cs="Arial"/>
                <w:b/>
                <w:sz w:val="20"/>
                <w:szCs w:val="20"/>
                <w:lang w:eastAsia="en-GB"/>
              </w:rPr>
            </w:pPr>
            <w:r w:rsidRPr="005A14A3">
              <w:rPr>
                <w:rFonts w:ascii="Arial" w:hAnsi="Arial" w:cs="Arial"/>
                <w:b/>
                <w:bCs/>
                <w:sz w:val="20"/>
                <w:szCs w:val="20"/>
                <w:lang w:eastAsia="en-GB"/>
              </w:rPr>
              <w:t>Royal College of Physicians</w:t>
            </w:r>
          </w:p>
        </w:tc>
        <w:tc>
          <w:tcPr>
            <w:tcW w:w="10914" w:type="dxa"/>
          </w:tcPr>
          <w:p w14:paraId="764927D1" w14:textId="77777777" w:rsidR="00B877ED" w:rsidRPr="005A14A3" w:rsidRDefault="00B877ED" w:rsidP="00B877ED">
            <w:pPr>
              <w:rPr>
                <w:rFonts w:ascii="Arial" w:hAnsi="Arial" w:cs="Arial"/>
                <w:sz w:val="20"/>
                <w:szCs w:val="20"/>
                <w:lang w:eastAsia="en-GB"/>
              </w:rPr>
            </w:pPr>
            <w:r w:rsidRPr="005A14A3">
              <w:rPr>
                <w:rFonts w:ascii="Arial" w:hAnsi="Arial" w:cs="Arial"/>
                <w:sz w:val="20"/>
                <w:szCs w:val="20"/>
                <w:lang w:val="en-US"/>
              </w:rPr>
              <w:t>The RCP is grateful for the opportunity to respond to the above consultation.</w:t>
            </w:r>
          </w:p>
          <w:p w14:paraId="6F896599" w14:textId="77777777" w:rsidR="00B877ED" w:rsidRPr="005A14A3" w:rsidRDefault="00B877ED" w:rsidP="00B877ED">
            <w:pPr>
              <w:rPr>
                <w:rFonts w:ascii="Arial" w:hAnsi="Arial" w:cs="Arial"/>
                <w:sz w:val="20"/>
                <w:szCs w:val="20"/>
              </w:rPr>
            </w:pPr>
            <w:r w:rsidRPr="005A14A3">
              <w:rPr>
                <w:rFonts w:ascii="Arial" w:hAnsi="Arial" w:cs="Arial"/>
                <w:sz w:val="20"/>
                <w:szCs w:val="20"/>
                <w:lang w:val="en-US"/>
              </w:rPr>
              <w:t>We would like to endorse the responses submitted by the British Association for Sexual Health &amp; HIV (BASHH) and British Thoracic Society (BTS).</w:t>
            </w:r>
          </w:p>
        </w:tc>
      </w:tr>
      <w:tr w:rsidR="00B877ED" w:rsidRPr="005A14A3" w14:paraId="09C7D93C" w14:textId="77777777" w:rsidTr="00AD1879">
        <w:tc>
          <w:tcPr>
            <w:tcW w:w="704" w:type="dxa"/>
          </w:tcPr>
          <w:p w14:paraId="365FA92F" w14:textId="1CAF0561" w:rsidR="00B877ED" w:rsidRPr="00B877ED" w:rsidRDefault="00B877ED" w:rsidP="00B877ED">
            <w:pPr>
              <w:jc w:val="center"/>
              <w:rPr>
                <w:rFonts w:ascii="Arial" w:hAnsi="Arial" w:cs="Arial"/>
                <w:b/>
                <w:sz w:val="20"/>
                <w:szCs w:val="20"/>
                <w:lang w:eastAsia="en-GB"/>
              </w:rPr>
            </w:pPr>
            <w:r w:rsidRPr="00B877ED">
              <w:rPr>
                <w:rFonts w:ascii="Calibri" w:hAnsi="Calibri" w:cs="Calibri"/>
                <w:b/>
                <w:color w:val="000000"/>
                <w:sz w:val="22"/>
                <w:szCs w:val="22"/>
              </w:rPr>
              <w:t>6</w:t>
            </w:r>
          </w:p>
        </w:tc>
        <w:tc>
          <w:tcPr>
            <w:tcW w:w="1276" w:type="dxa"/>
          </w:tcPr>
          <w:p w14:paraId="0D2EFFCA" w14:textId="055559B8" w:rsidR="00B877ED" w:rsidRPr="005A14A3" w:rsidRDefault="00B877ED" w:rsidP="00B877ED">
            <w:pPr>
              <w:jc w:val="center"/>
              <w:rPr>
                <w:rFonts w:ascii="Arial" w:hAnsi="Arial" w:cs="Arial"/>
                <w:b/>
                <w:sz w:val="20"/>
                <w:szCs w:val="20"/>
                <w:lang w:eastAsia="en-GB"/>
              </w:rPr>
            </w:pPr>
            <w:r w:rsidRPr="005A14A3">
              <w:rPr>
                <w:rFonts w:ascii="Arial" w:hAnsi="Arial" w:cs="Arial"/>
                <w:b/>
                <w:sz w:val="20"/>
                <w:szCs w:val="20"/>
                <w:lang w:eastAsia="en-GB"/>
              </w:rPr>
              <w:t>COPD</w:t>
            </w:r>
          </w:p>
        </w:tc>
        <w:tc>
          <w:tcPr>
            <w:tcW w:w="1843" w:type="dxa"/>
          </w:tcPr>
          <w:p w14:paraId="5F17ABF7" w14:textId="77777777" w:rsidR="00B877ED" w:rsidRPr="005A14A3" w:rsidRDefault="00B877ED" w:rsidP="00B877ED">
            <w:pPr>
              <w:jc w:val="center"/>
              <w:rPr>
                <w:rFonts w:ascii="Arial" w:hAnsi="Arial" w:cs="Arial"/>
                <w:b/>
                <w:sz w:val="20"/>
                <w:szCs w:val="20"/>
                <w:lang w:eastAsia="en-GB"/>
              </w:rPr>
            </w:pPr>
            <w:r w:rsidRPr="005A14A3">
              <w:rPr>
                <w:rFonts w:ascii="Arial" w:hAnsi="Arial" w:cs="Arial"/>
                <w:b/>
                <w:sz w:val="20"/>
                <w:szCs w:val="20"/>
                <w:lang w:eastAsia="en-GB"/>
              </w:rPr>
              <w:t>Action on Smoking and Health (ASH)</w:t>
            </w:r>
          </w:p>
        </w:tc>
        <w:tc>
          <w:tcPr>
            <w:tcW w:w="10914" w:type="dxa"/>
          </w:tcPr>
          <w:p w14:paraId="2A2D1CCA" w14:textId="77777777" w:rsidR="00B877ED" w:rsidRPr="005A14A3" w:rsidRDefault="00B877ED" w:rsidP="00B877ED">
            <w:pPr>
              <w:rPr>
                <w:rFonts w:ascii="Arial" w:hAnsi="Arial" w:cs="Arial"/>
                <w:sz w:val="20"/>
                <w:szCs w:val="20"/>
              </w:rPr>
            </w:pPr>
            <w:r w:rsidRPr="005A14A3">
              <w:rPr>
                <w:rFonts w:ascii="Arial" w:hAnsi="Arial" w:cs="Arial"/>
                <w:sz w:val="20"/>
                <w:szCs w:val="20"/>
              </w:rPr>
              <w:t>An important omission from the current proposals for COPD is an indicator relating to the treatment of tobacco dependency.</w:t>
            </w:r>
          </w:p>
          <w:p w14:paraId="1FB6471A" w14:textId="77777777" w:rsidR="00B877ED" w:rsidRPr="005A14A3" w:rsidRDefault="00B877ED" w:rsidP="00B877ED">
            <w:pPr>
              <w:rPr>
                <w:rFonts w:ascii="Arial" w:hAnsi="Arial" w:cs="Arial"/>
                <w:sz w:val="20"/>
                <w:szCs w:val="20"/>
              </w:rPr>
            </w:pPr>
          </w:p>
          <w:p w14:paraId="2ED2827E" w14:textId="4215CC0C" w:rsidR="00B877ED" w:rsidRPr="005A14A3" w:rsidRDefault="00B877ED" w:rsidP="00B877ED">
            <w:pPr>
              <w:rPr>
                <w:rFonts w:ascii="Arial" w:hAnsi="Arial" w:cs="Arial"/>
                <w:sz w:val="20"/>
                <w:szCs w:val="20"/>
                <w:vertAlign w:val="superscript"/>
              </w:rPr>
            </w:pPr>
            <w:r w:rsidRPr="005A14A3">
              <w:rPr>
                <w:rFonts w:ascii="Arial" w:hAnsi="Arial" w:cs="Arial"/>
                <w:sz w:val="20"/>
                <w:szCs w:val="20"/>
              </w:rPr>
              <w:lastRenderedPageBreak/>
              <w:t xml:space="preserve">Smoking accounts for 8 in 10 COPD deaths. Between 2015-17, 80,253 people in England died from COPD.  </w:t>
            </w:r>
          </w:p>
          <w:p w14:paraId="5CE4F1A4" w14:textId="77777777" w:rsidR="00B877ED" w:rsidRPr="005A14A3" w:rsidRDefault="00B877ED" w:rsidP="00B877ED">
            <w:pPr>
              <w:rPr>
                <w:rFonts w:ascii="Arial" w:hAnsi="Arial" w:cs="Arial"/>
                <w:sz w:val="20"/>
                <w:szCs w:val="20"/>
                <w:vertAlign w:val="superscript"/>
              </w:rPr>
            </w:pPr>
          </w:p>
          <w:p w14:paraId="5617008F" w14:textId="40CBC1C4" w:rsidR="00B877ED" w:rsidRPr="005A14A3" w:rsidRDefault="00B877ED" w:rsidP="00B877ED">
            <w:pPr>
              <w:rPr>
                <w:rFonts w:ascii="Arial" w:hAnsi="Arial" w:cs="Arial"/>
                <w:sz w:val="20"/>
                <w:szCs w:val="20"/>
              </w:rPr>
            </w:pPr>
            <w:r w:rsidRPr="005A14A3">
              <w:rPr>
                <w:rFonts w:ascii="Arial" w:hAnsi="Arial" w:cs="Arial"/>
                <w:sz w:val="20"/>
                <w:szCs w:val="20"/>
              </w:rPr>
              <w:t xml:space="preserve">As outlined in the Royal College of Physician’s recent report </w:t>
            </w:r>
            <w:r w:rsidRPr="005A14A3">
              <w:rPr>
                <w:rFonts w:ascii="Arial" w:hAnsi="Arial" w:cs="Arial"/>
                <w:i/>
                <w:sz w:val="20"/>
                <w:szCs w:val="20"/>
              </w:rPr>
              <w:t xml:space="preserve">Hiding in Plain Sight: Treating Tobacco Dependency in the NHS, </w:t>
            </w:r>
            <w:r w:rsidRPr="005A14A3">
              <w:rPr>
                <w:rFonts w:ascii="Arial" w:hAnsi="Arial" w:cs="Arial"/>
                <w:sz w:val="20"/>
                <w:szCs w:val="20"/>
              </w:rPr>
              <w:t xml:space="preserve">treating tobacco dependency amongst patients with COPD can deliver significant benefits to COPD prognosis. </w:t>
            </w:r>
            <w:r w:rsidRPr="005A14A3">
              <w:rPr>
                <w:rFonts w:ascii="Arial" w:hAnsi="Arial" w:cs="Arial"/>
                <w:i/>
                <w:sz w:val="20"/>
                <w:szCs w:val="20"/>
              </w:rPr>
              <w:t>A</w:t>
            </w:r>
            <w:r w:rsidRPr="005A14A3">
              <w:rPr>
                <w:rFonts w:ascii="Arial" w:hAnsi="Arial" w:cs="Arial"/>
                <w:sz w:val="20"/>
                <w:szCs w:val="20"/>
              </w:rPr>
              <w:t xml:space="preserve"> 2008 systematic review of the effects of smoking cessation in people with COPD concluded that cessation reduces the rate of disease profession (generally measured as decline in one-second forced expiratory volume FEV1) and overall mortality. Further, the Lung Health Study provided strong evidence of a sustained 50% reduction in the rate of decline in FEV1 among people with COPD who succeed in quitting smoking, and a significant reduction (from 10.38 per 1,000 person-years to 8.83 per 1,000 person-year, p=0.,03) in mortality.</w:t>
            </w:r>
          </w:p>
          <w:p w14:paraId="4B7D61F0" w14:textId="77777777" w:rsidR="00B877ED" w:rsidRPr="005A14A3" w:rsidRDefault="00B877ED" w:rsidP="00B877ED">
            <w:pPr>
              <w:rPr>
                <w:rFonts w:ascii="Arial" w:hAnsi="Arial" w:cs="Arial"/>
                <w:sz w:val="20"/>
                <w:szCs w:val="20"/>
              </w:rPr>
            </w:pPr>
          </w:p>
          <w:p w14:paraId="242314EC" w14:textId="41EADFB1" w:rsidR="00B877ED" w:rsidRPr="005A14A3" w:rsidRDefault="00B877ED" w:rsidP="00B877ED">
            <w:pPr>
              <w:rPr>
                <w:rFonts w:ascii="Arial" w:hAnsi="Arial" w:cs="Arial"/>
                <w:sz w:val="20"/>
                <w:szCs w:val="20"/>
              </w:rPr>
            </w:pPr>
            <w:r w:rsidRPr="005A14A3">
              <w:rPr>
                <w:rFonts w:ascii="Arial" w:hAnsi="Arial" w:cs="Arial"/>
                <w:sz w:val="20"/>
                <w:szCs w:val="20"/>
              </w:rPr>
              <w:t>Treating tobacco dependency should be considered important to every health professional’s role given the significant harm caused by smoking (the single largest preventable cause of death and disease in the UK) and the burden it places on the NHS (costing the health service around £2.5 billion annually). COPD is a major component of the financial. Of the £2.5 billion annual cost, £78 million is accounted for by COPD secondary care costs. Treating tobacco dependency in line with NICE guidance NG92 is a straightforward intervention which is highly cost-effective according to NICE’s own economic analysis.</w:t>
            </w:r>
          </w:p>
          <w:p w14:paraId="70E66850" w14:textId="77777777" w:rsidR="00B877ED" w:rsidRPr="005A14A3" w:rsidRDefault="00B877ED" w:rsidP="00B877ED">
            <w:pPr>
              <w:rPr>
                <w:rFonts w:ascii="Arial" w:hAnsi="Arial" w:cs="Arial"/>
                <w:sz w:val="20"/>
                <w:szCs w:val="20"/>
              </w:rPr>
            </w:pPr>
          </w:p>
          <w:p w14:paraId="523CC94F" w14:textId="300B7095" w:rsidR="00B877ED" w:rsidRPr="005A14A3" w:rsidRDefault="00B877ED" w:rsidP="00B877ED">
            <w:pPr>
              <w:rPr>
                <w:rFonts w:ascii="Arial" w:hAnsi="Arial" w:cs="Arial"/>
                <w:sz w:val="20"/>
                <w:szCs w:val="20"/>
                <w:lang w:eastAsia="en-GB"/>
              </w:rPr>
            </w:pPr>
            <w:r w:rsidRPr="005A14A3">
              <w:rPr>
                <w:rFonts w:ascii="Arial" w:hAnsi="Arial" w:cs="Arial"/>
                <w:sz w:val="20"/>
                <w:szCs w:val="20"/>
              </w:rPr>
              <w:t xml:space="preserve">Given the harm tobacco dependency has on COPD prognosis, treating it should be recognised as a priority. As detailed above, treating tobacco dependency is incredibly beneficial, proving both effective and cost-effective. An indicator encouraging the treatment of tobacco dependency amongst patients with COPD would ensure these benefits are reaped, significantly improving COPD outcomes and delivering savings to the NHS. It would also indicate to CCGs that restricting prescriptions of evidence-based pharmacotherapy for smoking cessation, behaviour identified by the British Lung Foundation’s report </w:t>
            </w:r>
            <w:r w:rsidRPr="005A14A3">
              <w:rPr>
                <w:rFonts w:ascii="Arial" w:hAnsi="Arial" w:cs="Arial"/>
                <w:i/>
                <w:sz w:val="20"/>
                <w:szCs w:val="20"/>
              </w:rPr>
              <w:t>Less Help to Quit</w:t>
            </w:r>
            <w:r w:rsidRPr="005A14A3">
              <w:rPr>
                <w:rFonts w:ascii="Arial" w:hAnsi="Arial" w:cs="Arial"/>
                <w:sz w:val="20"/>
                <w:szCs w:val="20"/>
              </w:rPr>
              <w:t xml:space="preserve">, is unacceptable and that treating tobacco dependency remains rightfully a priority for the NHS as highlighted in the Long Term Plan. </w:t>
            </w:r>
          </w:p>
          <w:p w14:paraId="6BE28CFB" w14:textId="77777777" w:rsidR="00B877ED" w:rsidRDefault="00B877ED" w:rsidP="00B877ED">
            <w:pPr>
              <w:autoSpaceDE w:val="0"/>
              <w:autoSpaceDN w:val="0"/>
              <w:adjustRightInd w:val="0"/>
              <w:rPr>
                <w:rFonts w:ascii="Arial" w:eastAsia="SegoeUISymbol" w:hAnsi="Arial" w:cs="Arial"/>
                <w:sz w:val="20"/>
                <w:szCs w:val="20"/>
                <w:lang w:eastAsia="en-GB"/>
              </w:rPr>
            </w:pPr>
          </w:p>
          <w:p w14:paraId="30670634" w14:textId="77777777" w:rsidR="00B877ED" w:rsidRPr="00F26CAD" w:rsidRDefault="00B877ED" w:rsidP="00B877ED">
            <w:pPr>
              <w:autoSpaceDE w:val="0"/>
              <w:autoSpaceDN w:val="0"/>
              <w:adjustRightInd w:val="0"/>
              <w:rPr>
                <w:rFonts w:ascii="Arial" w:eastAsia="SegoeUISymbol" w:hAnsi="Arial" w:cs="Arial"/>
                <w:sz w:val="20"/>
                <w:szCs w:val="20"/>
                <w:u w:val="single"/>
                <w:lang w:eastAsia="en-GB"/>
              </w:rPr>
            </w:pPr>
            <w:r w:rsidRPr="00F26CAD">
              <w:rPr>
                <w:rFonts w:ascii="Arial" w:eastAsia="SegoeUISymbol" w:hAnsi="Arial" w:cs="Arial"/>
                <w:sz w:val="20"/>
                <w:szCs w:val="20"/>
                <w:u w:val="single"/>
                <w:lang w:eastAsia="en-GB"/>
              </w:rPr>
              <w:t>References</w:t>
            </w:r>
          </w:p>
          <w:p w14:paraId="2F1F6BF7" w14:textId="76EAD1A5" w:rsidR="00B877ED" w:rsidRDefault="00B877ED" w:rsidP="00B877ED">
            <w:pPr>
              <w:autoSpaceDE w:val="0"/>
              <w:autoSpaceDN w:val="0"/>
              <w:adjustRightInd w:val="0"/>
              <w:rPr>
                <w:rFonts w:ascii="Arial" w:eastAsia="SegoeUISymbol" w:hAnsi="Arial" w:cs="Arial"/>
                <w:sz w:val="20"/>
                <w:szCs w:val="20"/>
                <w:lang w:eastAsia="en-GB"/>
              </w:rPr>
            </w:pPr>
            <w:r w:rsidRPr="00F26CAD">
              <w:rPr>
                <w:rFonts w:ascii="Arial" w:eastAsia="SegoeUISymbol" w:hAnsi="Arial" w:cs="Arial"/>
                <w:sz w:val="20"/>
                <w:szCs w:val="20"/>
                <w:lang w:eastAsia="en-GB"/>
              </w:rPr>
              <w:t xml:space="preserve">US Department of Health and Human Service. (2014). The Health Consequences of Smoking-50 years of progress: A report of the Surgeon General. Link: </w:t>
            </w:r>
            <w:hyperlink r:id="rId17" w:history="1">
              <w:r w:rsidRPr="007C64FF">
                <w:rPr>
                  <w:rStyle w:val="Hyperlink"/>
                  <w:rFonts w:ascii="Arial" w:eastAsia="SegoeUISymbol" w:hAnsi="Arial" w:cs="Arial"/>
                  <w:sz w:val="20"/>
                  <w:szCs w:val="20"/>
                  <w:lang w:eastAsia="en-GB"/>
                </w:rPr>
                <w:t>https://www.surgeongeneral.gov/library/reports/50-years-of-progress/full-report.pdf</w:t>
              </w:r>
            </w:hyperlink>
          </w:p>
          <w:p w14:paraId="45D34738" w14:textId="16799DB8" w:rsidR="00B877ED" w:rsidRDefault="00B877ED" w:rsidP="00B877ED">
            <w:pPr>
              <w:autoSpaceDE w:val="0"/>
              <w:autoSpaceDN w:val="0"/>
              <w:adjustRightInd w:val="0"/>
              <w:rPr>
                <w:rFonts w:ascii="Arial" w:eastAsia="SegoeUISymbol" w:hAnsi="Arial" w:cs="Arial"/>
                <w:sz w:val="20"/>
                <w:szCs w:val="20"/>
                <w:lang w:eastAsia="en-GB"/>
              </w:rPr>
            </w:pPr>
            <w:r w:rsidRPr="00F26CAD">
              <w:rPr>
                <w:rFonts w:ascii="Arial" w:eastAsia="SegoeUISymbol" w:hAnsi="Arial" w:cs="Arial"/>
                <w:sz w:val="20"/>
                <w:szCs w:val="20"/>
                <w:lang w:eastAsia="en-GB"/>
              </w:rPr>
              <w:t xml:space="preserve">Public Health England. Local tobacco control profiles. Accessed May 2019. Link: </w:t>
            </w:r>
            <w:hyperlink r:id="rId18" w:anchor="page/3/gid/1938132887/pat/15/par/E92000001/ati/6/are/E12000007/iid/1204/age/1/sex/4" w:history="1">
              <w:r w:rsidRPr="007C64FF">
                <w:rPr>
                  <w:rStyle w:val="Hyperlink"/>
                  <w:rFonts w:ascii="Arial" w:eastAsia="SegoeUISymbol" w:hAnsi="Arial" w:cs="Arial"/>
                  <w:sz w:val="20"/>
                  <w:szCs w:val="20"/>
                  <w:lang w:eastAsia="en-GB"/>
                </w:rPr>
                <w:t>https://fingertips.phe.org.uk/profile/tobacco-control/data#page/3/gid/1938132887/pat/15/par/E92000001/ati/6/are/E12000007/iid/1204/age/1/sex/4</w:t>
              </w:r>
            </w:hyperlink>
          </w:p>
          <w:p w14:paraId="28486327" w14:textId="286C0802" w:rsidR="00B877ED" w:rsidRDefault="00B877ED" w:rsidP="00B877ED">
            <w:pPr>
              <w:autoSpaceDE w:val="0"/>
              <w:autoSpaceDN w:val="0"/>
              <w:adjustRightInd w:val="0"/>
              <w:rPr>
                <w:rFonts w:ascii="Arial" w:eastAsia="SegoeUISymbol" w:hAnsi="Arial" w:cs="Arial"/>
                <w:sz w:val="20"/>
                <w:szCs w:val="20"/>
                <w:lang w:eastAsia="en-GB"/>
              </w:rPr>
            </w:pPr>
            <w:r w:rsidRPr="00F26CAD">
              <w:rPr>
                <w:rFonts w:ascii="Arial" w:eastAsia="SegoeUISymbol" w:hAnsi="Arial" w:cs="Arial"/>
                <w:sz w:val="20"/>
                <w:szCs w:val="20"/>
                <w:lang w:eastAsia="en-GB"/>
              </w:rPr>
              <w:t xml:space="preserve">Royal College of Physicians. Hiding in plain sight: Treating tobacco dependency in the NHS. </w:t>
            </w:r>
            <w:proofErr w:type="gramStart"/>
            <w:r w:rsidRPr="00F26CAD">
              <w:rPr>
                <w:rFonts w:ascii="Arial" w:eastAsia="SegoeUISymbol" w:hAnsi="Arial" w:cs="Arial"/>
                <w:sz w:val="20"/>
                <w:szCs w:val="20"/>
                <w:lang w:eastAsia="en-GB"/>
              </w:rPr>
              <w:t>June,</w:t>
            </w:r>
            <w:proofErr w:type="gramEnd"/>
            <w:r w:rsidRPr="00F26CAD">
              <w:rPr>
                <w:rFonts w:ascii="Arial" w:eastAsia="SegoeUISymbol" w:hAnsi="Arial" w:cs="Arial"/>
                <w:sz w:val="20"/>
                <w:szCs w:val="20"/>
                <w:lang w:eastAsia="en-GB"/>
              </w:rPr>
              <w:t xml:space="preserve"> 2018. Link: </w:t>
            </w:r>
            <w:hyperlink r:id="rId19" w:history="1">
              <w:r w:rsidRPr="007C64FF">
                <w:rPr>
                  <w:rStyle w:val="Hyperlink"/>
                  <w:rFonts w:ascii="Arial" w:eastAsia="SegoeUISymbol" w:hAnsi="Arial" w:cs="Arial"/>
                  <w:sz w:val="20"/>
                  <w:szCs w:val="20"/>
                  <w:lang w:eastAsia="en-GB"/>
                </w:rPr>
                <w:t>https://www.rcplondon.ac.uk/projects/outputs/hiding-plain-sight-treating-tobacco-dependency-nhs</w:t>
              </w:r>
            </w:hyperlink>
          </w:p>
          <w:p w14:paraId="4B5D89AA" w14:textId="17A8CF87" w:rsidR="00B877ED" w:rsidRDefault="00B877ED" w:rsidP="00B877ED">
            <w:pPr>
              <w:autoSpaceDE w:val="0"/>
              <w:autoSpaceDN w:val="0"/>
              <w:adjustRightInd w:val="0"/>
              <w:rPr>
                <w:rFonts w:ascii="Arial" w:eastAsia="SegoeUISymbol" w:hAnsi="Arial" w:cs="Arial"/>
                <w:sz w:val="20"/>
                <w:szCs w:val="20"/>
                <w:lang w:eastAsia="en-GB"/>
              </w:rPr>
            </w:pPr>
            <w:proofErr w:type="spellStart"/>
            <w:r w:rsidRPr="00F26CAD">
              <w:rPr>
                <w:rFonts w:ascii="Arial" w:eastAsia="SegoeUISymbol" w:hAnsi="Arial" w:cs="Arial"/>
                <w:sz w:val="20"/>
                <w:szCs w:val="20"/>
                <w:lang w:eastAsia="en-GB"/>
              </w:rPr>
              <w:t>Godtfredsen</w:t>
            </w:r>
            <w:proofErr w:type="spellEnd"/>
            <w:r w:rsidRPr="00F26CAD">
              <w:rPr>
                <w:rFonts w:ascii="Arial" w:eastAsia="SegoeUISymbol" w:hAnsi="Arial" w:cs="Arial"/>
                <w:sz w:val="20"/>
                <w:szCs w:val="20"/>
                <w:lang w:eastAsia="en-GB"/>
              </w:rPr>
              <w:t xml:space="preserve"> NS, Lam TH, Hansel TT et al. COPD-related morbidity and mortality after smoking cessation: status of the evidence. Eur Respir J </w:t>
            </w:r>
            <w:proofErr w:type="gramStart"/>
            <w:r w:rsidRPr="00F26CAD">
              <w:rPr>
                <w:rFonts w:ascii="Arial" w:eastAsia="SegoeUISymbol" w:hAnsi="Arial" w:cs="Arial"/>
                <w:sz w:val="20"/>
                <w:szCs w:val="20"/>
                <w:lang w:eastAsia="en-GB"/>
              </w:rPr>
              <w:t>2008;32:844</w:t>
            </w:r>
            <w:proofErr w:type="gramEnd"/>
            <w:r w:rsidRPr="00F26CAD">
              <w:rPr>
                <w:rFonts w:ascii="Arial" w:eastAsia="SegoeUISymbol" w:hAnsi="Arial" w:cs="Arial"/>
                <w:sz w:val="20"/>
                <w:szCs w:val="20"/>
                <w:lang w:eastAsia="en-GB"/>
              </w:rPr>
              <w:t xml:space="preserve">–53. Link: </w:t>
            </w:r>
            <w:hyperlink r:id="rId20" w:history="1">
              <w:r w:rsidRPr="007C64FF">
                <w:rPr>
                  <w:rStyle w:val="Hyperlink"/>
                  <w:rFonts w:ascii="Arial" w:eastAsia="SegoeUISymbol" w:hAnsi="Arial" w:cs="Arial"/>
                  <w:sz w:val="20"/>
                  <w:szCs w:val="20"/>
                  <w:lang w:eastAsia="en-GB"/>
                </w:rPr>
                <w:t>https://www.ncbi.nlm.nih.gov/pubmed/18827152</w:t>
              </w:r>
            </w:hyperlink>
          </w:p>
          <w:p w14:paraId="264C0479" w14:textId="40B1CD9E" w:rsidR="00B877ED" w:rsidRDefault="00B877ED" w:rsidP="00B877ED">
            <w:pPr>
              <w:autoSpaceDE w:val="0"/>
              <w:autoSpaceDN w:val="0"/>
              <w:adjustRightInd w:val="0"/>
              <w:rPr>
                <w:rFonts w:ascii="Arial" w:eastAsia="SegoeUISymbol" w:hAnsi="Arial" w:cs="Arial"/>
                <w:sz w:val="20"/>
                <w:szCs w:val="20"/>
                <w:lang w:eastAsia="en-GB"/>
              </w:rPr>
            </w:pPr>
            <w:proofErr w:type="spellStart"/>
            <w:r w:rsidRPr="00F26CAD">
              <w:rPr>
                <w:rFonts w:ascii="Arial" w:eastAsia="SegoeUISymbol" w:hAnsi="Arial" w:cs="Arial"/>
                <w:sz w:val="20"/>
                <w:szCs w:val="20"/>
                <w:lang w:eastAsia="en-GB"/>
              </w:rPr>
              <w:lastRenderedPageBreak/>
              <w:t>Anthonisen</w:t>
            </w:r>
            <w:proofErr w:type="spellEnd"/>
            <w:r w:rsidRPr="00F26CAD">
              <w:rPr>
                <w:rFonts w:ascii="Arial" w:eastAsia="SegoeUISymbol" w:hAnsi="Arial" w:cs="Arial"/>
                <w:sz w:val="20"/>
                <w:szCs w:val="20"/>
                <w:lang w:eastAsia="en-GB"/>
              </w:rPr>
              <w:t xml:space="preserve"> NR, </w:t>
            </w:r>
            <w:proofErr w:type="spellStart"/>
            <w:r w:rsidRPr="00F26CAD">
              <w:rPr>
                <w:rFonts w:ascii="Arial" w:eastAsia="SegoeUISymbol" w:hAnsi="Arial" w:cs="Arial"/>
                <w:sz w:val="20"/>
                <w:szCs w:val="20"/>
                <w:lang w:eastAsia="en-GB"/>
              </w:rPr>
              <w:t>Skeans</w:t>
            </w:r>
            <w:proofErr w:type="spellEnd"/>
            <w:r w:rsidRPr="00F26CAD">
              <w:rPr>
                <w:rFonts w:ascii="Arial" w:eastAsia="SegoeUISymbol" w:hAnsi="Arial" w:cs="Arial"/>
                <w:sz w:val="20"/>
                <w:szCs w:val="20"/>
                <w:lang w:eastAsia="en-GB"/>
              </w:rPr>
              <w:t xml:space="preserve"> MA, Wise RA et al. The effects of a smoking cessation intervention on 14.5-year mortality: a randomized clinical trial. Ann Intern Med </w:t>
            </w:r>
            <w:proofErr w:type="gramStart"/>
            <w:r w:rsidRPr="00F26CAD">
              <w:rPr>
                <w:rFonts w:ascii="Arial" w:eastAsia="SegoeUISymbol" w:hAnsi="Arial" w:cs="Arial"/>
                <w:sz w:val="20"/>
                <w:szCs w:val="20"/>
                <w:lang w:eastAsia="en-GB"/>
              </w:rPr>
              <w:t>2005;142:233</w:t>
            </w:r>
            <w:proofErr w:type="gramEnd"/>
            <w:r w:rsidRPr="00F26CAD">
              <w:rPr>
                <w:rFonts w:ascii="Arial" w:eastAsia="SegoeUISymbol" w:hAnsi="Arial" w:cs="Arial"/>
                <w:sz w:val="20"/>
                <w:szCs w:val="20"/>
                <w:lang w:eastAsia="en-GB"/>
              </w:rPr>
              <w:t xml:space="preserve">–9. Link: </w:t>
            </w:r>
            <w:hyperlink r:id="rId21" w:history="1">
              <w:r w:rsidRPr="007C64FF">
                <w:rPr>
                  <w:rStyle w:val="Hyperlink"/>
                  <w:rFonts w:ascii="Arial" w:eastAsia="SegoeUISymbol" w:hAnsi="Arial" w:cs="Arial"/>
                  <w:sz w:val="20"/>
                  <w:szCs w:val="20"/>
                  <w:lang w:eastAsia="en-GB"/>
                </w:rPr>
                <w:t>https://www.ncbi.nlm.nih.gov/pubmed/15710956</w:t>
              </w:r>
            </w:hyperlink>
          </w:p>
          <w:p w14:paraId="7E686102" w14:textId="0A1A10CA" w:rsidR="00B877ED" w:rsidRDefault="00B877ED" w:rsidP="00B877ED">
            <w:pPr>
              <w:autoSpaceDE w:val="0"/>
              <w:autoSpaceDN w:val="0"/>
              <w:adjustRightInd w:val="0"/>
              <w:rPr>
                <w:rFonts w:ascii="Arial" w:eastAsia="SegoeUISymbol" w:hAnsi="Arial" w:cs="Arial"/>
                <w:sz w:val="20"/>
                <w:szCs w:val="20"/>
                <w:lang w:eastAsia="en-GB"/>
              </w:rPr>
            </w:pPr>
            <w:r w:rsidRPr="00F26CAD">
              <w:rPr>
                <w:rFonts w:ascii="Arial" w:eastAsia="SegoeUISymbol" w:hAnsi="Arial" w:cs="Arial"/>
                <w:sz w:val="20"/>
                <w:szCs w:val="20"/>
                <w:lang w:eastAsia="en-GB"/>
              </w:rPr>
              <w:t xml:space="preserve">NHS Digital. Statistics on Smoking - </w:t>
            </w:r>
            <w:proofErr w:type="gramStart"/>
            <w:r w:rsidRPr="00F26CAD">
              <w:rPr>
                <w:rFonts w:ascii="Arial" w:eastAsia="SegoeUISymbol" w:hAnsi="Arial" w:cs="Arial"/>
                <w:sz w:val="20"/>
                <w:szCs w:val="20"/>
                <w:lang w:eastAsia="en-GB"/>
              </w:rPr>
              <w:t>England ,</w:t>
            </w:r>
            <w:proofErr w:type="gramEnd"/>
            <w:r w:rsidRPr="00F26CAD">
              <w:rPr>
                <w:rFonts w:ascii="Arial" w:eastAsia="SegoeUISymbol" w:hAnsi="Arial" w:cs="Arial"/>
                <w:sz w:val="20"/>
                <w:szCs w:val="20"/>
                <w:lang w:eastAsia="en-GB"/>
              </w:rPr>
              <w:t xml:space="preserve"> 2018 [PAS]. </w:t>
            </w:r>
            <w:proofErr w:type="gramStart"/>
            <w:r w:rsidRPr="00F26CAD">
              <w:rPr>
                <w:rFonts w:ascii="Arial" w:eastAsia="SegoeUISymbol" w:hAnsi="Arial" w:cs="Arial"/>
                <w:sz w:val="20"/>
                <w:szCs w:val="20"/>
                <w:lang w:eastAsia="en-GB"/>
              </w:rPr>
              <w:t>July,</w:t>
            </w:r>
            <w:proofErr w:type="gramEnd"/>
            <w:r w:rsidRPr="00F26CAD">
              <w:rPr>
                <w:rFonts w:ascii="Arial" w:eastAsia="SegoeUISymbol" w:hAnsi="Arial" w:cs="Arial"/>
                <w:sz w:val="20"/>
                <w:szCs w:val="20"/>
                <w:lang w:eastAsia="en-GB"/>
              </w:rPr>
              <w:t xml:space="preserve"> 2018. Link: </w:t>
            </w:r>
            <w:hyperlink r:id="rId22" w:history="1">
              <w:r w:rsidRPr="007C64FF">
                <w:rPr>
                  <w:rStyle w:val="Hyperlink"/>
                  <w:rFonts w:ascii="Arial" w:eastAsia="SegoeUISymbol" w:hAnsi="Arial" w:cs="Arial"/>
                  <w:sz w:val="20"/>
                  <w:szCs w:val="20"/>
                  <w:lang w:eastAsia="en-GB"/>
                </w:rPr>
                <w:t>https://digital.nhs.uk/data-and-information/publications/statistical/statistics-on-smoking/statistics-on-smoking-england-2018</w:t>
              </w:r>
            </w:hyperlink>
          </w:p>
          <w:p w14:paraId="11873319" w14:textId="2C34D8A6" w:rsidR="00B877ED" w:rsidRDefault="00B877ED" w:rsidP="00B877ED">
            <w:pPr>
              <w:autoSpaceDE w:val="0"/>
              <w:autoSpaceDN w:val="0"/>
              <w:adjustRightInd w:val="0"/>
              <w:rPr>
                <w:rFonts w:ascii="Arial" w:eastAsia="SegoeUISymbol" w:hAnsi="Arial" w:cs="Arial"/>
                <w:sz w:val="20"/>
                <w:szCs w:val="20"/>
                <w:lang w:eastAsia="en-GB"/>
              </w:rPr>
            </w:pPr>
            <w:r w:rsidRPr="00F26CAD">
              <w:rPr>
                <w:rFonts w:ascii="Arial" w:eastAsia="SegoeUISymbol" w:hAnsi="Arial" w:cs="Arial"/>
                <w:sz w:val="20"/>
                <w:szCs w:val="20"/>
                <w:lang w:eastAsia="en-GB"/>
              </w:rPr>
              <w:t xml:space="preserve">Department of Health. Towards a </w:t>
            </w:r>
            <w:proofErr w:type="spellStart"/>
            <w:r w:rsidRPr="00F26CAD">
              <w:rPr>
                <w:rFonts w:ascii="Arial" w:eastAsia="SegoeUISymbol" w:hAnsi="Arial" w:cs="Arial"/>
                <w:sz w:val="20"/>
                <w:szCs w:val="20"/>
                <w:lang w:eastAsia="en-GB"/>
              </w:rPr>
              <w:t>Smokefree</w:t>
            </w:r>
            <w:proofErr w:type="spellEnd"/>
            <w:r w:rsidRPr="00F26CAD">
              <w:rPr>
                <w:rFonts w:ascii="Arial" w:eastAsia="SegoeUISymbol" w:hAnsi="Arial" w:cs="Arial"/>
                <w:sz w:val="20"/>
                <w:szCs w:val="20"/>
                <w:lang w:eastAsia="en-GB"/>
              </w:rPr>
              <w:t xml:space="preserve"> Generation: A tobacco control plan for England. </w:t>
            </w:r>
            <w:proofErr w:type="gramStart"/>
            <w:r w:rsidRPr="00F26CAD">
              <w:rPr>
                <w:rFonts w:ascii="Arial" w:eastAsia="SegoeUISymbol" w:hAnsi="Arial" w:cs="Arial"/>
                <w:sz w:val="20"/>
                <w:szCs w:val="20"/>
                <w:lang w:eastAsia="en-GB"/>
              </w:rPr>
              <w:t>July,</w:t>
            </w:r>
            <w:proofErr w:type="gramEnd"/>
            <w:r w:rsidRPr="00F26CAD">
              <w:rPr>
                <w:rFonts w:ascii="Arial" w:eastAsia="SegoeUISymbol" w:hAnsi="Arial" w:cs="Arial"/>
                <w:sz w:val="20"/>
                <w:szCs w:val="20"/>
                <w:lang w:eastAsia="en-GB"/>
              </w:rPr>
              <w:t xml:space="preserve"> 2017. Link: </w:t>
            </w:r>
            <w:hyperlink r:id="rId23" w:history="1">
              <w:r w:rsidRPr="007C64FF">
                <w:rPr>
                  <w:rStyle w:val="Hyperlink"/>
                  <w:rFonts w:ascii="Arial" w:eastAsia="SegoeUISymbol" w:hAnsi="Arial" w:cs="Arial"/>
                  <w:sz w:val="20"/>
                  <w:szCs w:val="20"/>
                  <w:lang w:eastAsia="en-GB"/>
                </w:rPr>
                <w:t>https://assets.publishing.service.gov.uk/government/uploads/system/uploads/attachment_data/file/630217/Towards_a_Smoke_free_Generation_-_A_Tobacco_Control_Plan_for_England_2017-2022__2_.pdf</w:t>
              </w:r>
            </w:hyperlink>
          </w:p>
          <w:p w14:paraId="0BB1332D" w14:textId="74EB666C" w:rsidR="00B877ED" w:rsidRDefault="00B877ED" w:rsidP="00B877ED">
            <w:pPr>
              <w:autoSpaceDE w:val="0"/>
              <w:autoSpaceDN w:val="0"/>
              <w:adjustRightInd w:val="0"/>
              <w:rPr>
                <w:rFonts w:ascii="Arial" w:eastAsia="SegoeUISymbol" w:hAnsi="Arial" w:cs="Arial"/>
                <w:sz w:val="20"/>
                <w:szCs w:val="20"/>
                <w:lang w:eastAsia="en-GB"/>
              </w:rPr>
            </w:pPr>
            <w:r w:rsidRPr="00F26CAD">
              <w:rPr>
                <w:rFonts w:ascii="Arial" w:eastAsia="SegoeUISymbol" w:hAnsi="Arial" w:cs="Arial"/>
                <w:sz w:val="20"/>
                <w:szCs w:val="20"/>
                <w:lang w:eastAsia="en-GB"/>
              </w:rPr>
              <w:t xml:space="preserve">National Institute for Health and Care Excellence (NICE). Stop smoking interventions and services. </w:t>
            </w:r>
            <w:proofErr w:type="gramStart"/>
            <w:r w:rsidRPr="00F26CAD">
              <w:rPr>
                <w:rFonts w:ascii="Arial" w:eastAsia="SegoeUISymbol" w:hAnsi="Arial" w:cs="Arial"/>
                <w:sz w:val="20"/>
                <w:szCs w:val="20"/>
                <w:lang w:eastAsia="en-GB"/>
              </w:rPr>
              <w:t>March,</w:t>
            </w:r>
            <w:proofErr w:type="gramEnd"/>
            <w:r w:rsidRPr="00F26CAD">
              <w:rPr>
                <w:rFonts w:ascii="Arial" w:eastAsia="SegoeUISymbol" w:hAnsi="Arial" w:cs="Arial"/>
                <w:sz w:val="20"/>
                <w:szCs w:val="20"/>
                <w:lang w:eastAsia="en-GB"/>
              </w:rPr>
              <w:t xml:space="preserve"> 2018. Accessed May 2019. Link: </w:t>
            </w:r>
            <w:hyperlink r:id="rId24" w:history="1">
              <w:r w:rsidRPr="007C64FF">
                <w:rPr>
                  <w:rStyle w:val="Hyperlink"/>
                  <w:rFonts w:ascii="Arial" w:eastAsia="SegoeUISymbol" w:hAnsi="Arial" w:cs="Arial"/>
                  <w:sz w:val="20"/>
                  <w:szCs w:val="20"/>
                  <w:lang w:eastAsia="en-GB"/>
                </w:rPr>
                <w:t>www.nice.org.uk/guidance/ng92</w:t>
              </w:r>
            </w:hyperlink>
          </w:p>
          <w:p w14:paraId="2E7353F0" w14:textId="03165844" w:rsidR="00B877ED" w:rsidRDefault="00B877ED" w:rsidP="00B877ED">
            <w:pPr>
              <w:autoSpaceDE w:val="0"/>
              <w:autoSpaceDN w:val="0"/>
              <w:adjustRightInd w:val="0"/>
              <w:rPr>
                <w:rFonts w:ascii="Arial" w:eastAsia="SegoeUISymbol" w:hAnsi="Arial" w:cs="Arial"/>
                <w:sz w:val="20"/>
                <w:szCs w:val="20"/>
                <w:lang w:eastAsia="en-GB"/>
              </w:rPr>
            </w:pPr>
            <w:r w:rsidRPr="00F26CAD">
              <w:rPr>
                <w:rFonts w:ascii="Arial" w:eastAsia="SegoeUISymbol" w:hAnsi="Arial" w:cs="Arial"/>
                <w:sz w:val="20"/>
                <w:szCs w:val="20"/>
                <w:lang w:eastAsia="en-GB"/>
              </w:rPr>
              <w:t xml:space="preserve">British Lung Foundation. Less help to quit: What’s happening to stop smoking prescriptions across Britain. </w:t>
            </w:r>
            <w:proofErr w:type="gramStart"/>
            <w:r w:rsidRPr="00F26CAD">
              <w:rPr>
                <w:rFonts w:ascii="Arial" w:eastAsia="SegoeUISymbol" w:hAnsi="Arial" w:cs="Arial"/>
                <w:sz w:val="20"/>
                <w:szCs w:val="20"/>
                <w:lang w:eastAsia="en-GB"/>
              </w:rPr>
              <w:t>July,</w:t>
            </w:r>
            <w:proofErr w:type="gramEnd"/>
            <w:r w:rsidRPr="00F26CAD">
              <w:rPr>
                <w:rFonts w:ascii="Arial" w:eastAsia="SegoeUISymbol" w:hAnsi="Arial" w:cs="Arial"/>
                <w:sz w:val="20"/>
                <w:szCs w:val="20"/>
                <w:lang w:eastAsia="en-GB"/>
              </w:rPr>
              <w:t xml:space="preserve"> 2018. Link: </w:t>
            </w:r>
            <w:hyperlink r:id="rId25" w:history="1">
              <w:r w:rsidRPr="007C64FF">
                <w:rPr>
                  <w:rStyle w:val="Hyperlink"/>
                  <w:rFonts w:ascii="Arial" w:eastAsia="SegoeUISymbol" w:hAnsi="Arial" w:cs="Arial"/>
                  <w:sz w:val="20"/>
                  <w:szCs w:val="20"/>
                  <w:lang w:eastAsia="en-GB"/>
                </w:rPr>
                <w:t>https://www.blf.org.uk/policy/less-help-to-quit</w:t>
              </w:r>
            </w:hyperlink>
          </w:p>
          <w:p w14:paraId="0103CC78" w14:textId="7A9E6D39" w:rsidR="00B877ED" w:rsidRPr="005A14A3" w:rsidRDefault="00B877ED" w:rsidP="00B877ED">
            <w:pPr>
              <w:autoSpaceDE w:val="0"/>
              <w:autoSpaceDN w:val="0"/>
              <w:adjustRightInd w:val="0"/>
              <w:rPr>
                <w:rFonts w:ascii="Arial" w:eastAsia="SegoeUISymbol" w:hAnsi="Arial" w:cs="Arial"/>
                <w:sz w:val="20"/>
                <w:szCs w:val="20"/>
                <w:lang w:eastAsia="en-GB"/>
              </w:rPr>
            </w:pPr>
            <w:r w:rsidRPr="00F26CAD">
              <w:rPr>
                <w:rFonts w:ascii="Arial" w:eastAsia="SegoeUISymbol" w:hAnsi="Arial" w:cs="Arial"/>
                <w:sz w:val="20"/>
                <w:szCs w:val="20"/>
                <w:lang w:eastAsia="en-GB"/>
              </w:rPr>
              <w:t xml:space="preserve">NHS England. The NHS Long Term Plan. </w:t>
            </w:r>
            <w:proofErr w:type="gramStart"/>
            <w:r w:rsidRPr="00F26CAD">
              <w:rPr>
                <w:rFonts w:ascii="Arial" w:eastAsia="SegoeUISymbol" w:hAnsi="Arial" w:cs="Arial"/>
                <w:sz w:val="20"/>
                <w:szCs w:val="20"/>
                <w:lang w:eastAsia="en-GB"/>
              </w:rPr>
              <w:t>January,</w:t>
            </w:r>
            <w:proofErr w:type="gramEnd"/>
            <w:r w:rsidRPr="00F26CAD">
              <w:rPr>
                <w:rFonts w:ascii="Arial" w:eastAsia="SegoeUISymbol" w:hAnsi="Arial" w:cs="Arial"/>
                <w:sz w:val="20"/>
                <w:szCs w:val="20"/>
                <w:lang w:eastAsia="en-GB"/>
              </w:rPr>
              <w:t xml:space="preserve"> 2019. Link: </w:t>
            </w:r>
            <w:hyperlink r:id="rId26" w:history="1">
              <w:r w:rsidRPr="007C64FF">
                <w:rPr>
                  <w:rStyle w:val="Hyperlink"/>
                  <w:rFonts w:ascii="Arial" w:eastAsia="SegoeUISymbol" w:hAnsi="Arial" w:cs="Arial"/>
                  <w:sz w:val="20"/>
                  <w:szCs w:val="20"/>
                  <w:lang w:eastAsia="en-GB"/>
                </w:rPr>
                <w:t>https://www.longtermplan.nhs.uk/wp-content/uploads/2019/01/nhs-long-term-plan.pdf</w:t>
              </w:r>
            </w:hyperlink>
            <w:r>
              <w:rPr>
                <w:rFonts w:ascii="Arial" w:eastAsia="SegoeUISymbol" w:hAnsi="Arial" w:cs="Arial"/>
                <w:sz w:val="20"/>
                <w:szCs w:val="20"/>
                <w:lang w:eastAsia="en-GB"/>
              </w:rPr>
              <w:t xml:space="preserve"> </w:t>
            </w:r>
          </w:p>
        </w:tc>
      </w:tr>
      <w:tr w:rsidR="00B877ED" w:rsidRPr="005A14A3" w14:paraId="613615F5" w14:textId="77777777" w:rsidTr="00AD1879">
        <w:tc>
          <w:tcPr>
            <w:tcW w:w="704" w:type="dxa"/>
          </w:tcPr>
          <w:p w14:paraId="49A19007" w14:textId="016E0B18" w:rsidR="00B877ED" w:rsidRPr="00B877ED" w:rsidRDefault="00B877ED" w:rsidP="00B877ED">
            <w:pPr>
              <w:jc w:val="center"/>
              <w:rPr>
                <w:rFonts w:ascii="Arial" w:hAnsi="Arial" w:cs="Arial"/>
                <w:b/>
                <w:sz w:val="20"/>
                <w:szCs w:val="20"/>
                <w:lang w:eastAsia="en-GB"/>
              </w:rPr>
            </w:pPr>
            <w:r w:rsidRPr="00B877ED">
              <w:rPr>
                <w:rFonts w:ascii="Calibri" w:hAnsi="Calibri" w:cs="Calibri"/>
                <w:b/>
                <w:color w:val="000000"/>
                <w:sz w:val="22"/>
                <w:szCs w:val="22"/>
              </w:rPr>
              <w:lastRenderedPageBreak/>
              <w:t>7</w:t>
            </w:r>
          </w:p>
        </w:tc>
        <w:tc>
          <w:tcPr>
            <w:tcW w:w="1276" w:type="dxa"/>
          </w:tcPr>
          <w:p w14:paraId="52E58AC5" w14:textId="0EEA328A" w:rsidR="00B877ED" w:rsidRPr="005A14A3" w:rsidRDefault="00B877ED" w:rsidP="00B877ED">
            <w:pPr>
              <w:jc w:val="center"/>
              <w:rPr>
                <w:rFonts w:ascii="Arial" w:hAnsi="Arial" w:cs="Arial"/>
                <w:b/>
                <w:sz w:val="20"/>
                <w:szCs w:val="20"/>
                <w:lang w:eastAsia="en-GB"/>
              </w:rPr>
            </w:pPr>
            <w:r w:rsidRPr="005A14A3">
              <w:rPr>
                <w:rFonts w:ascii="Arial" w:hAnsi="Arial" w:cs="Arial"/>
                <w:b/>
                <w:sz w:val="20"/>
                <w:szCs w:val="20"/>
                <w:lang w:eastAsia="en-GB"/>
              </w:rPr>
              <w:t>COPD</w:t>
            </w:r>
          </w:p>
        </w:tc>
        <w:tc>
          <w:tcPr>
            <w:tcW w:w="1843" w:type="dxa"/>
          </w:tcPr>
          <w:p w14:paraId="4B0980D8" w14:textId="77777777" w:rsidR="00B877ED" w:rsidRPr="005A14A3" w:rsidRDefault="00B877ED" w:rsidP="00B877ED">
            <w:pPr>
              <w:jc w:val="center"/>
              <w:rPr>
                <w:rFonts w:ascii="Arial" w:hAnsi="Arial" w:cs="Arial"/>
                <w:b/>
                <w:sz w:val="20"/>
                <w:szCs w:val="20"/>
                <w:lang w:eastAsia="en-GB"/>
              </w:rPr>
            </w:pPr>
            <w:r w:rsidRPr="005A14A3">
              <w:rPr>
                <w:rFonts w:ascii="Arial" w:hAnsi="Arial" w:cs="Arial"/>
                <w:b/>
                <w:sz w:val="20"/>
                <w:szCs w:val="20"/>
                <w:lang w:eastAsia="en-GB"/>
              </w:rPr>
              <w:t>British Dietetic Association</w:t>
            </w:r>
          </w:p>
        </w:tc>
        <w:tc>
          <w:tcPr>
            <w:tcW w:w="10914" w:type="dxa"/>
          </w:tcPr>
          <w:p w14:paraId="46A0B563" w14:textId="77777777" w:rsidR="00B877ED" w:rsidRPr="005A14A3" w:rsidRDefault="00B877ED" w:rsidP="00B877ED">
            <w:pPr>
              <w:rPr>
                <w:rFonts w:ascii="Arial" w:hAnsi="Arial" w:cs="Arial"/>
                <w:sz w:val="20"/>
                <w:szCs w:val="20"/>
              </w:rPr>
            </w:pPr>
            <w:r w:rsidRPr="005A14A3">
              <w:rPr>
                <w:rFonts w:ascii="Arial" w:hAnsi="Arial" w:cs="Arial"/>
                <w:sz w:val="20"/>
                <w:szCs w:val="20"/>
              </w:rPr>
              <w:t xml:space="preserve">Malnutrition is common in patients with COPD with reported prevalence rates between 30-60% for inpatients and 10-45 % in outpatients (1). People with COPD who are malnourished or at risk of malnutrition have greater healthcare needs - more GP visits, care at home, antibiotics, more hospital admissions and readmissions and longer length of hospital </w:t>
            </w:r>
            <w:proofErr w:type="gramStart"/>
            <w:r w:rsidRPr="005A14A3">
              <w:rPr>
                <w:rFonts w:ascii="Arial" w:hAnsi="Arial" w:cs="Arial"/>
                <w:sz w:val="20"/>
                <w:szCs w:val="20"/>
              </w:rPr>
              <w:t>stay(</w:t>
            </w:r>
            <w:proofErr w:type="gramEnd"/>
            <w:r w:rsidRPr="005A14A3">
              <w:rPr>
                <w:rFonts w:ascii="Arial" w:hAnsi="Arial" w:cs="Arial"/>
                <w:sz w:val="20"/>
                <w:szCs w:val="20"/>
              </w:rPr>
              <w:t>2,3,4,5,6,7,8,9).</w:t>
            </w:r>
          </w:p>
          <w:p w14:paraId="1E5B656B" w14:textId="77777777" w:rsidR="00B877ED" w:rsidRPr="005A14A3" w:rsidRDefault="00B877ED" w:rsidP="00B877ED">
            <w:pPr>
              <w:rPr>
                <w:rFonts w:ascii="Arial" w:hAnsi="Arial" w:cs="Arial"/>
                <w:sz w:val="20"/>
                <w:szCs w:val="20"/>
              </w:rPr>
            </w:pPr>
          </w:p>
          <w:p w14:paraId="334E742B" w14:textId="77777777" w:rsidR="00B877ED" w:rsidRPr="005A14A3" w:rsidRDefault="00B877ED" w:rsidP="00B877ED">
            <w:pPr>
              <w:rPr>
                <w:rFonts w:ascii="Arial" w:hAnsi="Arial" w:cs="Arial"/>
                <w:sz w:val="20"/>
                <w:szCs w:val="20"/>
              </w:rPr>
            </w:pPr>
            <w:r w:rsidRPr="005A14A3">
              <w:rPr>
                <w:rFonts w:ascii="Arial" w:hAnsi="Arial" w:cs="Arial"/>
                <w:sz w:val="20"/>
                <w:szCs w:val="20"/>
              </w:rPr>
              <w:t>We therefore recommend the following indicators in relation to COPD and malnutrition:</w:t>
            </w:r>
          </w:p>
          <w:p w14:paraId="63CB553C" w14:textId="77777777" w:rsidR="00B877ED" w:rsidRPr="005A14A3" w:rsidRDefault="00B877ED" w:rsidP="00B877ED">
            <w:pPr>
              <w:numPr>
                <w:ilvl w:val="0"/>
                <w:numId w:val="31"/>
              </w:numPr>
              <w:contextualSpacing/>
              <w:rPr>
                <w:rFonts w:ascii="Arial" w:hAnsi="Arial" w:cs="Arial"/>
                <w:sz w:val="20"/>
                <w:szCs w:val="20"/>
              </w:rPr>
            </w:pPr>
            <w:r w:rsidRPr="005A14A3">
              <w:rPr>
                <w:rFonts w:ascii="Arial" w:hAnsi="Arial" w:cs="Arial"/>
                <w:sz w:val="20"/>
                <w:szCs w:val="20"/>
              </w:rPr>
              <w:t>The practice can produce a register of patients with COPD and their risk of malnutrition (based on results of a validated nutritional screening tool*).</w:t>
            </w:r>
          </w:p>
          <w:p w14:paraId="0A91C0CF" w14:textId="77777777" w:rsidR="00B877ED" w:rsidRPr="005A14A3" w:rsidRDefault="00B877ED" w:rsidP="00B877ED">
            <w:pPr>
              <w:numPr>
                <w:ilvl w:val="0"/>
                <w:numId w:val="31"/>
              </w:numPr>
              <w:contextualSpacing/>
              <w:rPr>
                <w:rFonts w:ascii="Arial" w:hAnsi="Arial" w:cs="Arial"/>
                <w:sz w:val="20"/>
                <w:szCs w:val="20"/>
              </w:rPr>
            </w:pPr>
            <w:r w:rsidRPr="005A14A3">
              <w:rPr>
                <w:rFonts w:ascii="Arial" w:hAnsi="Arial" w:cs="Arial"/>
                <w:sz w:val="20"/>
                <w:szCs w:val="20"/>
              </w:rPr>
              <w:t>The practice can produce a register of patients with COPD who are malnourished or at risk of malnutrition including their management care plan that aims to meet their complete nutritional requirements with nutrition screening goals and results documented and communicated in writing within and between settings (this is in line with NICE QS24)</w:t>
            </w:r>
          </w:p>
          <w:p w14:paraId="149E68CB" w14:textId="77777777" w:rsidR="00B877ED" w:rsidRPr="005A14A3" w:rsidRDefault="00B877ED" w:rsidP="00B877ED">
            <w:pPr>
              <w:rPr>
                <w:rFonts w:ascii="Arial" w:hAnsi="Arial" w:cs="Arial"/>
                <w:sz w:val="20"/>
                <w:szCs w:val="20"/>
              </w:rPr>
            </w:pPr>
            <w:r w:rsidRPr="005A14A3">
              <w:rPr>
                <w:rFonts w:ascii="Arial" w:hAnsi="Arial" w:cs="Arial"/>
                <w:sz w:val="20"/>
                <w:szCs w:val="20"/>
              </w:rPr>
              <w:t xml:space="preserve">* a validated nutritional screening tool, for example, the Malnutrition Universal Screening Tool (‘MUST’) (10) or Score Generated Subjective Global Assessment (PG-SGA) (11). </w:t>
            </w:r>
          </w:p>
          <w:p w14:paraId="1C26F1F0" w14:textId="77777777" w:rsidR="00B877ED" w:rsidRPr="005A14A3" w:rsidRDefault="00B877ED" w:rsidP="00B877ED">
            <w:pPr>
              <w:numPr>
                <w:ilvl w:val="0"/>
                <w:numId w:val="32"/>
              </w:numPr>
              <w:contextualSpacing/>
              <w:rPr>
                <w:rFonts w:ascii="Arial" w:hAnsi="Arial" w:cs="Arial"/>
                <w:sz w:val="20"/>
                <w:szCs w:val="20"/>
              </w:rPr>
            </w:pPr>
            <w:r w:rsidRPr="005A14A3">
              <w:rPr>
                <w:rFonts w:ascii="Arial" w:hAnsi="Arial" w:cs="Arial"/>
                <w:bCs/>
                <w:sz w:val="20"/>
                <w:szCs w:val="20"/>
              </w:rPr>
              <w:t>Stratton et al.</w:t>
            </w:r>
            <w:r w:rsidRPr="005A14A3">
              <w:rPr>
                <w:rFonts w:ascii="Arial" w:hAnsi="Arial" w:cs="Arial"/>
                <w:sz w:val="20"/>
                <w:szCs w:val="20"/>
              </w:rPr>
              <w:t xml:space="preserve"> Disease related malnutrition: An </w:t>
            </w:r>
            <w:proofErr w:type="gramStart"/>
            <w:r w:rsidRPr="005A14A3">
              <w:rPr>
                <w:rFonts w:ascii="Arial" w:hAnsi="Arial" w:cs="Arial"/>
                <w:sz w:val="20"/>
                <w:szCs w:val="20"/>
              </w:rPr>
              <w:t>evidence based</w:t>
            </w:r>
            <w:proofErr w:type="gramEnd"/>
            <w:r w:rsidRPr="005A14A3">
              <w:rPr>
                <w:rFonts w:ascii="Arial" w:hAnsi="Arial" w:cs="Arial"/>
                <w:sz w:val="20"/>
                <w:szCs w:val="20"/>
              </w:rPr>
              <w:t xml:space="preserve"> approach to treatment.  CABI Publishing Oxford 2003).</w:t>
            </w:r>
          </w:p>
          <w:p w14:paraId="1D1C54E3" w14:textId="77777777" w:rsidR="00B877ED" w:rsidRPr="005A14A3" w:rsidRDefault="00B877ED" w:rsidP="00B877ED">
            <w:pPr>
              <w:numPr>
                <w:ilvl w:val="0"/>
                <w:numId w:val="32"/>
              </w:numPr>
              <w:contextualSpacing/>
              <w:rPr>
                <w:rFonts w:ascii="Arial" w:eastAsiaTheme="minorHAnsi" w:hAnsi="Arial" w:cs="Arial"/>
                <w:sz w:val="20"/>
                <w:szCs w:val="20"/>
              </w:rPr>
            </w:pPr>
            <w:r w:rsidRPr="005A14A3">
              <w:rPr>
                <w:rFonts w:ascii="Arial" w:hAnsi="Arial" w:cs="Arial"/>
                <w:bCs/>
                <w:sz w:val="20"/>
                <w:szCs w:val="20"/>
              </w:rPr>
              <w:t>Collins PF et al.</w:t>
            </w:r>
            <w:r w:rsidRPr="005A14A3">
              <w:rPr>
                <w:rFonts w:ascii="Arial" w:hAnsi="Arial" w:cs="Arial"/>
                <w:sz w:val="20"/>
                <w:szCs w:val="20"/>
              </w:rPr>
              <w:t xml:space="preserve"> An economic analysis of the costs associated with weight status in chronic obstructive pulmonary disease (COPD). Proc Nut Soc. 2011; 70(OCE5): E3214. </w:t>
            </w:r>
          </w:p>
          <w:p w14:paraId="62F153FE" w14:textId="77777777" w:rsidR="00B877ED" w:rsidRPr="005A14A3" w:rsidRDefault="00B877ED" w:rsidP="00B877ED">
            <w:pPr>
              <w:numPr>
                <w:ilvl w:val="0"/>
                <w:numId w:val="32"/>
              </w:numPr>
              <w:contextualSpacing/>
              <w:rPr>
                <w:rFonts w:ascii="Arial" w:eastAsiaTheme="minorHAnsi" w:hAnsi="Arial" w:cs="Arial"/>
                <w:sz w:val="20"/>
                <w:szCs w:val="20"/>
              </w:rPr>
            </w:pPr>
            <w:proofErr w:type="spellStart"/>
            <w:r w:rsidRPr="005A14A3">
              <w:rPr>
                <w:rFonts w:ascii="Arial" w:hAnsi="Arial" w:cs="Arial"/>
                <w:bCs/>
                <w:sz w:val="20"/>
                <w:szCs w:val="20"/>
              </w:rPr>
              <w:t>Ezzell</w:t>
            </w:r>
            <w:proofErr w:type="spellEnd"/>
            <w:r w:rsidRPr="005A14A3">
              <w:rPr>
                <w:rFonts w:ascii="Arial" w:hAnsi="Arial" w:cs="Arial"/>
                <w:bCs/>
                <w:sz w:val="20"/>
                <w:szCs w:val="20"/>
              </w:rPr>
              <w:t xml:space="preserve"> L and Jensen GL.</w:t>
            </w:r>
            <w:r w:rsidRPr="005A14A3">
              <w:rPr>
                <w:rFonts w:ascii="Arial" w:hAnsi="Arial" w:cs="Arial"/>
                <w:sz w:val="20"/>
                <w:szCs w:val="20"/>
              </w:rPr>
              <w:t xml:space="preserve"> Malnutrition in chronic obstructive pulmonary disease. Am J Clin Nut. 2000;72(6):1415-16</w:t>
            </w:r>
          </w:p>
          <w:p w14:paraId="5F3014B5" w14:textId="77777777" w:rsidR="00B877ED" w:rsidRPr="005A14A3" w:rsidRDefault="00B877ED" w:rsidP="00B877ED">
            <w:pPr>
              <w:numPr>
                <w:ilvl w:val="0"/>
                <w:numId w:val="32"/>
              </w:numPr>
              <w:contextualSpacing/>
              <w:rPr>
                <w:rFonts w:ascii="Arial" w:eastAsiaTheme="minorHAnsi" w:hAnsi="Arial" w:cs="Arial"/>
                <w:sz w:val="20"/>
                <w:szCs w:val="20"/>
              </w:rPr>
            </w:pPr>
            <w:r w:rsidRPr="005A14A3">
              <w:rPr>
                <w:rFonts w:ascii="Arial" w:hAnsi="Arial" w:cs="Arial"/>
                <w:bCs/>
                <w:sz w:val="20"/>
                <w:szCs w:val="20"/>
              </w:rPr>
              <w:t>Gupta B et al.</w:t>
            </w:r>
            <w:r w:rsidRPr="005A14A3">
              <w:rPr>
                <w:rFonts w:ascii="Arial" w:hAnsi="Arial" w:cs="Arial"/>
                <w:sz w:val="20"/>
                <w:szCs w:val="20"/>
              </w:rPr>
              <w:t xml:space="preserve"> Nutritional status of chronic obstructive pulmonary disease patients admitted in hospital with acute exacerbation. J Clin Med Res 2010 Mar 20;2(2):68-74</w:t>
            </w:r>
          </w:p>
          <w:p w14:paraId="52975100" w14:textId="77777777" w:rsidR="00B877ED" w:rsidRPr="005A14A3" w:rsidRDefault="00B877ED" w:rsidP="00B877ED">
            <w:pPr>
              <w:numPr>
                <w:ilvl w:val="0"/>
                <w:numId w:val="32"/>
              </w:numPr>
              <w:contextualSpacing/>
              <w:rPr>
                <w:rFonts w:ascii="Arial" w:eastAsiaTheme="minorHAnsi" w:hAnsi="Arial" w:cs="Arial"/>
                <w:sz w:val="20"/>
                <w:szCs w:val="20"/>
              </w:rPr>
            </w:pPr>
            <w:r w:rsidRPr="005A14A3">
              <w:rPr>
                <w:rFonts w:ascii="Arial" w:hAnsi="Arial" w:cs="Arial"/>
                <w:bCs/>
                <w:sz w:val="20"/>
                <w:szCs w:val="20"/>
              </w:rPr>
              <w:lastRenderedPageBreak/>
              <w:t xml:space="preserve">Collins PF et al. </w:t>
            </w:r>
            <w:r w:rsidRPr="005A14A3">
              <w:rPr>
                <w:rFonts w:ascii="Arial" w:hAnsi="Arial" w:cs="Arial"/>
                <w:sz w:val="20"/>
                <w:szCs w:val="20"/>
              </w:rPr>
              <w:t>‘MUST’ predicts 1-year survival in outpatients with chronic obstructive pulmonary disease. Clin Nutr.2010;5(2): 17.</w:t>
            </w:r>
          </w:p>
          <w:p w14:paraId="120B4066" w14:textId="77777777" w:rsidR="00B877ED" w:rsidRPr="005A14A3" w:rsidRDefault="00B877ED" w:rsidP="00B877ED">
            <w:pPr>
              <w:numPr>
                <w:ilvl w:val="0"/>
                <w:numId w:val="32"/>
              </w:numPr>
              <w:contextualSpacing/>
              <w:rPr>
                <w:rFonts w:ascii="Arial" w:eastAsiaTheme="minorHAnsi" w:hAnsi="Arial" w:cs="Arial"/>
                <w:sz w:val="20"/>
                <w:szCs w:val="20"/>
              </w:rPr>
            </w:pPr>
            <w:r w:rsidRPr="005A14A3">
              <w:rPr>
                <w:rFonts w:ascii="Arial" w:hAnsi="Arial" w:cs="Arial"/>
                <w:bCs/>
                <w:sz w:val="20"/>
                <w:szCs w:val="20"/>
              </w:rPr>
              <w:t xml:space="preserve">Collins PF et al. </w:t>
            </w:r>
            <w:r w:rsidRPr="005A14A3">
              <w:rPr>
                <w:rFonts w:ascii="Arial" w:hAnsi="Arial" w:cs="Arial"/>
                <w:sz w:val="20"/>
                <w:szCs w:val="20"/>
              </w:rPr>
              <w:t xml:space="preserve">The impact of malnutrition on hospitalisation and mortality in outpatients with chronic obstructive pulmonary disease. Proc </w:t>
            </w:r>
            <w:proofErr w:type="spellStart"/>
            <w:r w:rsidRPr="005A14A3">
              <w:rPr>
                <w:rFonts w:ascii="Arial" w:hAnsi="Arial" w:cs="Arial"/>
                <w:sz w:val="20"/>
                <w:szCs w:val="20"/>
              </w:rPr>
              <w:t>Nutr</w:t>
            </w:r>
            <w:proofErr w:type="spellEnd"/>
            <w:r w:rsidRPr="005A14A3">
              <w:rPr>
                <w:rFonts w:ascii="Arial" w:hAnsi="Arial" w:cs="Arial"/>
                <w:sz w:val="20"/>
                <w:szCs w:val="20"/>
              </w:rPr>
              <w:t xml:space="preserve"> Soc 2010; 69(OCE2) </w:t>
            </w:r>
          </w:p>
          <w:p w14:paraId="54B242E6" w14:textId="77777777" w:rsidR="00B877ED" w:rsidRPr="005A14A3" w:rsidRDefault="00B877ED" w:rsidP="00B877ED">
            <w:pPr>
              <w:numPr>
                <w:ilvl w:val="0"/>
                <w:numId w:val="32"/>
              </w:numPr>
              <w:contextualSpacing/>
              <w:rPr>
                <w:rFonts w:ascii="Arial" w:eastAsiaTheme="minorHAnsi" w:hAnsi="Arial" w:cs="Arial"/>
                <w:sz w:val="20"/>
                <w:szCs w:val="20"/>
              </w:rPr>
            </w:pPr>
            <w:proofErr w:type="spellStart"/>
            <w:r w:rsidRPr="005A14A3">
              <w:rPr>
                <w:rFonts w:ascii="Arial" w:hAnsi="Arial" w:cs="Arial"/>
                <w:bCs/>
                <w:sz w:val="20"/>
                <w:szCs w:val="20"/>
              </w:rPr>
              <w:t>Landbo</w:t>
            </w:r>
            <w:proofErr w:type="spellEnd"/>
            <w:r w:rsidRPr="005A14A3">
              <w:rPr>
                <w:rFonts w:ascii="Arial" w:hAnsi="Arial" w:cs="Arial"/>
                <w:bCs/>
                <w:sz w:val="20"/>
                <w:szCs w:val="20"/>
              </w:rPr>
              <w:t xml:space="preserve"> C et al.</w:t>
            </w:r>
            <w:r w:rsidRPr="005A14A3">
              <w:rPr>
                <w:rFonts w:ascii="Arial" w:hAnsi="Arial" w:cs="Arial"/>
                <w:sz w:val="20"/>
                <w:szCs w:val="20"/>
              </w:rPr>
              <w:t xml:space="preserve"> Prognostic value of nutritional status in chronic obstructive pulmonary disease. Am J Respir </w:t>
            </w:r>
            <w:proofErr w:type="spellStart"/>
            <w:r w:rsidRPr="005A14A3">
              <w:rPr>
                <w:rFonts w:ascii="Arial" w:hAnsi="Arial" w:cs="Arial"/>
                <w:sz w:val="20"/>
                <w:szCs w:val="20"/>
              </w:rPr>
              <w:t>Crit</w:t>
            </w:r>
            <w:proofErr w:type="spellEnd"/>
            <w:r w:rsidRPr="005A14A3">
              <w:rPr>
                <w:rFonts w:ascii="Arial" w:hAnsi="Arial" w:cs="Arial"/>
                <w:sz w:val="20"/>
                <w:szCs w:val="20"/>
              </w:rPr>
              <w:t xml:space="preserve"> Care Med 1999; 160(6):1856-1861. </w:t>
            </w:r>
          </w:p>
          <w:p w14:paraId="55BD5416" w14:textId="77777777" w:rsidR="00B877ED" w:rsidRPr="005A14A3" w:rsidRDefault="00B877ED" w:rsidP="00B877ED">
            <w:pPr>
              <w:numPr>
                <w:ilvl w:val="0"/>
                <w:numId w:val="32"/>
              </w:numPr>
              <w:contextualSpacing/>
              <w:rPr>
                <w:rFonts w:ascii="Arial" w:eastAsiaTheme="minorHAnsi" w:hAnsi="Arial" w:cs="Arial"/>
                <w:sz w:val="20"/>
                <w:szCs w:val="20"/>
              </w:rPr>
            </w:pPr>
            <w:proofErr w:type="spellStart"/>
            <w:r w:rsidRPr="005A14A3">
              <w:rPr>
                <w:rFonts w:ascii="Arial" w:hAnsi="Arial" w:cs="Arial"/>
                <w:bCs/>
                <w:sz w:val="20"/>
                <w:szCs w:val="20"/>
              </w:rPr>
              <w:t>Vestbo</w:t>
            </w:r>
            <w:proofErr w:type="spellEnd"/>
            <w:r w:rsidRPr="005A14A3">
              <w:rPr>
                <w:rFonts w:ascii="Arial" w:hAnsi="Arial" w:cs="Arial"/>
                <w:bCs/>
                <w:sz w:val="20"/>
                <w:szCs w:val="20"/>
              </w:rPr>
              <w:t xml:space="preserve"> J et al.</w:t>
            </w:r>
            <w:r w:rsidRPr="005A14A3">
              <w:rPr>
                <w:rFonts w:ascii="Arial" w:hAnsi="Arial" w:cs="Arial"/>
                <w:sz w:val="20"/>
                <w:szCs w:val="20"/>
              </w:rPr>
              <w:t xml:space="preserve"> Body mass, fat-free body mass, and prognosis in patients with chronic obstructive pulmonary disease from a random population sample: findings from the Copenhagen City Heart Study. Am J Respir </w:t>
            </w:r>
            <w:proofErr w:type="spellStart"/>
            <w:r w:rsidRPr="005A14A3">
              <w:rPr>
                <w:rFonts w:ascii="Arial" w:hAnsi="Arial" w:cs="Arial"/>
                <w:sz w:val="20"/>
                <w:szCs w:val="20"/>
              </w:rPr>
              <w:t>Crit</w:t>
            </w:r>
            <w:proofErr w:type="spellEnd"/>
            <w:r w:rsidRPr="005A14A3">
              <w:rPr>
                <w:rFonts w:ascii="Arial" w:hAnsi="Arial" w:cs="Arial"/>
                <w:sz w:val="20"/>
                <w:szCs w:val="20"/>
              </w:rPr>
              <w:t xml:space="preserve"> Care Med 2006; 173(1):79-83.</w:t>
            </w:r>
          </w:p>
          <w:p w14:paraId="5B4FA45C" w14:textId="77777777" w:rsidR="00B877ED" w:rsidRPr="005A14A3" w:rsidRDefault="00B877ED" w:rsidP="00B877ED">
            <w:pPr>
              <w:numPr>
                <w:ilvl w:val="0"/>
                <w:numId w:val="32"/>
              </w:numPr>
              <w:contextualSpacing/>
              <w:rPr>
                <w:rFonts w:ascii="Arial" w:eastAsiaTheme="minorHAnsi" w:hAnsi="Arial" w:cs="Arial"/>
                <w:sz w:val="20"/>
                <w:szCs w:val="20"/>
              </w:rPr>
            </w:pPr>
            <w:proofErr w:type="spellStart"/>
            <w:r w:rsidRPr="005A14A3">
              <w:rPr>
                <w:rFonts w:ascii="Arial" w:hAnsi="Arial" w:cs="Arial"/>
                <w:bCs/>
                <w:sz w:val="20"/>
                <w:szCs w:val="20"/>
              </w:rPr>
              <w:t>Vermeeren</w:t>
            </w:r>
            <w:proofErr w:type="spellEnd"/>
            <w:r w:rsidRPr="005A14A3">
              <w:rPr>
                <w:rFonts w:ascii="Arial" w:hAnsi="Arial" w:cs="Arial"/>
                <w:bCs/>
                <w:sz w:val="20"/>
                <w:szCs w:val="20"/>
              </w:rPr>
              <w:t xml:space="preserve"> MA et al.</w:t>
            </w:r>
            <w:r w:rsidRPr="005A14A3">
              <w:rPr>
                <w:rFonts w:ascii="Arial" w:hAnsi="Arial" w:cs="Arial"/>
                <w:sz w:val="20"/>
                <w:szCs w:val="20"/>
              </w:rPr>
              <w:t xml:space="preserve"> Prevalence of nutritional depletion in a large outpatient population of patients with COPD. Respir Med,2006 Aug;100(8):1349-55</w:t>
            </w:r>
          </w:p>
          <w:p w14:paraId="19614B7F" w14:textId="77777777" w:rsidR="00B877ED" w:rsidRPr="005A14A3" w:rsidRDefault="00B877ED" w:rsidP="00B877ED">
            <w:pPr>
              <w:numPr>
                <w:ilvl w:val="0"/>
                <w:numId w:val="32"/>
              </w:numPr>
              <w:contextualSpacing/>
              <w:rPr>
                <w:rFonts w:ascii="Arial" w:hAnsi="Arial" w:cs="Arial"/>
                <w:sz w:val="20"/>
                <w:szCs w:val="20"/>
                <w:shd w:val="clear" w:color="auto" w:fill="FFFFFF"/>
              </w:rPr>
            </w:pPr>
            <w:r w:rsidRPr="005A14A3">
              <w:rPr>
                <w:rFonts w:ascii="Arial" w:hAnsi="Arial" w:cs="Arial"/>
                <w:sz w:val="20"/>
                <w:szCs w:val="20"/>
                <w:shd w:val="clear" w:color="auto" w:fill="FFFFFF"/>
              </w:rPr>
              <w:t>British Association of Parenteral and Enteral Nutrition (BAPEN) Malnutrition Universal Screening Tool (MUST) </w:t>
            </w:r>
            <w:hyperlink r:id="rId27" w:tgtFrame="_blank" w:history="1">
              <w:r w:rsidRPr="005A14A3">
                <w:rPr>
                  <w:rFonts w:ascii="Arial" w:hAnsi="Arial" w:cs="Arial"/>
                  <w:sz w:val="20"/>
                  <w:szCs w:val="20"/>
                  <w:u w:val="single"/>
                  <w:shd w:val="clear" w:color="auto" w:fill="FFFFFF"/>
                </w:rPr>
                <w:t>http://www.bapen.org.uk/pdfs/must/must_full.pdf</w:t>
              </w:r>
            </w:hyperlink>
          </w:p>
          <w:p w14:paraId="4499F418" w14:textId="77777777" w:rsidR="00B877ED" w:rsidRPr="005A14A3" w:rsidRDefault="00AD1879" w:rsidP="00B877ED">
            <w:pPr>
              <w:rPr>
                <w:rFonts w:ascii="Arial" w:hAnsi="Arial" w:cs="Arial"/>
                <w:sz w:val="20"/>
                <w:szCs w:val="20"/>
              </w:rPr>
            </w:pPr>
            <w:hyperlink r:id="rId28" w:tgtFrame="_blank" w:history="1">
              <w:r w:rsidR="00B877ED" w:rsidRPr="005A14A3">
                <w:rPr>
                  <w:rFonts w:ascii="Arial" w:hAnsi="Arial" w:cs="Arial"/>
                  <w:iCs/>
                  <w:sz w:val="20"/>
                  <w:szCs w:val="20"/>
                  <w:u w:val="single"/>
                  <w:bdr w:val="none" w:sz="0" w:space="0" w:color="auto" w:frame="1"/>
                  <w:shd w:val="clear" w:color="auto" w:fill="FFFFFF"/>
                </w:rPr>
                <w:t xml:space="preserve">Ottery FD. Definition of standardized nutritional assessment and interventional pathways in oncology. Nutrition 1996;12(1 </w:t>
              </w:r>
              <w:proofErr w:type="spellStart"/>
              <w:r w:rsidR="00B877ED" w:rsidRPr="005A14A3">
                <w:rPr>
                  <w:rFonts w:ascii="Arial" w:hAnsi="Arial" w:cs="Arial"/>
                  <w:iCs/>
                  <w:sz w:val="20"/>
                  <w:szCs w:val="20"/>
                  <w:u w:val="single"/>
                  <w:bdr w:val="none" w:sz="0" w:space="0" w:color="auto" w:frame="1"/>
                  <w:shd w:val="clear" w:color="auto" w:fill="FFFFFF"/>
                </w:rPr>
                <w:t>Suppl</w:t>
              </w:r>
              <w:proofErr w:type="spellEnd"/>
              <w:proofErr w:type="gramStart"/>
              <w:r w:rsidR="00B877ED" w:rsidRPr="005A14A3">
                <w:rPr>
                  <w:rFonts w:ascii="Arial" w:hAnsi="Arial" w:cs="Arial"/>
                  <w:iCs/>
                  <w:sz w:val="20"/>
                  <w:szCs w:val="20"/>
                  <w:u w:val="single"/>
                  <w:bdr w:val="none" w:sz="0" w:space="0" w:color="auto" w:frame="1"/>
                  <w:shd w:val="clear" w:color="auto" w:fill="FFFFFF"/>
                </w:rPr>
                <w:t>):S</w:t>
              </w:r>
              <w:proofErr w:type="gramEnd"/>
              <w:r w:rsidR="00B877ED" w:rsidRPr="005A14A3">
                <w:rPr>
                  <w:rFonts w:ascii="Arial" w:hAnsi="Arial" w:cs="Arial"/>
                  <w:iCs/>
                  <w:sz w:val="20"/>
                  <w:szCs w:val="20"/>
                  <w:u w:val="single"/>
                  <w:bdr w:val="none" w:sz="0" w:space="0" w:color="auto" w:frame="1"/>
                  <w:shd w:val="clear" w:color="auto" w:fill="FFFFFF"/>
                </w:rPr>
                <w:t>15-9</w:t>
              </w:r>
            </w:hyperlink>
          </w:p>
        </w:tc>
      </w:tr>
      <w:tr w:rsidR="00B877ED" w:rsidRPr="005A14A3" w14:paraId="11CBD4D9" w14:textId="77777777" w:rsidTr="00AD1879">
        <w:tc>
          <w:tcPr>
            <w:tcW w:w="704" w:type="dxa"/>
          </w:tcPr>
          <w:p w14:paraId="095BBDE9" w14:textId="75AC5BAD" w:rsidR="00B877ED" w:rsidRPr="00B877ED" w:rsidRDefault="00B877ED" w:rsidP="00B877ED">
            <w:pPr>
              <w:jc w:val="center"/>
              <w:rPr>
                <w:rFonts w:ascii="Arial" w:hAnsi="Arial" w:cs="Arial"/>
                <w:b/>
                <w:bCs/>
                <w:sz w:val="20"/>
                <w:szCs w:val="20"/>
                <w:lang w:eastAsia="en-GB"/>
              </w:rPr>
            </w:pPr>
            <w:r w:rsidRPr="00B877ED">
              <w:rPr>
                <w:rFonts w:ascii="Calibri" w:hAnsi="Calibri" w:cs="Calibri"/>
                <w:b/>
                <w:color w:val="000000"/>
                <w:sz w:val="22"/>
                <w:szCs w:val="22"/>
              </w:rPr>
              <w:lastRenderedPageBreak/>
              <w:t>8</w:t>
            </w:r>
          </w:p>
        </w:tc>
        <w:tc>
          <w:tcPr>
            <w:tcW w:w="1276" w:type="dxa"/>
          </w:tcPr>
          <w:p w14:paraId="72F53EA7" w14:textId="561F49B6" w:rsidR="00B877ED" w:rsidRPr="005A14A3" w:rsidRDefault="00B877ED" w:rsidP="00B877ED">
            <w:pPr>
              <w:jc w:val="center"/>
              <w:rPr>
                <w:rFonts w:ascii="Arial" w:hAnsi="Arial" w:cs="Arial"/>
                <w:b/>
                <w:sz w:val="20"/>
                <w:szCs w:val="20"/>
                <w:lang w:eastAsia="en-GB"/>
              </w:rPr>
            </w:pPr>
            <w:r w:rsidRPr="005A14A3">
              <w:rPr>
                <w:rFonts w:ascii="Arial" w:hAnsi="Arial" w:cs="Arial"/>
                <w:b/>
                <w:bCs/>
                <w:sz w:val="20"/>
                <w:szCs w:val="20"/>
                <w:lang w:eastAsia="en-GB"/>
              </w:rPr>
              <w:t>COPD</w:t>
            </w:r>
          </w:p>
        </w:tc>
        <w:tc>
          <w:tcPr>
            <w:tcW w:w="1843" w:type="dxa"/>
          </w:tcPr>
          <w:p w14:paraId="45718707" w14:textId="77777777" w:rsidR="00B877ED" w:rsidRPr="005A14A3" w:rsidRDefault="00B877ED" w:rsidP="00B877ED">
            <w:pPr>
              <w:jc w:val="center"/>
              <w:rPr>
                <w:rFonts w:ascii="Arial" w:hAnsi="Arial" w:cs="Arial"/>
                <w:b/>
                <w:sz w:val="20"/>
                <w:szCs w:val="20"/>
                <w:lang w:eastAsia="en-GB"/>
              </w:rPr>
            </w:pPr>
            <w:r w:rsidRPr="005A14A3">
              <w:rPr>
                <w:rFonts w:ascii="Arial" w:hAnsi="Arial" w:cs="Arial"/>
                <w:b/>
                <w:sz w:val="20"/>
                <w:szCs w:val="20"/>
                <w:lang w:eastAsia="en-GB"/>
              </w:rPr>
              <w:t>British Lung Foundation</w:t>
            </w:r>
          </w:p>
        </w:tc>
        <w:tc>
          <w:tcPr>
            <w:tcW w:w="10914" w:type="dxa"/>
          </w:tcPr>
          <w:p w14:paraId="2F55E2D9" w14:textId="77777777" w:rsidR="00B877ED" w:rsidRPr="005A14A3" w:rsidRDefault="00B877ED" w:rsidP="00B877ED">
            <w:pPr>
              <w:rPr>
                <w:rFonts w:ascii="Arial" w:hAnsi="Arial" w:cs="Arial"/>
                <w:sz w:val="20"/>
                <w:szCs w:val="20"/>
              </w:rPr>
            </w:pPr>
            <w:r w:rsidRPr="005A14A3">
              <w:rPr>
                <w:rFonts w:ascii="Arial" w:hAnsi="Arial" w:cs="Arial"/>
                <w:sz w:val="20"/>
                <w:szCs w:val="20"/>
              </w:rPr>
              <w:t xml:space="preserve">We agree with PCRS that there is a significant omission in the indicators for COPD. </w:t>
            </w:r>
          </w:p>
          <w:p w14:paraId="0CEC675E" w14:textId="77777777" w:rsidR="00B877ED" w:rsidRPr="005A14A3" w:rsidRDefault="00B877ED" w:rsidP="00B877ED">
            <w:pPr>
              <w:rPr>
                <w:rFonts w:ascii="Arial" w:hAnsi="Arial" w:cs="Arial"/>
                <w:sz w:val="20"/>
                <w:szCs w:val="20"/>
              </w:rPr>
            </w:pPr>
          </w:p>
          <w:p w14:paraId="64462E07" w14:textId="77777777" w:rsidR="00B877ED" w:rsidRPr="005A14A3" w:rsidRDefault="00B877ED" w:rsidP="00B877ED">
            <w:pPr>
              <w:rPr>
                <w:rFonts w:ascii="Arial" w:hAnsi="Arial" w:cs="Arial"/>
                <w:sz w:val="20"/>
                <w:szCs w:val="20"/>
              </w:rPr>
            </w:pPr>
            <w:proofErr w:type="gramStart"/>
            <w:r w:rsidRPr="005A14A3">
              <w:rPr>
                <w:rFonts w:ascii="Arial" w:hAnsi="Arial" w:cs="Arial"/>
                <w:sz w:val="20"/>
                <w:szCs w:val="20"/>
              </w:rPr>
              <w:t>The majority of</w:t>
            </w:r>
            <w:proofErr w:type="gramEnd"/>
            <w:r w:rsidRPr="005A14A3">
              <w:rPr>
                <w:rFonts w:ascii="Arial" w:hAnsi="Arial" w:cs="Arial"/>
                <w:sz w:val="20"/>
                <w:szCs w:val="20"/>
              </w:rPr>
              <w:t xml:space="preserve"> people (an estimated 90%) who develop COPD have a past smoking history or are current smokers. Treating tobacco dependency through quitting smoking can halt the development of COPD and is the best available treatment for people who smoke. We therefore suggest that a specific indicator for COPD on treating tobacco dependency is included.  </w:t>
            </w:r>
          </w:p>
          <w:p w14:paraId="7360BB2D" w14:textId="77777777" w:rsidR="00B877ED" w:rsidRPr="005A14A3" w:rsidRDefault="00B877ED" w:rsidP="00B877ED">
            <w:pPr>
              <w:rPr>
                <w:rFonts w:ascii="Arial" w:hAnsi="Arial" w:cs="Arial"/>
                <w:sz w:val="20"/>
                <w:szCs w:val="20"/>
              </w:rPr>
            </w:pPr>
          </w:p>
          <w:p w14:paraId="60F9981E" w14:textId="77777777" w:rsidR="00B877ED" w:rsidRPr="005A14A3" w:rsidRDefault="00B877ED" w:rsidP="00B877ED">
            <w:pPr>
              <w:rPr>
                <w:rFonts w:ascii="Arial" w:hAnsi="Arial" w:cs="Arial"/>
                <w:sz w:val="20"/>
                <w:szCs w:val="20"/>
              </w:rPr>
            </w:pPr>
            <w:r w:rsidRPr="005A14A3">
              <w:rPr>
                <w:rFonts w:ascii="Arial" w:hAnsi="Arial" w:cs="Arial"/>
                <w:sz w:val="20"/>
                <w:szCs w:val="20"/>
              </w:rPr>
              <w:t xml:space="preserve">Providing stop smoking support with pharmacotherapy for patients living with COPD costs just £2,000 per QALY. Yet we know from our 2018 British Lung Foundation report ‘Less help to quit’ that stop smoking support in primary care is often underused and not prioritised by CCGs. From our ongoing work in the area of primary care prescribing to support smoking cessation, a significant portion of health care professionals in the NHS don’t see themselves as having a vital role to play in providing patients with support to quit. </w:t>
            </w:r>
          </w:p>
          <w:p w14:paraId="624DB0F4" w14:textId="77777777" w:rsidR="00B877ED" w:rsidRPr="005A14A3" w:rsidRDefault="00B877ED" w:rsidP="00B877ED">
            <w:pPr>
              <w:rPr>
                <w:rFonts w:ascii="Arial" w:hAnsi="Arial" w:cs="Arial"/>
                <w:sz w:val="20"/>
                <w:szCs w:val="20"/>
              </w:rPr>
            </w:pPr>
          </w:p>
          <w:p w14:paraId="598A7CB8" w14:textId="77777777" w:rsidR="00B877ED" w:rsidRPr="005A14A3" w:rsidRDefault="00B877ED" w:rsidP="00B877ED">
            <w:pPr>
              <w:rPr>
                <w:rFonts w:ascii="Arial" w:hAnsi="Arial" w:cs="Arial"/>
                <w:sz w:val="20"/>
                <w:szCs w:val="20"/>
              </w:rPr>
            </w:pPr>
            <w:r w:rsidRPr="005A14A3">
              <w:rPr>
                <w:rFonts w:ascii="Arial" w:hAnsi="Arial" w:cs="Arial"/>
                <w:sz w:val="20"/>
                <w:szCs w:val="20"/>
              </w:rPr>
              <w:t xml:space="preserve">NICE guideline NG92 (stop smoking interventions and services) supports an indicator for treating tobacco dependency. The guideline suggests that if a person who smokes wants to quit health care professionals in primary care should discuss how to stop and set out pharmacotherapy options. They should then prescribe pharmacotherapy if the individual refuses a referral to a local stop smoking service – or if those services, which are funded by the local authority, are not in existence. </w:t>
            </w:r>
          </w:p>
          <w:p w14:paraId="30DF9741" w14:textId="77777777" w:rsidR="00B877ED" w:rsidRPr="005A14A3" w:rsidRDefault="00B877ED" w:rsidP="00B877ED">
            <w:pPr>
              <w:rPr>
                <w:rFonts w:ascii="Arial" w:hAnsi="Arial" w:cs="Arial"/>
                <w:sz w:val="20"/>
                <w:szCs w:val="20"/>
              </w:rPr>
            </w:pPr>
          </w:p>
          <w:p w14:paraId="0CBA6E7C" w14:textId="77777777" w:rsidR="00B877ED" w:rsidRPr="005A14A3" w:rsidRDefault="00B877ED" w:rsidP="00B877ED">
            <w:pPr>
              <w:rPr>
                <w:rFonts w:ascii="Arial" w:hAnsi="Arial" w:cs="Arial"/>
                <w:sz w:val="20"/>
                <w:szCs w:val="20"/>
              </w:rPr>
            </w:pPr>
            <w:r w:rsidRPr="005A14A3">
              <w:rPr>
                <w:rFonts w:ascii="Arial" w:hAnsi="Arial" w:cs="Arial"/>
                <w:sz w:val="20"/>
                <w:szCs w:val="20"/>
              </w:rPr>
              <w:t xml:space="preserve">Including a specific indicator on treating tobacco dependency in COPD would give a clear message to health care professionals in the NHS that treating tobacco dependency is their responsibility. This would make clear that they should </w:t>
            </w:r>
            <w:r w:rsidRPr="005A14A3">
              <w:rPr>
                <w:rFonts w:ascii="Arial" w:hAnsi="Arial" w:cs="Arial"/>
                <w:sz w:val="20"/>
                <w:szCs w:val="20"/>
              </w:rPr>
              <w:lastRenderedPageBreak/>
              <w:t xml:space="preserve">facilitate access to the most effective method of cessation, which is behavioural support and pharmacotherapy (varenicline or bupropion) or nicotine replacement therapy. </w:t>
            </w:r>
          </w:p>
          <w:p w14:paraId="672D44AA" w14:textId="77777777" w:rsidR="00B877ED" w:rsidRPr="005A14A3" w:rsidRDefault="00B877ED" w:rsidP="00B877ED">
            <w:pPr>
              <w:rPr>
                <w:rFonts w:ascii="Arial" w:hAnsi="Arial" w:cs="Arial"/>
                <w:sz w:val="20"/>
                <w:szCs w:val="20"/>
              </w:rPr>
            </w:pPr>
          </w:p>
          <w:p w14:paraId="4EB021BF" w14:textId="77777777" w:rsidR="00B877ED" w:rsidRPr="005A14A3" w:rsidRDefault="00B877ED" w:rsidP="00B877ED">
            <w:pPr>
              <w:rPr>
                <w:rFonts w:ascii="Arial" w:hAnsi="Arial" w:cs="Arial"/>
                <w:sz w:val="20"/>
                <w:szCs w:val="20"/>
              </w:rPr>
            </w:pPr>
            <w:r w:rsidRPr="005A14A3">
              <w:rPr>
                <w:rFonts w:ascii="Arial" w:hAnsi="Arial" w:cs="Arial"/>
                <w:sz w:val="20"/>
                <w:szCs w:val="20"/>
              </w:rPr>
              <w:t xml:space="preserve">This would also give a clear signal to CCGs that discouraging or refusing the prescription of pharmacotherapy and/or NRT for smoking cessation is unacceptable. We are aware of </w:t>
            </w:r>
            <w:proofErr w:type="gramStart"/>
            <w:r w:rsidRPr="005A14A3">
              <w:rPr>
                <w:rFonts w:ascii="Arial" w:hAnsi="Arial" w:cs="Arial"/>
                <w:sz w:val="20"/>
                <w:szCs w:val="20"/>
              </w:rPr>
              <w:t>a number of</w:t>
            </w:r>
            <w:proofErr w:type="gramEnd"/>
            <w:r w:rsidRPr="005A14A3">
              <w:rPr>
                <w:rFonts w:ascii="Arial" w:hAnsi="Arial" w:cs="Arial"/>
                <w:sz w:val="20"/>
                <w:szCs w:val="20"/>
              </w:rPr>
              <w:t xml:space="preserve"> areas where this is currently the case, and in practice this means patients can be refused support to quit smoking in primary care – despite this being the leading cause of morbidity and preventative mortality. This is counter to national public health policy and the ambitions of the </w:t>
            </w:r>
            <w:proofErr w:type="gramStart"/>
            <w:r w:rsidRPr="005A14A3">
              <w:rPr>
                <w:rFonts w:ascii="Arial" w:hAnsi="Arial" w:cs="Arial"/>
                <w:sz w:val="20"/>
                <w:szCs w:val="20"/>
              </w:rPr>
              <w:t>Long Term</w:t>
            </w:r>
            <w:proofErr w:type="gramEnd"/>
            <w:r w:rsidRPr="005A14A3">
              <w:rPr>
                <w:rFonts w:ascii="Arial" w:hAnsi="Arial" w:cs="Arial"/>
                <w:sz w:val="20"/>
                <w:szCs w:val="20"/>
              </w:rPr>
              <w:t xml:space="preserve"> Plan to treat tobacco dependency comprehensively. </w:t>
            </w:r>
          </w:p>
          <w:p w14:paraId="560B7D1E" w14:textId="77777777" w:rsidR="00B877ED" w:rsidRPr="005A14A3" w:rsidRDefault="00B877ED" w:rsidP="00B877ED">
            <w:pPr>
              <w:rPr>
                <w:rFonts w:ascii="Arial" w:hAnsi="Arial" w:cs="Arial"/>
                <w:sz w:val="20"/>
                <w:szCs w:val="20"/>
              </w:rPr>
            </w:pPr>
          </w:p>
        </w:tc>
      </w:tr>
      <w:tr w:rsidR="00B877ED" w:rsidRPr="005A14A3" w14:paraId="4297C21F" w14:textId="77777777" w:rsidTr="00AD1879">
        <w:tc>
          <w:tcPr>
            <w:tcW w:w="704" w:type="dxa"/>
          </w:tcPr>
          <w:p w14:paraId="24F4AFD4" w14:textId="7045F262" w:rsidR="00B877ED" w:rsidRPr="00B877ED" w:rsidRDefault="00B877ED" w:rsidP="00B877ED">
            <w:pPr>
              <w:jc w:val="center"/>
              <w:rPr>
                <w:rFonts w:ascii="Arial" w:hAnsi="Arial" w:cs="Arial"/>
                <w:b/>
                <w:sz w:val="20"/>
                <w:szCs w:val="20"/>
                <w:lang w:eastAsia="en-GB"/>
              </w:rPr>
            </w:pPr>
            <w:r w:rsidRPr="00B877ED">
              <w:rPr>
                <w:rFonts w:ascii="Calibri" w:hAnsi="Calibri" w:cs="Calibri"/>
                <w:b/>
                <w:color w:val="000000"/>
                <w:sz w:val="22"/>
                <w:szCs w:val="22"/>
              </w:rPr>
              <w:lastRenderedPageBreak/>
              <w:t>9</w:t>
            </w:r>
          </w:p>
        </w:tc>
        <w:tc>
          <w:tcPr>
            <w:tcW w:w="1276" w:type="dxa"/>
          </w:tcPr>
          <w:p w14:paraId="53B1405A" w14:textId="1F91519D" w:rsidR="00B877ED" w:rsidRPr="005A14A3" w:rsidRDefault="00B877ED" w:rsidP="00B877ED">
            <w:pPr>
              <w:jc w:val="center"/>
              <w:rPr>
                <w:rFonts w:ascii="Arial" w:hAnsi="Arial" w:cs="Arial"/>
                <w:b/>
                <w:bCs/>
                <w:sz w:val="20"/>
                <w:szCs w:val="20"/>
                <w:lang w:eastAsia="en-GB"/>
              </w:rPr>
            </w:pPr>
            <w:r w:rsidRPr="005A14A3">
              <w:rPr>
                <w:rFonts w:ascii="Arial" w:hAnsi="Arial" w:cs="Arial"/>
                <w:b/>
                <w:sz w:val="20"/>
                <w:szCs w:val="20"/>
                <w:lang w:eastAsia="en-GB"/>
              </w:rPr>
              <w:t>COPD</w:t>
            </w:r>
          </w:p>
        </w:tc>
        <w:tc>
          <w:tcPr>
            <w:tcW w:w="1843" w:type="dxa"/>
          </w:tcPr>
          <w:p w14:paraId="51FEAD63" w14:textId="77777777" w:rsidR="00B877ED" w:rsidRPr="005A14A3" w:rsidRDefault="00B877ED" w:rsidP="00B877ED">
            <w:pPr>
              <w:jc w:val="center"/>
              <w:rPr>
                <w:rFonts w:ascii="Arial" w:hAnsi="Arial" w:cs="Arial"/>
                <w:b/>
                <w:sz w:val="20"/>
                <w:szCs w:val="20"/>
              </w:rPr>
            </w:pPr>
            <w:r w:rsidRPr="005A14A3">
              <w:rPr>
                <w:rFonts w:ascii="Arial" w:hAnsi="Arial" w:cs="Arial"/>
                <w:b/>
                <w:sz w:val="20"/>
                <w:szCs w:val="20"/>
              </w:rPr>
              <w:t>British Thoracic Society</w:t>
            </w:r>
          </w:p>
          <w:p w14:paraId="324E9000" w14:textId="77777777" w:rsidR="00B877ED" w:rsidRPr="005A14A3" w:rsidRDefault="00B877ED" w:rsidP="00B877ED">
            <w:pPr>
              <w:jc w:val="center"/>
              <w:rPr>
                <w:rFonts w:ascii="Arial" w:hAnsi="Arial" w:cs="Arial"/>
                <w:b/>
                <w:sz w:val="20"/>
                <w:szCs w:val="20"/>
                <w:lang w:eastAsia="en-GB"/>
              </w:rPr>
            </w:pPr>
          </w:p>
        </w:tc>
        <w:tc>
          <w:tcPr>
            <w:tcW w:w="10914" w:type="dxa"/>
          </w:tcPr>
          <w:p w14:paraId="0AF70C19" w14:textId="77777777" w:rsidR="00B877ED" w:rsidRPr="005A14A3" w:rsidRDefault="00B877ED" w:rsidP="00B877ED">
            <w:pPr>
              <w:rPr>
                <w:rFonts w:ascii="Arial" w:hAnsi="Arial" w:cs="Arial"/>
                <w:sz w:val="20"/>
                <w:szCs w:val="20"/>
              </w:rPr>
            </w:pPr>
            <w:r w:rsidRPr="005A14A3">
              <w:rPr>
                <w:rFonts w:ascii="Arial" w:hAnsi="Arial" w:cs="Arial"/>
                <w:sz w:val="20"/>
                <w:szCs w:val="20"/>
              </w:rPr>
              <w:t xml:space="preserve">Flu vaccination is the most cost-effective intervention in COPD but is not included in current QOF indicators circulated. We have significant concerns about the existing QOF. </w:t>
            </w:r>
            <w:proofErr w:type="gramStart"/>
            <w:r w:rsidRPr="005A14A3">
              <w:rPr>
                <w:rFonts w:ascii="Arial" w:hAnsi="Arial" w:cs="Arial"/>
                <w:sz w:val="20"/>
                <w:szCs w:val="20"/>
              </w:rPr>
              <w:t>Unfortunately</w:t>
            </w:r>
            <w:proofErr w:type="gramEnd"/>
            <w:r w:rsidRPr="005A14A3">
              <w:rPr>
                <w:rFonts w:ascii="Arial" w:hAnsi="Arial" w:cs="Arial"/>
                <w:sz w:val="20"/>
                <w:szCs w:val="20"/>
              </w:rPr>
              <w:t xml:space="preserve"> in some practices a large proportion of the COPD population are exception reported, and nationally a large number of COPD patients are not vaccinated. As these patients are removed from the denominator the practice could still achieve the previous indicator and payment. We favour retention of flu vaccination within QOF, </w:t>
            </w:r>
            <w:r w:rsidRPr="005A14A3">
              <w:rPr>
                <w:rFonts w:ascii="Arial" w:hAnsi="Arial" w:cs="Arial"/>
                <w:sz w:val="20"/>
                <w:szCs w:val="20"/>
                <w:u w:val="single"/>
              </w:rPr>
              <w:t>but patients who decline vaccination or who cannot be contacted should be included in the denominator</w:t>
            </w:r>
            <w:r w:rsidRPr="005A14A3">
              <w:rPr>
                <w:rFonts w:ascii="Arial" w:hAnsi="Arial" w:cs="Arial"/>
                <w:sz w:val="20"/>
                <w:szCs w:val="20"/>
              </w:rPr>
              <w:t xml:space="preserve">. </w:t>
            </w:r>
            <w:proofErr w:type="gramStart"/>
            <w:r w:rsidRPr="005A14A3">
              <w:rPr>
                <w:rFonts w:ascii="Arial" w:hAnsi="Arial" w:cs="Arial"/>
                <w:sz w:val="20"/>
                <w:szCs w:val="20"/>
              </w:rPr>
              <w:t>Both of these</w:t>
            </w:r>
            <w:proofErr w:type="gramEnd"/>
            <w:r w:rsidRPr="005A14A3">
              <w:rPr>
                <w:rFonts w:ascii="Arial" w:hAnsi="Arial" w:cs="Arial"/>
                <w:sz w:val="20"/>
                <w:szCs w:val="20"/>
              </w:rPr>
              <w:t xml:space="preserve"> prior reasons for exception reporting can be influenced by practice. For example, patients can be reassured the vaccine is dead, and cannot give them flu.</w:t>
            </w:r>
          </w:p>
        </w:tc>
      </w:tr>
      <w:tr w:rsidR="00B877ED" w:rsidRPr="005A14A3" w14:paraId="4773D331" w14:textId="77777777" w:rsidTr="00AD1879">
        <w:tc>
          <w:tcPr>
            <w:tcW w:w="704" w:type="dxa"/>
          </w:tcPr>
          <w:p w14:paraId="53DCB398" w14:textId="46708C9E" w:rsidR="00B877ED" w:rsidRPr="00B877ED" w:rsidRDefault="00B877ED" w:rsidP="00B877ED">
            <w:pPr>
              <w:jc w:val="center"/>
              <w:rPr>
                <w:rFonts w:ascii="Arial" w:hAnsi="Arial" w:cs="Arial"/>
                <w:b/>
                <w:sz w:val="20"/>
                <w:szCs w:val="20"/>
                <w:lang w:eastAsia="en-GB"/>
              </w:rPr>
            </w:pPr>
            <w:r w:rsidRPr="00B877ED">
              <w:rPr>
                <w:rFonts w:ascii="Calibri" w:hAnsi="Calibri" w:cs="Calibri"/>
                <w:b/>
                <w:color w:val="000000"/>
                <w:sz w:val="22"/>
                <w:szCs w:val="22"/>
              </w:rPr>
              <w:t>10</w:t>
            </w:r>
          </w:p>
        </w:tc>
        <w:tc>
          <w:tcPr>
            <w:tcW w:w="1276" w:type="dxa"/>
          </w:tcPr>
          <w:p w14:paraId="52FEEB17" w14:textId="5A0A2FE8" w:rsidR="00B877ED" w:rsidRPr="005A14A3" w:rsidRDefault="00B877ED" w:rsidP="00B877ED">
            <w:pPr>
              <w:jc w:val="center"/>
              <w:rPr>
                <w:rFonts w:ascii="Arial" w:hAnsi="Arial" w:cs="Arial"/>
                <w:b/>
                <w:sz w:val="20"/>
                <w:szCs w:val="20"/>
                <w:lang w:eastAsia="en-GB"/>
              </w:rPr>
            </w:pPr>
            <w:r w:rsidRPr="005A14A3">
              <w:rPr>
                <w:rFonts w:ascii="Arial" w:hAnsi="Arial" w:cs="Arial"/>
                <w:b/>
                <w:sz w:val="20"/>
                <w:szCs w:val="20"/>
                <w:lang w:eastAsia="en-GB"/>
              </w:rPr>
              <w:t>COPD</w:t>
            </w:r>
          </w:p>
        </w:tc>
        <w:tc>
          <w:tcPr>
            <w:tcW w:w="1843" w:type="dxa"/>
          </w:tcPr>
          <w:p w14:paraId="188DA44E" w14:textId="77777777" w:rsidR="00B877ED" w:rsidRPr="005A14A3" w:rsidRDefault="00B877ED" w:rsidP="00B877ED">
            <w:pPr>
              <w:jc w:val="center"/>
              <w:rPr>
                <w:rFonts w:ascii="Arial" w:hAnsi="Arial" w:cs="Arial"/>
                <w:b/>
                <w:sz w:val="20"/>
                <w:szCs w:val="20"/>
              </w:rPr>
            </w:pPr>
            <w:proofErr w:type="spellStart"/>
            <w:r w:rsidRPr="005A14A3">
              <w:rPr>
                <w:rFonts w:ascii="Arial" w:hAnsi="Arial" w:cs="Arial"/>
                <w:b/>
                <w:sz w:val="20"/>
                <w:szCs w:val="20"/>
              </w:rPr>
              <w:t>Elcena</w:t>
            </w:r>
            <w:proofErr w:type="spellEnd"/>
            <w:r w:rsidRPr="005A14A3">
              <w:rPr>
                <w:rFonts w:ascii="Arial" w:hAnsi="Arial" w:cs="Arial"/>
                <w:b/>
                <w:sz w:val="20"/>
                <w:szCs w:val="20"/>
              </w:rPr>
              <w:t xml:space="preserve"> Jeffers Foundation</w:t>
            </w:r>
          </w:p>
        </w:tc>
        <w:tc>
          <w:tcPr>
            <w:tcW w:w="10914" w:type="dxa"/>
          </w:tcPr>
          <w:p w14:paraId="0CE4FABD" w14:textId="77777777" w:rsidR="00B877ED" w:rsidRPr="005A14A3" w:rsidRDefault="00B877ED" w:rsidP="00B877ED">
            <w:pPr>
              <w:rPr>
                <w:rFonts w:ascii="Arial" w:hAnsi="Arial" w:cs="Arial"/>
                <w:sz w:val="20"/>
                <w:szCs w:val="20"/>
              </w:rPr>
            </w:pPr>
            <w:r w:rsidRPr="005A14A3">
              <w:rPr>
                <w:rFonts w:ascii="Arial" w:hAnsi="Arial" w:cs="Arial"/>
                <w:sz w:val="20"/>
                <w:szCs w:val="20"/>
              </w:rPr>
              <w:t>There is a wish to know about self-care in general public education in life as different people has different diseases or ailments</w:t>
            </w:r>
          </w:p>
        </w:tc>
      </w:tr>
      <w:tr w:rsidR="00B877ED" w:rsidRPr="005A14A3" w14:paraId="5AE67433" w14:textId="77777777" w:rsidTr="00AD1879">
        <w:tc>
          <w:tcPr>
            <w:tcW w:w="704" w:type="dxa"/>
          </w:tcPr>
          <w:p w14:paraId="1514279C" w14:textId="66CF5C58" w:rsidR="00B877ED" w:rsidRPr="00B877ED" w:rsidRDefault="00B877ED" w:rsidP="00B877ED">
            <w:pPr>
              <w:jc w:val="center"/>
              <w:rPr>
                <w:rFonts w:ascii="Arial" w:hAnsi="Arial" w:cs="Arial"/>
                <w:b/>
                <w:sz w:val="20"/>
                <w:szCs w:val="20"/>
                <w:lang w:eastAsia="en-GB"/>
              </w:rPr>
            </w:pPr>
            <w:r w:rsidRPr="00B877ED">
              <w:rPr>
                <w:rFonts w:ascii="Calibri" w:hAnsi="Calibri" w:cs="Calibri"/>
                <w:b/>
                <w:color w:val="000000"/>
                <w:sz w:val="22"/>
                <w:szCs w:val="22"/>
              </w:rPr>
              <w:t>11</w:t>
            </w:r>
          </w:p>
        </w:tc>
        <w:tc>
          <w:tcPr>
            <w:tcW w:w="1276" w:type="dxa"/>
          </w:tcPr>
          <w:p w14:paraId="4179D0EC" w14:textId="54E29FAA" w:rsidR="00B877ED" w:rsidRPr="005A14A3" w:rsidRDefault="00B877ED" w:rsidP="00B877ED">
            <w:pPr>
              <w:jc w:val="center"/>
              <w:rPr>
                <w:rFonts w:ascii="Arial" w:hAnsi="Arial" w:cs="Arial"/>
                <w:b/>
                <w:sz w:val="20"/>
                <w:szCs w:val="20"/>
                <w:lang w:eastAsia="en-GB"/>
              </w:rPr>
            </w:pPr>
            <w:r w:rsidRPr="005A14A3">
              <w:rPr>
                <w:rFonts w:ascii="Arial" w:hAnsi="Arial" w:cs="Arial"/>
                <w:b/>
                <w:sz w:val="20"/>
                <w:szCs w:val="20"/>
                <w:lang w:eastAsia="en-GB"/>
              </w:rPr>
              <w:t>COPD</w:t>
            </w:r>
          </w:p>
        </w:tc>
        <w:tc>
          <w:tcPr>
            <w:tcW w:w="1843" w:type="dxa"/>
          </w:tcPr>
          <w:p w14:paraId="7950CA91" w14:textId="77777777" w:rsidR="00B877ED" w:rsidRPr="005A14A3" w:rsidRDefault="00B877ED" w:rsidP="00B877ED">
            <w:pPr>
              <w:jc w:val="center"/>
              <w:rPr>
                <w:rFonts w:ascii="Arial" w:hAnsi="Arial" w:cs="Arial"/>
                <w:b/>
                <w:sz w:val="20"/>
                <w:szCs w:val="20"/>
              </w:rPr>
            </w:pPr>
            <w:r w:rsidRPr="005A14A3">
              <w:rPr>
                <w:rFonts w:ascii="Arial" w:hAnsi="Arial" w:cs="Arial"/>
                <w:b/>
                <w:sz w:val="20"/>
                <w:szCs w:val="20"/>
              </w:rPr>
              <w:t>Managing Adult Malnutrition in the Community</w:t>
            </w:r>
          </w:p>
        </w:tc>
        <w:tc>
          <w:tcPr>
            <w:tcW w:w="10914" w:type="dxa"/>
          </w:tcPr>
          <w:p w14:paraId="2B781EE7" w14:textId="77777777" w:rsidR="00B877ED" w:rsidRPr="005A14A3" w:rsidRDefault="00B877ED" w:rsidP="00B877ED">
            <w:pPr>
              <w:rPr>
                <w:rFonts w:ascii="Arial" w:hAnsi="Arial" w:cs="Arial"/>
                <w:sz w:val="20"/>
                <w:szCs w:val="20"/>
              </w:rPr>
            </w:pPr>
            <w:r w:rsidRPr="005A14A3">
              <w:rPr>
                <w:rFonts w:ascii="Arial" w:hAnsi="Arial" w:cs="Arial"/>
                <w:sz w:val="20"/>
                <w:szCs w:val="20"/>
              </w:rPr>
              <w:t>COPD – The Managing Malnutrition in COPD document is an endorsed resource under NICE NG115, NICE CG32 and NICE QS24 and it is endorsed by a number of multi-professional bodies (</w:t>
            </w:r>
            <w:hyperlink r:id="rId29" w:history="1">
              <w:r w:rsidRPr="005A14A3">
                <w:rPr>
                  <w:rFonts w:ascii="Arial" w:hAnsi="Arial" w:cs="Arial"/>
                  <w:sz w:val="20"/>
                  <w:szCs w:val="20"/>
                  <w:u w:val="single"/>
                </w:rPr>
                <w:t>www.malnutritionpathway.co.uk/copd</w:t>
              </w:r>
            </w:hyperlink>
            <w:r w:rsidRPr="005A14A3">
              <w:rPr>
                <w:rFonts w:ascii="Arial" w:hAnsi="Arial" w:cs="Arial"/>
                <w:sz w:val="20"/>
                <w:szCs w:val="20"/>
              </w:rPr>
              <w:t>).</w:t>
            </w:r>
          </w:p>
          <w:p w14:paraId="3A465212" w14:textId="77777777" w:rsidR="00B877ED" w:rsidRPr="005A14A3" w:rsidRDefault="00B877ED" w:rsidP="00B877ED">
            <w:pPr>
              <w:rPr>
                <w:rFonts w:ascii="Arial" w:hAnsi="Arial" w:cs="Arial"/>
                <w:sz w:val="20"/>
                <w:szCs w:val="20"/>
              </w:rPr>
            </w:pPr>
          </w:p>
          <w:p w14:paraId="36C74153" w14:textId="77777777" w:rsidR="00B877ED" w:rsidRPr="005A14A3" w:rsidRDefault="00B877ED" w:rsidP="00B877ED">
            <w:pPr>
              <w:rPr>
                <w:rFonts w:ascii="Arial" w:hAnsi="Arial" w:cs="Arial"/>
                <w:sz w:val="20"/>
                <w:szCs w:val="20"/>
              </w:rPr>
            </w:pPr>
            <w:r w:rsidRPr="005A14A3">
              <w:rPr>
                <w:rFonts w:ascii="Arial" w:hAnsi="Arial" w:cs="Arial"/>
                <w:sz w:val="20"/>
                <w:szCs w:val="20"/>
              </w:rPr>
              <w:t>It is estimated that around 21% of individuals with COPD are at risk of malnutrition</w:t>
            </w:r>
            <w:r w:rsidRPr="005A14A3">
              <w:rPr>
                <w:rFonts w:ascii="Arial" w:hAnsi="Arial" w:cs="Arial"/>
                <w:sz w:val="20"/>
                <w:szCs w:val="20"/>
                <w:vertAlign w:val="superscript"/>
              </w:rPr>
              <w:t>1</w:t>
            </w:r>
            <w:r w:rsidRPr="005A14A3">
              <w:rPr>
                <w:rFonts w:ascii="Arial" w:hAnsi="Arial" w:cs="Arial"/>
                <w:sz w:val="20"/>
                <w:szCs w:val="20"/>
              </w:rPr>
              <w:t xml:space="preserve"> - it is recommended that nutrition screening, assessment and management are incorporated into the annual review.</w:t>
            </w:r>
          </w:p>
          <w:p w14:paraId="1521DD41" w14:textId="77777777" w:rsidR="00B877ED" w:rsidRPr="005A14A3" w:rsidRDefault="00B877ED" w:rsidP="00B877ED">
            <w:pPr>
              <w:rPr>
                <w:rFonts w:ascii="Arial" w:hAnsi="Arial" w:cs="Arial"/>
                <w:sz w:val="20"/>
                <w:szCs w:val="20"/>
              </w:rPr>
            </w:pPr>
          </w:p>
          <w:p w14:paraId="4F31C0C2" w14:textId="77777777" w:rsidR="00B877ED" w:rsidRPr="00F26CAD" w:rsidRDefault="00B877ED" w:rsidP="00B877ED">
            <w:pPr>
              <w:rPr>
                <w:rFonts w:ascii="Arial" w:hAnsi="Arial" w:cs="Arial"/>
                <w:sz w:val="20"/>
                <w:szCs w:val="20"/>
                <w:u w:val="single"/>
              </w:rPr>
            </w:pPr>
            <w:r w:rsidRPr="00F26CAD">
              <w:rPr>
                <w:rFonts w:ascii="Arial" w:hAnsi="Arial" w:cs="Arial"/>
                <w:sz w:val="20"/>
                <w:szCs w:val="20"/>
                <w:u w:val="single"/>
              </w:rPr>
              <w:t>References</w:t>
            </w:r>
          </w:p>
          <w:p w14:paraId="42BCAA84" w14:textId="77777777" w:rsidR="00B877ED" w:rsidRPr="005A14A3" w:rsidRDefault="00B877ED" w:rsidP="00B877ED">
            <w:pPr>
              <w:rPr>
                <w:rFonts w:ascii="Arial" w:hAnsi="Arial" w:cs="Arial"/>
                <w:sz w:val="20"/>
                <w:szCs w:val="20"/>
              </w:rPr>
            </w:pPr>
            <w:r w:rsidRPr="005A14A3">
              <w:rPr>
                <w:rFonts w:ascii="Arial" w:hAnsi="Arial" w:cs="Arial"/>
                <w:sz w:val="20"/>
                <w:szCs w:val="20"/>
              </w:rPr>
              <w:t>Collins PF et al., Prevalence of malnutrition in outpatients with chronic obstructive pulmonary disease. Proc Nut Soc. 2010; 69(Issue OCE2): E148</w:t>
            </w:r>
          </w:p>
        </w:tc>
      </w:tr>
      <w:tr w:rsidR="00B877ED" w:rsidRPr="0080728F" w14:paraId="25F2DE0A" w14:textId="77777777" w:rsidTr="00AD1879">
        <w:tc>
          <w:tcPr>
            <w:tcW w:w="704" w:type="dxa"/>
          </w:tcPr>
          <w:p w14:paraId="58E0252F" w14:textId="3C1678BB" w:rsidR="00B877ED" w:rsidRPr="00B877ED" w:rsidRDefault="00B877ED" w:rsidP="00B877ED">
            <w:pPr>
              <w:pStyle w:val="TableText1"/>
              <w:jc w:val="center"/>
              <w:rPr>
                <w:rFonts w:cs="Arial"/>
                <w:b/>
                <w:sz w:val="20"/>
                <w:szCs w:val="20"/>
              </w:rPr>
            </w:pPr>
            <w:r w:rsidRPr="00B877ED">
              <w:rPr>
                <w:rFonts w:ascii="Calibri" w:hAnsi="Calibri" w:cs="Calibri"/>
                <w:b/>
                <w:color w:val="000000"/>
                <w:szCs w:val="22"/>
              </w:rPr>
              <w:t>12</w:t>
            </w:r>
          </w:p>
        </w:tc>
        <w:tc>
          <w:tcPr>
            <w:tcW w:w="1276" w:type="dxa"/>
          </w:tcPr>
          <w:p w14:paraId="297C5139" w14:textId="41403FE6" w:rsidR="00B877ED" w:rsidRPr="0080728F" w:rsidRDefault="00B877ED" w:rsidP="00B877ED">
            <w:pPr>
              <w:pStyle w:val="TableText1"/>
              <w:jc w:val="center"/>
              <w:rPr>
                <w:rFonts w:cs="Arial"/>
                <w:b/>
                <w:sz w:val="20"/>
                <w:szCs w:val="20"/>
              </w:rPr>
            </w:pPr>
            <w:r>
              <w:rPr>
                <w:rFonts w:cs="Arial"/>
                <w:b/>
                <w:sz w:val="20"/>
                <w:szCs w:val="20"/>
              </w:rPr>
              <w:t>COPD</w:t>
            </w:r>
          </w:p>
        </w:tc>
        <w:tc>
          <w:tcPr>
            <w:tcW w:w="1843" w:type="dxa"/>
          </w:tcPr>
          <w:p w14:paraId="2144C350" w14:textId="77777777" w:rsidR="00B877ED" w:rsidRPr="0080728F" w:rsidRDefault="00B877ED" w:rsidP="00B877ED">
            <w:pPr>
              <w:pStyle w:val="TableText1"/>
              <w:jc w:val="center"/>
              <w:rPr>
                <w:rFonts w:cs="Arial"/>
                <w:b/>
                <w:sz w:val="20"/>
                <w:szCs w:val="20"/>
              </w:rPr>
            </w:pPr>
            <w:r>
              <w:rPr>
                <w:rFonts w:cs="Arial"/>
                <w:b/>
                <w:sz w:val="20"/>
                <w:szCs w:val="20"/>
              </w:rPr>
              <w:t>NHS England</w:t>
            </w:r>
          </w:p>
        </w:tc>
        <w:tc>
          <w:tcPr>
            <w:tcW w:w="10914" w:type="dxa"/>
          </w:tcPr>
          <w:p w14:paraId="6605921A" w14:textId="77777777" w:rsidR="00B877ED" w:rsidRPr="00BB23AB" w:rsidRDefault="00B877ED" w:rsidP="00B877ED">
            <w:pPr>
              <w:rPr>
                <w:rFonts w:ascii="Arial" w:hAnsi="Arial" w:cs="Arial"/>
                <w:sz w:val="20"/>
                <w:szCs w:val="20"/>
              </w:rPr>
            </w:pPr>
            <w:r w:rsidRPr="00BB23AB">
              <w:rPr>
                <w:rFonts w:ascii="Arial" w:hAnsi="Arial" w:cs="Arial"/>
                <w:sz w:val="20"/>
                <w:szCs w:val="20"/>
              </w:rPr>
              <w:t xml:space="preserve">Treating tobacco dependency is the business of all healthcare professionals because of the extensive harm it can cause, and the health benefits of quitting. Including a specific indicator on treating tobacco dependency in COPD would give a clear message to healthcare professionals that treating tobacco dependency is their responsibility – using the most effective method, which is support with medication. </w:t>
            </w:r>
          </w:p>
          <w:p w14:paraId="7EC2D891" w14:textId="77777777" w:rsidR="00B877ED" w:rsidRPr="00BB23AB" w:rsidRDefault="00B877ED" w:rsidP="00B877ED">
            <w:pPr>
              <w:rPr>
                <w:rFonts w:ascii="Arial" w:hAnsi="Arial" w:cs="Arial"/>
                <w:sz w:val="20"/>
                <w:szCs w:val="20"/>
              </w:rPr>
            </w:pPr>
          </w:p>
          <w:p w14:paraId="13FB2CD0" w14:textId="77777777" w:rsidR="00B877ED" w:rsidRPr="0080728F" w:rsidRDefault="00B877ED" w:rsidP="00B877ED">
            <w:pPr>
              <w:rPr>
                <w:rFonts w:ascii="Arial" w:hAnsi="Arial" w:cs="Arial"/>
                <w:sz w:val="20"/>
                <w:szCs w:val="20"/>
              </w:rPr>
            </w:pPr>
            <w:r w:rsidRPr="00BB23AB">
              <w:rPr>
                <w:rFonts w:ascii="Arial" w:hAnsi="Arial" w:cs="Arial"/>
                <w:sz w:val="20"/>
                <w:szCs w:val="20"/>
              </w:rPr>
              <w:t xml:space="preserve">Inclusion of such an indicator will also give a clear signal to CCGs that a policy of prohibiting the prescribing of </w:t>
            </w:r>
            <w:proofErr w:type="gramStart"/>
            <w:r w:rsidRPr="00BB23AB">
              <w:rPr>
                <w:rFonts w:ascii="Arial" w:hAnsi="Arial" w:cs="Arial"/>
                <w:sz w:val="20"/>
                <w:szCs w:val="20"/>
              </w:rPr>
              <w:t>evidence based</w:t>
            </w:r>
            <w:proofErr w:type="gramEnd"/>
            <w:r w:rsidRPr="00BB23AB">
              <w:rPr>
                <w:rFonts w:ascii="Arial" w:hAnsi="Arial" w:cs="Arial"/>
                <w:sz w:val="20"/>
                <w:szCs w:val="20"/>
              </w:rPr>
              <w:t xml:space="preserve"> medication is unacceptable and runs counter to national public health policy and the need to address inequalities, </w:t>
            </w:r>
            <w:r w:rsidRPr="00BB23AB">
              <w:rPr>
                <w:rFonts w:ascii="Arial" w:hAnsi="Arial" w:cs="Arial"/>
                <w:sz w:val="20"/>
                <w:szCs w:val="20"/>
              </w:rPr>
              <w:lastRenderedPageBreak/>
              <w:t xml:space="preserve">and the NHS long term plan. The NHS public facing website supports this position – saying that prescription only meds are available from GP or NHS stop smoking service. </w:t>
            </w:r>
            <w:hyperlink r:id="rId30" w:history="1">
              <w:r w:rsidRPr="00BB23AB">
                <w:rPr>
                  <w:rStyle w:val="Hyperlink"/>
                  <w:rFonts w:ascii="Arial" w:hAnsi="Arial" w:cs="Arial"/>
                  <w:sz w:val="20"/>
                  <w:szCs w:val="20"/>
                </w:rPr>
                <w:t>https://www.nhs.uk/conditions/stop-smoking-treatments/</w:t>
              </w:r>
            </w:hyperlink>
            <w:r w:rsidRPr="001C11C4">
              <w:rPr>
                <w:rFonts w:ascii="Arial" w:hAnsi="Arial" w:cs="Arial"/>
                <w:sz w:val="20"/>
                <w:szCs w:val="20"/>
                <w:u w:val="single"/>
              </w:rPr>
              <w:t>.</w:t>
            </w:r>
          </w:p>
        </w:tc>
      </w:tr>
      <w:tr w:rsidR="00B877ED" w:rsidRPr="005A14A3" w14:paraId="1B0AB23E" w14:textId="77777777" w:rsidTr="00AD1879">
        <w:tc>
          <w:tcPr>
            <w:tcW w:w="704" w:type="dxa"/>
          </w:tcPr>
          <w:p w14:paraId="4311495F" w14:textId="452272D4" w:rsidR="00B877ED" w:rsidRPr="00B877ED" w:rsidRDefault="00B877ED" w:rsidP="00B877ED">
            <w:pPr>
              <w:jc w:val="center"/>
              <w:rPr>
                <w:rFonts w:ascii="Arial" w:hAnsi="Arial" w:cs="Arial"/>
                <w:b/>
                <w:sz w:val="20"/>
                <w:szCs w:val="20"/>
                <w:lang w:eastAsia="en-GB"/>
              </w:rPr>
            </w:pPr>
            <w:r w:rsidRPr="00B877ED">
              <w:rPr>
                <w:rFonts w:ascii="Calibri" w:hAnsi="Calibri" w:cs="Calibri"/>
                <w:b/>
                <w:color w:val="000000"/>
                <w:sz w:val="22"/>
                <w:szCs w:val="22"/>
              </w:rPr>
              <w:lastRenderedPageBreak/>
              <w:t>13</w:t>
            </w:r>
          </w:p>
        </w:tc>
        <w:tc>
          <w:tcPr>
            <w:tcW w:w="1276" w:type="dxa"/>
          </w:tcPr>
          <w:p w14:paraId="5604B818" w14:textId="29FF529E" w:rsidR="00B877ED" w:rsidRPr="005A14A3" w:rsidRDefault="00B877ED" w:rsidP="00B877ED">
            <w:pPr>
              <w:jc w:val="center"/>
              <w:rPr>
                <w:rFonts w:ascii="Arial" w:hAnsi="Arial" w:cs="Arial"/>
                <w:b/>
                <w:sz w:val="20"/>
                <w:szCs w:val="20"/>
                <w:lang w:eastAsia="en-GB"/>
              </w:rPr>
            </w:pPr>
            <w:r w:rsidRPr="005A14A3">
              <w:rPr>
                <w:rFonts w:ascii="Arial" w:hAnsi="Arial" w:cs="Arial"/>
                <w:b/>
                <w:sz w:val="20"/>
                <w:szCs w:val="20"/>
                <w:lang w:eastAsia="en-GB"/>
              </w:rPr>
              <w:t>COPD</w:t>
            </w:r>
          </w:p>
        </w:tc>
        <w:tc>
          <w:tcPr>
            <w:tcW w:w="1843" w:type="dxa"/>
          </w:tcPr>
          <w:p w14:paraId="0E175C52" w14:textId="77777777" w:rsidR="00B877ED" w:rsidRPr="005A14A3" w:rsidRDefault="00B877ED" w:rsidP="00B877ED">
            <w:pPr>
              <w:jc w:val="center"/>
              <w:rPr>
                <w:rFonts w:ascii="Arial" w:hAnsi="Arial" w:cs="Arial"/>
                <w:b/>
                <w:sz w:val="20"/>
                <w:szCs w:val="20"/>
              </w:rPr>
            </w:pPr>
            <w:proofErr w:type="spellStart"/>
            <w:r w:rsidRPr="005A14A3">
              <w:rPr>
                <w:rFonts w:ascii="Arial" w:hAnsi="Arial" w:cs="Arial"/>
                <w:b/>
                <w:sz w:val="20"/>
                <w:szCs w:val="20"/>
              </w:rPr>
              <w:t>Nutricia</w:t>
            </w:r>
            <w:proofErr w:type="spellEnd"/>
            <w:r w:rsidRPr="005A14A3">
              <w:rPr>
                <w:rFonts w:ascii="Arial" w:hAnsi="Arial" w:cs="Arial"/>
                <w:b/>
                <w:sz w:val="20"/>
                <w:szCs w:val="20"/>
              </w:rPr>
              <w:t xml:space="preserve"> Advanced Medical Nutrition</w:t>
            </w:r>
          </w:p>
        </w:tc>
        <w:tc>
          <w:tcPr>
            <w:tcW w:w="10914" w:type="dxa"/>
          </w:tcPr>
          <w:p w14:paraId="313D62F9" w14:textId="77777777" w:rsidR="00B877ED" w:rsidRPr="005A14A3" w:rsidRDefault="00B877ED" w:rsidP="00B877ED">
            <w:pPr>
              <w:rPr>
                <w:rFonts w:ascii="Arial" w:hAnsi="Arial" w:cs="Arial"/>
                <w:sz w:val="20"/>
                <w:szCs w:val="20"/>
              </w:rPr>
            </w:pPr>
            <w:r w:rsidRPr="005A14A3">
              <w:rPr>
                <w:rFonts w:ascii="Arial" w:hAnsi="Arial" w:cs="Arial"/>
                <w:sz w:val="20"/>
                <w:szCs w:val="20"/>
              </w:rPr>
              <w:t>Malnutrition is common in patients with COPD with reported prevalence rates between 30-60% for in patients and 10-45 % in out-patients (</w:t>
            </w:r>
            <w:r w:rsidRPr="005A14A3">
              <w:rPr>
                <w:rFonts w:ascii="Arial" w:hAnsi="Arial" w:cs="Arial"/>
                <w:bCs/>
                <w:sz w:val="20"/>
                <w:szCs w:val="20"/>
              </w:rPr>
              <w:t>Stratton RJ et al,</w:t>
            </w:r>
            <w:r w:rsidRPr="005A14A3">
              <w:rPr>
                <w:rFonts w:ascii="Arial" w:hAnsi="Arial" w:cs="Arial"/>
                <w:sz w:val="20"/>
                <w:szCs w:val="20"/>
              </w:rPr>
              <w:t xml:space="preserve"> Disease related malnutrition: An </w:t>
            </w:r>
            <w:proofErr w:type="gramStart"/>
            <w:r w:rsidRPr="005A14A3">
              <w:rPr>
                <w:rFonts w:ascii="Arial" w:hAnsi="Arial" w:cs="Arial"/>
                <w:sz w:val="20"/>
                <w:szCs w:val="20"/>
              </w:rPr>
              <w:t>evidence based</w:t>
            </w:r>
            <w:proofErr w:type="gramEnd"/>
            <w:r w:rsidRPr="005A14A3">
              <w:rPr>
                <w:rFonts w:ascii="Arial" w:hAnsi="Arial" w:cs="Arial"/>
                <w:sz w:val="20"/>
                <w:szCs w:val="20"/>
              </w:rPr>
              <w:t xml:space="preserve"> approach to treatment.  CABI Publishing Oxford 2003).</w:t>
            </w:r>
          </w:p>
        </w:tc>
      </w:tr>
      <w:tr w:rsidR="00B877ED" w:rsidRPr="005A14A3" w14:paraId="0CA3F12D" w14:textId="77777777" w:rsidTr="00AD1879">
        <w:tc>
          <w:tcPr>
            <w:tcW w:w="704" w:type="dxa"/>
          </w:tcPr>
          <w:p w14:paraId="5A08F03F" w14:textId="559C0123" w:rsidR="00B877ED" w:rsidRPr="00B877ED" w:rsidRDefault="00B877ED" w:rsidP="00B877ED">
            <w:pPr>
              <w:jc w:val="center"/>
              <w:rPr>
                <w:rFonts w:ascii="Arial" w:hAnsi="Arial" w:cs="Arial"/>
                <w:b/>
                <w:bCs/>
                <w:sz w:val="20"/>
                <w:szCs w:val="20"/>
                <w:lang w:eastAsia="en-GB"/>
              </w:rPr>
            </w:pPr>
            <w:r w:rsidRPr="00B877ED">
              <w:rPr>
                <w:rFonts w:ascii="Calibri" w:hAnsi="Calibri" w:cs="Calibri"/>
                <w:b/>
                <w:color w:val="000000"/>
                <w:sz w:val="22"/>
                <w:szCs w:val="22"/>
              </w:rPr>
              <w:t>14</w:t>
            </w:r>
          </w:p>
        </w:tc>
        <w:tc>
          <w:tcPr>
            <w:tcW w:w="1276" w:type="dxa"/>
          </w:tcPr>
          <w:p w14:paraId="0464A874" w14:textId="0938906A" w:rsidR="00B877ED" w:rsidRPr="005A14A3" w:rsidRDefault="00B877ED" w:rsidP="00B877ED">
            <w:pPr>
              <w:jc w:val="center"/>
              <w:rPr>
                <w:rFonts w:ascii="Arial" w:hAnsi="Arial" w:cs="Arial"/>
                <w:b/>
                <w:sz w:val="20"/>
                <w:szCs w:val="20"/>
                <w:lang w:eastAsia="en-GB"/>
              </w:rPr>
            </w:pPr>
            <w:r w:rsidRPr="005A14A3">
              <w:rPr>
                <w:rFonts w:ascii="Arial" w:hAnsi="Arial" w:cs="Arial"/>
                <w:b/>
                <w:bCs/>
                <w:sz w:val="20"/>
                <w:szCs w:val="20"/>
                <w:lang w:eastAsia="en-GB"/>
              </w:rPr>
              <w:t>COPD</w:t>
            </w:r>
          </w:p>
        </w:tc>
        <w:tc>
          <w:tcPr>
            <w:tcW w:w="1843" w:type="dxa"/>
          </w:tcPr>
          <w:p w14:paraId="249F18E6" w14:textId="77777777" w:rsidR="00B877ED" w:rsidRPr="005A14A3" w:rsidRDefault="00B877ED" w:rsidP="00B877ED">
            <w:pPr>
              <w:jc w:val="center"/>
              <w:rPr>
                <w:rFonts w:ascii="Arial" w:hAnsi="Arial" w:cs="Arial"/>
                <w:b/>
                <w:sz w:val="20"/>
                <w:szCs w:val="20"/>
              </w:rPr>
            </w:pPr>
            <w:r w:rsidRPr="005A14A3">
              <w:rPr>
                <w:rFonts w:ascii="Arial" w:hAnsi="Arial" w:cs="Arial"/>
                <w:b/>
                <w:sz w:val="20"/>
                <w:szCs w:val="20"/>
              </w:rPr>
              <w:t>Primary Care Respiratory Society</w:t>
            </w:r>
          </w:p>
        </w:tc>
        <w:tc>
          <w:tcPr>
            <w:tcW w:w="10914" w:type="dxa"/>
          </w:tcPr>
          <w:p w14:paraId="068AF039" w14:textId="77777777" w:rsidR="00B877ED" w:rsidRPr="005A14A3" w:rsidRDefault="00B877ED" w:rsidP="00B877ED">
            <w:pPr>
              <w:rPr>
                <w:rFonts w:ascii="Arial" w:hAnsi="Arial" w:cs="Arial"/>
                <w:sz w:val="20"/>
                <w:szCs w:val="20"/>
              </w:rPr>
            </w:pPr>
            <w:r w:rsidRPr="005A14A3">
              <w:rPr>
                <w:rFonts w:ascii="Arial" w:hAnsi="Arial" w:cs="Arial"/>
                <w:sz w:val="20"/>
                <w:szCs w:val="20"/>
              </w:rPr>
              <w:t xml:space="preserve">There is an important omission in the indicators for COPD. </w:t>
            </w:r>
          </w:p>
          <w:p w14:paraId="1B2E64D2" w14:textId="77777777" w:rsidR="00B877ED" w:rsidRPr="005A14A3" w:rsidRDefault="00B877ED" w:rsidP="00B877ED">
            <w:pPr>
              <w:rPr>
                <w:rFonts w:ascii="Arial" w:hAnsi="Arial" w:cs="Arial"/>
                <w:sz w:val="20"/>
                <w:szCs w:val="20"/>
              </w:rPr>
            </w:pPr>
            <w:proofErr w:type="gramStart"/>
            <w:r w:rsidRPr="005A14A3">
              <w:rPr>
                <w:rFonts w:ascii="Arial" w:hAnsi="Arial" w:cs="Arial"/>
                <w:sz w:val="20"/>
                <w:szCs w:val="20"/>
              </w:rPr>
              <w:t>The majority of</w:t>
            </w:r>
            <w:proofErr w:type="gramEnd"/>
            <w:r w:rsidRPr="005A14A3">
              <w:rPr>
                <w:rFonts w:ascii="Arial" w:hAnsi="Arial" w:cs="Arial"/>
                <w:sz w:val="20"/>
                <w:szCs w:val="20"/>
              </w:rPr>
              <w:t xml:space="preserve"> people who develop COPD have a past smoking history or are current smokers. Treating tobacco dependency can halt the development of COPD and improve prognosis for people who smoke, which is obviously good both for the patient and the significant burden smoking places on the NHS. As tobacco dependency affects the lungs directly, it is logical to have a COPD indicator which addresses this specifically for these patients. Tobacco dependency causes harm, and is more prevalent than hypertension, so why would we not encourage healthcare professionals to see it as their responsibility to help smokers to quit?</w:t>
            </w:r>
          </w:p>
          <w:p w14:paraId="5DDE82E9" w14:textId="77777777" w:rsidR="00B877ED" w:rsidRPr="005A14A3" w:rsidRDefault="00B877ED" w:rsidP="00B877ED">
            <w:pPr>
              <w:rPr>
                <w:rFonts w:ascii="Arial" w:hAnsi="Arial" w:cs="Arial"/>
                <w:sz w:val="20"/>
                <w:szCs w:val="20"/>
              </w:rPr>
            </w:pPr>
            <w:r w:rsidRPr="005A14A3">
              <w:rPr>
                <w:rFonts w:ascii="Arial" w:hAnsi="Arial" w:cs="Arial"/>
                <w:sz w:val="20"/>
                <w:szCs w:val="20"/>
              </w:rPr>
              <w:t xml:space="preserve">Treating tobacco dependency is the business of all healthcare professionals because of the extensive harm it can cause, and the health benefits of quitting. Including a specific indicator on treating tobacco dependency in COPD would give a clear message to healthcare professionals that treating tobacco dependency is their responsibility – using the most effective method, which is support with medication. </w:t>
            </w:r>
          </w:p>
          <w:p w14:paraId="3C510E72" w14:textId="77777777" w:rsidR="00B877ED" w:rsidRPr="005A14A3" w:rsidRDefault="00B877ED" w:rsidP="00B877ED">
            <w:pPr>
              <w:rPr>
                <w:rFonts w:ascii="Arial" w:hAnsi="Arial" w:cs="Arial"/>
                <w:sz w:val="20"/>
                <w:szCs w:val="20"/>
              </w:rPr>
            </w:pPr>
            <w:r w:rsidRPr="005A14A3">
              <w:rPr>
                <w:rFonts w:ascii="Arial" w:hAnsi="Arial" w:cs="Arial"/>
                <w:sz w:val="20"/>
                <w:szCs w:val="20"/>
              </w:rPr>
              <w:t xml:space="preserve">Inclusion of such an indicator will also give a clear signal to CCGs that a policy of prohibiting the prescribing of </w:t>
            </w:r>
            <w:proofErr w:type="gramStart"/>
            <w:r w:rsidRPr="005A14A3">
              <w:rPr>
                <w:rFonts w:ascii="Arial" w:hAnsi="Arial" w:cs="Arial"/>
                <w:sz w:val="20"/>
                <w:szCs w:val="20"/>
              </w:rPr>
              <w:t>evidence based</w:t>
            </w:r>
            <w:proofErr w:type="gramEnd"/>
            <w:r w:rsidRPr="005A14A3">
              <w:rPr>
                <w:rFonts w:ascii="Arial" w:hAnsi="Arial" w:cs="Arial"/>
                <w:sz w:val="20"/>
                <w:szCs w:val="20"/>
              </w:rPr>
              <w:t xml:space="preserve"> medication is unacceptable, and runs counter to national public health policy and the need to address inequalities, and the NHS Long term plan. The NHS public facing website supports this position – saying that prescription only meds are available from GP or NHS stop smoking service. </w:t>
            </w:r>
            <w:hyperlink r:id="rId31" w:history="1">
              <w:r w:rsidRPr="005A14A3">
                <w:rPr>
                  <w:rFonts w:ascii="Arial" w:hAnsi="Arial" w:cs="Arial"/>
                  <w:sz w:val="20"/>
                  <w:szCs w:val="20"/>
                  <w:u w:val="single"/>
                </w:rPr>
                <w:t>https://www.nhs.uk/conditions/stop-smoking-treatments/</w:t>
              </w:r>
            </w:hyperlink>
          </w:p>
        </w:tc>
      </w:tr>
      <w:tr w:rsidR="00B877ED" w:rsidRPr="009F3E21" w14:paraId="5E9A92FF" w14:textId="77777777" w:rsidTr="00AD1879">
        <w:tc>
          <w:tcPr>
            <w:tcW w:w="704" w:type="dxa"/>
          </w:tcPr>
          <w:p w14:paraId="1F4ED6C2" w14:textId="5CE4788D" w:rsidR="00B877ED" w:rsidRPr="00B877ED" w:rsidRDefault="00B877ED" w:rsidP="00B877ED">
            <w:pPr>
              <w:pStyle w:val="TableText1"/>
              <w:jc w:val="center"/>
              <w:rPr>
                <w:rFonts w:cs="Arial"/>
                <w:b/>
                <w:sz w:val="20"/>
                <w:szCs w:val="20"/>
              </w:rPr>
            </w:pPr>
            <w:r w:rsidRPr="00B877ED">
              <w:rPr>
                <w:rFonts w:ascii="Calibri" w:hAnsi="Calibri" w:cs="Calibri"/>
                <w:b/>
                <w:color w:val="000000"/>
                <w:szCs w:val="22"/>
              </w:rPr>
              <w:t>15</w:t>
            </w:r>
          </w:p>
        </w:tc>
        <w:tc>
          <w:tcPr>
            <w:tcW w:w="1276" w:type="dxa"/>
          </w:tcPr>
          <w:p w14:paraId="3B341677" w14:textId="23F59481" w:rsidR="00B877ED" w:rsidRDefault="00B877ED" w:rsidP="00B877ED">
            <w:pPr>
              <w:pStyle w:val="TableText1"/>
              <w:jc w:val="center"/>
              <w:rPr>
                <w:rFonts w:cs="Arial"/>
                <w:b/>
                <w:sz w:val="20"/>
                <w:szCs w:val="20"/>
              </w:rPr>
            </w:pPr>
            <w:r>
              <w:rPr>
                <w:rFonts w:cs="Arial"/>
                <w:b/>
                <w:sz w:val="20"/>
                <w:szCs w:val="20"/>
              </w:rPr>
              <w:t>COPD</w:t>
            </w:r>
          </w:p>
        </w:tc>
        <w:tc>
          <w:tcPr>
            <w:tcW w:w="1843" w:type="dxa"/>
          </w:tcPr>
          <w:p w14:paraId="584EA37A" w14:textId="77777777" w:rsidR="00B877ED" w:rsidRDefault="00B877ED" w:rsidP="00B877ED">
            <w:pPr>
              <w:pStyle w:val="TableText1"/>
              <w:jc w:val="center"/>
              <w:rPr>
                <w:rFonts w:cs="Arial"/>
                <w:b/>
                <w:sz w:val="20"/>
                <w:szCs w:val="20"/>
              </w:rPr>
            </w:pPr>
            <w:r>
              <w:rPr>
                <w:rFonts w:cs="Arial"/>
                <w:b/>
                <w:sz w:val="20"/>
                <w:szCs w:val="20"/>
              </w:rPr>
              <w:t>PHE</w:t>
            </w:r>
          </w:p>
        </w:tc>
        <w:tc>
          <w:tcPr>
            <w:tcW w:w="10914" w:type="dxa"/>
          </w:tcPr>
          <w:p w14:paraId="5BE26DC3" w14:textId="77777777" w:rsidR="00B877ED" w:rsidRPr="00BB23AB" w:rsidRDefault="00B877ED" w:rsidP="00B877ED">
            <w:pPr>
              <w:rPr>
                <w:rFonts w:ascii="Arial" w:hAnsi="Arial" w:cs="Arial"/>
                <w:sz w:val="20"/>
                <w:szCs w:val="20"/>
              </w:rPr>
            </w:pPr>
            <w:r w:rsidRPr="00BB23AB">
              <w:rPr>
                <w:rFonts w:ascii="Arial" w:hAnsi="Arial" w:cs="Arial"/>
                <w:sz w:val="20"/>
                <w:szCs w:val="20"/>
              </w:rPr>
              <w:t xml:space="preserve">PHE does not have any comments on the proposed COPD indicators. </w:t>
            </w:r>
          </w:p>
          <w:p w14:paraId="1899C801" w14:textId="77777777" w:rsidR="00B877ED" w:rsidRPr="009F3E21" w:rsidRDefault="00B877ED" w:rsidP="00B877ED">
            <w:pPr>
              <w:rPr>
                <w:rFonts w:ascii="Arial" w:hAnsi="Arial" w:cs="Arial"/>
                <w:sz w:val="20"/>
                <w:szCs w:val="20"/>
                <w:highlight w:val="yellow"/>
              </w:rPr>
            </w:pPr>
            <w:r w:rsidRPr="00BB23AB">
              <w:rPr>
                <w:rFonts w:ascii="Arial" w:hAnsi="Arial" w:cs="Arial"/>
                <w:sz w:val="20"/>
                <w:szCs w:val="20"/>
              </w:rPr>
              <w:t>However, there is an important omission in the QOF indicators for COPD. Most people who develop COPD have a past smoking history or are current smokers. QOF only includes COPD within a wider group of patients reported within the smoking indicators. Treating tobacco dependency can halt the development of COPD and improve prognosis for people who smoke. PHE would welcome the development of a COPD indicator which addresses this specifically for COPD patients.</w:t>
            </w:r>
          </w:p>
        </w:tc>
      </w:tr>
      <w:tr w:rsidR="00B877ED" w:rsidRPr="005A14A3" w14:paraId="59283233" w14:textId="77777777" w:rsidTr="00AD1879">
        <w:tc>
          <w:tcPr>
            <w:tcW w:w="704" w:type="dxa"/>
          </w:tcPr>
          <w:p w14:paraId="1FB3B6FD" w14:textId="43F19516" w:rsidR="00B877ED" w:rsidRPr="00B877ED" w:rsidRDefault="00B877ED" w:rsidP="00B877ED">
            <w:pPr>
              <w:jc w:val="center"/>
              <w:rPr>
                <w:rFonts w:ascii="Arial" w:hAnsi="Arial" w:cs="Arial"/>
                <w:b/>
                <w:sz w:val="20"/>
                <w:szCs w:val="20"/>
                <w:lang w:eastAsia="en-GB"/>
              </w:rPr>
            </w:pPr>
            <w:r w:rsidRPr="00B877ED">
              <w:rPr>
                <w:rFonts w:ascii="Calibri" w:hAnsi="Calibri" w:cs="Calibri"/>
                <w:b/>
                <w:color w:val="000000"/>
                <w:sz w:val="22"/>
                <w:szCs w:val="22"/>
              </w:rPr>
              <w:t>16</w:t>
            </w:r>
          </w:p>
        </w:tc>
        <w:tc>
          <w:tcPr>
            <w:tcW w:w="1276" w:type="dxa"/>
          </w:tcPr>
          <w:p w14:paraId="086802F3" w14:textId="2E91854D" w:rsidR="00B877ED" w:rsidRPr="005A14A3" w:rsidRDefault="00B877ED" w:rsidP="00B877ED">
            <w:pPr>
              <w:jc w:val="center"/>
              <w:rPr>
                <w:rFonts w:ascii="Arial" w:hAnsi="Arial" w:cs="Arial"/>
                <w:b/>
                <w:bCs/>
                <w:sz w:val="20"/>
                <w:szCs w:val="20"/>
                <w:lang w:eastAsia="en-GB"/>
              </w:rPr>
            </w:pPr>
            <w:r w:rsidRPr="005A14A3">
              <w:rPr>
                <w:rFonts w:ascii="Arial" w:hAnsi="Arial" w:cs="Arial"/>
                <w:b/>
                <w:sz w:val="20"/>
                <w:szCs w:val="20"/>
                <w:lang w:eastAsia="en-GB"/>
              </w:rPr>
              <w:t>COPD</w:t>
            </w:r>
          </w:p>
        </w:tc>
        <w:tc>
          <w:tcPr>
            <w:tcW w:w="1843" w:type="dxa"/>
          </w:tcPr>
          <w:p w14:paraId="1945CF37" w14:textId="77777777" w:rsidR="00B877ED" w:rsidRPr="005A14A3" w:rsidRDefault="00B877ED" w:rsidP="00B877ED">
            <w:pPr>
              <w:jc w:val="center"/>
              <w:rPr>
                <w:rFonts w:ascii="Arial" w:hAnsi="Arial" w:cs="Arial"/>
                <w:b/>
                <w:sz w:val="20"/>
                <w:szCs w:val="20"/>
              </w:rPr>
            </w:pPr>
            <w:r w:rsidRPr="005A14A3">
              <w:rPr>
                <w:rFonts w:ascii="Arial" w:hAnsi="Arial" w:cs="Arial"/>
                <w:b/>
                <w:sz w:val="20"/>
                <w:szCs w:val="20"/>
              </w:rPr>
              <w:t>Royal College of Nursing</w:t>
            </w:r>
          </w:p>
        </w:tc>
        <w:tc>
          <w:tcPr>
            <w:tcW w:w="10914" w:type="dxa"/>
          </w:tcPr>
          <w:p w14:paraId="262B2788" w14:textId="77777777" w:rsidR="00B877ED" w:rsidRPr="005A14A3" w:rsidRDefault="00B877ED" w:rsidP="00B877ED">
            <w:pPr>
              <w:rPr>
                <w:rFonts w:ascii="Arial" w:hAnsi="Arial" w:cs="Arial"/>
                <w:sz w:val="20"/>
                <w:szCs w:val="20"/>
              </w:rPr>
            </w:pPr>
            <w:r w:rsidRPr="005A14A3">
              <w:rPr>
                <w:rFonts w:ascii="Arial" w:hAnsi="Arial" w:cs="Arial"/>
                <w:sz w:val="20"/>
                <w:szCs w:val="20"/>
              </w:rPr>
              <w:t xml:space="preserve">Proposed changes to QOF for chronic obstructive pulmonary disease (COPD) seem appropriate and is a good starting point.   However, the yearly review of exacerbations </w:t>
            </w:r>
            <w:proofErr w:type="gramStart"/>
            <w:r w:rsidRPr="005A14A3">
              <w:rPr>
                <w:rFonts w:ascii="Arial" w:hAnsi="Arial" w:cs="Arial"/>
                <w:sz w:val="20"/>
                <w:szCs w:val="20"/>
              </w:rPr>
              <w:t>need</w:t>
            </w:r>
            <w:proofErr w:type="gramEnd"/>
            <w:r w:rsidRPr="005A14A3">
              <w:rPr>
                <w:rFonts w:ascii="Arial" w:hAnsi="Arial" w:cs="Arial"/>
                <w:sz w:val="20"/>
                <w:szCs w:val="20"/>
              </w:rPr>
              <w:t xml:space="preserve"> to be part of a holistic assessment and treatment review including smoking cessation. </w:t>
            </w:r>
          </w:p>
          <w:p w14:paraId="609848DF" w14:textId="77777777" w:rsidR="00B877ED" w:rsidRPr="005A14A3" w:rsidRDefault="00B877ED" w:rsidP="00B877ED">
            <w:pPr>
              <w:rPr>
                <w:rFonts w:ascii="Arial" w:hAnsi="Arial" w:cs="Arial"/>
                <w:sz w:val="20"/>
                <w:szCs w:val="20"/>
              </w:rPr>
            </w:pPr>
          </w:p>
          <w:p w14:paraId="4D308341" w14:textId="77777777" w:rsidR="00B877ED" w:rsidRPr="005A14A3" w:rsidRDefault="00B877ED" w:rsidP="00B877ED">
            <w:pPr>
              <w:rPr>
                <w:rFonts w:ascii="Arial" w:hAnsi="Arial" w:cs="Arial"/>
                <w:sz w:val="20"/>
                <w:szCs w:val="20"/>
              </w:rPr>
            </w:pPr>
            <w:r w:rsidRPr="005A14A3">
              <w:rPr>
                <w:rFonts w:ascii="Arial" w:hAnsi="Arial" w:cs="Arial"/>
                <w:sz w:val="20"/>
                <w:szCs w:val="20"/>
              </w:rPr>
              <w:t>There should also be access to services such as smoking cessation and pulmonary rehabilitation as there is still a big variance.</w:t>
            </w:r>
          </w:p>
        </w:tc>
      </w:tr>
      <w:tr w:rsidR="00B877ED" w:rsidRPr="005A14A3" w14:paraId="02C6817C" w14:textId="77777777" w:rsidTr="00AD1879">
        <w:tc>
          <w:tcPr>
            <w:tcW w:w="704" w:type="dxa"/>
          </w:tcPr>
          <w:p w14:paraId="5B951304" w14:textId="25F13AFF" w:rsidR="00B877ED" w:rsidRPr="00B877ED" w:rsidRDefault="00B877ED" w:rsidP="00B877ED">
            <w:pPr>
              <w:jc w:val="center"/>
              <w:rPr>
                <w:rFonts w:ascii="Arial" w:hAnsi="Arial" w:cs="Arial"/>
                <w:b/>
                <w:sz w:val="20"/>
                <w:szCs w:val="20"/>
                <w:lang w:eastAsia="en-GB"/>
              </w:rPr>
            </w:pPr>
            <w:r w:rsidRPr="00B877ED">
              <w:rPr>
                <w:rFonts w:ascii="Calibri" w:hAnsi="Calibri" w:cs="Calibri"/>
                <w:b/>
                <w:color w:val="000000"/>
                <w:sz w:val="22"/>
                <w:szCs w:val="22"/>
              </w:rPr>
              <w:t>17</w:t>
            </w:r>
          </w:p>
        </w:tc>
        <w:tc>
          <w:tcPr>
            <w:tcW w:w="1276" w:type="dxa"/>
          </w:tcPr>
          <w:p w14:paraId="761AA358" w14:textId="4C7FBD7C" w:rsidR="00B877ED" w:rsidRPr="005A14A3" w:rsidRDefault="00B877ED" w:rsidP="00B877ED">
            <w:pPr>
              <w:jc w:val="center"/>
              <w:rPr>
                <w:rFonts w:ascii="Arial" w:hAnsi="Arial" w:cs="Arial"/>
                <w:b/>
                <w:sz w:val="20"/>
                <w:szCs w:val="20"/>
                <w:lang w:eastAsia="en-GB"/>
              </w:rPr>
            </w:pPr>
            <w:r w:rsidRPr="005A14A3">
              <w:rPr>
                <w:rFonts w:ascii="Arial" w:hAnsi="Arial" w:cs="Arial"/>
                <w:b/>
                <w:sz w:val="20"/>
                <w:szCs w:val="20"/>
                <w:lang w:eastAsia="en-GB"/>
              </w:rPr>
              <w:t>COPD and General</w:t>
            </w:r>
          </w:p>
        </w:tc>
        <w:tc>
          <w:tcPr>
            <w:tcW w:w="1843" w:type="dxa"/>
          </w:tcPr>
          <w:p w14:paraId="76F9587B" w14:textId="77777777" w:rsidR="00B877ED" w:rsidRPr="005A14A3" w:rsidRDefault="00B877ED" w:rsidP="00B877ED">
            <w:pPr>
              <w:jc w:val="center"/>
              <w:rPr>
                <w:rFonts w:ascii="Arial" w:hAnsi="Arial" w:cs="Arial"/>
                <w:b/>
                <w:sz w:val="20"/>
                <w:szCs w:val="20"/>
              </w:rPr>
            </w:pPr>
            <w:r w:rsidRPr="005A14A3">
              <w:rPr>
                <w:rFonts w:ascii="Arial" w:hAnsi="Arial" w:cs="Arial"/>
                <w:b/>
                <w:sz w:val="20"/>
                <w:szCs w:val="20"/>
              </w:rPr>
              <w:t>British Thoracic Society</w:t>
            </w:r>
          </w:p>
          <w:p w14:paraId="56C46E14" w14:textId="77777777" w:rsidR="00B877ED" w:rsidRPr="005A14A3" w:rsidRDefault="00B877ED" w:rsidP="00B877ED">
            <w:pPr>
              <w:jc w:val="center"/>
              <w:rPr>
                <w:rFonts w:ascii="Arial" w:hAnsi="Arial" w:cs="Arial"/>
                <w:b/>
                <w:sz w:val="20"/>
                <w:szCs w:val="20"/>
              </w:rPr>
            </w:pPr>
          </w:p>
        </w:tc>
        <w:tc>
          <w:tcPr>
            <w:tcW w:w="10914" w:type="dxa"/>
          </w:tcPr>
          <w:p w14:paraId="48BFD7CC" w14:textId="77777777" w:rsidR="00B877ED" w:rsidRPr="005A14A3" w:rsidRDefault="00B877ED" w:rsidP="00B877ED">
            <w:pPr>
              <w:rPr>
                <w:rFonts w:ascii="Arial" w:hAnsi="Arial" w:cs="Arial"/>
                <w:sz w:val="20"/>
                <w:szCs w:val="20"/>
              </w:rPr>
            </w:pPr>
            <w:r w:rsidRPr="005A14A3">
              <w:rPr>
                <w:rFonts w:ascii="Arial" w:hAnsi="Arial" w:cs="Arial"/>
                <w:sz w:val="20"/>
                <w:szCs w:val="20"/>
              </w:rPr>
              <w:t xml:space="preserve">Assessment of smoking status is included as one of the asthma indicators, but not within COPD. Considering that most patients with COPD are undiagnosed, the optimum time for intervention is before harm has occurred and the wider adverse effects of smoking we recommend assessment of smoking status in all patients (not just COPD or Asthma), and </w:t>
            </w:r>
            <w:r w:rsidRPr="005A14A3">
              <w:rPr>
                <w:rFonts w:ascii="Arial" w:hAnsi="Arial" w:cs="Arial"/>
                <w:sz w:val="20"/>
                <w:szCs w:val="20"/>
              </w:rPr>
              <w:lastRenderedPageBreak/>
              <w:t xml:space="preserve">to include the offer smoking cessation support with pharmacotherapy in the indicator. It is worth keeping this lean and simple, so rather than including smoking assessment in Asthma, COPD +/- multimorbidity sections, a separate addiction section addressing smoking and alcohol </w:t>
            </w:r>
            <w:proofErr w:type="gramStart"/>
            <w:r w:rsidRPr="005A14A3">
              <w:rPr>
                <w:rFonts w:ascii="Arial" w:hAnsi="Arial" w:cs="Arial"/>
                <w:sz w:val="20"/>
                <w:szCs w:val="20"/>
              </w:rPr>
              <w:t>(?+</w:t>
            </w:r>
            <w:proofErr w:type="gramEnd"/>
            <w:r w:rsidRPr="005A14A3">
              <w:rPr>
                <w:rFonts w:ascii="Arial" w:hAnsi="Arial" w:cs="Arial"/>
                <w:sz w:val="20"/>
                <w:szCs w:val="20"/>
              </w:rPr>
              <w:t xml:space="preserve"> other drugs – cannabis, crack, cocaine and heroin) should be considered. Alcohol and smoking indicators in other areas could be moved into this section.</w:t>
            </w:r>
          </w:p>
        </w:tc>
      </w:tr>
      <w:tr w:rsidR="00B877ED" w:rsidRPr="005A14A3" w14:paraId="4FC005B5" w14:textId="77777777" w:rsidTr="00AD1879">
        <w:tc>
          <w:tcPr>
            <w:tcW w:w="704" w:type="dxa"/>
          </w:tcPr>
          <w:p w14:paraId="12030237" w14:textId="3270FF7C" w:rsidR="00B877ED" w:rsidRPr="00B877ED" w:rsidRDefault="00B877ED" w:rsidP="00B877ED">
            <w:pPr>
              <w:jc w:val="center"/>
              <w:rPr>
                <w:rFonts w:ascii="Arial" w:hAnsi="Arial" w:cs="Arial"/>
                <w:b/>
                <w:sz w:val="20"/>
                <w:szCs w:val="20"/>
                <w:lang w:eastAsia="en-GB"/>
              </w:rPr>
            </w:pPr>
            <w:r w:rsidRPr="00B877ED">
              <w:rPr>
                <w:rFonts w:ascii="Calibri" w:hAnsi="Calibri" w:cs="Calibri"/>
                <w:b/>
                <w:color w:val="000000"/>
                <w:sz w:val="22"/>
                <w:szCs w:val="22"/>
              </w:rPr>
              <w:lastRenderedPageBreak/>
              <w:t>18</w:t>
            </w:r>
          </w:p>
        </w:tc>
        <w:tc>
          <w:tcPr>
            <w:tcW w:w="1276" w:type="dxa"/>
          </w:tcPr>
          <w:p w14:paraId="75B3AC82" w14:textId="0107598C" w:rsidR="00B877ED" w:rsidRPr="005A14A3" w:rsidRDefault="00B877ED" w:rsidP="00B877ED">
            <w:pPr>
              <w:jc w:val="center"/>
              <w:rPr>
                <w:rFonts w:ascii="Arial" w:hAnsi="Arial" w:cs="Arial"/>
                <w:b/>
                <w:sz w:val="20"/>
                <w:szCs w:val="20"/>
                <w:lang w:eastAsia="en-GB"/>
              </w:rPr>
            </w:pPr>
            <w:r w:rsidRPr="005A14A3">
              <w:rPr>
                <w:rFonts w:ascii="Arial" w:hAnsi="Arial" w:cs="Arial"/>
                <w:b/>
                <w:sz w:val="20"/>
                <w:szCs w:val="20"/>
                <w:lang w:eastAsia="en-GB"/>
              </w:rPr>
              <w:t>Nutrition and COPD</w:t>
            </w:r>
          </w:p>
        </w:tc>
        <w:tc>
          <w:tcPr>
            <w:tcW w:w="1843" w:type="dxa"/>
          </w:tcPr>
          <w:p w14:paraId="08EDE72C" w14:textId="144E7FD8" w:rsidR="00B877ED" w:rsidRPr="005A14A3" w:rsidRDefault="00B877ED" w:rsidP="00B877ED">
            <w:pPr>
              <w:jc w:val="center"/>
              <w:rPr>
                <w:rFonts w:ascii="Arial" w:hAnsi="Arial" w:cs="Arial"/>
                <w:b/>
                <w:sz w:val="20"/>
                <w:szCs w:val="20"/>
              </w:rPr>
            </w:pPr>
            <w:r w:rsidRPr="005A14A3">
              <w:rPr>
                <w:rFonts w:ascii="Arial" w:hAnsi="Arial" w:cs="Arial"/>
                <w:b/>
                <w:sz w:val="20"/>
                <w:szCs w:val="20"/>
              </w:rPr>
              <w:t>Abbott</w:t>
            </w:r>
          </w:p>
        </w:tc>
        <w:tc>
          <w:tcPr>
            <w:tcW w:w="10914" w:type="dxa"/>
          </w:tcPr>
          <w:p w14:paraId="228B468E" w14:textId="77777777" w:rsidR="00B877ED" w:rsidRPr="005A14A3" w:rsidRDefault="00B877ED" w:rsidP="00B877ED">
            <w:pPr>
              <w:autoSpaceDE w:val="0"/>
              <w:autoSpaceDN w:val="0"/>
              <w:adjustRightInd w:val="0"/>
              <w:rPr>
                <w:rFonts w:ascii="Arial" w:eastAsia="SegoeUISymbol" w:hAnsi="Arial" w:cs="Arial"/>
                <w:sz w:val="20"/>
                <w:szCs w:val="20"/>
                <w:vertAlign w:val="superscript"/>
                <w:lang w:eastAsia="en-GB"/>
              </w:rPr>
            </w:pPr>
            <w:r w:rsidRPr="005A14A3">
              <w:rPr>
                <w:rFonts w:ascii="Arial" w:eastAsia="SegoeUISymbol" w:hAnsi="Arial" w:cs="Arial"/>
                <w:sz w:val="20"/>
                <w:szCs w:val="20"/>
                <w:lang w:eastAsia="en-GB"/>
              </w:rPr>
              <w:t>It has been estimated that around 21% of individuals with COPD (up to 630,000 people in the UK) are at risk of malnutrition</w:t>
            </w:r>
            <w:r w:rsidRPr="005A14A3">
              <w:rPr>
                <w:rFonts w:ascii="Arial" w:eastAsia="SegoeUISymbol" w:hAnsi="Arial" w:cs="Arial"/>
                <w:sz w:val="20"/>
                <w:szCs w:val="20"/>
                <w:vertAlign w:val="superscript"/>
                <w:lang w:eastAsia="en-GB"/>
              </w:rPr>
              <w:t>1</w:t>
            </w:r>
            <w:r w:rsidRPr="005A14A3">
              <w:rPr>
                <w:rFonts w:ascii="Arial" w:eastAsia="SegoeUISymbol" w:hAnsi="Arial" w:cs="Arial"/>
                <w:sz w:val="20"/>
                <w:szCs w:val="20"/>
                <w:lang w:eastAsia="en-GB"/>
              </w:rPr>
              <w:t>. Malnutrition may develop gradually over several years or might develop or progress following exacerbations.</w:t>
            </w:r>
            <w:r w:rsidRPr="005A14A3">
              <w:rPr>
                <w:rFonts w:ascii="Arial" w:eastAsia="SegoeUISymbol" w:hAnsi="Arial" w:cs="Arial"/>
                <w:sz w:val="20"/>
                <w:szCs w:val="20"/>
                <w:vertAlign w:val="superscript"/>
                <w:lang w:eastAsia="en-GB"/>
              </w:rPr>
              <w:t xml:space="preserve"> </w:t>
            </w:r>
            <w:r w:rsidRPr="005A14A3">
              <w:rPr>
                <w:rFonts w:ascii="Arial" w:eastAsia="SegoeUISymbol" w:hAnsi="Arial" w:cs="Arial"/>
                <w:sz w:val="20"/>
                <w:szCs w:val="20"/>
                <w:lang w:eastAsia="en-GB"/>
              </w:rPr>
              <w:t xml:space="preserve">Muscle loss is a large part of malnutrition, and in COPD, the condition is often associated with muscle wasting and weakness, both of which predict morbidity and mortality </w:t>
            </w:r>
            <w:r w:rsidRPr="005A14A3">
              <w:rPr>
                <w:rFonts w:ascii="Arial" w:eastAsia="SegoeUISymbol" w:hAnsi="Arial" w:cs="Arial"/>
                <w:sz w:val="20"/>
                <w:szCs w:val="20"/>
                <w:vertAlign w:val="superscript"/>
                <w:lang w:eastAsia="en-GB"/>
              </w:rPr>
              <w:t>2,3.</w:t>
            </w:r>
          </w:p>
          <w:p w14:paraId="541E7B32" w14:textId="77777777" w:rsidR="00B877ED" w:rsidRPr="005A14A3" w:rsidRDefault="00B877ED" w:rsidP="00B877ED">
            <w:pPr>
              <w:autoSpaceDE w:val="0"/>
              <w:autoSpaceDN w:val="0"/>
              <w:adjustRightInd w:val="0"/>
              <w:rPr>
                <w:rFonts w:ascii="Arial" w:eastAsia="SegoeUISymbol" w:hAnsi="Arial" w:cs="Arial"/>
                <w:sz w:val="20"/>
                <w:szCs w:val="20"/>
                <w:lang w:eastAsia="en-GB"/>
              </w:rPr>
            </w:pPr>
          </w:p>
          <w:p w14:paraId="3068FD30" w14:textId="77777777" w:rsidR="00B877ED" w:rsidRPr="005A14A3" w:rsidRDefault="00B877ED" w:rsidP="00B877ED">
            <w:pPr>
              <w:autoSpaceDE w:val="0"/>
              <w:autoSpaceDN w:val="0"/>
              <w:adjustRightInd w:val="0"/>
              <w:rPr>
                <w:rFonts w:ascii="Arial" w:eastAsia="SegoeUISymbol" w:hAnsi="Arial" w:cs="Arial"/>
                <w:sz w:val="20"/>
                <w:szCs w:val="20"/>
                <w:lang w:eastAsia="en-GB"/>
              </w:rPr>
            </w:pPr>
            <w:r w:rsidRPr="005A14A3">
              <w:rPr>
                <w:rFonts w:ascii="Arial" w:eastAsia="SegoeUISymbol" w:hAnsi="Arial" w:cs="Arial"/>
                <w:sz w:val="20"/>
                <w:szCs w:val="20"/>
                <w:lang w:eastAsia="en-GB"/>
              </w:rPr>
              <w:t>Nutrition can play a vital role in minimising muscle loss and thus having positive effects on clinical and functional outcomes, particularly protein, vitamin D and Beta-hydroxy-beta-</w:t>
            </w:r>
            <w:proofErr w:type="spellStart"/>
            <w:r w:rsidRPr="005A14A3">
              <w:rPr>
                <w:rFonts w:ascii="Arial" w:eastAsia="SegoeUISymbol" w:hAnsi="Arial" w:cs="Arial"/>
                <w:sz w:val="20"/>
                <w:szCs w:val="20"/>
                <w:lang w:eastAsia="en-GB"/>
              </w:rPr>
              <w:t>methylbutyrate</w:t>
            </w:r>
            <w:proofErr w:type="spellEnd"/>
            <w:r w:rsidRPr="005A14A3">
              <w:rPr>
                <w:rFonts w:ascii="Arial" w:eastAsia="SegoeUISymbol" w:hAnsi="Arial" w:cs="Arial"/>
                <w:sz w:val="20"/>
                <w:szCs w:val="20"/>
                <w:lang w:eastAsia="en-GB"/>
              </w:rPr>
              <w:t xml:space="preserve"> (HMB).</w:t>
            </w:r>
          </w:p>
          <w:p w14:paraId="46C5F3FA" w14:textId="77777777" w:rsidR="00B877ED" w:rsidRPr="005A14A3" w:rsidRDefault="00B877ED" w:rsidP="00B877ED">
            <w:pPr>
              <w:autoSpaceDE w:val="0"/>
              <w:autoSpaceDN w:val="0"/>
              <w:adjustRightInd w:val="0"/>
              <w:rPr>
                <w:rFonts w:ascii="Arial" w:eastAsia="SegoeUISymbol" w:hAnsi="Arial" w:cs="Arial"/>
                <w:sz w:val="20"/>
                <w:szCs w:val="20"/>
                <w:lang w:eastAsia="en-GB"/>
              </w:rPr>
            </w:pPr>
          </w:p>
          <w:p w14:paraId="332D99FC" w14:textId="77777777" w:rsidR="00B877ED" w:rsidRPr="005A14A3" w:rsidRDefault="00B877ED" w:rsidP="00B877ED">
            <w:pPr>
              <w:autoSpaceDE w:val="0"/>
              <w:autoSpaceDN w:val="0"/>
              <w:adjustRightInd w:val="0"/>
              <w:rPr>
                <w:rFonts w:ascii="Arial" w:eastAsia="SegoeUISymbol" w:hAnsi="Arial" w:cs="Arial"/>
                <w:sz w:val="20"/>
                <w:szCs w:val="20"/>
                <w:vertAlign w:val="superscript"/>
                <w:lang w:eastAsia="en-GB"/>
              </w:rPr>
            </w:pPr>
            <w:r w:rsidRPr="005A14A3">
              <w:rPr>
                <w:rFonts w:ascii="Arial" w:eastAsia="SegoeUISymbol" w:hAnsi="Arial" w:cs="Arial"/>
                <w:sz w:val="20"/>
                <w:szCs w:val="20"/>
                <w:lang w:eastAsia="en-GB"/>
              </w:rPr>
              <w:t>Protein intake is essential to help minimise declines in strength and function</w:t>
            </w:r>
            <w:r w:rsidRPr="005A14A3">
              <w:rPr>
                <w:rFonts w:ascii="Arial" w:eastAsia="SegoeUISymbol" w:hAnsi="Arial" w:cs="Arial"/>
                <w:sz w:val="20"/>
                <w:szCs w:val="20"/>
                <w:vertAlign w:val="superscript"/>
                <w:lang w:eastAsia="en-GB"/>
              </w:rPr>
              <w:t xml:space="preserve">4 </w:t>
            </w:r>
            <w:r w:rsidRPr="005A14A3">
              <w:rPr>
                <w:rFonts w:ascii="Arial" w:eastAsia="SegoeUISymbol" w:hAnsi="Arial" w:cs="Arial"/>
                <w:sz w:val="20"/>
                <w:szCs w:val="20"/>
                <w:lang w:eastAsia="en-GB"/>
              </w:rPr>
              <w:t>and high protein oral nutritional supplements have been clinically proven to reduce hospital readmissions by 30%, as well as improve weight and grip strength.</w:t>
            </w:r>
            <w:r w:rsidRPr="005A14A3">
              <w:rPr>
                <w:rFonts w:ascii="Arial" w:eastAsia="SegoeUISymbol" w:hAnsi="Arial" w:cs="Arial"/>
                <w:sz w:val="20"/>
                <w:szCs w:val="20"/>
                <w:vertAlign w:val="superscript"/>
                <w:lang w:eastAsia="en-GB"/>
              </w:rPr>
              <w:t>5</w:t>
            </w:r>
          </w:p>
          <w:p w14:paraId="77791C0E" w14:textId="77777777" w:rsidR="00B877ED" w:rsidRPr="005A14A3" w:rsidRDefault="00B877ED" w:rsidP="00B877ED">
            <w:pPr>
              <w:autoSpaceDE w:val="0"/>
              <w:autoSpaceDN w:val="0"/>
              <w:adjustRightInd w:val="0"/>
              <w:rPr>
                <w:rFonts w:ascii="Arial" w:eastAsia="SegoeUISymbol" w:hAnsi="Arial" w:cs="Arial"/>
                <w:sz w:val="20"/>
                <w:szCs w:val="20"/>
                <w:vertAlign w:val="superscript"/>
                <w:lang w:eastAsia="en-GB"/>
              </w:rPr>
            </w:pPr>
          </w:p>
          <w:p w14:paraId="7C36382C" w14:textId="77777777" w:rsidR="00B877ED" w:rsidRPr="005A14A3" w:rsidRDefault="00B877ED" w:rsidP="00B877ED">
            <w:pPr>
              <w:autoSpaceDE w:val="0"/>
              <w:autoSpaceDN w:val="0"/>
              <w:adjustRightInd w:val="0"/>
              <w:rPr>
                <w:rFonts w:ascii="Arial" w:eastAsia="SegoeUISymbol" w:hAnsi="Arial" w:cs="Arial"/>
                <w:sz w:val="20"/>
                <w:szCs w:val="20"/>
                <w:vertAlign w:val="superscript"/>
                <w:lang w:eastAsia="en-GB"/>
              </w:rPr>
            </w:pPr>
            <w:r w:rsidRPr="005A14A3">
              <w:rPr>
                <w:rFonts w:ascii="Arial" w:eastAsia="SegoeUISymbol" w:hAnsi="Arial" w:cs="Arial"/>
                <w:sz w:val="20"/>
                <w:szCs w:val="20"/>
                <w:lang w:eastAsia="en-GB"/>
              </w:rPr>
              <w:t>Vitamin D supplementation has shown to substantially reduce the rate of moderate/severe COPD exacerbation in patients with baseline serum vitamin D levels of &lt;25 nmol/L.</w:t>
            </w:r>
            <w:r w:rsidRPr="005A14A3">
              <w:rPr>
                <w:rFonts w:ascii="Arial" w:eastAsia="SegoeUISymbol" w:hAnsi="Arial" w:cs="Arial"/>
                <w:sz w:val="20"/>
                <w:szCs w:val="20"/>
                <w:vertAlign w:val="superscript"/>
                <w:lang w:eastAsia="en-GB"/>
              </w:rPr>
              <w:t>6</w:t>
            </w:r>
          </w:p>
          <w:p w14:paraId="4715F030" w14:textId="77777777" w:rsidR="00B877ED" w:rsidRPr="005A14A3" w:rsidRDefault="00B877ED" w:rsidP="00B877ED">
            <w:pPr>
              <w:autoSpaceDE w:val="0"/>
              <w:autoSpaceDN w:val="0"/>
              <w:adjustRightInd w:val="0"/>
              <w:rPr>
                <w:rFonts w:ascii="Arial" w:eastAsia="SegoeUISymbol" w:hAnsi="Arial" w:cs="Arial"/>
                <w:sz w:val="20"/>
                <w:szCs w:val="20"/>
                <w:lang w:eastAsia="en-GB"/>
              </w:rPr>
            </w:pPr>
          </w:p>
          <w:p w14:paraId="2FAC3330" w14:textId="77777777" w:rsidR="00B877ED" w:rsidRPr="005A14A3" w:rsidRDefault="00B877ED" w:rsidP="00B877ED">
            <w:pPr>
              <w:autoSpaceDE w:val="0"/>
              <w:autoSpaceDN w:val="0"/>
              <w:adjustRightInd w:val="0"/>
              <w:rPr>
                <w:rFonts w:ascii="Arial" w:eastAsia="SegoeUISymbol" w:hAnsi="Arial" w:cs="Arial"/>
                <w:sz w:val="20"/>
                <w:szCs w:val="20"/>
                <w:lang w:eastAsia="en-GB"/>
              </w:rPr>
            </w:pPr>
            <w:r w:rsidRPr="005A14A3">
              <w:rPr>
                <w:rFonts w:ascii="Arial" w:eastAsia="SegoeUISymbol" w:hAnsi="Arial" w:cs="Arial"/>
                <w:sz w:val="20"/>
                <w:szCs w:val="20"/>
                <w:lang w:eastAsia="en-GB"/>
              </w:rPr>
              <w:t>Beta-hydroxy-beta-</w:t>
            </w:r>
            <w:proofErr w:type="spellStart"/>
            <w:r w:rsidRPr="005A14A3">
              <w:rPr>
                <w:rFonts w:ascii="Arial" w:eastAsia="SegoeUISymbol" w:hAnsi="Arial" w:cs="Arial"/>
                <w:sz w:val="20"/>
                <w:szCs w:val="20"/>
                <w:lang w:eastAsia="en-GB"/>
              </w:rPr>
              <w:t>methylbutyrate</w:t>
            </w:r>
            <w:proofErr w:type="spellEnd"/>
            <w:r w:rsidRPr="005A14A3">
              <w:rPr>
                <w:rFonts w:ascii="Arial" w:eastAsia="SegoeUISymbol" w:hAnsi="Arial" w:cs="Arial"/>
                <w:sz w:val="20"/>
                <w:szCs w:val="20"/>
                <w:lang w:eastAsia="en-GB"/>
              </w:rPr>
              <w:t xml:space="preserve"> (HMB) is also of interest in maintaining muscle, as HMB has been shown to have anticatabolic properties and contribute to the preservation of muscle through increased protein synthesis and decreased protein degradation.</w:t>
            </w:r>
            <w:r w:rsidRPr="005A14A3">
              <w:rPr>
                <w:rFonts w:ascii="Arial" w:eastAsia="SegoeUISymbol" w:hAnsi="Arial" w:cs="Arial"/>
                <w:sz w:val="20"/>
                <w:szCs w:val="20"/>
                <w:vertAlign w:val="superscript"/>
                <w:lang w:eastAsia="en-GB"/>
              </w:rPr>
              <w:t>7,8,9</w:t>
            </w:r>
          </w:p>
          <w:p w14:paraId="7C34726E" w14:textId="77777777" w:rsidR="00B877ED" w:rsidRPr="005A14A3" w:rsidRDefault="00B877ED" w:rsidP="00B877ED">
            <w:pPr>
              <w:autoSpaceDE w:val="0"/>
              <w:autoSpaceDN w:val="0"/>
              <w:adjustRightInd w:val="0"/>
              <w:rPr>
                <w:rFonts w:ascii="Arial" w:eastAsia="SegoeUISymbol" w:hAnsi="Arial" w:cs="Arial"/>
                <w:sz w:val="20"/>
                <w:szCs w:val="20"/>
                <w:vertAlign w:val="superscript"/>
                <w:lang w:eastAsia="en-GB"/>
              </w:rPr>
            </w:pPr>
          </w:p>
          <w:p w14:paraId="0316D66F" w14:textId="77777777" w:rsidR="00B877ED" w:rsidRPr="005A14A3" w:rsidRDefault="00B877ED" w:rsidP="00B877ED">
            <w:pPr>
              <w:autoSpaceDE w:val="0"/>
              <w:autoSpaceDN w:val="0"/>
              <w:adjustRightInd w:val="0"/>
              <w:rPr>
                <w:rFonts w:ascii="Arial" w:eastAsia="SegoeUISymbol" w:hAnsi="Arial" w:cs="Arial"/>
                <w:sz w:val="20"/>
                <w:szCs w:val="20"/>
                <w:lang w:eastAsia="en-GB"/>
              </w:rPr>
            </w:pPr>
            <w:r w:rsidRPr="005A14A3">
              <w:rPr>
                <w:rFonts w:ascii="Arial" w:eastAsia="SegoeUISymbol" w:hAnsi="Arial" w:cs="Arial"/>
                <w:sz w:val="20"/>
                <w:szCs w:val="20"/>
                <w:lang w:eastAsia="en-GB"/>
              </w:rPr>
              <w:t>A study of over 600 malnourished patients, which included patients over the age of 65 years, hospitalised with respiratory disorders (such as COPD) and heart disorders, investigated the impact of an oral nutritional supplement (ONS) high in protein and containing HMB and additional vitamin D, vs placebo on readmissions and mortality through 90 days post hospital discharge. The study did not observe a significant effect for the primary composite endpoint of non-elective readmissions or death at 90 days. It did show:</w:t>
            </w:r>
            <w:r w:rsidRPr="005A14A3">
              <w:rPr>
                <w:rFonts w:ascii="Arial" w:eastAsia="SegoeUISymbol" w:hAnsi="Arial" w:cs="Arial"/>
                <w:sz w:val="20"/>
                <w:szCs w:val="20"/>
                <w:vertAlign w:val="superscript"/>
                <w:lang w:eastAsia="en-GB"/>
              </w:rPr>
              <w:t>10</w:t>
            </w:r>
          </w:p>
          <w:p w14:paraId="1E2D062A" w14:textId="77777777" w:rsidR="00B877ED" w:rsidRPr="005A14A3" w:rsidRDefault="00B877ED" w:rsidP="00B877ED">
            <w:pPr>
              <w:autoSpaceDE w:val="0"/>
              <w:autoSpaceDN w:val="0"/>
              <w:adjustRightInd w:val="0"/>
              <w:rPr>
                <w:rFonts w:ascii="Arial" w:eastAsia="SegoeUISymbol" w:hAnsi="Arial" w:cs="Arial"/>
                <w:sz w:val="20"/>
                <w:szCs w:val="20"/>
                <w:lang w:eastAsia="en-GB"/>
              </w:rPr>
            </w:pPr>
          </w:p>
          <w:p w14:paraId="405248AF" w14:textId="77777777" w:rsidR="00B877ED" w:rsidRPr="005A14A3" w:rsidRDefault="00B877ED" w:rsidP="00B877ED">
            <w:pPr>
              <w:autoSpaceDE w:val="0"/>
              <w:autoSpaceDN w:val="0"/>
              <w:adjustRightInd w:val="0"/>
              <w:rPr>
                <w:rFonts w:ascii="Arial" w:eastAsia="SegoeUISymbol" w:hAnsi="Arial" w:cs="Arial"/>
                <w:sz w:val="20"/>
                <w:szCs w:val="20"/>
                <w:lang w:eastAsia="en-GB"/>
              </w:rPr>
            </w:pPr>
            <w:r w:rsidRPr="005A14A3">
              <w:rPr>
                <w:rFonts w:ascii="Arial" w:eastAsia="SegoeUISymbol" w:hAnsi="Arial" w:cs="Arial"/>
                <w:sz w:val="20"/>
                <w:szCs w:val="20"/>
                <w:lang w:eastAsia="en-GB"/>
              </w:rPr>
              <w:t xml:space="preserve">-The risk of </w:t>
            </w:r>
            <w:proofErr w:type="gramStart"/>
            <w:r w:rsidRPr="005A14A3">
              <w:rPr>
                <w:rFonts w:ascii="Arial" w:eastAsia="SegoeUISymbol" w:hAnsi="Arial" w:cs="Arial"/>
                <w:sz w:val="20"/>
                <w:szCs w:val="20"/>
                <w:lang w:eastAsia="en-GB"/>
              </w:rPr>
              <w:t>90 day</w:t>
            </w:r>
            <w:proofErr w:type="gramEnd"/>
            <w:r w:rsidRPr="005A14A3">
              <w:rPr>
                <w:rFonts w:ascii="Arial" w:eastAsia="SegoeUISymbol" w:hAnsi="Arial" w:cs="Arial"/>
                <w:sz w:val="20"/>
                <w:szCs w:val="20"/>
                <w:lang w:eastAsia="en-GB"/>
              </w:rPr>
              <w:t xml:space="preserve"> mortality was significantly lower in the experimental group compared with the placebo group (4.8% vs 9.7%)</w:t>
            </w:r>
          </w:p>
          <w:p w14:paraId="2FBB40BC" w14:textId="77777777" w:rsidR="00B877ED" w:rsidRPr="005A14A3" w:rsidRDefault="00B877ED" w:rsidP="00B877ED">
            <w:pPr>
              <w:autoSpaceDE w:val="0"/>
              <w:autoSpaceDN w:val="0"/>
              <w:adjustRightInd w:val="0"/>
              <w:rPr>
                <w:rFonts w:ascii="Arial" w:eastAsia="SegoeUISymbol" w:hAnsi="Arial" w:cs="Arial"/>
                <w:sz w:val="20"/>
                <w:szCs w:val="20"/>
                <w:lang w:eastAsia="en-GB"/>
              </w:rPr>
            </w:pPr>
            <w:r w:rsidRPr="005A14A3">
              <w:rPr>
                <w:rFonts w:ascii="Arial" w:eastAsia="SegoeUISymbol" w:hAnsi="Arial" w:cs="Arial"/>
                <w:sz w:val="20"/>
                <w:szCs w:val="20"/>
                <w:lang w:eastAsia="en-GB"/>
              </w:rPr>
              <w:t>-Significant improvement in nutritional status in 90 days (consistently greater in the experimental group vs placebo).</w:t>
            </w:r>
          </w:p>
          <w:p w14:paraId="3DAF39FF" w14:textId="77777777" w:rsidR="00B877ED" w:rsidRPr="005A14A3" w:rsidRDefault="00B877ED" w:rsidP="00B877ED">
            <w:pPr>
              <w:autoSpaceDE w:val="0"/>
              <w:autoSpaceDN w:val="0"/>
              <w:adjustRightInd w:val="0"/>
              <w:rPr>
                <w:rFonts w:ascii="Arial" w:eastAsia="SegoeUISymbol" w:hAnsi="Arial" w:cs="Arial"/>
                <w:sz w:val="20"/>
                <w:szCs w:val="20"/>
                <w:lang w:eastAsia="en-GB"/>
              </w:rPr>
            </w:pPr>
            <w:r w:rsidRPr="005A14A3">
              <w:rPr>
                <w:rFonts w:ascii="Arial" w:eastAsia="SegoeUISymbol" w:hAnsi="Arial" w:cs="Arial"/>
                <w:sz w:val="20"/>
                <w:szCs w:val="20"/>
                <w:lang w:eastAsia="en-GB"/>
              </w:rPr>
              <w:t>- Significantly higher serum vitamin D in the experimental group vs placebo at day 30 and 60.</w:t>
            </w:r>
          </w:p>
          <w:p w14:paraId="0650D357" w14:textId="77777777" w:rsidR="00B877ED" w:rsidRPr="005A14A3" w:rsidRDefault="00B877ED" w:rsidP="00B877ED">
            <w:pPr>
              <w:autoSpaceDE w:val="0"/>
              <w:autoSpaceDN w:val="0"/>
              <w:adjustRightInd w:val="0"/>
              <w:rPr>
                <w:rFonts w:ascii="Arial" w:eastAsia="SegoeUISymbol" w:hAnsi="Arial" w:cs="Arial"/>
                <w:sz w:val="20"/>
                <w:szCs w:val="20"/>
                <w:lang w:eastAsia="en-GB"/>
              </w:rPr>
            </w:pPr>
            <w:r w:rsidRPr="005A14A3">
              <w:rPr>
                <w:rFonts w:ascii="Arial" w:eastAsia="SegoeUISymbol" w:hAnsi="Arial" w:cs="Arial"/>
                <w:sz w:val="20"/>
                <w:szCs w:val="20"/>
                <w:lang w:eastAsia="en-GB"/>
              </w:rPr>
              <w:t>-Increased life expectancy by 8.5 months and being cost effective as a management solution.</w:t>
            </w:r>
          </w:p>
          <w:p w14:paraId="65C87311" w14:textId="77777777" w:rsidR="00B877ED" w:rsidRPr="005A14A3" w:rsidRDefault="00B877ED" w:rsidP="00B877ED">
            <w:pPr>
              <w:autoSpaceDE w:val="0"/>
              <w:autoSpaceDN w:val="0"/>
              <w:adjustRightInd w:val="0"/>
              <w:rPr>
                <w:rFonts w:ascii="Arial" w:eastAsia="SegoeUISymbol" w:hAnsi="Arial" w:cs="Arial"/>
                <w:sz w:val="20"/>
                <w:szCs w:val="20"/>
                <w:lang w:eastAsia="en-GB"/>
              </w:rPr>
            </w:pPr>
          </w:p>
          <w:p w14:paraId="55F3316F" w14:textId="77777777" w:rsidR="00B877ED" w:rsidRPr="005A14A3" w:rsidRDefault="00B877ED" w:rsidP="00B877ED">
            <w:pPr>
              <w:autoSpaceDE w:val="0"/>
              <w:autoSpaceDN w:val="0"/>
              <w:adjustRightInd w:val="0"/>
              <w:rPr>
                <w:rFonts w:ascii="Arial" w:eastAsia="SegoeUISymbol" w:hAnsi="Arial" w:cs="Arial"/>
                <w:sz w:val="20"/>
                <w:szCs w:val="20"/>
                <w:lang w:eastAsia="en-GB"/>
              </w:rPr>
            </w:pPr>
            <w:r w:rsidRPr="005A14A3">
              <w:rPr>
                <w:rFonts w:ascii="Arial" w:eastAsia="SegoeUISymbol" w:hAnsi="Arial" w:cs="Arial"/>
                <w:sz w:val="20"/>
                <w:szCs w:val="20"/>
                <w:lang w:eastAsia="en-GB"/>
              </w:rPr>
              <w:lastRenderedPageBreak/>
              <w:t xml:space="preserve">A further analysis of data from the study showed that the experimental group had significantly improved hand-grip strength vs placebo. </w:t>
            </w:r>
            <w:r w:rsidRPr="005A14A3">
              <w:rPr>
                <w:rFonts w:ascii="Arial" w:eastAsia="SegoeUISymbol" w:hAnsi="Arial" w:cs="Arial"/>
                <w:sz w:val="20"/>
                <w:szCs w:val="20"/>
                <w:vertAlign w:val="superscript"/>
                <w:lang w:eastAsia="en-GB"/>
              </w:rPr>
              <w:t>11</w:t>
            </w:r>
          </w:p>
          <w:p w14:paraId="6DBC5C7E" w14:textId="77777777" w:rsidR="00B877ED" w:rsidRPr="005A14A3" w:rsidRDefault="00B877ED" w:rsidP="00B877ED">
            <w:pPr>
              <w:autoSpaceDE w:val="0"/>
              <w:autoSpaceDN w:val="0"/>
              <w:adjustRightInd w:val="0"/>
              <w:rPr>
                <w:rFonts w:ascii="Arial" w:eastAsia="SegoeUISymbol" w:hAnsi="Arial" w:cs="Arial"/>
                <w:sz w:val="20"/>
                <w:szCs w:val="20"/>
                <w:lang w:eastAsia="en-GB"/>
              </w:rPr>
            </w:pPr>
          </w:p>
          <w:p w14:paraId="6E354090" w14:textId="77777777" w:rsidR="00B877ED" w:rsidRPr="005A14A3" w:rsidRDefault="00B877ED" w:rsidP="00B877ED">
            <w:pPr>
              <w:autoSpaceDE w:val="0"/>
              <w:autoSpaceDN w:val="0"/>
              <w:adjustRightInd w:val="0"/>
              <w:rPr>
                <w:rFonts w:ascii="Arial" w:eastAsia="SegoeUISymbol" w:hAnsi="Arial" w:cs="Arial"/>
                <w:sz w:val="20"/>
                <w:szCs w:val="20"/>
                <w:lang w:eastAsia="en-GB"/>
              </w:rPr>
            </w:pPr>
            <w:r w:rsidRPr="005A14A3">
              <w:rPr>
                <w:rFonts w:ascii="Arial" w:eastAsia="SegoeUISymbol" w:hAnsi="Arial" w:cs="Arial"/>
                <w:sz w:val="20"/>
                <w:szCs w:val="20"/>
                <w:lang w:eastAsia="en-GB"/>
              </w:rPr>
              <w:t>Therefore, the inclusion of an indicator involving the nutritional assessment (including a parameter of measuring muscle mass/strength) and the appropriate nutritional management of patients with COPD, which may include offering an ONS high in protein, with HMB and additional vitamin D) would contribute to improved outcomes in COPD patients.</w:t>
            </w:r>
          </w:p>
          <w:p w14:paraId="0BFAB8A5" w14:textId="77777777" w:rsidR="00B877ED" w:rsidRPr="005A14A3" w:rsidRDefault="00B877ED" w:rsidP="00B877ED">
            <w:pPr>
              <w:autoSpaceDE w:val="0"/>
              <w:autoSpaceDN w:val="0"/>
              <w:adjustRightInd w:val="0"/>
              <w:rPr>
                <w:rFonts w:ascii="Arial" w:eastAsia="SegoeUISymbol" w:hAnsi="Arial" w:cs="Arial"/>
                <w:sz w:val="20"/>
                <w:szCs w:val="20"/>
                <w:lang w:eastAsia="en-GB"/>
              </w:rPr>
            </w:pPr>
          </w:p>
          <w:p w14:paraId="2C8A4DD0" w14:textId="77777777" w:rsidR="00B877ED" w:rsidRPr="005A14A3" w:rsidRDefault="00B877ED" w:rsidP="00B877ED">
            <w:pPr>
              <w:numPr>
                <w:ilvl w:val="0"/>
                <w:numId w:val="30"/>
              </w:numPr>
              <w:autoSpaceDE w:val="0"/>
              <w:autoSpaceDN w:val="0"/>
              <w:adjustRightInd w:val="0"/>
              <w:contextualSpacing/>
              <w:rPr>
                <w:rFonts w:ascii="Arial" w:hAnsi="Arial" w:cs="Arial"/>
                <w:sz w:val="20"/>
                <w:szCs w:val="20"/>
                <w:lang w:eastAsia="en-GB"/>
              </w:rPr>
            </w:pPr>
            <w:r w:rsidRPr="005A14A3">
              <w:rPr>
                <w:rFonts w:ascii="Arial" w:hAnsi="Arial" w:cs="Arial"/>
                <w:sz w:val="20"/>
                <w:szCs w:val="20"/>
                <w:lang w:eastAsia="en-GB"/>
              </w:rPr>
              <w:t>Collins PF et al., Prevalence of malnutrition in outpatients with chronic obstructive pulmonary disease. Proc Nut Soc. 2010; 69(Issue OCE2): E148</w:t>
            </w:r>
          </w:p>
          <w:p w14:paraId="50D7DD0F" w14:textId="77777777" w:rsidR="00B877ED" w:rsidRPr="005A14A3" w:rsidRDefault="00B877ED" w:rsidP="00B877ED">
            <w:pPr>
              <w:numPr>
                <w:ilvl w:val="0"/>
                <w:numId w:val="30"/>
              </w:numPr>
              <w:autoSpaceDE w:val="0"/>
              <w:autoSpaceDN w:val="0"/>
              <w:adjustRightInd w:val="0"/>
              <w:contextualSpacing/>
              <w:rPr>
                <w:rFonts w:ascii="Arial" w:hAnsi="Arial" w:cs="Arial"/>
                <w:sz w:val="20"/>
                <w:szCs w:val="20"/>
                <w:lang w:eastAsia="en-GB"/>
              </w:rPr>
            </w:pPr>
            <w:r w:rsidRPr="005A14A3">
              <w:rPr>
                <w:rFonts w:ascii="Arial" w:hAnsi="Arial" w:cs="Arial"/>
                <w:sz w:val="20"/>
                <w:szCs w:val="20"/>
                <w:lang w:eastAsia="en-GB"/>
              </w:rPr>
              <w:t xml:space="preserve">2. Barreiro E and </w:t>
            </w:r>
            <w:proofErr w:type="spellStart"/>
            <w:r w:rsidRPr="005A14A3">
              <w:rPr>
                <w:rFonts w:ascii="Arial" w:hAnsi="Arial" w:cs="Arial"/>
                <w:sz w:val="20"/>
                <w:szCs w:val="20"/>
                <w:lang w:eastAsia="en-GB"/>
              </w:rPr>
              <w:t>Jaitovich</w:t>
            </w:r>
            <w:proofErr w:type="spellEnd"/>
            <w:r w:rsidRPr="005A14A3">
              <w:rPr>
                <w:rFonts w:ascii="Arial" w:hAnsi="Arial" w:cs="Arial"/>
                <w:sz w:val="20"/>
                <w:szCs w:val="20"/>
                <w:lang w:eastAsia="en-GB"/>
              </w:rPr>
              <w:t xml:space="preserve"> A</w:t>
            </w:r>
            <w:r w:rsidRPr="005A14A3">
              <w:rPr>
                <w:rFonts w:ascii="Arial" w:hAnsi="Arial" w:cs="Arial"/>
                <w:i/>
                <w:sz w:val="20"/>
                <w:szCs w:val="20"/>
                <w:lang w:eastAsia="en-GB"/>
              </w:rPr>
              <w:t xml:space="preserve">. J </w:t>
            </w:r>
            <w:proofErr w:type="spellStart"/>
            <w:r w:rsidRPr="005A14A3">
              <w:rPr>
                <w:rFonts w:ascii="Arial" w:hAnsi="Arial" w:cs="Arial"/>
                <w:i/>
                <w:sz w:val="20"/>
                <w:szCs w:val="20"/>
                <w:lang w:eastAsia="en-GB"/>
              </w:rPr>
              <w:t>Thorac</w:t>
            </w:r>
            <w:proofErr w:type="spellEnd"/>
            <w:r w:rsidRPr="005A14A3">
              <w:rPr>
                <w:rFonts w:ascii="Arial" w:hAnsi="Arial" w:cs="Arial"/>
                <w:i/>
                <w:sz w:val="20"/>
                <w:szCs w:val="20"/>
                <w:lang w:eastAsia="en-GB"/>
              </w:rPr>
              <w:t xml:space="preserve"> Dis 2018</w:t>
            </w:r>
            <w:r w:rsidRPr="005A14A3">
              <w:rPr>
                <w:rFonts w:ascii="Arial" w:hAnsi="Arial" w:cs="Arial"/>
                <w:sz w:val="20"/>
                <w:szCs w:val="20"/>
                <w:lang w:eastAsia="en-GB"/>
              </w:rPr>
              <w:t>;10(</w:t>
            </w:r>
            <w:proofErr w:type="spellStart"/>
            <w:r w:rsidRPr="005A14A3">
              <w:rPr>
                <w:rFonts w:ascii="Arial" w:hAnsi="Arial" w:cs="Arial"/>
                <w:sz w:val="20"/>
                <w:szCs w:val="20"/>
                <w:lang w:eastAsia="en-GB"/>
              </w:rPr>
              <w:t>Suppl</w:t>
            </w:r>
            <w:proofErr w:type="spellEnd"/>
            <w:r w:rsidRPr="005A14A3">
              <w:rPr>
                <w:rFonts w:ascii="Arial" w:hAnsi="Arial" w:cs="Arial"/>
                <w:sz w:val="20"/>
                <w:szCs w:val="20"/>
                <w:lang w:eastAsia="en-GB"/>
              </w:rPr>
              <w:t xml:space="preserve"> 12</w:t>
            </w:r>
            <w:proofErr w:type="gramStart"/>
            <w:r w:rsidRPr="005A14A3">
              <w:rPr>
                <w:rFonts w:ascii="Arial" w:hAnsi="Arial" w:cs="Arial"/>
                <w:sz w:val="20"/>
                <w:szCs w:val="20"/>
                <w:lang w:eastAsia="en-GB"/>
              </w:rPr>
              <w:t>):S</w:t>
            </w:r>
            <w:proofErr w:type="gramEnd"/>
            <w:r w:rsidRPr="005A14A3">
              <w:rPr>
                <w:rFonts w:ascii="Arial" w:hAnsi="Arial" w:cs="Arial"/>
                <w:sz w:val="20"/>
                <w:szCs w:val="20"/>
                <w:lang w:eastAsia="en-GB"/>
              </w:rPr>
              <w:t>1415-S1424.</w:t>
            </w:r>
          </w:p>
          <w:p w14:paraId="044860A5" w14:textId="77777777" w:rsidR="00B877ED" w:rsidRPr="005A14A3" w:rsidRDefault="00B877ED" w:rsidP="00B877ED">
            <w:pPr>
              <w:numPr>
                <w:ilvl w:val="0"/>
                <w:numId w:val="30"/>
              </w:numPr>
              <w:autoSpaceDE w:val="0"/>
              <w:autoSpaceDN w:val="0"/>
              <w:adjustRightInd w:val="0"/>
              <w:contextualSpacing/>
              <w:rPr>
                <w:rFonts w:ascii="Arial" w:hAnsi="Arial" w:cs="Arial"/>
                <w:sz w:val="20"/>
                <w:szCs w:val="20"/>
                <w:lang w:eastAsia="en-GB"/>
              </w:rPr>
            </w:pPr>
            <w:r w:rsidRPr="005A14A3">
              <w:rPr>
                <w:rFonts w:ascii="Arial" w:hAnsi="Arial" w:cs="Arial"/>
                <w:sz w:val="20"/>
                <w:szCs w:val="20"/>
                <w:lang w:eastAsia="en-GB"/>
              </w:rPr>
              <w:t xml:space="preserve">Wust RC and </w:t>
            </w:r>
            <w:proofErr w:type="spellStart"/>
            <w:r w:rsidRPr="005A14A3">
              <w:rPr>
                <w:rFonts w:ascii="Arial" w:hAnsi="Arial" w:cs="Arial"/>
                <w:sz w:val="20"/>
                <w:szCs w:val="20"/>
                <w:lang w:eastAsia="en-GB"/>
              </w:rPr>
              <w:t>Degens</w:t>
            </w:r>
            <w:proofErr w:type="spellEnd"/>
            <w:r w:rsidRPr="005A14A3">
              <w:rPr>
                <w:rFonts w:ascii="Arial" w:hAnsi="Arial" w:cs="Arial"/>
                <w:sz w:val="20"/>
                <w:szCs w:val="20"/>
                <w:lang w:eastAsia="en-GB"/>
              </w:rPr>
              <w:t xml:space="preserve"> H. I</w:t>
            </w:r>
            <w:r w:rsidRPr="005A14A3">
              <w:rPr>
                <w:rFonts w:ascii="Arial" w:hAnsi="Arial" w:cs="Arial"/>
                <w:i/>
                <w:sz w:val="20"/>
                <w:szCs w:val="20"/>
                <w:lang w:eastAsia="en-GB"/>
              </w:rPr>
              <w:t xml:space="preserve">nt J Chron Obstruct </w:t>
            </w:r>
            <w:proofErr w:type="spellStart"/>
            <w:r w:rsidRPr="005A14A3">
              <w:rPr>
                <w:rFonts w:ascii="Arial" w:hAnsi="Arial" w:cs="Arial"/>
                <w:i/>
                <w:sz w:val="20"/>
                <w:szCs w:val="20"/>
                <w:lang w:eastAsia="en-GB"/>
              </w:rPr>
              <w:t>Pulmon</w:t>
            </w:r>
            <w:proofErr w:type="spellEnd"/>
            <w:r w:rsidRPr="005A14A3">
              <w:rPr>
                <w:rFonts w:ascii="Arial" w:hAnsi="Arial" w:cs="Arial"/>
                <w:i/>
                <w:sz w:val="20"/>
                <w:szCs w:val="20"/>
                <w:lang w:eastAsia="en-GB"/>
              </w:rPr>
              <w:t xml:space="preserve"> Dis </w:t>
            </w:r>
            <w:r w:rsidRPr="005A14A3">
              <w:rPr>
                <w:rFonts w:ascii="Arial" w:hAnsi="Arial" w:cs="Arial"/>
                <w:sz w:val="20"/>
                <w:szCs w:val="20"/>
                <w:lang w:eastAsia="en-GB"/>
              </w:rPr>
              <w:t>2007;2(3):289-300.</w:t>
            </w:r>
          </w:p>
          <w:p w14:paraId="67B04566" w14:textId="77777777" w:rsidR="00B877ED" w:rsidRPr="005A14A3" w:rsidRDefault="00B877ED" w:rsidP="00B877ED">
            <w:pPr>
              <w:numPr>
                <w:ilvl w:val="0"/>
                <w:numId w:val="30"/>
              </w:numPr>
              <w:autoSpaceDE w:val="0"/>
              <w:autoSpaceDN w:val="0"/>
              <w:adjustRightInd w:val="0"/>
              <w:contextualSpacing/>
              <w:rPr>
                <w:rFonts w:ascii="Arial" w:hAnsi="Arial" w:cs="Arial"/>
                <w:sz w:val="20"/>
                <w:szCs w:val="20"/>
                <w:lang w:eastAsia="en-GB"/>
              </w:rPr>
            </w:pPr>
            <w:r w:rsidRPr="005A14A3">
              <w:rPr>
                <w:rFonts w:ascii="Arial" w:hAnsi="Arial" w:cs="Arial"/>
                <w:sz w:val="20"/>
                <w:szCs w:val="20"/>
                <w:lang w:eastAsia="en-GB"/>
              </w:rPr>
              <w:t xml:space="preserve">Deutz NE </w:t>
            </w:r>
            <w:r w:rsidRPr="005A14A3">
              <w:rPr>
                <w:rFonts w:ascii="Arial" w:hAnsi="Arial" w:cs="Arial"/>
                <w:i/>
                <w:sz w:val="20"/>
                <w:szCs w:val="20"/>
                <w:lang w:eastAsia="en-GB"/>
              </w:rPr>
              <w:t xml:space="preserve">et al. Clin </w:t>
            </w:r>
            <w:proofErr w:type="spellStart"/>
            <w:r w:rsidRPr="005A14A3">
              <w:rPr>
                <w:rFonts w:ascii="Arial" w:hAnsi="Arial" w:cs="Arial"/>
                <w:i/>
                <w:sz w:val="20"/>
                <w:szCs w:val="20"/>
                <w:lang w:eastAsia="en-GB"/>
              </w:rPr>
              <w:t>Nutr</w:t>
            </w:r>
            <w:proofErr w:type="spellEnd"/>
            <w:r w:rsidRPr="005A14A3">
              <w:rPr>
                <w:rFonts w:ascii="Arial" w:hAnsi="Arial" w:cs="Arial"/>
                <w:sz w:val="20"/>
                <w:szCs w:val="20"/>
                <w:lang w:eastAsia="en-GB"/>
              </w:rPr>
              <w:t xml:space="preserve"> 2014;33(6):929-936</w:t>
            </w:r>
          </w:p>
          <w:p w14:paraId="70634161" w14:textId="77777777" w:rsidR="00B877ED" w:rsidRPr="005A14A3" w:rsidRDefault="00B877ED" w:rsidP="00B877ED">
            <w:pPr>
              <w:numPr>
                <w:ilvl w:val="0"/>
                <w:numId w:val="30"/>
              </w:numPr>
              <w:autoSpaceDE w:val="0"/>
              <w:autoSpaceDN w:val="0"/>
              <w:adjustRightInd w:val="0"/>
              <w:contextualSpacing/>
              <w:rPr>
                <w:rFonts w:ascii="Arial" w:hAnsi="Arial" w:cs="Arial"/>
                <w:sz w:val="20"/>
                <w:szCs w:val="20"/>
                <w:lang w:eastAsia="en-GB"/>
              </w:rPr>
            </w:pPr>
            <w:r w:rsidRPr="005A14A3">
              <w:rPr>
                <w:rFonts w:ascii="Arial" w:hAnsi="Arial" w:cs="Arial"/>
                <w:sz w:val="20"/>
                <w:szCs w:val="20"/>
                <w:lang w:eastAsia="en-GB"/>
              </w:rPr>
              <w:t xml:space="preserve">Cawood AL </w:t>
            </w:r>
            <w:r w:rsidRPr="005A14A3">
              <w:rPr>
                <w:rFonts w:ascii="Arial" w:hAnsi="Arial" w:cs="Arial"/>
                <w:i/>
                <w:sz w:val="20"/>
                <w:szCs w:val="20"/>
                <w:lang w:eastAsia="en-GB"/>
              </w:rPr>
              <w:t xml:space="preserve">et al. Ageing Res Rev </w:t>
            </w:r>
            <w:r w:rsidRPr="005A14A3">
              <w:rPr>
                <w:rFonts w:ascii="Arial" w:hAnsi="Arial" w:cs="Arial"/>
                <w:sz w:val="20"/>
                <w:szCs w:val="20"/>
                <w:lang w:eastAsia="en-GB"/>
              </w:rPr>
              <w:t>2012;11(2):278-296.</w:t>
            </w:r>
          </w:p>
          <w:p w14:paraId="2AD01296" w14:textId="77777777" w:rsidR="00B877ED" w:rsidRPr="005A14A3" w:rsidRDefault="00B877ED" w:rsidP="00B877ED">
            <w:pPr>
              <w:numPr>
                <w:ilvl w:val="0"/>
                <w:numId w:val="30"/>
              </w:numPr>
              <w:autoSpaceDE w:val="0"/>
              <w:autoSpaceDN w:val="0"/>
              <w:adjustRightInd w:val="0"/>
              <w:contextualSpacing/>
              <w:rPr>
                <w:rFonts w:ascii="Arial" w:hAnsi="Arial" w:cs="Arial"/>
                <w:sz w:val="20"/>
                <w:szCs w:val="20"/>
                <w:lang w:eastAsia="en-GB"/>
              </w:rPr>
            </w:pPr>
            <w:r w:rsidRPr="005A14A3">
              <w:rPr>
                <w:rFonts w:ascii="Arial" w:hAnsi="Arial" w:cs="Arial"/>
                <w:sz w:val="20"/>
                <w:szCs w:val="20"/>
                <w:lang w:eastAsia="en-GB"/>
              </w:rPr>
              <w:t xml:space="preserve">Joliffe DA </w:t>
            </w:r>
            <w:r w:rsidRPr="005A14A3">
              <w:rPr>
                <w:rFonts w:ascii="Arial" w:hAnsi="Arial" w:cs="Arial"/>
                <w:i/>
                <w:sz w:val="20"/>
                <w:szCs w:val="20"/>
                <w:lang w:eastAsia="en-GB"/>
              </w:rPr>
              <w:t>et al. Thorax</w:t>
            </w:r>
            <w:r w:rsidRPr="005A14A3">
              <w:rPr>
                <w:rFonts w:ascii="Arial" w:hAnsi="Arial" w:cs="Arial"/>
                <w:sz w:val="20"/>
                <w:szCs w:val="20"/>
                <w:lang w:eastAsia="en-GB"/>
              </w:rPr>
              <w:t xml:space="preserve"> 2019:10.1136/throraxjnl-2018-212092.</w:t>
            </w:r>
          </w:p>
          <w:p w14:paraId="0B65D126" w14:textId="77777777" w:rsidR="00B877ED" w:rsidRPr="005A14A3" w:rsidRDefault="00B877ED" w:rsidP="00B877ED">
            <w:pPr>
              <w:numPr>
                <w:ilvl w:val="0"/>
                <w:numId w:val="30"/>
              </w:numPr>
              <w:autoSpaceDE w:val="0"/>
              <w:autoSpaceDN w:val="0"/>
              <w:adjustRightInd w:val="0"/>
              <w:contextualSpacing/>
              <w:rPr>
                <w:rFonts w:ascii="Arial" w:hAnsi="Arial" w:cs="Arial"/>
                <w:sz w:val="20"/>
                <w:szCs w:val="20"/>
                <w:lang w:eastAsia="en-GB"/>
              </w:rPr>
            </w:pPr>
            <w:r w:rsidRPr="005A14A3">
              <w:rPr>
                <w:rFonts w:ascii="Arial" w:hAnsi="Arial" w:cs="Arial"/>
                <w:sz w:val="20"/>
                <w:szCs w:val="20"/>
                <w:lang w:eastAsia="en-GB"/>
              </w:rPr>
              <w:t xml:space="preserve">Wilson GJ </w:t>
            </w:r>
            <w:r w:rsidRPr="005A14A3">
              <w:rPr>
                <w:rFonts w:ascii="Arial" w:hAnsi="Arial" w:cs="Arial"/>
                <w:i/>
                <w:sz w:val="20"/>
                <w:szCs w:val="20"/>
                <w:lang w:eastAsia="en-GB"/>
              </w:rPr>
              <w:t xml:space="preserve">et al. </w:t>
            </w:r>
            <w:proofErr w:type="spellStart"/>
            <w:r w:rsidRPr="005A14A3">
              <w:rPr>
                <w:rFonts w:ascii="Arial" w:hAnsi="Arial" w:cs="Arial"/>
                <w:i/>
                <w:sz w:val="20"/>
                <w:szCs w:val="20"/>
                <w:lang w:eastAsia="en-GB"/>
              </w:rPr>
              <w:t>Nutr</w:t>
            </w:r>
            <w:proofErr w:type="spellEnd"/>
            <w:r w:rsidRPr="005A14A3">
              <w:rPr>
                <w:rFonts w:ascii="Arial" w:hAnsi="Arial" w:cs="Arial"/>
                <w:i/>
                <w:sz w:val="20"/>
                <w:szCs w:val="20"/>
                <w:lang w:eastAsia="en-GB"/>
              </w:rPr>
              <w:t xml:space="preserve"> </w:t>
            </w:r>
            <w:proofErr w:type="spellStart"/>
            <w:r w:rsidRPr="005A14A3">
              <w:rPr>
                <w:rFonts w:ascii="Arial" w:hAnsi="Arial" w:cs="Arial"/>
                <w:i/>
                <w:sz w:val="20"/>
                <w:szCs w:val="20"/>
                <w:lang w:eastAsia="en-GB"/>
              </w:rPr>
              <w:t>Metab</w:t>
            </w:r>
            <w:proofErr w:type="spellEnd"/>
            <w:r w:rsidRPr="005A14A3">
              <w:rPr>
                <w:rFonts w:ascii="Arial" w:hAnsi="Arial" w:cs="Arial"/>
                <w:sz w:val="20"/>
                <w:szCs w:val="20"/>
                <w:lang w:eastAsia="en-GB"/>
              </w:rPr>
              <w:t xml:space="preserve"> (</w:t>
            </w:r>
            <w:proofErr w:type="spellStart"/>
            <w:r w:rsidRPr="005A14A3">
              <w:rPr>
                <w:rFonts w:ascii="Arial" w:hAnsi="Arial" w:cs="Arial"/>
                <w:sz w:val="20"/>
                <w:szCs w:val="20"/>
                <w:lang w:eastAsia="en-GB"/>
              </w:rPr>
              <w:t>Lond</w:t>
            </w:r>
            <w:proofErr w:type="spellEnd"/>
            <w:r w:rsidRPr="005A14A3">
              <w:rPr>
                <w:rFonts w:ascii="Arial" w:hAnsi="Arial" w:cs="Arial"/>
                <w:sz w:val="20"/>
                <w:szCs w:val="20"/>
                <w:lang w:eastAsia="en-GB"/>
              </w:rPr>
              <w:t xml:space="preserve">) </w:t>
            </w:r>
            <w:proofErr w:type="gramStart"/>
            <w:r w:rsidRPr="005A14A3">
              <w:rPr>
                <w:rFonts w:ascii="Arial" w:hAnsi="Arial" w:cs="Arial"/>
                <w:sz w:val="20"/>
                <w:szCs w:val="20"/>
                <w:lang w:eastAsia="en-GB"/>
              </w:rPr>
              <w:t>2008;5:1</w:t>
            </w:r>
            <w:proofErr w:type="gramEnd"/>
          </w:p>
          <w:p w14:paraId="5C154B50" w14:textId="77777777" w:rsidR="00B877ED" w:rsidRPr="005A14A3" w:rsidRDefault="00B877ED" w:rsidP="00B877ED">
            <w:pPr>
              <w:numPr>
                <w:ilvl w:val="0"/>
                <w:numId w:val="30"/>
              </w:numPr>
              <w:autoSpaceDE w:val="0"/>
              <w:autoSpaceDN w:val="0"/>
              <w:adjustRightInd w:val="0"/>
              <w:contextualSpacing/>
              <w:rPr>
                <w:rFonts w:ascii="Arial" w:hAnsi="Arial" w:cs="Arial"/>
                <w:sz w:val="20"/>
                <w:szCs w:val="20"/>
                <w:lang w:eastAsia="en-GB"/>
              </w:rPr>
            </w:pPr>
            <w:r w:rsidRPr="005A14A3">
              <w:rPr>
                <w:rFonts w:ascii="Arial" w:hAnsi="Arial" w:cs="Arial"/>
                <w:sz w:val="20"/>
                <w:szCs w:val="20"/>
                <w:lang w:eastAsia="en-GB"/>
              </w:rPr>
              <w:t xml:space="preserve">Manzano M </w:t>
            </w:r>
            <w:r w:rsidRPr="005A14A3">
              <w:rPr>
                <w:rFonts w:ascii="Arial" w:hAnsi="Arial" w:cs="Arial"/>
                <w:i/>
                <w:sz w:val="20"/>
                <w:szCs w:val="20"/>
                <w:lang w:eastAsia="en-GB"/>
              </w:rPr>
              <w:t>et al</w:t>
            </w:r>
            <w:r w:rsidRPr="005A14A3">
              <w:rPr>
                <w:rFonts w:ascii="Arial" w:hAnsi="Arial" w:cs="Arial"/>
                <w:sz w:val="20"/>
                <w:szCs w:val="20"/>
                <w:lang w:eastAsia="en-GB"/>
              </w:rPr>
              <w:t>. Presented at 31</w:t>
            </w:r>
            <w:r w:rsidRPr="005A14A3">
              <w:rPr>
                <w:rFonts w:ascii="Arial" w:hAnsi="Arial" w:cs="Arial"/>
                <w:sz w:val="20"/>
                <w:szCs w:val="20"/>
                <w:vertAlign w:val="superscript"/>
                <w:lang w:eastAsia="en-GB"/>
              </w:rPr>
              <w:t>st</w:t>
            </w:r>
            <w:r w:rsidRPr="005A14A3">
              <w:rPr>
                <w:rFonts w:ascii="Arial" w:hAnsi="Arial" w:cs="Arial"/>
                <w:sz w:val="20"/>
                <w:szCs w:val="20"/>
                <w:lang w:eastAsia="en-GB"/>
              </w:rPr>
              <w:t xml:space="preserve"> ESPEN Congress. 29 August-1 Sept 2009, Vienna, Austria.</w:t>
            </w:r>
          </w:p>
          <w:p w14:paraId="37F711DB" w14:textId="77777777" w:rsidR="00B877ED" w:rsidRPr="005A14A3" w:rsidRDefault="00B877ED" w:rsidP="00B877ED">
            <w:pPr>
              <w:numPr>
                <w:ilvl w:val="0"/>
                <w:numId w:val="30"/>
              </w:numPr>
              <w:autoSpaceDE w:val="0"/>
              <w:autoSpaceDN w:val="0"/>
              <w:adjustRightInd w:val="0"/>
              <w:contextualSpacing/>
              <w:rPr>
                <w:rFonts w:ascii="Arial" w:hAnsi="Arial" w:cs="Arial"/>
                <w:sz w:val="20"/>
                <w:szCs w:val="20"/>
                <w:lang w:eastAsia="en-GB"/>
              </w:rPr>
            </w:pPr>
            <w:proofErr w:type="spellStart"/>
            <w:r w:rsidRPr="005A14A3">
              <w:rPr>
                <w:rFonts w:ascii="Arial" w:hAnsi="Arial" w:cs="Arial"/>
                <w:sz w:val="20"/>
                <w:szCs w:val="20"/>
                <w:lang w:eastAsia="en-GB"/>
              </w:rPr>
              <w:t>Eley</w:t>
            </w:r>
            <w:proofErr w:type="spellEnd"/>
            <w:r w:rsidRPr="005A14A3">
              <w:rPr>
                <w:rFonts w:ascii="Arial" w:hAnsi="Arial" w:cs="Arial"/>
                <w:sz w:val="20"/>
                <w:szCs w:val="20"/>
                <w:lang w:eastAsia="en-GB"/>
              </w:rPr>
              <w:t xml:space="preserve"> HL </w:t>
            </w:r>
            <w:r w:rsidRPr="005A14A3">
              <w:rPr>
                <w:rFonts w:ascii="Arial" w:hAnsi="Arial" w:cs="Arial"/>
                <w:i/>
                <w:sz w:val="20"/>
                <w:szCs w:val="20"/>
                <w:lang w:eastAsia="en-GB"/>
              </w:rPr>
              <w:t xml:space="preserve">et al. Am J </w:t>
            </w:r>
            <w:proofErr w:type="spellStart"/>
            <w:r w:rsidRPr="005A14A3">
              <w:rPr>
                <w:rFonts w:ascii="Arial" w:hAnsi="Arial" w:cs="Arial"/>
                <w:i/>
                <w:sz w:val="20"/>
                <w:szCs w:val="20"/>
                <w:lang w:eastAsia="en-GB"/>
              </w:rPr>
              <w:t>Physiol</w:t>
            </w:r>
            <w:proofErr w:type="spellEnd"/>
            <w:r w:rsidRPr="005A14A3">
              <w:rPr>
                <w:rFonts w:ascii="Arial" w:hAnsi="Arial" w:cs="Arial"/>
                <w:i/>
                <w:sz w:val="20"/>
                <w:szCs w:val="20"/>
                <w:lang w:eastAsia="en-GB"/>
              </w:rPr>
              <w:t xml:space="preserve"> Endocrinol </w:t>
            </w:r>
            <w:proofErr w:type="spellStart"/>
            <w:r w:rsidRPr="005A14A3">
              <w:rPr>
                <w:rFonts w:ascii="Arial" w:hAnsi="Arial" w:cs="Arial"/>
                <w:i/>
                <w:sz w:val="20"/>
                <w:szCs w:val="20"/>
                <w:lang w:eastAsia="en-GB"/>
              </w:rPr>
              <w:t>Metab</w:t>
            </w:r>
            <w:proofErr w:type="spellEnd"/>
            <w:r w:rsidRPr="005A14A3">
              <w:rPr>
                <w:rFonts w:ascii="Arial" w:hAnsi="Arial" w:cs="Arial"/>
                <w:sz w:val="20"/>
                <w:szCs w:val="20"/>
                <w:lang w:eastAsia="en-GB"/>
              </w:rPr>
              <w:t xml:space="preserve"> 2008;295(6</w:t>
            </w:r>
            <w:proofErr w:type="gramStart"/>
            <w:r w:rsidRPr="005A14A3">
              <w:rPr>
                <w:rFonts w:ascii="Arial" w:hAnsi="Arial" w:cs="Arial"/>
                <w:sz w:val="20"/>
                <w:szCs w:val="20"/>
                <w:lang w:eastAsia="en-GB"/>
              </w:rPr>
              <w:t>):E</w:t>
            </w:r>
            <w:proofErr w:type="gramEnd"/>
            <w:r w:rsidRPr="005A14A3">
              <w:rPr>
                <w:rFonts w:ascii="Arial" w:hAnsi="Arial" w:cs="Arial"/>
                <w:sz w:val="20"/>
                <w:szCs w:val="20"/>
                <w:lang w:eastAsia="en-GB"/>
              </w:rPr>
              <w:t>1417-1426.</w:t>
            </w:r>
          </w:p>
          <w:p w14:paraId="29CA44D9" w14:textId="1C74D793" w:rsidR="00B877ED" w:rsidRPr="005A14A3" w:rsidRDefault="00B877ED" w:rsidP="00B877ED">
            <w:pPr>
              <w:rPr>
                <w:rFonts w:ascii="Arial" w:hAnsi="Arial" w:cs="Arial"/>
                <w:sz w:val="20"/>
                <w:szCs w:val="20"/>
              </w:rPr>
            </w:pPr>
            <w:r w:rsidRPr="005A14A3">
              <w:rPr>
                <w:rFonts w:ascii="Arial" w:hAnsi="Arial" w:cs="Arial"/>
                <w:sz w:val="20"/>
                <w:szCs w:val="20"/>
              </w:rPr>
              <w:t xml:space="preserve">Deutz NE </w:t>
            </w:r>
            <w:r w:rsidRPr="005A14A3">
              <w:rPr>
                <w:rFonts w:ascii="Arial" w:hAnsi="Arial" w:cs="Arial"/>
                <w:i/>
                <w:sz w:val="20"/>
                <w:szCs w:val="20"/>
              </w:rPr>
              <w:t xml:space="preserve">et al. Clin </w:t>
            </w:r>
            <w:proofErr w:type="spellStart"/>
            <w:r w:rsidRPr="005A14A3">
              <w:rPr>
                <w:rFonts w:ascii="Arial" w:hAnsi="Arial" w:cs="Arial"/>
                <w:i/>
                <w:sz w:val="20"/>
                <w:szCs w:val="20"/>
              </w:rPr>
              <w:t>Nutr</w:t>
            </w:r>
            <w:proofErr w:type="spellEnd"/>
            <w:r w:rsidRPr="005A14A3">
              <w:rPr>
                <w:rFonts w:ascii="Arial" w:hAnsi="Arial" w:cs="Arial"/>
                <w:sz w:val="20"/>
                <w:szCs w:val="20"/>
              </w:rPr>
              <w:t xml:space="preserve"> 2016;35(1):18-26.</w:t>
            </w:r>
          </w:p>
        </w:tc>
      </w:tr>
      <w:tr w:rsidR="00B877ED" w:rsidRPr="005A14A3" w14:paraId="52DCEDD1" w14:textId="77777777" w:rsidTr="00AD1879">
        <w:tc>
          <w:tcPr>
            <w:tcW w:w="704" w:type="dxa"/>
          </w:tcPr>
          <w:p w14:paraId="68B28089" w14:textId="34061063" w:rsidR="00B877ED" w:rsidRPr="00B877ED" w:rsidRDefault="00B877ED" w:rsidP="00B877ED">
            <w:pPr>
              <w:jc w:val="center"/>
              <w:rPr>
                <w:rFonts w:ascii="Arial" w:hAnsi="Arial" w:cs="Arial"/>
                <w:b/>
                <w:sz w:val="20"/>
                <w:szCs w:val="20"/>
              </w:rPr>
            </w:pPr>
            <w:r w:rsidRPr="00B877ED">
              <w:rPr>
                <w:rFonts w:ascii="Calibri" w:hAnsi="Calibri" w:cs="Calibri"/>
                <w:b/>
                <w:color w:val="000000"/>
                <w:sz w:val="22"/>
                <w:szCs w:val="22"/>
              </w:rPr>
              <w:lastRenderedPageBreak/>
              <w:t>19</w:t>
            </w:r>
          </w:p>
        </w:tc>
        <w:tc>
          <w:tcPr>
            <w:tcW w:w="1276" w:type="dxa"/>
          </w:tcPr>
          <w:p w14:paraId="497EF426" w14:textId="1878ADDC" w:rsidR="00B877ED" w:rsidRPr="005A14A3" w:rsidRDefault="00B877ED" w:rsidP="00B877ED">
            <w:pPr>
              <w:jc w:val="center"/>
              <w:rPr>
                <w:rFonts w:ascii="Arial" w:hAnsi="Arial" w:cs="Arial"/>
                <w:b/>
                <w:sz w:val="20"/>
                <w:szCs w:val="20"/>
              </w:rPr>
            </w:pPr>
            <w:r w:rsidRPr="005A14A3">
              <w:rPr>
                <w:rFonts w:ascii="Arial" w:hAnsi="Arial" w:cs="Arial"/>
                <w:b/>
                <w:sz w:val="20"/>
                <w:szCs w:val="20"/>
              </w:rPr>
              <w:t>Multimorbidity, Frailty,</w:t>
            </w:r>
          </w:p>
          <w:p w14:paraId="2669362A" w14:textId="77777777" w:rsidR="00B877ED" w:rsidRPr="005A14A3" w:rsidRDefault="00B877ED" w:rsidP="00B877ED">
            <w:pPr>
              <w:jc w:val="center"/>
              <w:rPr>
                <w:rFonts w:ascii="Arial" w:hAnsi="Arial" w:cs="Arial"/>
                <w:b/>
                <w:sz w:val="20"/>
                <w:szCs w:val="20"/>
              </w:rPr>
            </w:pPr>
            <w:r w:rsidRPr="005A14A3">
              <w:rPr>
                <w:rFonts w:ascii="Arial" w:hAnsi="Arial" w:cs="Arial"/>
                <w:b/>
                <w:sz w:val="20"/>
                <w:szCs w:val="20"/>
              </w:rPr>
              <w:t>Falls,</w:t>
            </w:r>
          </w:p>
          <w:p w14:paraId="54753648" w14:textId="2D4FB35D" w:rsidR="00B877ED" w:rsidRPr="005A14A3" w:rsidRDefault="00B877ED" w:rsidP="00B877ED">
            <w:pPr>
              <w:jc w:val="center"/>
              <w:rPr>
                <w:rFonts w:ascii="Arial" w:hAnsi="Arial" w:cs="Arial"/>
                <w:b/>
                <w:sz w:val="20"/>
                <w:szCs w:val="20"/>
                <w:lang w:eastAsia="en-GB"/>
              </w:rPr>
            </w:pPr>
            <w:r w:rsidRPr="005A14A3">
              <w:rPr>
                <w:rFonts w:ascii="Arial" w:hAnsi="Arial" w:cs="Arial"/>
                <w:b/>
                <w:sz w:val="20"/>
                <w:szCs w:val="20"/>
                <w:lang w:eastAsia="en-GB"/>
              </w:rPr>
              <w:t>COPD</w:t>
            </w:r>
          </w:p>
        </w:tc>
        <w:tc>
          <w:tcPr>
            <w:tcW w:w="1843" w:type="dxa"/>
          </w:tcPr>
          <w:p w14:paraId="2FB0576D" w14:textId="65A0C2E9" w:rsidR="00B877ED" w:rsidRPr="005A14A3" w:rsidRDefault="00B877ED" w:rsidP="00B877ED">
            <w:pPr>
              <w:jc w:val="center"/>
              <w:rPr>
                <w:rFonts w:ascii="Arial" w:hAnsi="Arial" w:cs="Arial"/>
                <w:b/>
                <w:sz w:val="20"/>
                <w:szCs w:val="20"/>
              </w:rPr>
            </w:pPr>
            <w:r w:rsidRPr="005A14A3">
              <w:rPr>
                <w:rFonts w:ascii="Arial" w:hAnsi="Arial" w:cs="Arial"/>
                <w:b/>
                <w:sz w:val="20"/>
                <w:szCs w:val="20"/>
              </w:rPr>
              <w:t>Managing Adult Malnutrition in the Community</w:t>
            </w:r>
          </w:p>
        </w:tc>
        <w:tc>
          <w:tcPr>
            <w:tcW w:w="10914" w:type="dxa"/>
          </w:tcPr>
          <w:p w14:paraId="63625376" w14:textId="77777777" w:rsidR="00B877ED" w:rsidRPr="005A14A3" w:rsidRDefault="00B877ED" w:rsidP="00B877ED">
            <w:pPr>
              <w:rPr>
                <w:rFonts w:ascii="Arial" w:hAnsi="Arial" w:cs="Arial"/>
                <w:sz w:val="20"/>
                <w:szCs w:val="20"/>
              </w:rPr>
            </w:pPr>
            <w:r w:rsidRPr="005A14A3">
              <w:rPr>
                <w:rFonts w:ascii="Arial" w:hAnsi="Arial" w:cs="Arial"/>
                <w:sz w:val="20"/>
                <w:szCs w:val="20"/>
              </w:rPr>
              <w:t xml:space="preserve">In light of the fact that the QOF aims to increase likelihood of improved patient outcomes, decrease likelihood of harm from overtreatment and improve the personalisation of care it should be noted that people who are </w:t>
            </w:r>
            <w:proofErr w:type="gramStart"/>
            <w:r w:rsidRPr="005A14A3">
              <w:rPr>
                <w:rFonts w:ascii="Arial" w:hAnsi="Arial" w:cs="Arial"/>
                <w:sz w:val="20"/>
                <w:szCs w:val="20"/>
                <w:u w:val="single"/>
              </w:rPr>
              <w:t>malnourished</w:t>
            </w:r>
            <w:r w:rsidRPr="005A14A3">
              <w:rPr>
                <w:rFonts w:ascii="Arial" w:hAnsi="Arial" w:cs="Arial"/>
                <w:sz w:val="20"/>
                <w:szCs w:val="20"/>
              </w:rPr>
              <w:t xml:space="preserve"> :</w:t>
            </w:r>
            <w:proofErr w:type="gramEnd"/>
            <w:r w:rsidRPr="005A14A3">
              <w:rPr>
                <w:rFonts w:ascii="Arial" w:hAnsi="Arial" w:cs="Arial"/>
                <w:sz w:val="20"/>
                <w:szCs w:val="20"/>
              </w:rPr>
              <w:t xml:space="preserve">  </w:t>
            </w:r>
          </w:p>
          <w:p w14:paraId="4E28C882" w14:textId="77777777" w:rsidR="00B877ED" w:rsidRPr="005A14A3" w:rsidRDefault="00B877ED" w:rsidP="00B877ED">
            <w:pPr>
              <w:rPr>
                <w:rFonts w:ascii="Arial" w:hAnsi="Arial" w:cs="Arial"/>
                <w:sz w:val="20"/>
                <w:szCs w:val="20"/>
              </w:rPr>
            </w:pPr>
          </w:p>
          <w:p w14:paraId="0DA0F99F" w14:textId="77777777" w:rsidR="00B877ED" w:rsidRPr="005A14A3" w:rsidRDefault="00B877ED" w:rsidP="00B877ED">
            <w:pPr>
              <w:numPr>
                <w:ilvl w:val="0"/>
                <w:numId w:val="33"/>
              </w:numPr>
              <w:contextualSpacing/>
              <w:rPr>
                <w:rFonts w:ascii="Arial" w:hAnsi="Arial" w:cs="Arial"/>
                <w:sz w:val="20"/>
                <w:szCs w:val="20"/>
              </w:rPr>
            </w:pPr>
            <w:r w:rsidRPr="005A14A3">
              <w:rPr>
                <w:rFonts w:ascii="Arial" w:hAnsi="Arial" w:cs="Arial"/>
                <w:sz w:val="20"/>
                <w:szCs w:val="20"/>
              </w:rPr>
              <w:t>have greater healthcare needs (more GP visits, care at home, antibiotics), more hospital admissions and readmissions and longer length of hospital stay</w:t>
            </w:r>
            <w:r w:rsidRPr="005A14A3">
              <w:rPr>
                <w:rFonts w:ascii="Arial" w:hAnsi="Arial" w:cs="Arial"/>
                <w:sz w:val="20"/>
                <w:szCs w:val="20"/>
                <w:vertAlign w:val="superscript"/>
              </w:rPr>
              <w:t>1</w:t>
            </w:r>
          </w:p>
          <w:p w14:paraId="73950CCB" w14:textId="77777777" w:rsidR="00B877ED" w:rsidRPr="005A14A3" w:rsidRDefault="00B877ED" w:rsidP="00B877ED">
            <w:pPr>
              <w:numPr>
                <w:ilvl w:val="0"/>
                <w:numId w:val="33"/>
              </w:numPr>
              <w:contextualSpacing/>
              <w:rPr>
                <w:rFonts w:ascii="Arial" w:hAnsi="Arial" w:cs="Arial"/>
                <w:sz w:val="20"/>
                <w:szCs w:val="20"/>
              </w:rPr>
            </w:pPr>
            <w:r w:rsidRPr="005A14A3">
              <w:rPr>
                <w:rFonts w:ascii="Arial" w:hAnsi="Arial" w:cs="Arial"/>
                <w:sz w:val="20"/>
                <w:szCs w:val="20"/>
              </w:rPr>
              <w:t>have increased risk of falls</w:t>
            </w:r>
            <w:r w:rsidRPr="005A14A3">
              <w:rPr>
                <w:rFonts w:ascii="Arial" w:hAnsi="Arial" w:cs="Arial"/>
                <w:sz w:val="20"/>
                <w:szCs w:val="20"/>
                <w:vertAlign w:val="superscript"/>
              </w:rPr>
              <w:t>2,3</w:t>
            </w:r>
            <w:r w:rsidRPr="005A14A3">
              <w:rPr>
                <w:rFonts w:ascii="Arial" w:hAnsi="Arial" w:cs="Arial"/>
                <w:sz w:val="20"/>
                <w:szCs w:val="20"/>
              </w:rPr>
              <w:t>, impaired recovery from illness and surgery</w:t>
            </w:r>
            <w:r w:rsidRPr="005A14A3">
              <w:rPr>
                <w:rFonts w:ascii="Arial" w:hAnsi="Arial" w:cs="Arial"/>
                <w:sz w:val="20"/>
                <w:szCs w:val="20"/>
                <w:vertAlign w:val="superscript"/>
              </w:rPr>
              <w:t>4</w:t>
            </w:r>
            <w:r w:rsidRPr="005A14A3">
              <w:rPr>
                <w:rFonts w:ascii="Arial" w:hAnsi="Arial" w:cs="Arial"/>
                <w:sz w:val="20"/>
                <w:szCs w:val="20"/>
              </w:rPr>
              <w:t>, poorer clinical outcomes</w:t>
            </w:r>
            <w:r w:rsidRPr="005A14A3">
              <w:rPr>
                <w:rFonts w:ascii="Arial" w:hAnsi="Arial" w:cs="Arial"/>
                <w:sz w:val="20"/>
                <w:szCs w:val="20"/>
                <w:vertAlign w:val="superscript"/>
              </w:rPr>
              <w:t>4</w:t>
            </w:r>
            <w:r w:rsidRPr="005A14A3">
              <w:rPr>
                <w:rFonts w:ascii="Arial" w:hAnsi="Arial" w:cs="Arial"/>
                <w:sz w:val="20"/>
                <w:szCs w:val="20"/>
              </w:rPr>
              <w:t>, impaired immune response</w:t>
            </w:r>
            <w:r w:rsidRPr="005A14A3">
              <w:rPr>
                <w:rFonts w:ascii="Arial" w:hAnsi="Arial" w:cs="Arial"/>
                <w:sz w:val="20"/>
                <w:szCs w:val="20"/>
                <w:vertAlign w:val="superscript"/>
              </w:rPr>
              <w:t>4</w:t>
            </w:r>
            <w:r w:rsidRPr="005A14A3">
              <w:rPr>
                <w:rFonts w:ascii="Arial" w:hAnsi="Arial" w:cs="Arial"/>
                <w:sz w:val="20"/>
                <w:szCs w:val="20"/>
              </w:rPr>
              <w:t>, reduced muscle strength</w:t>
            </w:r>
            <w:r w:rsidRPr="005A14A3">
              <w:rPr>
                <w:rFonts w:ascii="Arial" w:hAnsi="Arial" w:cs="Arial"/>
                <w:sz w:val="20"/>
                <w:szCs w:val="20"/>
                <w:vertAlign w:val="superscript"/>
              </w:rPr>
              <w:t>4</w:t>
            </w:r>
            <w:r w:rsidRPr="005A14A3">
              <w:rPr>
                <w:rFonts w:ascii="Arial" w:hAnsi="Arial" w:cs="Arial"/>
                <w:sz w:val="20"/>
                <w:szCs w:val="20"/>
              </w:rPr>
              <w:t xml:space="preserve"> and frailty</w:t>
            </w:r>
            <w:r w:rsidRPr="005A14A3">
              <w:rPr>
                <w:rFonts w:ascii="Arial" w:hAnsi="Arial" w:cs="Arial"/>
                <w:sz w:val="20"/>
                <w:szCs w:val="20"/>
                <w:vertAlign w:val="superscript"/>
              </w:rPr>
              <w:t>5,6</w:t>
            </w:r>
            <w:r w:rsidRPr="005A14A3">
              <w:rPr>
                <w:rFonts w:ascii="Arial" w:hAnsi="Arial" w:cs="Arial"/>
                <w:sz w:val="20"/>
                <w:szCs w:val="20"/>
              </w:rPr>
              <w:t>, impaired wound healing</w:t>
            </w:r>
            <w:r w:rsidRPr="005A14A3">
              <w:rPr>
                <w:rFonts w:ascii="Arial" w:hAnsi="Arial" w:cs="Arial"/>
                <w:sz w:val="20"/>
                <w:szCs w:val="20"/>
                <w:vertAlign w:val="superscript"/>
              </w:rPr>
              <w:t>4</w:t>
            </w:r>
            <w:r w:rsidRPr="005A14A3">
              <w:rPr>
                <w:rFonts w:ascii="Arial" w:hAnsi="Arial" w:cs="Arial"/>
                <w:sz w:val="20"/>
                <w:szCs w:val="20"/>
              </w:rPr>
              <w:t xml:space="preserve"> and impaired </w:t>
            </w:r>
            <w:proofErr w:type="spellStart"/>
            <w:r w:rsidRPr="005A14A3">
              <w:rPr>
                <w:rFonts w:ascii="Arial" w:hAnsi="Arial" w:cs="Arial"/>
                <w:sz w:val="20"/>
                <w:szCs w:val="20"/>
              </w:rPr>
              <w:t>pyscho</w:t>
            </w:r>
            <w:proofErr w:type="spellEnd"/>
            <w:r w:rsidRPr="005A14A3">
              <w:rPr>
                <w:rFonts w:ascii="Arial" w:hAnsi="Arial" w:cs="Arial"/>
                <w:sz w:val="20"/>
                <w:szCs w:val="20"/>
              </w:rPr>
              <w:t>-social function</w:t>
            </w:r>
            <w:r w:rsidRPr="005A14A3">
              <w:rPr>
                <w:rFonts w:ascii="Arial" w:hAnsi="Arial" w:cs="Arial"/>
                <w:sz w:val="20"/>
                <w:szCs w:val="20"/>
                <w:vertAlign w:val="superscript"/>
              </w:rPr>
              <w:t>4</w:t>
            </w:r>
          </w:p>
          <w:p w14:paraId="3818C540" w14:textId="77777777" w:rsidR="00B877ED" w:rsidRPr="005A14A3" w:rsidRDefault="00B877ED" w:rsidP="00B877ED">
            <w:pPr>
              <w:numPr>
                <w:ilvl w:val="0"/>
                <w:numId w:val="33"/>
              </w:numPr>
              <w:contextualSpacing/>
              <w:rPr>
                <w:rFonts w:ascii="Arial" w:hAnsi="Arial" w:cs="Arial"/>
                <w:sz w:val="20"/>
                <w:szCs w:val="20"/>
              </w:rPr>
            </w:pPr>
            <w:r w:rsidRPr="005A14A3">
              <w:rPr>
                <w:rFonts w:ascii="Arial" w:hAnsi="Arial" w:cs="Arial"/>
                <w:sz w:val="20"/>
                <w:szCs w:val="20"/>
              </w:rPr>
              <w:t>have health and social care costs that are more than 3 times greater than a non- malnourished patient</w:t>
            </w:r>
            <w:r w:rsidRPr="005A14A3">
              <w:rPr>
                <w:rFonts w:ascii="Arial" w:hAnsi="Arial" w:cs="Arial"/>
                <w:sz w:val="20"/>
                <w:szCs w:val="20"/>
                <w:vertAlign w:val="superscript"/>
              </w:rPr>
              <w:t>1</w:t>
            </w:r>
            <w:r w:rsidRPr="005A14A3">
              <w:rPr>
                <w:rFonts w:ascii="Arial" w:hAnsi="Arial" w:cs="Arial"/>
                <w:sz w:val="20"/>
                <w:szCs w:val="20"/>
              </w:rPr>
              <w:t xml:space="preserve"> (the cost of healthcare for a malnourished patient is estimated as £5763 compared to £1715 for a non-malnourished patient, the cost of social care for a malnourished patient is estimated as £1645 compared to £440 for a non-malnourished patient)  </w:t>
            </w:r>
          </w:p>
          <w:p w14:paraId="29540BAE" w14:textId="77777777" w:rsidR="00B877ED" w:rsidRPr="005A14A3" w:rsidRDefault="00B877ED" w:rsidP="00B877ED">
            <w:pPr>
              <w:ind w:left="720"/>
              <w:contextualSpacing/>
              <w:rPr>
                <w:rFonts w:ascii="Arial" w:hAnsi="Arial" w:cs="Arial"/>
                <w:sz w:val="20"/>
                <w:szCs w:val="20"/>
              </w:rPr>
            </w:pPr>
          </w:p>
          <w:p w14:paraId="1850ED7A" w14:textId="77777777" w:rsidR="00B877ED" w:rsidRPr="005A14A3" w:rsidRDefault="00B877ED" w:rsidP="00B877ED">
            <w:pPr>
              <w:rPr>
                <w:rFonts w:ascii="Arial" w:hAnsi="Arial" w:cs="Arial"/>
                <w:sz w:val="20"/>
                <w:szCs w:val="20"/>
              </w:rPr>
            </w:pPr>
            <w:r w:rsidRPr="005A14A3">
              <w:rPr>
                <w:rFonts w:ascii="Arial" w:hAnsi="Arial" w:cs="Arial"/>
                <w:sz w:val="20"/>
                <w:szCs w:val="20"/>
              </w:rPr>
              <w:t>Malnutrition affects 11% of people at GP practices</w:t>
            </w:r>
            <w:r w:rsidRPr="005A14A3">
              <w:rPr>
                <w:rFonts w:ascii="Arial" w:hAnsi="Arial" w:cs="Arial"/>
                <w:sz w:val="20"/>
                <w:szCs w:val="20"/>
                <w:vertAlign w:val="superscript"/>
              </w:rPr>
              <w:t>7</w:t>
            </w:r>
            <w:r w:rsidRPr="005A14A3">
              <w:rPr>
                <w:rFonts w:ascii="Arial" w:hAnsi="Arial" w:cs="Arial"/>
                <w:sz w:val="20"/>
                <w:szCs w:val="20"/>
              </w:rPr>
              <w:t>, 35% of people recently admitted to care homes</w:t>
            </w:r>
            <w:r w:rsidRPr="005A14A3">
              <w:rPr>
                <w:rFonts w:ascii="Arial" w:hAnsi="Arial" w:cs="Arial"/>
                <w:sz w:val="20"/>
                <w:szCs w:val="20"/>
                <w:vertAlign w:val="superscript"/>
              </w:rPr>
              <w:t>8</w:t>
            </w:r>
            <w:r w:rsidRPr="005A14A3">
              <w:rPr>
                <w:rFonts w:ascii="Arial" w:hAnsi="Arial" w:cs="Arial"/>
                <w:sz w:val="20"/>
                <w:szCs w:val="20"/>
              </w:rPr>
              <w:t>, 29% of adults on admission to hospital</w:t>
            </w:r>
            <w:r w:rsidRPr="005A14A3">
              <w:rPr>
                <w:rFonts w:ascii="Arial" w:hAnsi="Arial" w:cs="Arial"/>
                <w:sz w:val="20"/>
                <w:szCs w:val="20"/>
                <w:vertAlign w:val="superscript"/>
              </w:rPr>
              <w:t>9</w:t>
            </w:r>
            <w:r w:rsidRPr="005A14A3">
              <w:rPr>
                <w:rFonts w:ascii="Arial" w:hAnsi="Arial" w:cs="Arial"/>
                <w:sz w:val="20"/>
                <w:szCs w:val="20"/>
              </w:rPr>
              <w:t>, 30% of those attending hospital outpatients</w:t>
            </w:r>
            <w:r w:rsidRPr="005A14A3">
              <w:rPr>
                <w:rFonts w:ascii="Arial" w:hAnsi="Arial" w:cs="Arial"/>
                <w:sz w:val="20"/>
                <w:szCs w:val="20"/>
                <w:vertAlign w:val="superscript"/>
              </w:rPr>
              <w:t>10</w:t>
            </w:r>
            <w:r w:rsidRPr="005A14A3">
              <w:rPr>
                <w:rFonts w:ascii="Arial" w:hAnsi="Arial" w:cs="Arial"/>
                <w:sz w:val="20"/>
                <w:szCs w:val="20"/>
              </w:rPr>
              <w:t>.</w:t>
            </w:r>
          </w:p>
          <w:p w14:paraId="73B31DEF" w14:textId="77777777" w:rsidR="00B877ED" w:rsidRPr="005A14A3" w:rsidRDefault="00B877ED" w:rsidP="00B877ED">
            <w:pPr>
              <w:rPr>
                <w:rFonts w:ascii="Arial" w:hAnsi="Arial" w:cs="Arial"/>
                <w:sz w:val="20"/>
                <w:szCs w:val="20"/>
              </w:rPr>
            </w:pPr>
          </w:p>
          <w:p w14:paraId="39905801" w14:textId="77777777" w:rsidR="00B877ED" w:rsidRPr="005A14A3" w:rsidRDefault="00B877ED" w:rsidP="00B877ED">
            <w:pPr>
              <w:rPr>
                <w:rFonts w:ascii="Arial" w:hAnsi="Arial" w:cs="Arial"/>
                <w:sz w:val="20"/>
                <w:szCs w:val="20"/>
              </w:rPr>
            </w:pPr>
            <w:r w:rsidRPr="005A14A3">
              <w:rPr>
                <w:rFonts w:ascii="Arial" w:hAnsi="Arial" w:cs="Arial"/>
                <w:sz w:val="20"/>
                <w:szCs w:val="20"/>
              </w:rPr>
              <w:lastRenderedPageBreak/>
              <w:t>We would therefore recommend that nutrition screening (using a validated screening tool such as ‘MUST’</w:t>
            </w:r>
            <w:r w:rsidRPr="005A14A3">
              <w:rPr>
                <w:rFonts w:ascii="Arial" w:hAnsi="Arial" w:cs="Arial"/>
                <w:sz w:val="20"/>
                <w:szCs w:val="20"/>
                <w:vertAlign w:val="superscript"/>
              </w:rPr>
              <w:t>11</w:t>
            </w:r>
            <w:r w:rsidRPr="005A14A3">
              <w:rPr>
                <w:rFonts w:ascii="Arial" w:hAnsi="Arial" w:cs="Arial"/>
                <w:sz w:val="20"/>
                <w:szCs w:val="20"/>
              </w:rPr>
              <w:t xml:space="preserve">), assessment and management are incorporated into all indicators (and particularly in relation to multimorbidity, frailty, falls and COPD in relation to the issue of malnutrition).  </w:t>
            </w:r>
          </w:p>
          <w:p w14:paraId="718CF3B4" w14:textId="77777777" w:rsidR="00B877ED" w:rsidRPr="005A14A3" w:rsidRDefault="00B877ED" w:rsidP="00B877ED">
            <w:pPr>
              <w:rPr>
                <w:rFonts w:ascii="Arial" w:hAnsi="Arial" w:cs="Arial"/>
                <w:sz w:val="20"/>
                <w:szCs w:val="20"/>
              </w:rPr>
            </w:pPr>
          </w:p>
          <w:p w14:paraId="476E3C52" w14:textId="77777777" w:rsidR="00B877ED" w:rsidRPr="005A14A3" w:rsidRDefault="00B877ED" w:rsidP="00B877ED">
            <w:pPr>
              <w:rPr>
                <w:rFonts w:ascii="Arial" w:hAnsi="Arial" w:cs="Arial"/>
                <w:sz w:val="20"/>
                <w:szCs w:val="20"/>
              </w:rPr>
            </w:pPr>
            <w:r w:rsidRPr="005A14A3">
              <w:rPr>
                <w:rFonts w:ascii="Arial" w:hAnsi="Arial" w:cs="Arial"/>
                <w:sz w:val="20"/>
                <w:szCs w:val="20"/>
              </w:rPr>
              <w:t>References:</w:t>
            </w:r>
          </w:p>
          <w:p w14:paraId="6B0D0069" w14:textId="77777777" w:rsidR="00B877ED" w:rsidRPr="005A14A3" w:rsidRDefault="00B877ED" w:rsidP="00B877ED">
            <w:pPr>
              <w:numPr>
                <w:ilvl w:val="0"/>
                <w:numId w:val="34"/>
              </w:numPr>
              <w:contextualSpacing/>
              <w:rPr>
                <w:rFonts w:ascii="Arial" w:hAnsi="Arial" w:cs="Arial"/>
                <w:sz w:val="20"/>
                <w:szCs w:val="20"/>
              </w:rPr>
            </w:pPr>
            <w:r w:rsidRPr="005A14A3">
              <w:rPr>
                <w:rFonts w:ascii="Arial" w:hAnsi="Arial" w:cs="Arial"/>
                <w:sz w:val="20"/>
                <w:szCs w:val="20"/>
              </w:rPr>
              <w:t xml:space="preserve">Elia M, on behalf of the Malnutrition Action Group (BAPEN) and the National Institute for Health Research Southampton Biomedical Research Centre. The cost of malnutrition in England and potential cost savings from nutritional interventions (full report). 2015.  http://www.bapen.org.uk/pdfs/economic-report-full.pdf </w:t>
            </w:r>
          </w:p>
          <w:p w14:paraId="6CD5A830" w14:textId="77777777" w:rsidR="00B877ED" w:rsidRPr="005A14A3" w:rsidRDefault="00B877ED" w:rsidP="00B877ED">
            <w:pPr>
              <w:numPr>
                <w:ilvl w:val="0"/>
                <w:numId w:val="34"/>
              </w:numPr>
              <w:contextualSpacing/>
              <w:rPr>
                <w:rFonts w:ascii="Arial" w:hAnsi="Arial" w:cs="Arial"/>
                <w:sz w:val="20"/>
                <w:szCs w:val="20"/>
              </w:rPr>
            </w:pPr>
            <w:r w:rsidRPr="005A14A3">
              <w:rPr>
                <w:rFonts w:ascii="Arial" w:hAnsi="Arial" w:cs="Arial"/>
                <w:sz w:val="20"/>
                <w:szCs w:val="20"/>
              </w:rPr>
              <w:t>Brotherton, Simmonds and Stroud on behalf of BAPEN (2010), Malnutrition Matters. Meeting quality standards in nutritional care, UK: BAPEN</w:t>
            </w:r>
          </w:p>
          <w:p w14:paraId="5BA236F1" w14:textId="77777777" w:rsidR="00B877ED" w:rsidRPr="005A14A3" w:rsidRDefault="00B877ED" w:rsidP="00B877ED">
            <w:pPr>
              <w:numPr>
                <w:ilvl w:val="0"/>
                <w:numId w:val="34"/>
              </w:numPr>
              <w:contextualSpacing/>
              <w:rPr>
                <w:rFonts w:ascii="Arial" w:hAnsi="Arial" w:cs="Arial"/>
                <w:sz w:val="20"/>
                <w:szCs w:val="20"/>
              </w:rPr>
            </w:pPr>
            <w:proofErr w:type="spellStart"/>
            <w:r w:rsidRPr="005A14A3">
              <w:rPr>
                <w:rFonts w:ascii="Arial" w:hAnsi="Arial" w:cs="Arial"/>
                <w:sz w:val="20"/>
                <w:szCs w:val="20"/>
              </w:rPr>
              <w:t>Meijers</w:t>
            </w:r>
            <w:proofErr w:type="spellEnd"/>
            <w:r w:rsidRPr="005A14A3">
              <w:rPr>
                <w:rFonts w:ascii="Arial" w:hAnsi="Arial" w:cs="Arial"/>
                <w:sz w:val="20"/>
                <w:szCs w:val="20"/>
              </w:rPr>
              <w:t xml:space="preserve"> et al (2012). Predicting falls in elderly receiving home care: The role of malnutrition and impaired mobility, Journal of Nutrition, Health and Aging 16(7): 654-658</w:t>
            </w:r>
          </w:p>
          <w:p w14:paraId="79229EFA" w14:textId="77777777" w:rsidR="00B877ED" w:rsidRPr="005A14A3" w:rsidRDefault="00B877ED" w:rsidP="00B877ED">
            <w:pPr>
              <w:numPr>
                <w:ilvl w:val="0"/>
                <w:numId w:val="34"/>
              </w:numPr>
              <w:contextualSpacing/>
              <w:rPr>
                <w:rFonts w:ascii="Arial" w:hAnsi="Arial" w:cs="Arial"/>
                <w:sz w:val="20"/>
                <w:szCs w:val="20"/>
              </w:rPr>
            </w:pPr>
            <w:r w:rsidRPr="005A14A3">
              <w:rPr>
                <w:rFonts w:ascii="Arial" w:hAnsi="Arial" w:cs="Arial"/>
                <w:sz w:val="20"/>
                <w:szCs w:val="20"/>
              </w:rPr>
              <w:t>Stratton RJ et al. Disease-related malnutrition: an evidence-based approach to treatment. Oxford: CABI publishing; 2003.</w:t>
            </w:r>
          </w:p>
          <w:p w14:paraId="4039DE72" w14:textId="77777777" w:rsidR="00B877ED" w:rsidRPr="005A14A3" w:rsidRDefault="00B877ED" w:rsidP="00B877ED">
            <w:pPr>
              <w:numPr>
                <w:ilvl w:val="0"/>
                <w:numId w:val="34"/>
              </w:numPr>
              <w:contextualSpacing/>
              <w:rPr>
                <w:rFonts w:ascii="Arial" w:hAnsi="Arial" w:cs="Arial"/>
                <w:sz w:val="20"/>
                <w:szCs w:val="20"/>
              </w:rPr>
            </w:pPr>
            <w:proofErr w:type="spellStart"/>
            <w:r w:rsidRPr="005A14A3">
              <w:rPr>
                <w:rFonts w:ascii="Arial" w:hAnsi="Arial" w:cs="Arial"/>
                <w:sz w:val="20"/>
                <w:szCs w:val="20"/>
              </w:rPr>
              <w:t>Gossier</w:t>
            </w:r>
            <w:proofErr w:type="spellEnd"/>
            <w:r w:rsidRPr="005A14A3">
              <w:rPr>
                <w:rFonts w:ascii="Arial" w:hAnsi="Arial" w:cs="Arial"/>
                <w:sz w:val="20"/>
                <w:szCs w:val="20"/>
              </w:rPr>
              <w:t xml:space="preserve"> S, </w:t>
            </w:r>
            <w:proofErr w:type="spellStart"/>
            <w:r w:rsidRPr="005A14A3">
              <w:rPr>
                <w:rFonts w:ascii="Arial" w:hAnsi="Arial" w:cs="Arial"/>
                <w:sz w:val="20"/>
                <w:szCs w:val="20"/>
              </w:rPr>
              <w:t>Guyonnet</w:t>
            </w:r>
            <w:proofErr w:type="spellEnd"/>
            <w:r w:rsidRPr="005A14A3">
              <w:rPr>
                <w:rFonts w:ascii="Arial" w:hAnsi="Arial" w:cs="Arial"/>
                <w:sz w:val="20"/>
                <w:szCs w:val="20"/>
              </w:rPr>
              <w:t xml:space="preserve"> S and </w:t>
            </w:r>
            <w:proofErr w:type="spellStart"/>
            <w:r w:rsidRPr="005A14A3">
              <w:rPr>
                <w:rFonts w:ascii="Arial" w:hAnsi="Arial" w:cs="Arial"/>
                <w:sz w:val="20"/>
                <w:szCs w:val="20"/>
              </w:rPr>
              <w:t>Volkert</w:t>
            </w:r>
            <w:proofErr w:type="spellEnd"/>
            <w:r w:rsidRPr="005A14A3">
              <w:rPr>
                <w:rFonts w:ascii="Arial" w:hAnsi="Arial" w:cs="Arial"/>
                <w:sz w:val="20"/>
                <w:szCs w:val="20"/>
              </w:rPr>
              <w:t xml:space="preserve"> D. The Role of Nutrition in Frailty: An Overview. The Journal of Frailty &amp; Aging 2016; 5(2)</w:t>
            </w:r>
          </w:p>
          <w:p w14:paraId="07179E8C" w14:textId="77777777" w:rsidR="00B877ED" w:rsidRPr="005A14A3" w:rsidRDefault="00B877ED" w:rsidP="00B877ED">
            <w:pPr>
              <w:numPr>
                <w:ilvl w:val="0"/>
                <w:numId w:val="34"/>
              </w:numPr>
              <w:contextualSpacing/>
              <w:rPr>
                <w:rFonts w:ascii="Arial" w:hAnsi="Arial" w:cs="Arial"/>
                <w:sz w:val="20"/>
                <w:szCs w:val="20"/>
              </w:rPr>
            </w:pPr>
            <w:r w:rsidRPr="005A14A3">
              <w:rPr>
                <w:rFonts w:ascii="Arial" w:hAnsi="Arial" w:cs="Arial"/>
                <w:sz w:val="20"/>
                <w:szCs w:val="20"/>
              </w:rPr>
              <w:t xml:space="preserve">JAMDA. Frailty Consensus: A Call </w:t>
            </w:r>
            <w:proofErr w:type="gramStart"/>
            <w:r w:rsidRPr="005A14A3">
              <w:rPr>
                <w:rFonts w:ascii="Arial" w:hAnsi="Arial" w:cs="Arial"/>
                <w:sz w:val="20"/>
                <w:szCs w:val="20"/>
              </w:rPr>
              <w:t>To</w:t>
            </w:r>
            <w:proofErr w:type="gramEnd"/>
            <w:r w:rsidRPr="005A14A3">
              <w:rPr>
                <w:rFonts w:ascii="Arial" w:hAnsi="Arial" w:cs="Arial"/>
                <w:sz w:val="20"/>
                <w:szCs w:val="20"/>
              </w:rPr>
              <w:t xml:space="preserve"> Action. 2013; 14: 391-397</w:t>
            </w:r>
          </w:p>
          <w:p w14:paraId="302A2040" w14:textId="77777777" w:rsidR="00B877ED" w:rsidRPr="005A14A3" w:rsidRDefault="00B877ED" w:rsidP="00B877ED">
            <w:pPr>
              <w:numPr>
                <w:ilvl w:val="0"/>
                <w:numId w:val="34"/>
              </w:numPr>
              <w:contextualSpacing/>
              <w:rPr>
                <w:rFonts w:ascii="Arial" w:hAnsi="Arial" w:cs="Arial"/>
                <w:sz w:val="20"/>
                <w:szCs w:val="20"/>
              </w:rPr>
            </w:pPr>
            <w:r w:rsidRPr="005A14A3">
              <w:rPr>
                <w:rFonts w:ascii="Arial" w:hAnsi="Arial" w:cs="Arial"/>
                <w:sz w:val="20"/>
                <w:szCs w:val="20"/>
              </w:rPr>
              <w:t>McGurk P et al. The burden of malnutrition in general practice. Gut 2012; 61 (</w:t>
            </w:r>
            <w:proofErr w:type="spellStart"/>
            <w:r w:rsidRPr="005A14A3">
              <w:rPr>
                <w:rFonts w:ascii="Arial" w:hAnsi="Arial" w:cs="Arial"/>
                <w:sz w:val="20"/>
                <w:szCs w:val="20"/>
              </w:rPr>
              <w:t>Suppl</w:t>
            </w:r>
            <w:proofErr w:type="spellEnd"/>
            <w:r w:rsidRPr="005A14A3">
              <w:rPr>
                <w:rFonts w:ascii="Arial" w:hAnsi="Arial" w:cs="Arial"/>
                <w:sz w:val="20"/>
                <w:szCs w:val="20"/>
              </w:rPr>
              <w:t xml:space="preserve"> 2): A18 (OC-042)</w:t>
            </w:r>
          </w:p>
          <w:p w14:paraId="5B24045A" w14:textId="77777777" w:rsidR="00B877ED" w:rsidRPr="005A14A3" w:rsidRDefault="00B877ED" w:rsidP="00B877ED">
            <w:pPr>
              <w:numPr>
                <w:ilvl w:val="0"/>
                <w:numId w:val="34"/>
              </w:numPr>
              <w:contextualSpacing/>
              <w:rPr>
                <w:rFonts w:ascii="Arial" w:hAnsi="Arial" w:cs="Arial"/>
                <w:sz w:val="20"/>
                <w:szCs w:val="20"/>
              </w:rPr>
            </w:pPr>
            <w:r w:rsidRPr="005A14A3">
              <w:rPr>
                <w:rFonts w:ascii="Arial" w:hAnsi="Arial" w:cs="Arial"/>
                <w:sz w:val="20"/>
                <w:szCs w:val="20"/>
              </w:rPr>
              <w:t xml:space="preserve">Russell C, Elia M on behalf of BAPEN and collaborators. Nutrition Screening Surveys in Care Homes in the UK: A report based on the amalgamated data from the four Nutrition Screening Week surveys undertaken by BAPEN in 2007, 2008, 2010 and 2011. 2015 http://www.bapen.org.uk/pdfs/nsw/care-homes/care-homes-uk.pdf </w:t>
            </w:r>
          </w:p>
          <w:p w14:paraId="0FC7C704" w14:textId="77777777" w:rsidR="00B877ED" w:rsidRPr="005A14A3" w:rsidRDefault="00B877ED" w:rsidP="00B877ED">
            <w:pPr>
              <w:numPr>
                <w:ilvl w:val="0"/>
                <w:numId w:val="34"/>
              </w:numPr>
              <w:contextualSpacing/>
              <w:rPr>
                <w:rFonts w:ascii="Arial" w:hAnsi="Arial" w:cs="Arial"/>
                <w:sz w:val="20"/>
                <w:szCs w:val="20"/>
              </w:rPr>
            </w:pPr>
            <w:r w:rsidRPr="005A14A3">
              <w:rPr>
                <w:rFonts w:ascii="Arial" w:hAnsi="Arial" w:cs="Arial"/>
                <w:sz w:val="20"/>
                <w:szCs w:val="20"/>
              </w:rPr>
              <w:t xml:space="preserve">Russell C, Elia M on behalf of BAPEN and collaborators. Nutrition Screening Surveys in Hospitals in the UK, 2007-2011: A report based on the amalgamated data from the four Nutrition Screening Week surveys undertaken by BAPEN in 2007, 2008, 2010 and 2011. 2014. http://www.bapen.org.uk/pdfs/nsw/bapen-nsw-uk.pdf </w:t>
            </w:r>
          </w:p>
          <w:p w14:paraId="7E2AA184" w14:textId="77777777" w:rsidR="00B877ED" w:rsidRPr="005A14A3" w:rsidRDefault="00B877ED" w:rsidP="00B877ED">
            <w:pPr>
              <w:numPr>
                <w:ilvl w:val="0"/>
                <w:numId w:val="34"/>
              </w:numPr>
              <w:contextualSpacing/>
              <w:rPr>
                <w:rFonts w:ascii="Arial" w:hAnsi="Arial" w:cs="Arial"/>
                <w:sz w:val="20"/>
                <w:szCs w:val="20"/>
              </w:rPr>
            </w:pPr>
            <w:r w:rsidRPr="005A14A3">
              <w:rPr>
                <w:rFonts w:ascii="Arial" w:hAnsi="Arial" w:cs="Arial"/>
                <w:sz w:val="20"/>
                <w:szCs w:val="20"/>
              </w:rPr>
              <w:t xml:space="preserve">Stratton RJ et al. Malnutrition in hospital outpatients: prevalence, concurrent validity and ease of use of the ‘malnutrition universal screening tool’ (‘MUST’) for adults. Br J </w:t>
            </w:r>
            <w:proofErr w:type="spellStart"/>
            <w:r w:rsidRPr="005A14A3">
              <w:rPr>
                <w:rFonts w:ascii="Arial" w:hAnsi="Arial" w:cs="Arial"/>
                <w:sz w:val="20"/>
                <w:szCs w:val="20"/>
              </w:rPr>
              <w:t>Nutr</w:t>
            </w:r>
            <w:proofErr w:type="spellEnd"/>
            <w:r w:rsidRPr="005A14A3">
              <w:rPr>
                <w:rFonts w:ascii="Arial" w:hAnsi="Arial" w:cs="Arial"/>
                <w:sz w:val="20"/>
                <w:szCs w:val="20"/>
              </w:rPr>
              <w:t xml:space="preserve"> (2004):92, 799-808. </w:t>
            </w:r>
          </w:p>
          <w:p w14:paraId="44834694" w14:textId="77777777" w:rsidR="00B877ED" w:rsidRPr="005A14A3" w:rsidRDefault="00B877ED" w:rsidP="00B877ED">
            <w:pPr>
              <w:numPr>
                <w:ilvl w:val="0"/>
                <w:numId w:val="34"/>
              </w:numPr>
              <w:contextualSpacing/>
              <w:rPr>
                <w:rFonts w:ascii="Arial" w:hAnsi="Arial" w:cs="Arial"/>
                <w:sz w:val="20"/>
                <w:szCs w:val="20"/>
              </w:rPr>
            </w:pPr>
            <w:r w:rsidRPr="005A14A3">
              <w:rPr>
                <w:rFonts w:ascii="Arial" w:hAnsi="Arial" w:cs="Arial"/>
                <w:sz w:val="20"/>
                <w:szCs w:val="20"/>
              </w:rPr>
              <w:t>The ‘MUST’ report. Nutritional screening for adults: a multidisciplinary responsibility. Elia M, editor. 2003. Redditch, UK, BAPEN.</w:t>
            </w:r>
          </w:p>
          <w:p w14:paraId="1B16C053" w14:textId="77777777" w:rsidR="00B877ED" w:rsidRPr="005A14A3" w:rsidRDefault="00B877ED" w:rsidP="00B877ED">
            <w:pPr>
              <w:rPr>
                <w:rFonts w:ascii="Arial" w:hAnsi="Arial" w:cs="Arial"/>
                <w:sz w:val="20"/>
                <w:szCs w:val="20"/>
              </w:rPr>
            </w:pPr>
          </w:p>
        </w:tc>
      </w:tr>
      <w:tr w:rsidR="00B877ED" w:rsidRPr="005A14A3" w14:paraId="29CD1C1E" w14:textId="77777777" w:rsidTr="00AD1879">
        <w:tc>
          <w:tcPr>
            <w:tcW w:w="704" w:type="dxa"/>
          </w:tcPr>
          <w:p w14:paraId="6CAD81A0" w14:textId="67AF85B9" w:rsidR="00B877ED" w:rsidRPr="00B877ED" w:rsidRDefault="00B877ED" w:rsidP="00B877ED">
            <w:pPr>
              <w:jc w:val="center"/>
              <w:rPr>
                <w:rFonts w:ascii="Arial" w:hAnsi="Arial" w:cs="Arial"/>
                <w:b/>
                <w:sz w:val="20"/>
                <w:szCs w:val="20"/>
              </w:rPr>
            </w:pPr>
            <w:r w:rsidRPr="00B877ED">
              <w:rPr>
                <w:rFonts w:ascii="Calibri" w:hAnsi="Calibri" w:cs="Calibri"/>
                <w:b/>
                <w:color w:val="000000"/>
                <w:sz w:val="22"/>
                <w:szCs w:val="22"/>
              </w:rPr>
              <w:lastRenderedPageBreak/>
              <w:t>20</w:t>
            </w:r>
          </w:p>
        </w:tc>
        <w:tc>
          <w:tcPr>
            <w:tcW w:w="1276" w:type="dxa"/>
          </w:tcPr>
          <w:p w14:paraId="7B377EE4" w14:textId="22FA0564" w:rsidR="00B877ED" w:rsidRPr="005A14A3" w:rsidRDefault="00B877ED" w:rsidP="00B877ED">
            <w:pPr>
              <w:jc w:val="center"/>
              <w:rPr>
                <w:rFonts w:ascii="Arial" w:hAnsi="Arial" w:cs="Arial"/>
                <w:b/>
                <w:sz w:val="20"/>
                <w:szCs w:val="20"/>
              </w:rPr>
            </w:pPr>
            <w:r w:rsidRPr="005A14A3">
              <w:rPr>
                <w:rFonts w:ascii="Arial" w:hAnsi="Arial" w:cs="Arial"/>
                <w:b/>
                <w:sz w:val="20"/>
                <w:szCs w:val="20"/>
              </w:rPr>
              <w:t>Multimorbidity, Frailty,</w:t>
            </w:r>
          </w:p>
          <w:p w14:paraId="1B0BFCF2" w14:textId="77777777" w:rsidR="00B877ED" w:rsidRPr="005A14A3" w:rsidRDefault="00B877ED" w:rsidP="00B877ED">
            <w:pPr>
              <w:jc w:val="center"/>
              <w:rPr>
                <w:rFonts w:ascii="Arial" w:hAnsi="Arial" w:cs="Arial"/>
                <w:b/>
                <w:sz w:val="20"/>
                <w:szCs w:val="20"/>
              </w:rPr>
            </w:pPr>
            <w:r w:rsidRPr="005A14A3">
              <w:rPr>
                <w:rFonts w:ascii="Arial" w:hAnsi="Arial" w:cs="Arial"/>
                <w:b/>
                <w:sz w:val="20"/>
                <w:szCs w:val="20"/>
              </w:rPr>
              <w:t>Falls,</w:t>
            </w:r>
          </w:p>
          <w:p w14:paraId="085261D4" w14:textId="35F39D2B" w:rsidR="00B877ED" w:rsidRPr="005A14A3" w:rsidRDefault="00B877ED" w:rsidP="00B877ED">
            <w:pPr>
              <w:jc w:val="center"/>
              <w:rPr>
                <w:rFonts w:ascii="Arial" w:hAnsi="Arial" w:cs="Arial"/>
                <w:b/>
                <w:sz w:val="20"/>
                <w:szCs w:val="20"/>
                <w:lang w:eastAsia="en-GB"/>
              </w:rPr>
            </w:pPr>
            <w:r w:rsidRPr="005A14A3">
              <w:rPr>
                <w:rFonts w:ascii="Arial" w:hAnsi="Arial" w:cs="Arial"/>
                <w:b/>
                <w:sz w:val="20"/>
                <w:szCs w:val="20"/>
                <w:lang w:eastAsia="en-GB"/>
              </w:rPr>
              <w:t>COPD</w:t>
            </w:r>
          </w:p>
        </w:tc>
        <w:tc>
          <w:tcPr>
            <w:tcW w:w="1843" w:type="dxa"/>
          </w:tcPr>
          <w:p w14:paraId="5B7FB497" w14:textId="5DE13883" w:rsidR="00B877ED" w:rsidRPr="005A14A3" w:rsidRDefault="00B877ED" w:rsidP="00B877ED">
            <w:pPr>
              <w:jc w:val="center"/>
              <w:rPr>
                <w:rFonts w:ascii="Arial" w:hAnsi="Arial" w:cs="Arial"/>
                <w:b/>
                <w:sz w:val="20"/>
                <w:szCs w:val="20"/>
              </w:rPr>
            </w:pPr>
            <w:r w:rsidRPr="005A14A3">
              <w:rPr>
                <w:rFonts w:ascii="Arial" w:hAnsi="Arial" w:cs="Arial"/>
                <w:b/>
                <w:sz w:val="20"/>
                <w:szCs w:val="20"/>
              </w:rPr>
              <w:t>Managing Adult Malnutrition in the Community</w:t>
            </w:r>
          </w:p>
        </w:tc>
        <w:tc>
          <w:tcPr>
            <w:tcW w:w="10914" w:type="dxa"/>
          </w:tcPr>
          <w:p w14:paraId="2441D4C8" w14:textId="77777777" w:rsidR="00B877ED" w:rsidRPr="005A14A3" w:rsidRDefault="00B877ED" w:rsidP="00B877ED">
            <w:pPr>
              <w:rPr>
                <w:rFonts w:ascii="Arial" w:hAnsi="Arial" w:cs="Arial"/>
                <w:sz w:val="20"/>
                <w:szCs w:val="20"/>
              </w:rPr>
            </w:pPr>
            <w:r w:rsidRPr="005A14A3">
              <w:rPr>
                <w:rFonts w:ascii="Arial" w:hAnsi="Arial" w:cs="Arial"/>
                <w:sz w:val="20"/>
                <w:szCs w:val="20"/>
              </w:rPr>
              <w:t>NICE QS24</w:t>
            </w:r>
            <w:r w:rsidRPr="005A14A3">
              <w:rPr>
                <w:rFonts w:ascii="Arial" w:hAnsi="Arial" w:cs="Arial"/>
                <w:sz w:val="20"/>
                <w:szCs w:val="20"/>
                <w:vertAlign w:val="superscript"/>
              </w:rPr>
              <w:t>1</w:t>
            </w:r>
            <w:r w:rsidRPr="005A14A3">
              <w:rPr>
                <w:rFonts w:ascii="Arial" w:hAnsi="Arial" w:cs="Arial"/>
                <w:sz w:val="20"/>
                <w:szCs w:val="20"/>
              </w:rPr>
              <w:t xml:space="preserve"> Nutrition Support in Adults should be incorporated into all aspects of care.  </w:t>
            </w:r>
          </w:p>
          <w:p w14:paraId="0C8CB24F" w14:textId="77777777" w:rsidR="00B877ED" w:rsidRPr="005A14A3" w:rsidRDefault="00B877ED" w:rsidP="00B877ED">
            <w:pPr>
              <w:rPr>
                <w:rFonts w:ascii="Arial" w:hAnsi="Arial" w:cs="Arial"/>
                <w:sz w:val="20"/>
                <w:szCs w:val="20"/>
              </w:rPr>
            </w:pPr>
            <w:r w:rsidRPr="005A14A3">
              <w:rPr>
                <w:rFonts w:ascii="Arial" w:hAnsi="Arial" w:cs="Arial"/>
                <w:sz w:val="20"/>
                <w:szCs w:val="20"/>
              </w:rPr>
              <w:t>NICE QS24</w:t>
            </w:r>
            <w:r w:rsidRPr="005A14A3">
              <w:rPr>
                <w:rFonts w:ascii="Arial" w:hAnsi="Arial" w:cs="Arial"/>
                <w:sz w:val="20"/>
                <w:szCs w:val="20"/>
                <w:vertAlign w:val="superscript"/>
              </w:rPr>
              <w:t>1</w:t>
            </w:r>
            <w:r w:rsidRPr="005A14A3">
              <w:rPr>
                <w:rFonts w:ascii="Arial" w:hAnsi="Arial" w:cs="Arial"/>
                <w:sz w:val="20"/>
                <w:szCs w:val="20"/>
              </w:rPr>
              <w:t xml:space="preserve"> recommends:</w:t>
            </w:r>
          </w:p>
          <w:p w14:paraId="0CA13647" w14:textId="77777777" w:rsidR="00B877ED" w:rsidRPr="005A14A3" w:rsidRDefault="00B877ED" w:rsidP="00B877ED">
            <w:pPr>
              <w:numPr>
                <w:ilvl w:val="0"/>
                <w:numId w:val="35"/>
              </w:numPr>
              <w:ind w:left="720"/>
              <w:contextualSpacing/>
              <w:rPr>
                <w:rFonts w:ascii="Arial" w:hAnsi="Arial" w:cs="Arial"/>
                <w:sz w:val="20"/>
                <w:szCs w:val="20"/>
              </w:rPr>
            </w:pPr>
            <w:r w:rsidRPr="005A14A3">
              <w:rPr>
                <w:rFonts w:ascii="Arial" w:hAnsi="Arial" w:cs="Arial"/>
                <w:sz w:val="20"/>
                <w:szCs w:val="20"/>
              </w:rPr>
              <w:t>People in care settings are screened for the risk of malnutrition using a validated screening tool</w:t>
            </w:r>
          </w:p>
          <w:p w14:paraId="1FABF067" w14:textId="77777777" w:rsidR="00B877ED" w:rsidRPr="005A14A3" w:rsidRDefault="00B877ED" w:rsidP="00B877ED">
            <w:pPr>
              <w:numPr>
                <w:ilvl w:val="0"/>
                <w:numId w:val="35"/>
              </w:numPr>
              <w:ind w:left="720"/>
              <w:contextualSpacing/>
              <w:rPr>
                <w:rFonts w:ascii="Arial" w:hAnsi="Arial" w:cs="Arial"/>
                <w:sz w:val="20"/>
                <w:szCs w:val="20"/>
              </w:rPr>
            </w:pPr>
            <w:r w:rsidRPr="005A14A3">
              <w:rPr>
                <w:rFonts w:ascii="Arial" w:hAnsi="Arial" w:cs="Arial"/>
                <w:sz w:val="20"/>
                <w:szCs w:val="20"/>
              </w:rPr>
              <w:t>People who are malnourished or at risk of malnutrition have a management care plan that aims to meet their complete nutritional requirements</w:t>
            </w:r>
          </w:p>
          <w:p w14:paraId="22325226" w14:textId="77777777" w:rsidR="00B877ED" w:rsidRPr="005A14A3" w:rsidRDefault="00B877ED" w:rsidP="00B877ED">
            <w:pPr>
              <w:numPr>
                <w:ilvl w:val="0"/>
                <w:numId w:val="35"/>
              </w:numPr>
              <w:ind w:left="720"/>
              <w:contextualSpacing/>
              <w:rPr>
                <w:rFonts w:ascii="Arial" w:hAnsi="Arial" w:cs="Arial"/>
                <w:sz w:val="20"/>
                <w:szCs w:val="20"/>
              </w:rPr>
            </w:pPr>
            <w:r w:rsidRPr="005A14A3">
              <w:rPr>
                <w:rFonts w:ascii="Arial" w:hAnsi="Arial" w:cs="Arial"/>
                <w:sz w:val="20"/>
                <w:szCs w:val="20"/>
              </w:rPr>
              <w:lastRenderedPageBreak/>
              <w:t xml:space="preserve">All people who are screened for the risk of malnutrition have their screening results and nutrition support goals (if applicable), documented and communicated in writing within and between settings </w:t>
            </w:r>
          </w:p>
          <w:p w14:paraId="7F862E27" w14:textId="77777777" w:rsidR="00B877ED" w:rsidRPr="005A14A3" w:rsidRDefault="00B877ED" w:rsidP="00B877ED">
            <w:pPr>
              <w:numPr>
                <w:ilvl w:val="0"/>
                <w:numId w:val="35"/>
              </w:numPr>
              <w:ind w:left="720"/>
              <w:contextualSpacing/>
              <w:rPr>
                <w:rFonts w:ascii="Arial" w:hAnsi="Arial" w:cs="Arial"/>
                <w:sz w:val="20"/>
                <w:szCs w:val="20"/>
              </w:rPr>
            </w:pPr>
            <w:r w:rsidRPr="005A14A3">
              <w:rPr>
                <w:rFonts w:ascii="Arial" w:hAnsi="Arial" w:cs="Arial"/>
                <w:sz w:val="20"/>
                <w:szCs w:val="20"/>
              </w:rPr>
              <w:t>People receiving nutrition support are offered a review of the indications, route, risks, benefits and goals of nutrition support at planned intervals.</w:t>
            </w:r>
          </w:p>
          <w:p w14:paraId="59A590C4" w14:textId="77777777" w:rsidR="00B877ED" w:rsidRPr="005A14A3" w:rsidRDefault="00B877ED" w:rsidP="00B877ED">
            <w:pPr>
              <w:rPr>
                <w:rFonts w:ascii="Arial" w:hAnsi="Arial" w:cs="Arial"/>
                <w:sz w:val="20"/>
                <w:szCs w:val="20"/>
              </w:rPr>
            </w:pPr>
          </w:p>
          <w:p w14:paraId="3FAFA01F" w14:textId="77777777" w:rsidR="00B877ED" w:rsidRPr="005A14A3" w:rsidRDefault="00B877ED" w:rsidP="00B877ED">
            <w:pPr>
              <w:rPr>
                <w:rFonts w:ascii="Arial" w:hAnsi="Arial" w:cs="Arial"/>
                <w:sz w:val="20"/>
                <w:szCs w:val="20"/>
              </w:rPr>
            </w:pPr>
            <w:r w:rsidRPr="005A14A3">
              <w:rPr>
                <w:rFonts w:ascii="Arial" w:hAnsi="Arial" w:cs="Arial"/>
                <w:sz w:val="20"/>
                <w:szCs w:val="20"/>
              </w:rPr>
              <w:t>NICE has shown that substantial cost savings can result from identifying and treating malnutrition – implementation of Clinical Guideline 32</w:t>
            </w:r>
            <w:r w:rsidRPr="005A14A3">
              <w:rPr>
                <w:rFonts w:ascii="Arial" w:hAnsi="Arial" w:cs="Arial"/>
                <w:sz w:val="20"/>
                <w:szCs w:val="20"/>
                <w:vertAlign w:val="superscript"/>
              </w:rPr>
              <w:t>2</w:t>
            </w:r>
            <w:r w:rsidRPr="005A14A3">
              <w:rPr>
                <w:rFonts w:ascii="Arial" w:hAnsi="Arial" w:cs="Arial"/>
                <w:sz w:val="20"/>
                <w:szCs w:val="20"/>
              </w:rPr>
              <w:t>: Nutrition Support in Adults and supporting Quality Standard 24</w:t>
            </w:r>
            <w:r w:rsidRPr="005A14A3">
              <w:rPr>
                <w:rFonts w:ascii="Arial" w:hAnsi="Arial" w:cs="Arial"/>
                <w:sz w:val="20"/>
                <w:szCs w:val="20"/>
                <w:vertAlign w:val="superscript"/>
              </w:rPr>
              <w:t>1</w:t>
            </w:r>
            <w:r w:rsidRPr="005A14A3">
              <w:rPr>
                <w:rFonts w:ascii="Arial" w:hAnsi="Arial" w:cs="Arial"/>
                <w:sz w:val="20"/>
                <w:szCs w:val="20"/>
              </w:rPr>
              <w:t xml:space="preserve"> have been shown to have a high impact with respect to cost savings – estimating savings of £71,800 per 100,000 people by implementing screening and management of malnutrition.</w:t>
            </w:r>
          </w:p>
          <w:p w14:paraId="4F9E94D6" w14:textId="77777777" w:rsidR="00B877ED" w:rsidRPr="005A14A3" w:rsidRDefault="00B877ED" w:rsidP="00B877ED">
            <w:pPr>
              <w:rPr>
                <w:rFonts w:ascii="Arial" w:hAnsi="Arial" w:cs="Arial"/>
                <w:sz w:val="20"/>
                <w:szCs w:val="20"/>
              </w:rPr>
            </w:pPr>
          </w:p>
          <w:p w14:paraId="11C0ABD7" w14:textId="77777777" w:rsidR="00B877ED" w:rsidRPr="005A14A3" w:rsidRDefault="00B877ED" w:rsidP="00B877ED">
            <w:pPr>
              <w:rPr>
                <w:rFonts w:ascii="Arial" w:hAnsi="Arial" w:cs="Arial"/>
                <w:sz w:val="20"/>
                <w:szCs w:val="20"/>
              </w:rPr>
            </w:pPr>
            <w:proofErr w:type="gramStart"/>
            <w:r w:rsidRPr="005A14A3">
              <w:rPr>
                <w:rFonts w:ascii="Arial" w:hAnsi="Arial" w:cs="Arial"/>
                <w:sz w:val="20"/>
                <w:szCs w:val="20"/>
              </w:rPr>
              <w:t>However</w:t>
            </w:r>
            <w:proofErr w:type="gramEnd"/>
            <w:r w:rsidRPr="005A14A3">
              <w:rPr>
                <w:rFonts w:ascii="Arial" w:hAnsi="Arial" w:cs="Arial"/>
                <w:sz w:val="20"/>
                <w:szCs w:val="20"/>
              </w:rPr>
              <w:t xml:space="preserve"> despite this nutrition continues to be ignored as a key indicator in many disease areas.</w:t>
            </w:r>
          </w:p>
          <w:p w14:paraId="278CFF45" w14:textId="77777777" w:rsidR="00B877ED" w:rsidRPr="005A14A3" w:rsidRDefault="00B877ED" w:rsidP="00B877ED">
            <w:pPr>
              <w:rPr>
                <w:rFonts w:ascii="Arial" w:hAnsi="Arial" w:cs="Arial"/>
                <w:sz w:val="20"/>
                <w:szCs w:val="20"/>
              </w:rPr>
            </w:pPr>
          </w:p>
          <w:p w14:paraId="6729BB54" w14:textId="77777777" w:rsidR="00B877ED" w:rsidRPr="005A14A3" w:rsidRDefault="00B877ED" w:rsidP="00B877ED">
            <w:pPr>
              <w:rPr>
                <w:rFonts w:ascii="Arial" w:hAnsi="Arial" w:cs="Arial"/>
                <w:sz w:val="20"/>
                <w:szCs w:val="20"/>
              </w:rPr>
            </w:pPr>
            <w:r w:rsidRPr="005A14A3">
              <w:rPr>
                <w:rFonts w:ascii="Arial" w:hAnsi="Arial" w:cs="Arial"/>
                <w:sz w:val="20"/>
                <w:szCs w:val="20"/>
              </w:rPr>
              <w:t>References:</w:t>
            </w:r>
          </w:p>
          <w:p w14:paraId="4704675F" w14:textId="77777777" w:rsidR="00B877ED" w:rsidRPr="005A14A3" w:rsidRDefault="00B877ED" w:rsidP="00B877ED">
            <w:pPr>
              <w:numPr>
                <w:ilvl w:val="0"/>
                <w:numId w:val="36"/>
              </w:numPr>
              <w:contextualSpacing/>
              <w:rPr>
                <w:rFonts w:ascii="Arial" w:hAnsi="Arial" w:cs="Arial"/>
                <w:sz w:val="20"/>
                <w:szCs w:val="20"/>
              </w:rPr>
            </w:pPr>
            <w:r w:rsidRPr="005A14A3">
              <w:rPr>
                <w:rFonts w:ascii="Arial" w:hAnsi="Arial" w:cs="Arial"/>
                <w:sz w:val="20"/>
                <w:szCs w:val="20"/>
              </w:rPr>
              <w:t>National Institute for of Health and Care Clinical Excellence (NICE). Nutrition support in adults. Quality Standard 24. 2012.</w:t>
            </w:r>
          </w:p>
          <w:p w14:paraId="0EFE89E5" w14:textId="77777777" w:rsidR="00B877ED" w:rsidRPr="005A14A3" w:rsidRDefault="00B877ED" w:rsidP="00B877ED">
            <w:pPr>
              <w:numPr>
                <w:ilvl w:val="0"/>
                <w:numId w:val="36"/>
              </w:numPr>
              <w:contextualSpacing/>
              <w:rPr>
                <w:rFonts w:ascii="Arial" w:hAnsi="Arial" w:cs="Arial"/>
                <w:sz w:val="20"/>
                <w:szCs w:val="20"/>
              </w:rPr>
            </w:pPr>
            <w:r w:rsidRPr="005A14A3">
              <w:rPr>
                <w:rFonts w:ascii="Arial" w:hAnsi="Arial" w:cs="Arial"/>
                <w:sz w:val="20"/>
                <w:szCs w:val="20"/>
              </w:rPr>
              <w:t>National Institute of Health and Care Excellence (NICE). Nutrition support in adults: oral nutrition support, enteral tube feeding and parenteral nutrition. Clinical Guideline 32. 2006.</w:t>
            </w:r>
          </w:p>
          <w:p w14:paraId="4D3FF5FF" w14:textId="77777777" w:rsidR="00B877ED" w:rsidRPr="005A14A3" w:rsidRDefault="00B877ED" w:rsidP="00B877ED">
            <w:pPr>
              <w:rPr>
                <w:rFonts w:ascii="Arial" w:hAnsi="Arial" w:cs="Arial"/>
                <w:sz w:val="20"/>
                <w:szCs w:val="20"/>
              </w:rPr>
            </w:pPr>
          </w:p>
        </w:tc>
      </w:tr>
      <w:tr w:rsidR="00B877ED" w:rsidRPr="005A14A3" w14:paraId="04294E73" w14:textId="77777777" w:rsidTr="00AD1879">
        <w:tc>
          <w:tcPr>
            <w:tcW w:w="704" w:type="dxa"/>
          </w:tcPr>
          <w:p w14:paraId="1EDF517E" w14:textId="53A9E94A" w:rsidR="00B877ED" w:rsidRPr="00B877ED" w:rsidRDefault="00B877ED" w:rsidP="00B877ED">
            <w:pPr>
              <w:jc w:val="center"/>
              <w:rPr>
                <w:rFonts w:ascii="Arial" w:hAnsi="Arial" w:cs="Arial"/>
                <w:b/>
                <w:sz w:val="20"/>
                <w:szCs w:val="20"/>
                <w:lang w:eastAsia="en-GB"/>
              </w:rPr>
            </w:pPr>
            <w:r w:rsidRPr="00B877ED">
              <w:rPr>
                <w:rFonts w:ascii="Calibri" w:hAnsi="Calibri" w:cs="Calibri"/>
                <w:b/>
                <w:color w:val="000000"/>
                <w:sz w:val="22"/>
                <w:szCs w:val="22"/>
              </w:rPr>
              <w:lastRenderedPageBreak/>
              <w:t>21</w:t>
            </w:r>
          </w:p>
        </w:tc>
        <w:tc>
          <w:tcPr>
            <w:tcW w:w="1276" w:type="dxa"/>
          </w:tcPr>
          <w:p w14:paraId="14621365" w14:textId="5752CF16" w:rsidR="00B877ED" w:rsidRPr="005A14A3" w:rsidRDefault="00B877ED" w:rsidP="00B877ED">
            <w:pPr>
              <w:jc w:val="center"/>
              <w:rPr>
                <w:rFonts w:ascii="Arial" w:hAnsi="Arial" w:cs="Arial"/>
                <w:b/>
                <w:bCs/>
                <w:sz w:val="20"/>
                <w:szCs w:val="20"/>
                <w:lang w:eastAsia="en-GB"/>
              </w:rPr>
            </w:pPr>
            <w:r w:rsidRPr="005A14A3">
              <w:rPr>
                <w:rFonts w:ascii="Arial" w:hAnsi="Arial" w:cs="Arial"/>
                <w:b/>
                <w:sz w:val="20"/>
                <w:szCs w:val="20"/>
                <w:lang w:eastAsia="en-GB"/>
              </w:rPr>
              <w:t>IND01</w:t>
            </w:r>
          </w:p>
        </w:tc>
        <w:tc>
          <w:tcPr>
            <w:tcW w:w="1843" w:type="dxa"/>
          </w:tcPr>
          <w:p w14:paraId="118EB6A7" w14:textId="77777777" w:rsidR="00B877ED" w:rsidRPr="005A14A3" w:rsidRDefault="00B877ED" w:rsidP="00B877ED">
            <w:pPr>
              <w:jc w:val="center"/>
              <w:rPr>
                <w:rFonts w:ascii="Arial" w:hAnsi="Arial" w:cs="Arial"/>
                <w:b/>
                <w:sz w:val="20"/>
                <w:szCs w:val="20"/>
              </w:rPr>
            </w:pPr>
            <w:r w:rsidRPr="005A14A3">
              <w:rPr>
                <w:rFonts w:ascii="Arial" w:hAnsi="Arial" w:cs="Arial"/>
                <w:b/>
                <w:sz w:val="20"/>
                <w:szCs w:val="20"/>
              </w:rPr>
              <w:t>KSS AHSN Respiratory Programme</w:t>
            </w:r>
          </w:p>
        </w:tc>
        <w:tc>
          <w:tcPr>
            <w:tcW w:w="10914" w:type="dxa"/>
          </w:tcPr>
          <w:p w14:paraId="2B01EE8D" w14:textId="77777777" w:rsidR="00B877ED" w:rsidRPr="005A14A3" w:rsidRDefault="00B877ED" w:rsidP="00B877ED">
            <w:pPr>
              <w:rPr>
                <w:rFonts w:ascii="Arial" w:hAnsi="Arial" w:cs="Arial"/>
                <w:i/>
                <w:sz w:val="20"/>
                <w:szCs w:val="20"/>
              </w:rPr>
            </w:pPr>
            <w:r w:rsidRPr="005A14A3">
              <w:rPr>
                <w:rFonts w:ascii="Arial" w:hAnsi="Arial" w:cs="Arial"/>
                <w:sz w:val="20"/>
                <w:szCs w:val="20"/>
              </w:rPr>
              <w:t xml:space="preserve">This is very welcome and will help support a holistic approach identifying patients who require services supporting multi- morbidity. Agree frailty is missing from these indicators and I would also like to see it added to the indicators </w:t>
            </w:r>
            <w:proofErr w:type="gramStart"/>
            <w:r w:rsidRPr="005A14A3">
              <w:rPr>
                <w:rFonts w:ascii="Arial" w:hAnsi="Arial" w:cs="Arial"/>
                <w:sz w:val="20"/>
                <w:szCs w:val="20"/>
              </w:rPr>
              <w:t>in regards to</w:t>
            </w:r>
            <w:proofErr w:type="gramEnd"/>
            <w:r w:rsidRPr="005A14A3">
              <w:rPr>
                <w:rFonts w:ascii="Arial" w:hAnsi="Arial" w:cs="Arial"/>
                <w:sz w:val="20"/>
                <w:szCs w:val="20"/>
              </w:rPr>
              <w:t xml:space="preserve"> COPD</w:t>
            </w:r>
          </w:p>
        </w:tc>
      </w:tr>
      <w:tr w:rsidR="00B877ED" w:rsidRPr="005A14A3" w14:paraId="1D994B74" w14:textId="77777777" w:rsidTr="00AD1879">
        <w:tc>
          <w:tcPr>
            <w:tcW w:w="704" w:type="dxa"/>
          </w:tcPr>
          <w:p w14:paraId="30BD03D4" w14:textId="3867A8FB" w:rsidR="00B877ED" w:rsidRPr="00B877ED" w:rsidRDefault="00B877ED" w:rsidP="00B877ED">
            <w:pPr>
              <w:jc w:val="center"/>
              <w:rPr>
                <w:rFonts w:ascii="Arial" w:hAnsi="Arial" w:cs="Arial"/>
                <w:b/>
                <w:bCs/>
                <w:sz w:val="20"/>
                <w:szCs w:val="20"/>
                <w:lang w:eastAsia="en-GB"/>
              </w:rPr>
            </w:pPr>
            <w:r w:rsidRPr="00B877ED">
              <w:rPr>
                <w:rFonts w:ascii="Calibri" w:hAnsi="Calibri" w:cs="Calibri"/>
                <w:b/>
                <w:color w:val="000000"/>
                <w:sz w:val="22"/>
                <w:szCs w:val="22"/>
              </w:rPr>
              <w:t>22</w:t>
            </w:r>
          </w:p>
        </w:tc>
        <w:tc>
          <w:tcPr>
            <w:tcW w:w="1276" w:type="dxa"/>
          </w:tcPr>
          <w:p w14:paraId="3FB3403C" w14:textId="784601B9" w:rsidR="00B877ED" w:rsidRPr="005A14A3" w:rsidRDefault="00B877ED" w:rsidP="00B877ED">
            <w:pPr>
              <w:jc w:val="center"/>
              <w:rPr>
                <w:rFonts w:ascii="Arial" w:hAnsi="Arial" w:cs="Arial"/>
                <w:b/>
                <w:sz w:val="20"/>
                <w:szCs w:val="20"/>
                <w:lang w:eastAsia="en-GB"/>
              </w:rPr>
            </w:pPr>
            <w:r w:rsidRPr="005A14A3">
              <w:rPr>
                <w:rFonts w:ascii="Arial" w:hAnsi="Arial" w:cs="Arial"/>
                <w:b/>
                <w:bCs/>
                <w:sz w:val="20"/>
                <w:szCs w:val="20"/>
                <w:lang w:eastAsia="en-GB"/>
              </w:rPr>
              <w:t>IND67</w:t>
            </w:r>
          </w:p>
        </w:tc>
        <w:tc>
          <w:tcPr>
            <w:tcW w:w="1843" w:type="dxa"/>
          </w:tcPr>
          <w:p w14:paraId="5AB408F3" w14:textId="77777777" w:rsidR="00B877ED" w:rsidRPr="005A14A3" w:rsidRDefault="00B877ED" w:rsidP="00B877ED">
            <w:pPr>
              <w:jc w:val="center"/>
              <w:rPr>
                <w:rFonts w:ascii="Arial" w:hAnsi="Arial" w:cs="Arial"/>
                <w:b/>
                <w:sz w:val="20"/>
                <w:szCs w:val="20"/>
              </w:rPr>
            </w:pPr>
            <w:r w:rsidRPr="005A14A3">
              <w:rPr>
                <w:rFonts w:ascii="Arial" w:hAnsi="Arial" w:cs="Arial"/>
                <w:b/>
                <w:sz w:val="20"/>
                <w:szCs w:val="20"/>
              </w:rPr>
              <w:t>Boehringer Ingelheim Limited</w:t>
            </w:r>
          </w:p>
        </w:tc>
        <w:tc>
          <w:tcPr>
            <w:tcW w:w="10914" w:type="dxa"/>
          </w:tcPr>
          <w:p w14:paraId="47C8333C" w14:textId="77777777" w:rsidR="00B877ED" w:rsidRPr="005A14A3" w:rsidRDefault="00B877ED" w:rsidP="00B877ED">
            <w:pPr>
              <w:rPr>
                <w:rFonts w:ascii="Arial" w:hAnsi="Arial" w:cs="Arial"/>
                <w:i/>
                <w:sz w:val="20"/>
                <w:szCs w:val="20"/>
                <w:lang w:eastAsia="zh-CN"/>
              </w:rPr>
            </w:pPr>
            <w:r w:rsidRPr="005A14A3">
              <w:rPr>
                <w:rFonts w:ascii="Arial" w:hAnsi="Arial" w:cs="Arial"/>
                <w:i/>
                <w:sz w:val="20"/>
                <w:szCs w:val="20"/>
              </w:rPr>
              <w:t>Do you think there are any barriers to implementing the care described by these indicators?</w:t>
            </w:r>
          </w:p>
          <w:p w14:paraId="66626048" w14:textId="77777777" w:rsidR="00B877ED" w:rsidRPr="005A14A3" w:rsidRDefault="00B877ED" w:rsidP="00B877ED">
            <w:pPr>
              <w:rPr>
                <w:rFonts w:ascii="Arial" w:hAnsi="Arial" w:cs="Arial"/>
                <w:sz w:val="20"/>
                <w:szCs w:val="20"/>
              </w:rPr>
            </w:pPr>
            <w:r w:rsidRPr="005A14A3">
              <w:rPr>
                <w:rFonts w:ascii="Arial" w:hAnsi="Arial" w:cs="Arial"/>
                <w:sz w:val="20"/>
                <w:szCs w:val="20"/>
              </w:rPr>
              <w:t xml:space="preserve">It is well recognised that spirometry is an essential part of diagnosis (although should not be the sole means of diagnosis).   What does however require monitoring and prove more problematic to implement is when there is potential for COPD/Asthma overlap, as NICE recommendations differ when patients have a clinical diagnosis of asthma: however, it is considered probably that there are many patients who have historically and incorrectly diagnosed with asthma which should be reassessed if a positive diagnosis of COPD is made. </w:t>
            </w:r>
          </w:p>
          <w:p w14:paraId="6714A20A" w14:textId="77777777" w:rsidR="00B877ED" w:rsidRPr="005A14A3" w:rsidRDefault="00B877ED" w:rsidP="00B877ED">
            <w:pPr>
              <w:rPr>
                <w:rFonts w:ascii="Arial" w:hAnsi="Arial" w:cs="Arial"/>
                <w:sz w:val="20"/>
                <w:szCs w:val="20"/>
              </w:rPr>
            </w:pPr>
            <w:r w:rsidRPr="005A14A3">
              <w:rPr>
                <w:rFonts w:ascii="Arial" w:hAnsi="Arial" w:cs="Arial"/>
                <w:sz w:val="20"/>
                <w:szCs w:val="20"/>
              </w:rPr>
              <w:t>Robust training and support will need to be funded and in place to ensure equity of access to the same ‘quality assured’ assessment.</w:t>
            </w:r>
          </w:p>
        </w:tc>
      </w:tr>
      <w:tr w:rsidR="00B877ED" w:rsidRPr="005A14A3" w14:paraId="0D68907E" w14:textId="77777777" w:rsidTr="00AD1879">
        <w:tc>
          <w:tcPr>
            <w:tcW w:w="704" w:type="dxa"/>
          </w:tcPr>
          <w:p w14:paraId="24F9F54E" w14:textId="7BCA6AA4" w:rsidR="00B877ED" w:rsidRPr="00B877ED" w:rsidRDefault="00B877ED" w:rsidP="00B877ED">
            <w:pPr>
              <w:autoSpaceDE w:val="0"/>
              <w:autoSpaceDN w:val="0"/>
              <w:adjustRightInd w:val="0"/>
              <w:jc w:val="center"/>
              <w:rPr>
                <w:rFonts w:ascii="Arial" w:hAnsi="Arial" w:cs="Arial"/>
                <w:b/>
                <w:bCs/>
                <w:sz w:val="20"/>
                <w:szCs w:val="20"/>
                <w:lang w:eastAsia="en-GB"/>
              </w:rPr>
            </w:pPr>
            <w:r w:rsidRPr="00B877ED">
              <w:rPr>
                <w:rFonts w:ascii="Calibri" w:hAnsi="Calibri" w:cs="Calibri"/>
                <w:b/>
                <w:color w:val="000000"/>
                <w:sz w:val="22"/>
                <w:szCs w:val="22"/>
              </w:rPr>
              <w:t>23</w:t>
            </w:r>
          </w:p>
        </w:tc>
        <w:tc>
          <w:tcPr>
            <w:tcW w:w="1276" w:type="dxa"/>
          </w:tcPr>
          <w:p w14:paraId="1CF0513F" w14:textId="5E48ABF6" w:rsidR="00B877ED" w:rsidRPr="005A14A3" w:rsidRDefault="00B877ED" w:rsidP="00B877ED">
            <w:pPr>
              <w:autoSpaceDE w:val="0"/>
              <w:autoSpaceDN w:val="0"/>
              <w:adjustRightInd w:val="0"/>
              <w:jc w:val="center"/>
              <w:rPr>
                <w:rFonts w:ascii="Arial" w:hAnsi="Arial" w:cs="Arial"/>
                <w:b/>
                <w:sz w:val="20"/>
                <w:szCs w:val="20"/>
                <w:lang w:eastAsia="en-GB"/>
              </w:rPr>
            </w:pPr>
            <w:r w:rsidRPr="005A14A3">
              <w:rPr>
                <w:rFonts w:ascii="Arial" w:hAnsi="Arial" w:cs="Arial"/>
                <w:b/>
                <w:bCs/>
                <w:sz w:val="20"/>
                <w:szCs w:val="20"/>
                <w:lang w:eastAsia="en-GB"/>
              </w:rPr>
              <w:t>IND67</w:t>
            </w:r>
          </w:p>
          <w:p w14:paraId="4A69A8E4" w14:textId="77777777" w:rsidR="00B877ED" w:rsidRPr="005A14A3" w:rsidRDefault="00B877ED" w:rsidP="00B877ED">
            <w:pPr>
              <w:jc w:val="center"/>
              <w:rPr>
                <w:rFonts w:ascii="Arial" w:hAnsi="Arial" w:cs="Arial"/>
                <w:b/>
                <w:bCs/>
                <w:sz w:val="20"/>
                <w:szCs w:val="20"/>
                <w:lang w:eastAsia="en-GB"/>
              </w:rPr>
            </w:pPr>
          </w:p>
        </w:tc>
        <w:tc>
          <w:tcPr>
            <w:tcW w:w="1843" w:type="dxa"/>
          </w:tcPr>
          <w:p w14:paraId="528105D9" w14:textId="77777777" w:rsidR="00B877ED" w:rsidRPr="005A14A3" w:rsidRDefault="00B877ED" w:rsidP="00B877ED">
            <w:pPr>
              <w:jc w:val="center"/>
              <w:rPr>
                <w:rFonts w:ascii="Arial" w:hAnsi="Arial" w:cs="Arial"/>
                <w:b/>
                <w:sz w:val="20"/>
                <w:szCs w:val="20"/>
              </w:rPr>
            </w:pPr>
            <w:r w:rsidRPr="005A14A3">
              <w:rPr>
                <w:rFonts w:ascii="Arial" w:hAnsi="Arial" w:cs="Arial"/>
                <w:b/>
                <w:sz w:val="20"/>
                <w:szCs w:val="20"/>
              </w:rPr>
              <w:t>Boehringer Ingelheim Limited</w:t>
            </w:r>
          </w:p>
        </w:tc>
        <w:tc>
          <w:tcPr>
            <w:tcW w:w="10914" w:type="dxa"/>
          </w:tcPr>
          <w:p w14:paraId="3ACA3990" w14:textId="77777777" w:rsidR="00B877ED" w:rsidRPr="005A14A3" w:rsidRDefault="00B877ED" w:rsidP="00B877ED">
            <w:pPr>
              <w:rPr>
                <w:rFonts w:ascii="Arial" w:hAnsi="Arial" w:cs="Arial"/>
                <w:i/>
                <w:sz w:val="20"/>
                <w:szCs w:val="20"/>
              </w:rPr>
            </w:pPr>
            <w:r w:rsidRPr="005A14A3">
              <w:rPr>
                <w:rFonts w:ascii="Arial" w:hAnsi="Arial" w:cs="Arial"/>
                <w:i/>
                <w:sz w:val="20"/>
                <w:szCs w:val="20"/>
              </w:rPr>
              <w:t>Do you think there are potential unintended consequences to implementing/ using any of these indicators?</w:t>
            </w:r>
          </w:p>
          <w:p w14:paraId="7B0F1A15" w14:textId="77777777" w:rsidR="00B877ED" w:rsidRPr="005A14A3" w:rsidRDefault="00B877ED" w:rsidP="00B877ED">
            <w:pPr>
              <w:rPr>
                <w:rFonts w:ascii="Arial" w:hAnsi="Arial" w:cs="Arial"/>
                <w:sz w:val="20"/>
                <w:szCs w:val="20"/>
              </w:rPr>
            </w:pPr>
            <w:r w:rsidRPr="005A14A3">
              <w:rPr>
                <w:rFonts w:ascii="Arial" w:hAnsi="Arial" w:cs="Arial"/>
                <w:sz w:val="20"/>
                <w:szCs w:val="20"/>
              </w:rPr>
              <w:t xml:space="preserve">This is a minor change to an existing indicator and the use of quality spirometry can only be positive as long as there are adequate spirometers/HCPs to deliver in the chosen settings given the </w:t>
            </w:r>
            <w:proofErr w:type="gramStart"/>
            <w:r w:rsidRPr="005A14A3">
              <w:rPr>
                <w:rFonts w:ascii="Arial" w:hAnsi="Arial" w:cs="Arial"/>
                <w:sz w:val="20"/>
                <w:szCs w:val="20"/>
              </w:rPr>
              <w:t>3 month</w:t>
            </w:r>
            <w:proofErr w:type="gramEnd"/>
            <w:r w:rsidRPr="005A14A3">
              <w:rPr>
                <w:rFonts w:ascii="Arial" w:hAnsi="Arial" w:cs="Arial"/>
                <w:sz w:val="20"/>
                <w:szCs w:val="20"/>
              </w:rPr>
              <w:t xml:space="preserve"> time period for review.</w:t>
            </w:r>
          </w:p>
        </w:tc>
      </w:tr>
      <w:tr w:rsidR="00B877ED" w:rsidRPr="005A14A3" w14:paraId="2DF22BBC" w14:textId="77777777" w:rsidTr="00AD1879">
        <w:tc>
          <w:tcPr>
            <w:tcW w:w="704" w:type="dxa"/>
          </w:tcPr>
          <w:p w14:paraId="6FD3861C" w14:textId="1F69FE08" w:rsidR="00B877ED" w:rsidRPr="00B877ED" w:rsidRDefault="00B877ED" w:rsidP="00B877ED">
            <w:pPr>
              <w:autoSpaceDE w:val="0"/>
              <w:autoSpaceDN w:val="0"/>
              <w:adjustRightInd w:val="0"/>
              <w:jc w:val="center"/>
              <w:rPr>
                <w:rFonts w:ascii="Arial" w:hAnsi="Arial" w:cs="Arial"/>
                <w:b/>
                <w:bCs/>
                <w:sz w:val="20"/>
                <w:szCs w:val="20"/>
                <w:lang w:eastAsia="en-GB"/>
              </w:rPr>
            </w:pPr>
            <w:r w:rsidRPr="00B877ED">
              <w:rPr>
                <w:rFonts w:ascii="Calibri" w:hAnsi="Calibri" w:cs="Calibri"/>
                <w:b/>
                <w:color w:val="000000"/>
                <w:sz w:val="22"/>
                <w:szCs w:val="22"/>
              </w:rPr>
              <w:t>24</w:t>
            </w:r>
          </w:p>
        </w:tc>
        <w:tc>
          <w:tcPr>
            <w:tcW w:w="1276" w:type="dxa"/>
          </w:tcPr>
          <w:p w14:paraId="7F7BE4CC" w14:textId="24446B42" w:rsidR="00B877ED" w:rsidRPr="005A14A3" w:rsidRDefault="00B877ED" w:rsidP="00B877ED">
            <w:pPr>
              <w:autoSpaceDE w:val="0"/>
              <w:autoSpaceDN w:val="0"/>
              <w:adjustRightInd w:val="0"/>
              <w:jc w:val="center"/>
              <w:rPr>
                <w:rFonts w:ascii="Arial" w:hAnsi="Arial" w:cs="Arial"/>
                <w:b/>
                <w:bCs/>
                <w:sz w:val="20"/>
                <w:szCs w:val="20"/>
                <w:lang w:eastAsia="en-GB"/>
              </w:rPr>
            </w:pPr>
            <w:r w:rsidRPr="005A14A3">
              <w:rPr>
                <w:rFonts w:ascii="Arial" w:hAnsi="Arial" w:cs="Arial"/>
                <w:b/>
                <w:bCs/>
                <w:sz w:val="20"/>
                <w:szCs w:val="20"/>
                <w:lang w:eastAsia="en-GB"/>
              </w:rPr>
              <w:t>IND67</w:t>
            </w:r>
          </w:p>
        </w:tc>
        <w:tc>
          <w:tcPr>
            <w:tcW w:w="1843" w:type="dxa"/>
          </w:tcPr>
          <w:p w14:paraId="4F055AB2" w14:textId="77777777" w:rsidR="00B877ED" w:rsidRPr="005A14A3" w:rsidRDefault="00B877ED" w:rsidP="00B877ED">
            <w:pPr>
              <w:jc w:val="center"/>
              <w:rPr>
                <w:rFonts w:ascii="Arial" w:hAnsi="Arial" w:cs="Arial"/>
                <w:b/>
                <w:sz w:val="20"/>
                <w:szCs w:val="20"/>
              </w:rPr>
            </w:pPr>
            <w:r w:rsidRPr="005A14A3">
              <w:rPr>
                <w:rFonts w:ascii="Arial" w:hAnsi="Arial" w:cs="Arial"/>
                <w:b/>
                <w:sz w:val="20"/>
                <w:szCs w:val="20"/>
              </w:rPr>
              <w:t>Boehringer Ingelheim Limited</w:t>
            </w:r>
          </w:p>
        </w:tc>
        <w:tc>
          <w:tcPr>
            <w:tcW w:w="10914" w:type="dxa"/>
          </w:tcPr>
          <w:p w14:paraId="1B7550C8" w14:textId="77777777" w:rsidR="00B877ED" w:rsidRPr="005A14A3" w:rsidRDefault="00B877ED" w:rsidP="00B877ED">
            <w:pPr>
              <w:rPr>
                <w:rFonts w:ascii="Arial" w:hAnsi="Arial" w:cs="Arial"/>
                <w:i/>
                <w:sz w:val="20"/>
                <w:szCs w:val="20"/>
              </w:rPr>
            </w:pPr>
            <w:r w:rsidRPr="005A14A3">
              <w:rPr>
                <w:rFonts w:ascii="Arial" w:hAnsi="Arial" w:cs="Arial"/>
                <w:i/>
                <w:sz w:val="20"/>
                <w:szCs w:val="20"/>
              </w:rPr>
              <w:t>Do you think there is potential for differential impact (in respect of age, disability, gender and gender reassignment, pregnancy and maternity, race, religion or belief, and sexual orientation)? If so, please state whether this is adverse or positive and for which group.</w:t>
            </w:r>
          </w:p>
          <w:p w14:paraId="7EA8D4A1" w14:textId="77777777" w:rsidR="00B877ED" w:rsidRPr="005A14A3" w:rsidRDefault="00B877ED" w:rsidP="00B877ED">
            <w:pPr>
              <w:rPr>
                <w:rFonts w:ascii="Arial" w:hAnsi="Arial" w:cs="Arial"/>
                <w:sz w:val="20"/>
                <w:szCs w:val="20"/>
              </w:rPr>
            </w:pPr>
            <w:r w:rsidRPr="005A14A3">
              <w:rPr>
                <w:rFonts w:ascii="Arial" w:hAnsi="Arial" w:cs="Arial"/>
                <w:sz w:val="20"/>
                <w:szCs w:val="20"/>
              </w:rPr>
              <w:lastRenderedPageBreak/>
              <w:t>Only factors that may prevent successful spirometry taking place should have an impact.  When considering spirometry results gender is taken into consideration (particularly when assessing % predicted FEV1) so sensitivity would need to be exercised relating to gender.</w:t>
            </w:r>
          </w:p>
        </w:tc>
      </w:tr>
      <w:tr w:rsidR="00B877ED" w:rsidRPr="005A14A3" w14:paraId="36F55CF2" w14:textId="77777777" w:rsidTr="00AD1879">
        <w:tc>
          <w:tcPr>
            <w:tcW w:w="704" w:type="dxa"/>
          </w:tcPr>
          <w:p w14:paraId="6D58A52C" w14:textId="40433479" w:rsidR="00B877ED" w:rsidRPr="00B877ED" w:rsidRDefault="00B877ED" w:rsidP="00B877ED">
            <w:pPr>
              <w:autoSpaceDE w:val="0"/>
              <w:autoSpaceDN w:val="0"/>
              <w:adjustRightInd w:val="0"/>
              <w:jc w:val="center"/>
              <w:rPr>
                <w:rFonts w:ascii="Arial" w:hAnsi="Arial" w:cs="Arial"/>
                <w:b/>
                <w:bCs/>
                <w:sz w:val="20"/>
                <w:szCs w:val="20"/>
                <w:lang w:eastAsia="en-GB"/>
              </w:rPr>
            </w:pPr>
            <w:r w:rsidRPr="00B877ED">
              <w:rPr>
                <w:rFonts w:ascii="Calibri" w:hAnsi="Calibri" w:cs="Calibri"/>
                <w:b/>
                <w:color w:val="000000"/>
                <w:sz w:val="22"/>
                <w:szCs w:val="22"/>
              </w:rPr>
              <w:lastRenderedPageBreak/>
              <w:t>25</w:t>
            </w:r>
          </w:p>
        </w:tc>
        <w:tc>
          <w:tcPr>
            <w:tcW w:w="1276" w:type="dxa"/>
          </w:tcPr>
          <w:p w14:paraId="3E849FE4" w14:textId="20CCD6C9" w:rsidR="00B877ED" w:rsidRPr="005A14A3" w:rsidRDefault="00B877ED" w:rsidP="00B877ED">
            <w:pPr>
              <w:autoSpaceDE w:val="0"/>
              <w:autoSpaceDN w:val="0"/>
              <w:adjustRightInd w:val="0"/>
              <w:jc w:val="center"/>
              <w:rPr>
                <w:rFonts w:ascii="Arial" w:hAnsi="Arial" w:cs="Arial"/>
                <w:b/>
                <w:bCs/>
                <w:sz w:val="20"/>
                <w:szCs w:val="20"/>
                <w:lang w:eastAsia="en-GB"/>
              </w:rPr>
            </w:pPr>
            <w:r w:rsidRPr="005A14A3">
              <w:rPr>
                <w:rFonts w:ascii="Arial" w:hAnsi="Arial" w:cs="Arial"/>
                <w:b/>
                <w:bCs/>
                <w:sz w:val="20"/>
                <w:szCs w:val="20"/>
                <w:lang w:eastAsia="en-GB"/>
              </w:rPr>
              <w:t>IND67</w:t>
            </w:r>
          </w:p>
        </w:tc>
        <w:tc>
          <w:tcPr>
            <w:tcW w:w="1843" w:type="dxa"/>
          </w:tcPr>
          <w:p w14:paraId="00F6CA72" w14:textId="77777777" w:rsidR="00B877ED" w:rsidRPr="005A14A3" w:rsidRDefault="00B877ED" w:rsidP="00B877ED">
            <w:pPr>
              <w:jc w:val="center"/>
              <w:rPr>
                <w:rFonts w:ascii="Arial" w:hAnsi="Arial" w:cs="Arial"/>
                <w:b/>
                <w:sz w:val="20"/>
                <w:szCs w:val="20"/>
              </w:rPr>
            </w:pPr>
            <w:r w:rsidRPr="005A14A3">
              <w:rPr>
                <w:rFonts w:ascii="Arial" w:hAnsi="Arial" w:cs="Arial"/>
                <w:b/>
                <w:sz w:val="20"/>
                <w:szCs w:val="20"/>
              </w:rPr>
              <w:t>Boehringer Ingelheim Limited</w:t>
            </w:r>
          </w:p>
        </w:tc>
        <w:tc>
          <w:tcPr>
            <w:tcW w:w="10914" w:type="dxa"/>
          </w:tcPr>
          <w:p w14:paraId="16C11803" w14:textId="77777777" w:rsidR="00B877ED" w:rsidRPr="005A14A3" w:rsidRDefault="00B877ED" w:rsidP="00B877ED">
            <w:pPr>
              <w:rPr>
                <w:rFonts w:ascii="Arial" w:hAnsi="Arial" w:cs="Arial"/>
                <w:i/>
                <w:sz w:val="20"/>
                <w:szCs w:val="20"/>
              </w:rPr>
            </w:pPr>
            <w:r w:rsidRPr="005A14A3">
              <w:rPr>
                <w:rFonts w:ascii="Arial" w:hAnsi="Arial" w:cs="Arial"/>
                <w:i/>
                <w:sz w:val="20"/>
                <w:szCs w:val="20"/>
              </w:rPr>
              <w:t>If you think any of these indicators may have an adverse impact in different groups in the community, can you suggest how the indicator might be delivered differently to different groups to reduce health inequalities?</w:t>
            </w:r>
          </w:p>
          <w:p w14:paraId="08C2DF18" w14:textId="77777777" w:rsidR="00B877ED" w:rsidRPr="005A14A3" w:rsidRDefault="00B877ED" w:rsidP="00B877ED">
            <w:pPr>
              <w:rPr>
                <w:rFonts w:ascii="Arial" w:hAnsi="Arial" w:cs="Arial"/>
                <w:sz w:val="20"/>
                <w:szCs w:val="20"/>
              </w:rPr>
            </w:pPr>
            <w:r w:rsidRPr="005A14A3">
              <w:rPr>
                <w:rFonts w:ascii="Arial" w:hAnsi="Arial" w:cs="Arial"/>
                <w:sz w:val="20"/>
                <w:szCs w:val="20"/>
              </w:rPr>
              <w:t>No adverse impact of spirometry would be anticipated.</w:t>
            </w:r>
          </w:p>
        </w:tc>
      </w:tr>
      <w:tr w:rsidR="00B877ED" w:rsidRPr="005A14A3" w14:paraId="0D29B4CA" w14:textId="77777777" w:rsidTr="00AD1879">
        <w:tc>
          <w:tcPr>
            <w:tcW w:w="704" w:type="dxa"/>
          </w:tcPr>
          <w:p w14:paraId="40B6ED90" w14:textId="6D40EF4E" w:rsidR="00B877ED" w:rsidRPr="00B877ED" w:rsidRDefault="00B877ED" w:rsidP="00B877ED">
            <w:pPr>
              <w:autoSpaceDE w:val="0"/>
              <w:autoSpaceDN w:val="0"/>
              <w:adjustRightInd w:val="0"/>
              <w:jc w:val="center"/>
              <w:rPr>
                <w:rFonts w:ascii="Arial" w:hAnsi="Arial" w:cs="Arial"/>
                <w:b/>
                <w:sz w:val="20"/>
                <w:szCs w:val="20"/>
                <w:lang w:eastAsia="en-GB"/>
              </w:rPr>
            </w:pPr>
            <w:r w:rsidRPr="00B877ED">
              <w:rPr>
                <w:rFonts w:ascii="Calibri" w:hAnsi="Calibri" w:cs="Calibri"/>
                <w:b/>
                <w:color w:val="000000"/>
                <w:sz w:val="22"/>
                <w:szCs w:val="22"/>
              </w:rPr>
              <w:t>26</w:t>
            </w:r>
          </w:p>
        </w:tc>
        <w:tc>
          <w:tcPr>
            <w:tcW w:w="1276" w:type="dxa"/>
          </w:tcPr>
          <w:p w14:paraId="7DFB7B1A" w14:textId="7CC5861C" w:rsidR="00B877ED" w:rsidRPr="005A14A3" w:rsidRDefault="00B877ED" w:rsidP="00B877ED">
            <w:pPr>
              <w:autoSpaceDE w:val="0"/>
              <w:autoSpaceDN w:val="0"/>
              <w:adjustRightInd w:val="0"/>
              <w:jc w:val="center"/>
              <w:rPr>
                <w:rFonts w:ascii="Arial" w:hAnsi="Arial" w:cs="Arial"/>
                <w:b/>
                <w:bCs/>
                <w:sz w:val="20"/>
                <w:szCs w:val="20"/>
                <w:lang w:eastAsia="en-GB"/>
              </w:rPr>
            </w:pPr>
            <w:r w:rsidRPr="005A14A3">
              <w:rPr>
                <w:rFonts w:ascii="Arial" w:hAnsi="Arial" w:cs="Arial"/>
                <w:b/>
                <w:sz w:val="20"/>
                <w:szCs w:val="20"/>
                <w:lang w:eastAsia="en-GB"/>
              </w:rPr>
              <w:t>IND67</w:t>
            </w:r>
          </w:p>
        </w:tc>
        <w:tc>
          <w:tcPr>
            <w:tcW w:w="1843" w:type="dxa"/>
          </w:tcPr>
          <w:p w14:paraId="33AE8C08" w14:textId="77777777" w:rsidR="00B877ED" w:rsidRPr="005A14A3" w:rsidRDefault="00B877ED" w:rsidP="00B877ED">
            <w:pPr>
              <w:jc w:val="center"/>
              <w:rPr>
                <w:rFonts w:ascii="Arial" w:hAnsi="Arial" w:cs="Arial"/>
                <w:b/>
                <w:sz w:val="20"/>
                <w:szCs w:val="20"/>
              </w:rPr>
            </w:pPr>
            <w:r w:rsidRPr="005A14A3">
              <w:rPr>
                <w:rFonts w:ascii="Arial" w:hAnsi="Arial" w:cs="Arial"/>
                <w:b/>
                <w:sz w:val="20"/>
                <w:szCs w:val="20"/>
              </w:rPr>
              <w:t>British Medical Association</w:t>
            </w:r>
          </w:p>
        </w:tc>
        <w:tc>
          <w:tcPr>
            <w:tcW w:w="10914" w:type="dxa"/>
          </w:tcPr>
          <w:p w14:paraId="4A3EE4D9" w14:textId="77777777" w:rsidR="00B877ED" w:rsidRPr="005A14A3" w:rsidRDefault="00B877ED" w:rsidP="00B877ED">
            <w:pPr>
              <w:rPr>
                <w:rFonts w:ascii="Arial" w:hAnsi="Arial" w:cs="Arial"/>
                <w:sz w:val="20"/>
                <w:szCs w:val="20"/>
              </w:rPr>
            </w:pPr>
            <w:r w:rsidRPr="005A14A3">
              <w:rPr>
                <w:rFonts w:ascii="Arial" w:hAnsi="Arial" w:cs="Arial"/>
                <w:sz w:val="20"/>
                <w:szCs w:val="20"/>
              </w:rPr>
              <w:t>The contractor establishes and maintains a register of:  1. Patients with a clinical diagnosis of COPD before (date of implementation), and 2. Patients with a clinical diagnosis of COPD on or after (date of implementation) whose diagnosis has been confirmed by a quality assured post bronchodilator spirometry FEV1/FVC ratio below 0.7 between 3 months before or 3 months after diagnosis.</w:t>
            </w:r>
          </w:p>
          <w:p w14:paraId="69DE3FC8" w14:textId="77777777" w:rsidR="00B877ED" w:rsidRPr="005A14A3" w:rsidRDefault="00B877ED" w:rsidP="00B877ED">
            <w:pPr>
              <w:rPr>
                <w:rFonts w:ascii="Arial" w:hAnsi="Arial" w:cs="Arial"/>
                <w:sz w:val="20"/>
                <w:szCs w:val="20"/>
              </w:rPr>
            </w:pPr>
          </w:p>
          <w:p w14:paraId="0E41CB87" w14:textId="77777777" w:rsidR="00B877ED" w:rsidRPr="005A14A3" w:rsidRDefault="00B877ED" w:rsidP="00B877ED">
            <w:pPr>
              <w:rPr>
                <w:rFonts w:ascii="Arial" w:hAnsi="Arial" w:cs="Arial"/>
                <w:sz w:val="20"/>
                <w:szCs w:val="20"/>
              </w:rPr>
            </w:pPr>
            <w:r w:rsidRPr="005A14A3">
              <w:rPr>
                <w:rFonts w:ascii="Arial" w:hAnsi="Arial" w:cs="Arial"/>
                <w:sz w:val="20"/>
                <w:szCs w:val="20"/>
              </w:rPr>
              <w:t>We support the changes to this indicator.</w:t>
            </w:r>
          </w:p>
        </w:tc>
      </w:tr>
      <w:tr w:rsidR="00B877ED" w:rsidRPr="005A14A3" w14:paraId="16D6D938" w14:textId="77777777" w:rsidTr="00AD1879">
        <w:tc>
          <w:tcPr>
            <w:tcW w:w="704" w:type="dxa"/>
          </w:tcPr>
          <w:p w14:paraId="411D44E0" w14:textId="6F296C02" w:rsidR="00B877ED" w:rsidRPr="00B877ED" w:rsidRDefault="00B877ED" w:rsidP="00B877ED">
            <w:pPr>
              <w:autoSpaceDE w:val="0"/>
              <w:autoSpaceDN w:val="0"/>
              <w:adjustRightInd w:val="0"/>
              <w:jc w:val="center"/>
              <w:rPr>
                <w:rFonts w:ascii="Arial" w:hAnsi="Arial" w:cs="Arial"/>
                <w:b/>
                <w:sz w:val="20"/>
                <w:szCs w:val="20"/>
                <w:lang w:eastAsia="en-GB"/>
              </w:rPr>
            </w:pPr>
            <w:r w:rsidRPr="00B877ED">
              <w:rPr>
                <w:rFonts w:ascii="Calibri" w:hAnsi="Calibri" w:cs="Calibri"/>
                <w:b/>
                <w:color w:val="000000"/>
                <w:sz w:val="22"/>
                <w:szCs w:val="22"/>
              </w:rPr>
              <w:t>27</w:t>
            </w:r>
          </w:p>
        </w:tc>
        <w:tc>
          <w:tcPr>
            <w:tcW w:w="1276" w:type="dxa"/>
          </w:tcPr>
          <w:p w14:paraId="14096C72" w14:textId="44C47DDC" w:rsidR="00B877ED" w:rsidRPr="005A14A3" w:rsidRDefault="00B877ED" w:rsidP="00B877ED">
            <w:pPr>
              <w:autoSpaceDE w:val="0"/>
              <w:autoSpaceDN w:val="0"/>
              <w:adjustRightInd w:val="0"/>
              <w:jc w:val="center"/>
              <w:rPr>
                <w:rFonts w:ascii="Arial" w:hAnsi="Arial" w:cs="Arial"/>
                <w:b/>
                <w:sz w:val="20"/>
                <w:szCs w:val="20"/>
                <w:lang w:eastAsia="en-GB"/>
              </w:rPr>
            </w:pPr>
            <w:r w:rsidRPr="005A14A3">
              <w:rPr>
                <w:rFonts w:ascii="Arial" w:hAnsi="Arial" w:cs="Arial"/>
                <w:b/>
                <w:sz w:val="20"/>
                <w:szCs w:val="20"/>
                <w:lang w:eastAsia="en-GB"/>
              </w:rPr>
              <w:t>IND67</w:t>
            </w:r>
          </w:p>
        </w:tc>
        <w:tc>
          <w:tcPr>
            <w:tcW w:w="1843" w:type="dxa"/>
          </w:tcPr>
          <w:p w14:paraId="48921AB2" w14:textId="77777777" w:rsidR="00B877ED" w:rsidRPr="005A14A3" w:rsidRDefault="00B877ED" w:rsidP="00B877ED">
            <w:pPr>
              <w:jc w:val="center"/>
              <w:rPr>
                <w:rFonts w:ascii="Arial" w:hAnsi="Arial" w:cs="Arial"/>
                <w:b/>
                <w:sz w:val="20"/>
                <w:szCs w:val="20"/>
              </w:rPr>
            </w:pPr>
            <w:r w:rsidRPr="005A14A3">
              <w:rPr>
                <w:rFonts w:ascii="Arial" w:hAnsi="Arial" w:cs="Arial"/>
                <w:b/>
                <w:sz w:val="20"/>
                <w:szCs w:val="20"/>
              </w:rPr>
              <w:t>British Thoracic Society</w:t>
            </w:r>
          </w:p>
          <w:p w14:paraId="2816EADE" w14:textId="77777777" w:rsidR="00B877ED" w:rsidRPr="005A14A3" w:rsidRDefault="00B877ED" w:rsidP="00B877ED">
            <w:pPr>
              <w:jc w:val="center"/>
              <w:rPr>
                <w:rFonts w:ascii="Arial" w:hAnsi="Arial" w:cs="Arial"/>
                <w:b/>
                <w:sz w:val="20"/>
                <w:szCs w:val="20"/>
              </w:rPr>
            </w:pPr>
          </w:p>
        </w:tc>
        <w:tc>
          <w:tcPr>
            <w:tcW w:w="10914" w:type="dxa"/>
          </w:tcPr>
          <w:p w14:paraId="123D1613" w14:textId="77777777" w:rsidR="00B877ED" w:rsidRPr="005A14A3" w:rsidRDefault="00B877ED" w:rsidP="00B877ED">
            <w:pPr>
              <w:rPr>
                <w:rFonts w:ascii="Arial" w:hAnsi="Arial" w:cs="Arial"/>
                <w:sz w:val="20"/>
                <w:szCs w:val="20"/>
              </w:rPr>
            </w:pPr>
            <w:r w:rsidRPr="005A14A3">
              <w:rPr>
                <w:rFonts w:ascii="Arial" w:hAnsi="Arial" w:cs="Arial"/>
                <w:sz w:val="20"/>
                <w:szCs w:val="20"/>
              </w:rPr>
              <w:t xml:space="preserve">Objective testing &amp; diagnostic accuracy: we recommend changing to FEV1/(F)VC, explaining that both forced (FVC) and relaxed vital capacity (VC) should be measured and the ratio of FEV1/FVC compared to FEV1/VC to avoid missing true airflow obstruction due to technical reasons, in line with ARTP guidance on quality assured spirometry. Some patients stop forced manoeuvres prematurely; in this setting airflow obstruction will be missed by reliance on FEV1/FVC alone. Relaxed VC should always be performed for diagnosis. </w:t>
            </w:r>
          </w:p>
          <w:p w14:paraId="4C849F0F" w14:textId="77777777" w:rsidR="00B877ED" w:rsidRPr="005A14A3" w:rsidRDefault="00B877ED" w:rsidP="00B877ED">
            <w:pPr>
              <w:rPr>
                <w:rFonts w:ascii="Arial" w:hAnsi="Arial" w:cs="Arial"/>
                <w:sz w:val="20"/>
                <w:szCs w:val="20"/>
              </w:rPr>
            </w:pPr>
            <w:r w:rsidRPr="005A14A3">
              <w:rPr>
                <w:rFonts w:ascii="Arial" w:hAnsi="Arial" w:cs="Arial"/>
                <w:sz w:val="20"/>
                <w:szCs w:val="20"/>
              </w:rPr>
              <w:t>Please note that the ARTP guidelines on quality assured spirometry should be followed currently.</w:t>
            </w:r>
          </w:p>
        </w:tc>
      </w:tr>
      <w:tr w:rsidR="00B877ED" w:rsidRPr="005A14A3" w14:paraId="37F78659" w14:textId="77777777" w:rsidTr="00AD1879">
        <w:tc>
          <w:tcPr>
            <w:tcW w:w="704" w:type="dxa"/>
          </w:tcPr>
          <w:p w14:paraId="57C87E38" w14:textId="23217F7D" w:rsidR="00B877ED" w:rsidRPr="00B877ED" w:rsidRDefault="00B877ED" w:rsidP="00B877ED">
            <w:pPr>
              <w:autoSpaceDE w:val="0"/>
              <w:autoSpaceDN w:val="0"/>
              <w:adjustRightInd w:val="0"/>
              <w:jc w:val="center"/>
              <w:rPr>
                <w:rFonts w:ascii="Arial" w:hAnsi="Arial" w:cs="Arial"/>
                <w:b/>
                <w:sz w:val="20"/>
                <w:szCs w:val="20"/>
                <w:lang w:eastAsia="en-GB"/>
              </w:rPr>
            </w:pPr>
            <w:r w:rsidRPr="00B877ED">
              <w:rPr>
                <w:rFonts w:ascii="Calibri" w:hAnsi="Calibri" w:cs="Calibri"/>
                <w:b/>
                <w:color w:val="000000"/>
                <w:sz w:val="22"/>
                <w:szCs w:val="22"/>
              </w:rPr>
              <w:t>28</w:t>
            </w:r>
          </w:p>
        </w:tc>
        <w:tc>
          <w:tcPr>
            <w:tcW w:w="1276" w:type="dxa"/>
          </w:tcPr>
          <w:p w14:paraId="4B57F9DB" w14:textId="1AE82B0E" w:rsidR="00B877ED" w:rsidRPr="005A14A3" w:rsidRDefault="00B877ED" w:rsidP="00B877ED">
            <w:pPr>
              <w:autoSpaceDE w:val="0"/>
              <w:autoSpaceDN w:val="0"/>
              <w:adjustRightInd w:val="0"/>
              <w:jc w:val="center"/>
              <w:rPr>
                <w:rFonts w:ascii="Arial" w:hAnsi="Arial" w:cs="Arial"/>
                <w:b/>
                <w:sz w:val="20"/>
                <w:szCs w:val="20"/>
                <w:lang w:eastAsia="en-GB"/>
              </w:rPr>
            </w:pPr>
            <w:r w:rsidRPr="005A14A3">
              <w:rPr>
                <w:rFonts w:ascii="Arial" w:hAnsi="Arial" w:cs="Arial"/>
                <w:b/>
                <w:sz w:val="20"/>
                <w:szCs w:val="20"/>
                <w:lang w:eastAsia="en-GB"/>
              </w:rPr>
              <w:t>IND67</w:t>
            </w:r>
          </w:p>
        </w:tc>
        <w:tc>
          <w:tcPr>
            <w:tcW w:w="1843" w:type="dxa"/>
          </w:tcPr>
          <w:p w14:paraId="09192F76" w14:textId="77777777" w:rsidR="00B877ED" w:rsidRPr="005A14A3" w:rsidRDefault="00B877ED" w:rsidP="00B877ED">
            <w:pPr>
              <w:jc w:val="center"/>
              <w:rPr>
                <w:rFonts w:ascii="Arial" w:hAnsi="Arial" w:cs="Arial"/>
                <w:b/>
                <w:sz w:val="20"/>
                <w:szCs w:val="20"/>
              </w:rPr>
            </w:pPr>
            <w:r w:rsidRPr="005A14A3">
              <w:rPr>
                <w:rFonts w:ascii="Arial" w:hAnsi="Arial" w:cs="Arial"/>
                <w:b/>
                <w:sz w:val="20"/>
                <w:szCs w:val="20"/>
              </w:rPr>
              <w:t>British Thoracic Society</w:t>
            </w:r>
          </w:p>
          <w:p w14:paraId="263E80BC" w14:textId="77777777" w:rsidR="00B877ED" w:rsidRPr="005A14A3" w:rsidRDefault="00B877ED" w:rsidP="00B877ED">
            <w:pPr>
              <w:jc w:val="center"/>
              <w:rPr>
                <w:rFonts w:ascii="Arial" w:hAnsi="Arial" w:cs="Arial"/>
                <w:b/>
                <w:sz w:val="20"/>
                <w:szCs w:val="20"/>
              </w:rPr>
            </w:pPr>
          </w:p>
        </w:tc>
        <w:tc>
          <w:tcPr>
            <w:tcW w:w="10914" w:type="dxa"/>
          </w:tcPr>
          <w:p w14:paraId="46DD6EFC" w14:textId="77777777" w:rsidR="00B877ED" w:rsidRPr="005A14A3" w:rsidRDefault="00B877ED" w:rsidP="00B877ED">
            <w:pPr>
              <w:rPr>
                <w:rFonts w:ascii="Arial" w:hAnsi="Arial" w:cs="Arial"/>
                <w:sz w:val="20"/>
                <w:szCs w:val="20"/>
              </w:rPr>
            </w:pPr>
            <w:r w:rsidRPr="005A14A3">
              <w:rPr>
                <w:rFonts w:ascii="Arial" w:hAnsi="Arial" w:cs="Arial"/>
                <w:sz w:val="20"/>
                <w:szCs w:val="20"/>
              </w:rPr>
              <w:t xml:space="preserve">The requirement for annual spirometry has been removed. NICE 2019 1.1.4 includes performing spirometry “to monitor disease progression” without stipulating frequency. We agree with removal of the requirement for </w:t>
            </w:r>
            <w:r w:rsidRPr="005A14A3">
              <w:rPr>
                <w:rFonts w:ascii="Arial" w:hAnsi="Arial" w:cs="Arial"/>
                <w:sz w:val="20"/>
                <w:szCs w:val="20"/>
                <w:u w:val="single"/>
              </w:rPr>
              <w:t>routine</w:t>
            </w:r>
            <w:r w:rsidRPr="005A14A3">
              <w:rPr>
                <w:rFonts w:ascii="Arial" w:hAnsi="Arial" w:cs="Arial"/>
                <w:sz w:val="20"/>
                <w:szCs w:val="20"/>
              </w:rPr>
              <w:t xml:space="preserve"> annual spirometry as this placed excessive burden on primary care for limited gain (72% of nurse time for the annual review in one study; time better spent on other aspects of disease management once the diagnosis has been confirmed). However this is a big change and perhaps it is worth clarifying that a) routine annual spirometry is no longer required by QOF (otherwise primary care clinicians may not realise that it is not routinely required), and more importantly b) spirometry should be repeated after optimising treatment (this will improve diagnostic accuracy - misdiagnosed asthma) and if there is a substantial change in symptoms (if no decline this will help prompt consideration of other causes such as heart failure). We appreciate that this does not lend itself to a separate measurable </w:t>
            </w:r>
            <w:proofErr w:type="gramStart"/>
            <w:r w:rsidRPr="005A14A3">
              <w:rPr>
                <w:rFonts w:ascii="Arial" w:hAnsi="Arial" w:cs="Arial"/>
                <w:sz w:val="20"/>
                <w:szCs w:val="20"/>
              </w:rPr>
              <w:t>indicator, but</w:t>
            </w:r>
            <w:proofErr w:type="gramEnd"/>
            <w:r w:rsidRPr="005A14A3">
              <w:rPr>
                <w:rFonts w:ascii="Arial" w:hAnsi="Arial" w:cs="Arial"/>
                <w:sz w:val="20"/>
                <w:szCs w:val="20"/>
              </w:rPr>
              <w:t xml:space="preserve"> could be included within the rationale for objective testing.</w:t>
            </w:r>
          </w:p>
        </w:tc>
      </w:tr>
      <w:tr w:rsidR="00B877ED" w:rsidRPr="005A14A3" w14:paraId="524E1551" w14:textId="77777777" w:rsidTr="00AD1879">
        <w:tc>
          <w:tcPr>
            <w:tcW w:w="704" w:type="dxa"/>
          </w:tcPr>
          <w:p w14:paraId="0C874FB7" w14:textId="5724B480" w:rsidR="00B877ED" w:rsidRPr="00B877ED" w:rsidRDefault="00B877ED" w:rsidP="00B877ED">
            <w:pPr>
              <w:autoSpaceDE w:val="0"/>
              <w:autoSpaceDN w:val="0"/>
              <w:adjustRightInd w:val="0"/>
              <w:jc w:val="center"/>
              <w:rPr>
                <w:rFonts w:ascii="Arial" w:hAnsi="Arial" w:cs="Arial"/>
                <w:b/>
                <w:sz w:val="20"/>
                <w:szCs w:val="20"/>
                <w:lang w:eastAsia="en-GB"/>
              </w:rPr>
            </w:pPr>
            <w:r w:rsidRPr="00B877ED">
              <w:rPr>
                <w:rFonts w:ascii="Calibri" w:hAnsi="Calibri" w:cs="Calibri"/>
                <w:b/>
                <w:color w:val="000000"/>
                <w:sz w:val="22"/>
                <w:szCs w:val="22"/>
              </w:rPr>
              <w:t>29</w:t>
            </w:r>
          </w:p>
        </w:tc>
        <w:tc>
          <w:tcPr>
            <w:tcW w:w="1276" w:type="dxa"/>
          </w:tcPr>
          <w:p w14:paraId="2DE9E524" w14:textId="419F04C8" w:rsidR="00B877ED" w:rsidRPr="005A14A3" w:rsidRDefault="00B877ED" w:rsidP="00B877ED">
            <w:pPr>
              <w:autoSpaceDE w:val="0"/>
              <w:autoSpaceDN w:val="0"/>
              <w:adjustRightInd w:val="0"/>
              <w:jc w:val="center"/>
              <w:rPr>
                <w:rFonts w:ascii="Arial" w:hAnsi="Arial" w:cs="Arial"/>
                <w:b/>
                <w:sz w:val="20"/>
                <w:szCs w:val="20"/>
                <w:lang w:eastAsia="en-GB"/>
              </w:rPr>
            </w:pPr>
            <w:r w:rsidRPr="005A14A3">
              <w:rPr>
                <w:rFonts w:ascii="Arial" w:hAnsi="Arial" w:cs="Arial"/>
                <w:b/>
                <w:sz w:val="20"/>
                <w:szCs w:val="20"/>
                <w:lang w:eastAsia="en-GB"/>
              </w:rPr>
              <w:t>IND67</w:t>
            </w:r>
          </w:p>
        </w:tc>
        <w:tc>
          <w:tcPr>
            <w:tcW w:w="1843" w:type="dxa"/>
          </w:tcPr>
          <w:p w14:paraId="010863A2" w14:textId="77777777" w:rsidR="00B877ED" w:rsidRPr="005A14A3" w:rsidRDefault="00B877ED" w:rsidP="00B877ED">
            <w:pPr>
              <w:jc w:val="center"/>
              <w:rPr>
                <w:rFonts w:ascii="Arial" w:hAnsi="Arial" w:cs="Arial"/>
                <w:b/>
                <w:sz w:val="20"/>
                <w:szCs w:val="20"/>
              </w:rPr>
            </w:pPr>
            <w:r w:rsidRPr="005A14A3">
              <w:rPr>
                <w:rFonts w:ascii="Arial" w:hAnsi="Arial" w:cs="Arial"/>
                <w:b/>
                <w:sz w:val="20"/>
                <w:szCs w:val="20"/>
              </w:rPr>
              <w:t>KSS AHSN Respiratory Programme</w:t>
            </w:r>
          </w:p>
        </w:tc>
        <w:tc>
          <w:tcPr>
            <w:tcW w:w="10914" w:type="dxa"/>
          </w:tcPr>
          <w:p w14:paraId="39E2F141" w14:textId="77777777" w:rsidR="00B877ED" w:rsidRPr="005A14A3" w:rsidRDefault="00B877ED" w:rsidP="00B877ED">
            <w:pPr>
              <w:rPr>
                <w:rFonts w:ascii="Arial" w:hAnsi="Arial" w:cs="Arial"/>
                <w:sz w:val="20"/>
                <w:szCs w:val="20"/>
              </w:rPr>
            </w:pPr>
            <w:r w:rsidRPr="005A14A3">
              <w:rPr>
                <w:rFonts w:ascii="Arial" w:hAnsi="Arial" w:cs="Arial"/>
                <w:sz w:val="20"/>
                <w:szCs w:val="20"/>
                <w:lang w:eastAsia="en-GB"/>
              </w:rPr>
              <w:t xml:space="preserve">The ARTP course &amp; subsequent registered practitioners advise using the LLN rather than &lt;70% ratio for COPD </w:t>
            </w:r>
            <w:proofErr w:type="gramStart"/>
            <w:r w:rsidRPr="005A14A3">
              <w:rPr>
                <w:rFonts w:ascii="Arial" w:hAnsi="Arial" w:cs="Arial"/>
                <w:sz w:val="20"/>
                <w:szCs w:val="20"/>
                <w:lang w:eastAsia="en-GB"/>
              </w:rPr>
              <w:t>diagnosis  as</w:t>
            </w:r>
            <w:proofErr w:type="gramEnd"/>
            <w:r w:rsidRPr="005A14A3">
              <w:rPr>
                <w:rFonts w:ascii="Arial" w:hAnsi="Arial" w:cs="Arial"/>
                <w:sz w:val="20"/>
                <w:szCs w:val="20"/>
                <w:lang w:eastAsia="en-GB"/>
              </w:rPr>
              <w:t xml:space="preserve"> per  NICE 2018 update to avoid misdiagnosis. The Guide to Performing Quality Assured Diagnostic Spirometry a document </w:t>
            </w:r>
            <w:proofErr w:type="spellStart"/>
            <w:r w:rsidRPr="005A14A3">
              <w:rPr>
                <w:rFonts w:ascii="Arial" w:hAnsi="Arial" w:cs="Arial"/>
                <w:sz w:val="20"/>
                <w:szCs w:val="20"/>
                <w:lang w:eastAsia="en-GB"/>
              </w:rPr>
              <w:t>vailidated</w:t>
            </w:r>
            <w:proofErr w:type="spellEnd"/>
            <w:r w:rsidRPr="005A14A3">
              <w:rPr>
                <w:rFonts w:ascii="Arial" w:hAnsi="Arial" w:cs="Arial"/>
                <w:sz w:val="20"/>
                <w:szCs w:val="20"/>
                <w:lang w:eastAsia="en-GB"/>
              </w:rPr>
              <w:t xml:space="preserve"> by the BLF, Asthma UK, NHS, BTS, PCRS, PCC, ARTP, Education for Health supports this approach to diagnosis of obstruction.  Guidance and </w:t>
            </w:r>
            <w:proofErr w:type="spellStart"/>
            <w:r w:rsidRPr="005A14A3">
              <w:rPr>
                <w:rFonts w:ascii="Arial" w:hAnsi="Arial" w:cs="Arial"/>
                <w:sz w:val="20"/>
                <w:szCs w:val="20"/>
                <w:lang w:eastAsia="en-GB"/>
              </w:rPr>
              <w:t>QoF</w:t>
            </w:r>
            <w:proofErr w:type="spellEnd"/>
            <w:r w:rsidRPr="005A14A3">
              <w:rPr>
                <w:rFonts w:ascii="Arial" w:hAnsi="Arial" w:cs="Arial"/>
                <w:sz w:val="20"/>
                <w:szCs w:val="20"/>
                <w:lang w:eastAsia="en-GB"/>
              </w:rPr>
              <w:t xml:space="preserve"> should align.  Would prefer to see LLN used for quantifying airflow obstruction not a fixed ratio given the risk of over and under diagnosis at either end of the age spectrum.</w:t>
            </w:r>
          </w:p>
        </w:tc>
      </w:tr>
      <w:tr w:rsidR="00B877ED" w:rsidRPr="005A14A3" w14:paraId="28FCBBE4" w14:textId="77777777" w:rsidTr="00AD1879">
        <w:tc>
          <w:tcPr>
            <w:tcW w:w="704" w:type="dxa"/>
          </w:tcPr>
          <w:p w14:paraId="1AAC8A25" w14:textId="362D8764" w:rsidR="00B877ED" w:rsidRPr="00B877ED" w:rsidRDefault="00B877ED" w:rsidP="00B877ED">
            <w:pPr>
              <w:autoSpaceDE w:val="0"/>
              <w:autoSpaceDN w:val="0"/>
              <w:adjustRightInd w:val="0"/>
              <w:jc w:val="center"/>
              <w:rPr>
                <w:rFonts w:ascii="Arial" w:hAnsi="Arial" w:cs="Arial"/>
                <w:b/>
                <w:bCs/>
                <w:sz w:val="20"/>
                <w:szCs w:val="20"/>
                <w:lang w:eastAsia="en-GB"/>
              </w:rPr>
            </w:pPr>
            <w:r w:rsidRPr="00B877ED">
              <w:rPr>
                <w:rFonts w:ascii="Calibri" w:hAnsi="Calibri" w:cs="Calibri"/>
                <w:b/>
                <w:color w:val="000000"/>
                <w:sz w:val="22"/>
                <w:szCs w:val="22"/>
              </w:rPr>
              <w:lastRenderedPageBreak/>
              <w:t>30</w:t>
            </w:r>
          </w:p>
        </w:tc>
        <w:tc>
          <w:tcPr>
            <w:tcW w:w="1276" w:type="dxa"/>
          </w:tcPr>
          <w:p w14:paraId="1894AD67" w14:textId="3E09D7E7" w:rsidR="00B877ED" w:rsidRPr="005A14A3" w:rsidRDefault="00B877ED" w:rsidP="00B877ED">
            <w:pPr>
              <w:autoSpaceDE w:val="0"/>
              <w:autoSpaceDN w:val="0"/>
              <w:adjustRightInd w:val="0"/>
              <w:jc w:val="center"/>
              <w:rPr>
                <w:rFonts w:ascii="Arial" w:hAnsi="Arial" w:cs="Arial"/>
                <w:b/>
                <w:sz w:val="20"/>
                <w:szCs w:val="20"/>
                <w:lang w:eastAsia="en-GB"/>
              </w:rPr>
            </w:pPr>
            <w:r w:rsidRPr="005A14A3">
              <w:rPr>
                <w:rFonts w:ascii="Arial" w:hAnsi="Arial" w:cs="Arial"/>
                <w:b/>
                <w:bCs/>
                <w:sz w:val="20"/>
                <w:szCs w:val="20"/>
                <w:lang w:eastAsia="en-GB"/>
              </w:rPr>
              <w:t>IND67</w:t>
            </w:r>
          </w:p>
        </w:tc>
        <w:tc>
          <w:tcPr>
            <w:tcW w:w="1843" w:type="dxa"/>
          </w:tcPr>
          <w:p w14:paraId="1ACD0E41" w14:textId="77777777" w:rsidR="00B877ED" w:rsidRPr="005A14A3" w:rsidRDefault="00B877ED" w:rsidP="00B877ED">
            <w:pPr>
              <w:jc w:val="center"/>
              <w:rPr>
                <w:rFonts w:ascii="Arial" w:hAnsi="Arial" w:cs="Arial"/>
                <w:b/>
                <w:sz w:val="20"/>
                <w:szCs w:val="20"/>
              </w:rPr>
            </w:pPr>
            <w:r w:rsidRPr="005A14A3">
              <w:rPr>
                <w:rFonts w:ascii="Arial" w:hAnsi="Arial" w:cs="Arial"/>
                <w:b/>
                <w:sz w:val="20"/>
                <w:szCs w:val="20"/>
              </w:rPr>
              <w:t>KSS AHSN Respiratory Programme</w:t>
            </w:r>
          </w:p>
        </w:tc>
        <w:tc>
          <w:tcPr>
            <w:tcW w:w="10914" w:type="dxa"/>
          </w:tcPr>
          <w:p w14:paraId="47A8922E" w14:textId="77777777" w:rsidR="00B877ED" w:rsidRPr="005A14A3" w:rsidRDefault="00B877ED" w:rsidP="00B877ED">
            <w:pPr>
              <w:rPr>
                <w:rFonts w:ascii="Arial" w:hAnsi="Arial" w:cs="Arial"/>
                <w:sz w:val="20"/>
                <w:szCs w:val="20"/>
                <w:lang w:eastAsia="en-GB"/>
              </w:rPr>
            </w:pPr>
            <w:r w:rsidRPr="005A14A3">
              <w:rPr>
                <w:rFonts w:ascii="Arial" w:hAnsi="Arial" w:cs="Arial"/>
                <w:sz w:val="20"/>
                <w:szCs w:val="20"/>
                <w:lang w:eastAsia="en-GB"/>
              </w:rPr>
              <w:t xml:space="preserve">The </w:t>
            </w:r>
            <w:proofErr w:type="gramStart"/>
            <w:r w:rsidRPr="005A14A3">
              <w:rPr>
                <w:rFonts w:ascii="Arial" w:hAnsi="Arial" w:cs="Arial"/>
                <w:sz w:val="20"/>
                <w:szCs w:val="20"/>
                <w:lang w:eastAsia="en-GB"/>
              </w:rPr>
              <w:t>3 month</w:t>
            </w:r>
            <w:proofErr w:type="gramEnd"/>
            <w:r w:rsidRPr="005A14A3">
              <w:rPr>
                <w:rFonts w:ascii="Arial" w:hAnsi="Arial" w:cs="Arial"/>
                <w:sz w:val="20"/>
                <w:szCs w:val="20"/>
                <w:lang w:eastAsia="en-GB"/>
              </w:rPr>
              <w:t xml:space="preserve"> timescale after diagnosis is tight to be able to get people in after an exacerbation for full spirometry.</w:t>
            </w:r>
            <w:r w:rsidRPr="005A14A3">
              <w:rPr>
                <w:rFonts w:ascii="Arial" w:hAnsi="Arial" w:cs="Arial"/>
                <w:b/>
                <w:bCs/>
                <w:sz w:val="20"/>
                <w:szCs w:val="20"/>
                <w:lang w:eastAsia="en-GB"/>
              </w:rPr>
              <w:t>  T</w:t>
            </w:r>
            <w:r w:rsidRPr="005A14A3">
              <w:rPr>
                <w:rFonts w:ascii="Arial" w:hAnsi="Arial" w:cs="Arial"/>
                <w:sz w:val="20"/>
                <w:szCs w:val="20"/>
                <w:lang w:eastAsia="en-GB"/>
              </w:rPr>
              <w:t xml:space="preserve">here could also be a large </w:t>
            </w:r>
            <w:proofErr w:type="gramStart"/>
            <w:r w:rsidRPr="005A14A3">
              <w:rPr>
                <w:rFonts w:ascii="Arial" w:hAnsi="Arial" w:cs="Arial"/>
                <w:sz w:val="20"/>
                <w:szCs w:val="20"/>
                <w:lang w:eastAsia="en-GB"/>
              </w:rPr>
              <w:t>work load</w:t>
            </w:r>
            <w:proofErr w:type="gramEnd"/>
            <w:r w:rsidRPr="005A14A3">
              <w:rPr>
                <w:rFonts w:ascii="Arial" w:hAnsi="Arial" w:cs="Arial"/>
                <w:sz w:val="20"/>
                <w:szCs w:val="20"/>
                <w:lang w:eastAsia="en-GB"/>
              </w:rPr>
              <w:t xml:space="preserve"> to try and discover if a patient has had quality spirometry at the time of diagnosis- e.g. may have been done at a hospital and notes not transferred with change of GP</w:t>
            </w:r>
          </w:p>
        </w:tc>
      </w:tr>
      <w:tr w:rsidR="00B877ED" w:rsidRPr="005A14A3" w14:paraId="7B56AE73" w14:textId="77777777" w:rsidTr="00AD1879">
        <w:tc>
          <w:tcPr>
            <w:tcW w:w="704" w:type="dxa"/>
          </w:tcPr>
          <w:p w14:paraId="6EC96FC4" w14:textId="0BAFC898" w:rsidR="00B877ED" w:rsidRPr="00B877ED" w:rsidRDefault="00B877ED" w:rsidP="00B877ED">
            <w:pPr>
              <w:autoSpaceDE w:val="0"/>
              <w:autoSpaceDN w:val="0"/>
              <w:adjustRightInd w:val="0"/>
              <w:jc w:val="center"/>
              <w:rPr>
                <w:rFonts w:ascii="Arial" w:hAnsi="Arial" w:cs="Arial"/>
                <w:b/>
                <w:bCs/>
                <w:sz w:val="20"/>
                <w:szCs w:val="20"/>
                <w:lang w:eastAsia="en-GB"/>
              </w:rPr>
            </w:pPr>
            <w:r w:rsidRPr="00B877ED">
              <w:rPr>
                <w:rFonts w:ascii="Calibri" w:hAnsi="Calibri" w:cs="Calibri"/>
                <w:b/>
                <w:color w:val="000000"/>
                <w:sz w:val="22"/>
                <w:szCs w:val="22"/>
              </w:rPr>
              <w:t>31</w:t>
            </w:r>
          </w:p>
        </w:tc>
        <w:tc>
          <w:tcPr>
            <w:tcW w:w="1276" w:type="dxa"/>
          </w:tcPr>
          <w:p w14:paraId="02C0D0C1" w14:textId="683C5D05" w:rsidR="00B877ED" w:rsidRPr="005A14A3" w:rsidRDefault="00B877ED" w:rsidP="00B877ED">
            <w:pPr>
              <w:autoSpaceDE w:val="0"/>
              <w:autoSpaceDN w:val="0"/>
              <w:adjustRightInd w:val="0"/>
              <w:jc w:val="center"/>
              <w:rPr>
                <w:rFonts w:ascii="Arial" w:hAnsi="Arial" w:cs="Arial"/>
                <w:b/>
                <w:bCs/>
                <w:sz w:val="20"/>
                <w:szCs w:val="20"/>
                <w:lang w:eastAsia="en-GB"/>
              </w:rPr>
            </w:pPr>
            <w:r w:rsidRPr="005A14A3">
              <w:rPr>
                <w:rFonts w:ascii="Arial" w:hAnsi="Arial" w:cs="Arial"/>
                <w:b/>
                <w:bCs/>
                <w:sz w:val="20"/>
                <w:szCs w:val="20"/>
                <w:lang w:eastAsia="en-GB"/>
              </w:rPr>
              <w:t>IND67</w:t>
            </w:r>
          </w:p>
        </w:tc>
        <w:tc>
          <w:tcPr>
            <w:tcW w:w="1843" w:type="dxa"/>
          </w:tcPr>
          <w:p w14:paraId="3A15350F" w14:textId="77777777" w:rsidR="00B877ED" w:rsidRPr="005A14A3" w:rsidRDefault="00B877ED" w:rsidP="00B877ED">
            <w:pPr>
              <w:jc w:val="center"/>
              <w:rPr>
                <w:rFonts w:ascii="Arial" w:hAnsi="Arial" w:cs="Arial"/>
                <w:b/>
                <w:sz w:val="20"/>
                <w:szCs w:val="20"/>
              </w:rPr>
            </w:pPr>
            <w:r w:rsidRPr="005A14A3">
              <w:rPr>
                <w:rFonts w:ascii="Arial" w:hAnsi="Arial" w:cs="Arial"/>
                <w:b/>
                <w:sz w:val="20"/>
                <w:szCs w:val="20"/>
              </w:rPr>
              <w:t>KSS AHSN Respiratory Programme</w:t>
            </w:r>
          </w:p>
        </w:tc>
        <w:tc>
          <w:tcPr>
            <w:tcW w:w="10914" w:type="dxa"/>
          </w:tcPr>
          <w:p w14:paraId="5AA15C16" w14:textId="77777777" w:rsidR="00B877ED" w:rsidRPr="005A14A3" w:rsidRDefault="00B877ED" w:rsidP="00B877ED">
            <w:pPr>
              <w:rPr>
                <w:rFonts w:ascii="Arial" w:hAnsi="Arial" w:cs="Arial"/>
                <w:sz w:val="20"/>
                <w:szCs w:val="20"/>
                <w:lang w:eastAsia="en-GB"/>
              </w:rPr>
            </w:pPr>
            <w:r w:rsidRPr="005A14A3">
              <w:rPr>
                <w:rFonts w:ascii="Arial" w:hAnsi="Arial" w:cs="Arial"/>
                <w:sz w:val="20"/>
                <w:szCs w:val="20"/>
                <w:lang w:eastAsia="en-GB"/>
              </w:rPr>
              <w:t xml:space="preserve">Concern re patients with significant emphysema who may have preserved FEV/FVC ratio, and those who have mixed Obstruction and Restrictive lung defects - they </w:t>
            </w:r>
            <w:proofErr w:type="gramStart"/>
            <w:r w:rsidRPr="005A14A3">
              <w:rPr>
                <w:rFonts w:ascii="Arial" w:hAnsi="Arial" w:cs="Arial"/>
                <w:sz w:val="20"/>
                <w:szCs w:val="20"/>
                <w:lang w:eastAsia="en-GB"/>
              </w:rPr>
              <w:t>would  be</w:t>
            </w:r>
            <w:proofErr w:type="gramEnd"/>
            <w:r w:rsidRPr="005A14A3">
              <w:rPr>
                <w:rFonts w:ascii="Arial" w:hAnsi="Arial" w:cs="Arial"/>
                <w:sz w:val="20"/>
                <w:szCs w:val="20"/>
                <w:lang w:eastAsia="en-GB"/>
              </w:rPr>
              <w:t xml:space="preserve"> removed from follow up if they have a  normal ratio</w:t>
            </w:r>
          </w:p>
        </w:tc>
      </w:tr>
      <w:tr w:rsidR="00B877ED" w:rsidRPr="005A14A3" w14:paraId="27CF6F8D" w14:textId="77777777" w:rsidTr="00AD1879">
        <w:tc>
          <w:tcPr>
            <w:tcW w:w="704" w:type="dxa"/>
          </w:tcPr>
          <w:p w14:paraId="45436DB9" w14:textId="71AF2AB6" w:rsidR="00B877ED" w:rsidRPr="00B877ED" w:rsidRDefault="00B877ED" w:rsidP="00B877ED">
            <w:pPr>
              <w:autoSpaceDE w:val="0"/>
              <w:autoSpaceDN w:val="0"/>
              <w:adjustRightInd w:val="0"/>
              <w:jc w:val="center"/>
              <w:rPr>
                <w:rFonts w:ascii="Arial" w:hAnsi="Arial" w:cs="Arial"/>
                <w:b/>
                <w:bCs/>
                <w:sz w:val="20"/>
                <w:szCs w:val="20"/>
                <w:lang w:eastAsia="en-GB"/>
              </w:rPr>
            </w:pPr>
            <w:r w:rsidRPr="00B877ED">
              <w:rPr>
                <w:rFonts w:ascii="Calibri" w:hAnsi="Calibri" w:cs="Arial"/>
                <w:b/>
                <w:color w:val="000000"/>
                <w:sz w:val="22"/>
                <w:szCs w:val="22"/>
              </w:rPr>
              <w:t>32</w:t>
            </w:r>
          </w:p>
        </w:tc>
        <w:tc>
          <w:tcPr>
            <w:tcW w:w="1276" w:type="dxa"/>
          </w:tcPr>
          <w:p w14:paraId="476F78A6" w14:textId="40D1A212" w:rsidR="00B877ED" w:rsidRPr="005A14A3" w:rsidRDefault="00B877ED" w:rsidP="00B877ED">
            <w:pPr>
              <w:autoSpaceDE w:val="0"/>
              <w:autoSpaceDN w:val="0"/>
              <w:adjustRightInd w:val="0"/>
              <w:jc w:val="center"/>
              <w:rPr>
                <w:rFonts w:ascii="Arial" w:hAnsi="Arial" w:cs="Arial"/>
                <w:b/>
                <w:bCs/>
                <w:sz w:val="20"/>
                <w:szCs w:val="20"/>
                <w:lang w:eastAsia="en-GB"/>
              </w:rPr>
            </w:pPr>
            <w:r w:rsidRPr="005A14A3">
              <w:rPr>
                <w:rFonts w:ascii="Arial" w:hAnsi="Arial" w:cs="Arial"/>
                <w:b/>
                <w:bCs/>
                <w:sz w:val="20"/>
                <w:szCs w:val="20"/>
                <w:lang w:eastAsia="en-GB"/>
              </w:rPr>
              <w:t>IND67</w:t>
            </w:r>
          </w:p>
        </w:tc>
        <w:tc>
          <w:tcPr>
            <w:tcW w:w="1843" w:type="dxa"/>
          </w:tcPr>
          <w:p w14:paraId="1A745059" w14:textId="77777777" w:rsidR="00B877ED" w:rsidRPr="005A14A3" w:rsidRDefault="00B877ED" w:rsidP="00B877ED">
            <w:pPr>
              <w:jc w:val="center"/>
              <w:rPr>
                <w:rFonts w:ascii="Arial" w:hAnsi="Arial" w:cs="Arial"/>
                <w:b/>
                <w:sz w:val="20"/>
                <w:szCs w:val="20"/>
              </w:rPr>
            </w:pPr>
            <w:r w:rsidRPr="005A14A3">
              <w:rPr>
                <w:rFonts w:ascii="Arial" w:hAnsi="Arial" w:cs="Arial"/>
                <w:b/>
                <w:sz w:val="20"/>
                <w:szCs w:val="20"/>
              </w:rPr>
              <w:t>KSS AHSN Respiratory Programme</w:t>
            </w:r>
          </w:p>
        </w:tc>
        <w:tc>
          <w:tcPr>
            <w:tcW w:w="10914" w:type="dxa"/>
          </w:tcPr>
          <w:p w14:paraId="7B3B2A37" w14:textId="77777777" w:rsidR="00B877ED" w:rsidRPr="005A14A3" w:rsidRDefault="00B877ED" w:rsidP="00B877ED">
            <w:pPr>
              <w:rPr>
                <w:rFonts w:ascii="Arial" w:hAnsi="Arial" w:cs="Arial"/>
                <w:sz w:val="20"/>
                <w:szCs w:val="20"/>
                <w:lang w:eastAsia="en-GB"/>
              </w:rPr>
            </w:pPr>
            <w:r w:rsidRPr="005A14A3">
              <w:rPr>
                <w:rFonts w:ascii="Arial" w:hAnsi="Arial" w:cs="Arial"/>
                <w:sz w:val="20"/>
                <w:szCs w:val="20"/>
              </w:rPr>
              <w:t>There is coding in place for recording spirometry but will NICE define ‘quality-assured’ spirometry further (and who will assess this). Will there be a separate code for “quality-assured spirometry”?</w:t>
            </w:r>
          </w:p>
        </w:tc>
      </w:tr>
      <w:tr w:rsidR="00B877ED" w:rsidRPr="009F3E21" w14:paraId="25E965FC" w14:textId="77777777" w:rsidTr="00AD1879">
        <w:tc>
          <w:tcPr>
            <w:tcW w:w="704" w:type="dxa"/>
          </w:tcPr>
          <w:p w14:paraId="78A91551" w14:textId="68066A7F" w:rsidR="00B877ED" w:rsidRPr="00B877ED" w:rsidRDefault="00B877ED" w:rsidP="00B877ED">
            <w:pPr>
              <w:pStyle w:val="TableText1"/>
              <w:jc w:val="center"/>
              <w:rPr>
                <w:rFonts w:cs="Arial"/>
                <w:b/>
                <w:bCs/>
                <w:sz w:val="20"/>
                <w:szCs w:val="20"/>
              </w:rPr>
            </w:pPr>
            <w:r w:rsidRPr="00B877ED">
              <w:rPr>
                <w:rFonts w:ascii="Calibri" w:hAnsi="Calibri" w:cs="Calibri"/>
                <w:b/>
                <w:color w:val="000000"/>
                <w:szCs w:val="22"/>
              </w:rPr>
              <w:t>33</w:t>
            </w:r>
          </w:p>
        </w:tc>
        <w:tc>
          <w:tcPr>
            <w:tcW w:w="1276" w:type="dxa"/>
          </w:tcPr>
          <w:p w14:paraId="5A018A8F" w14:textId="46D51C3C" w:rsidR="00B877ED" w:rsidRPr="0080728F" w:rsidRDefault="00B877ED" w:rsidP="00B877ED">
            <w:pPr>
              <w:pStyle w:val="TableText1"/>
              <w:jc w:val="center"/>
              <w:rPr>
                <w:rFonts w:cs="Arial"/>
                <w:b/>
                <w:bCs/>
                <w:sz w:val="20"/>
                <w:szCs w:val="20"/>
              </w:rPr>
            </w:pPr>
            <w:r>
              <w:rPr>
                <w:rFonts w:cs="Arial"/>
                <w:b/>
                <w:bCs/>
                <w:sz w:val="20"/>
                <w:szCs w:val="20"/>
              </w:rPr>
              <w:t>IND67</w:t>
            </w:r>
          </w:p>
        </w:tc>
        <w:tc>
          <w:tcPr>
            <w:tcW w:w="1843" w:type="dxa"/>
          </w:tcPr>
          <w:p w14:paraId="082D7A93" w14:textId="77777777" w:rsidR="00B877ED" w:rsidRPr="0080728F" w:rsidRDefault="00B877ED" w:rsidP="00B877ED">
            <w:pPr>
              <w:jc w:val="center"/>
              <w:rPr>
                <w:rFonts w:ascii="Arial" w:hAnsi="Arial" w:cs="Arial"/>
                <w:b/>
                <w:sz w:val="20"/>
                <w:szCs w:val="20"/>
              </w:rPr>
            </w:pPr>
            <w:r>
              <w:rPr>
                <w:rFonts w:ascii="Arial" w:hAnsi="Arial" w:cs="Arial"/>
                <w:b/>
                <w:sz w:val="20"/>
                <w:szCs w:val="20"/>
              </w:rPr>
              <w:t>NHS England</w:t>
            </w:r>
          </w:p>
        </w:tc>
        <w:tc>
          <w:tcPr>
            <w:tcW w:w="10914" w:type="dxa"/>
          </w:tcPr>
          <w:p w14:paraId="53C41F16" w14:textId="77777777" w:rsidR="00B877ED" w:rsidRPr="009F3E21" w:rsidRDefault="00B877ED" w:rsidP="00B877ED">
            <w:pPr>
              <w:rPr>
                <w:rFonts w:ascii="Arial" w:hAnsi="Arial" w:cs="Arial"/>
                <w:sz w:val="20"/>
                <w:szCs w:val="20"/>
              </w:rPr>
            </w:pPr>
            <w:r w:rsidRPr="00BB23AB">
              <w:rPr>
                <w:rFonts w:ascii="Arial" w:hAnsi="Arial" w:cs="Arial"/>
                <w:sz w:val="20"/>
                <w:szCs w:val="20"/>
              </w:rPr>
              <w:t>This is a sensible change. Although it would be better to say that the diagnosis was SUPPORTED rather than CONFIRMED by a ratio of 0.7 – because of the issue of lower limits of normal in over (and under) diagnosis of COPD and the existence of other causes (notably asthma) of obstructive spirometry. COPD is primarily a CLINICAL diagnosis and the indicator should acknowledge this.</w:t>
            </w:r>
          </w:p>
        </w:tc>
      </w:tr>
      <w:tr w:rsidR="00B877ED" w:rsidRPr="005A14A3" w14:paraId="66806A5A" w14:textId="77777777" w:rsidTr="00AD1879">
        <w:tc>
          <w:tcPr>
            <w:tcW w:w="704" w:type="dxa"/>
          </w:tcPr>
          <w:p w14:paraId="68BE5D33" w14:textId="59307702" w:rsidR="00B877ED" w:rsidRPr="00B877ED" w:rsidRDefault="00B877ED" w:rsidP="00B877ED">
            <w:pPr>
              <w:autoSpaceDE w:val="0"/>
              <w:autoSpaceDN w:val="0"/>
              <w:adjustRightInd w:val="0"/>
              <w:jc w:val="center"/>
              <w:rPr>
                <w:rFonts w:ascii="Arial" w:hAnsi="Arial" w:cs="Arial"/>
                <w:b/>
                <w:sz w:val="20"/>
                <w:szCs w:val="20"/>
                <w:lang w:eastAsia="en-GB"/>
              </w:rPr>
            </w:pPr>
            <w:r w:rsidRPr="00B877ED">
              <w:rPr>
                <w:rFonts w:ascii="Calibri" w:hAnsi="Calibri" w:cs="Calibri"/>
                <w:b/>
                <w:color w:val="000000"/>
                <w:sz w:val="22"/>
                <w:szCs w:val="22"/>
              </w:rPr>
              <w:t>34</w:t>
            </w:r>
          </w:p>
        </w:tc>
        <w:tc>
          <w:tcPr>
            <w:tcW w:w="1276" w:type="dxa"/>
          </w:tcPr>
          <w:p w14:paraId="5BF73988" w14:textId="09A3B75F" w:rsidR="00B877ED" w:rsidRPr="005A14A3" w:rsidRDefault="00B877ED" w:rsidP="00B877ED">
            <w:pPr>
              <w:autoSpaceDE w:val="0"/>
              <w:autoSpaceDN w:val="0"/>
              <w:adjustRightInd w:val="0"/>
              <w:jc w:val="center"/>
              <w:rPr>
                <w:rFonts w:ascii="Arial" w:hAnsi="Arial" w:cs="Arial"/>
                <w:b/>
                <w:bCs/>
                <w:sz w:val="20"/>
                <w:szCs w:val="20"/>
                <w:lang w:eastAsia="en-GB"/>
              </w:rPr>
            </w:pPr>
            <w:r w:rsidRPr="005A14A3">
              <w:rPr>
                <w:rFonts w:ascii="Arial" w:hAnsi="Arial" w:cs="Arial"/>
                <w:b/>
                <w:sz w:val="20"/>
                <w:szCs w:val="20"/>
                <w:lang w:eastAsia="en-GB"/>
              </w:rPr>
              <w:t>IND67</w:t>
            </w:r>
          </w:p>
        </w:tc>
        <w:tc>
          <w:tcPr>
            <w:tcW w:w="1843" w:type="dxa"/>
          </w:tcPr>
          <w:p w14:paraId="3666F0EC" w14:textId="77777777" w:rsidR="00B877ED" w:rsidRPr="005A14A3" w:rsidRDefault="00B877ED" w:rsidP="00B877ED">
            <w:pPr>
              <w:jc w:val="center"/>
              <w:rPr>
                <w:rFonts w:ascii="Arial" w:hAnsi="Arial" w:cs="Arial"/>
                <w:b/>
                <w:sz w:val="20"/>
                <w:szCs w:val="20"/>
              </w:rPr>
            </w:pPr>
            <w:r w:rsidRPr="005A14A3">
              <w:rPr>
                <w:rFonts w:ascii="Arial" w:hAnsi="Arial" w:cs="Arial"/>
                <w:b/>
                <w:sz w:val="20"/>
                <w:szCs w:val="20"/>
              </w:rPr>
              <w:t>National Pharmaceutical Advisers Group (PAG)</w:t>
            </w:r>
          </w:p>
        </w:tc>
        <w:tc>
          <w:tcPr>
            <w:tcW w:w="10914" w:type="dxa"/>
          </w:tcPr>
          <w:p w14:paraId="26355166" w14:textId="77777777" w:rsidR="00B877ED" w:rsidRPr="005A14A3" w:rsidRDefault="00B877ED" w:rsidP="00B877ED">
            <w:pPr>
              <w:rPr>
                <w:rFonts w:ascii="Arial" w:hAnsi="Arial" w:cs="Arial"/>
                <w:sz w:val="20"/>
                <w:szCs w:val="20"/>
              </w:rPr>
            </w:pPr>
            <w:r w:rsidRPr="005A14A3">
              <w:rPr>
                <w:rFonts w:ascii="Arial" w:hAnsi="Arial" w:cs="Arial"/>
                <w:sz w:val="20"/>
                <w:szCs w:val="20"/>
              </w:rPr>
              <w:t xml:space="preserve">The implementation of a register that would include the date of clinical diagnosis and the second date of confirmation diagnosis confirms the time frame for objective diagnosis. The introduction of the 3 month </w:t>
            </w:r>
            <w:proofErr w:type="gramStart"/>
            <w:r w:rsidRPr="005A14A3">
              <w:rPr>
                <w:rFonts w:ascii="Arial" w:hAnsi="Arial" w:cs="Arial"/>
                <w:sz w:val="20"/>
                <w:szCs w:val="20"/>
              </w:rPr>
              <w:t>( reduced</w:t>
            </w:r>
            <w:proofErr w:type="gramEnd"/>
            <w:r w:rsidRPr="005A14A3">
              <w:rPr>
                <w:rFonts w:ascii="Arial" w:hAnsi="Arial" w:cs="Arial"/>
                <w:sz w:val="20"/>
                <w:szCs w:val="20"/>
              </w:rPr>
              <w:t xml:space="preserve"> from 12 months) from clinical to confirmation diagnosis speeds up diagnosis and possible treatment. The specification of FEV1/FVC of 0.7 provides guidance to GPs and other practice staff who do spirometry of obstructive airways disease and gives an objective figure for confirmation rather than spirometry without proper interpretation.</w:t>
            </w:r>
          </w:p>
        </w:tc>
      </w:tr>
      <w:tr w:rsidR="00B877ED" w:rsidRPr="005A14A3" w14:paraId="28B91BAA" w14:textId="77777777" w:rsidTr="00AD1879">
        <w:tc>
          <w:tcPr>
            <w:tcW w:w="704" w:type="dxa"/>
          </w:tcPr>
          <w:p w14:paraId="297A3AA3" w14:textId="33525EA5" w:rsidR="00B877ED" w:rsidRPr="00B877ED" w:rsidRDefault="00B877ED" w:rsidP="00B877ED">
            <w:pPr>
              <w:jc w:val="center"/>
              <w:rPr>
                <w:rFonts w:ascii="Arial" w:hAnsi="Arial" w:cs="Arial"/>
                <w:b/>
                <w:bCs/>
                <w:sz w:val="20"/>
                <w:szCs w:val="20"/>
                <w:lang w:eastAsia="en-GB"/>
              </w:rPr>
            </w:pPr>
            <w:r w:rsidRPr="00B877ED">
              <w:rPr>
                <w:rFonts w:ascii="Calibri" w:hAnsi="Calibri" w:cs="Calibri"/>
                <w:b/>
                <w:color w:val="000000"/>
                <w:sz w:val="22"/>
                <w:szCs w:val="22"/>
              </w:rPr>
              <w:t>35</w:t>
            </w:r>
          </w:p>
        </w:tc>
        <w:tc>
          <w:tcPr>
            <w:tcW w:w="1276" w:type="dxa"/>
          </w:tcPr>
          <w:p w14:paraId="677CF6A7" w14:textId="6A0A5560" w:rsidR="00B877ED" w:rsidRPr="005A14A3" w:rsidRDefault="00B877ED" w:rsidP="00B877ED">
            <w:pPr>
              <w:jc w:val="center"/>
              <w:rPr>
                <w:rFonts w:ascii="Arial" w:hAnsi="Arial" w:cs="Arial"/>
                <w:b/>
                <w:sz w:val="20"/>
                <w:szCs w:val="20"/>
              </w:rPr>
            </w:pPr>
            <w:r w:rsidRPr="005A14A3">
              <w:rPr>
                <w:rFonts w:ascii="Arial" w:hAnsi="Arial" w:cs="Arial"/>
                <w:b/>
                <w:bCs/>
                <w:sz w:val="20"/>
                <w:szCs w:val="20"/>
                <w:lang w:eastAsia="en-GB"/>
              </w:rPr>
              <w:t>IND67</w:t>
            </w:r>
          </w:p>
          <w:p w14:paraId="400F5D74" w14:textId="77777777" w:rsidR="00B877ED" w:rsidRPr="005A14A3" w:rsidRDefault="00B877ED" w:rsidP="00B877ED">
            <w:pPr>
              <w:jc w:val="center"/>
              <w:rPr>
                <w:rFonts w:ascii="Arial" w:hAnsi="Arial" w:cs="Arial"/>
                <w:b/>
                <w:sz w:val="20"/>
                <w:szCs w:val="20"/>
              </w:rPr>
            </w:pPr>
          </w:p>
          <w:p w14:paraId="2880FD7D" w14:textId="77777777" w:rsidR="00B877ED" w:rsidRPr="005A14A3" w:rsidRDefault="00B877ED" w:rsidP="00B877ED">
            <w:pPr>
              <w:autoSpaceDE w:val="0"/>
              <w:autoSpaceDN w:val="0"/>
              <w:adjustRightInd w:val="0"/>
              <w:jc w:val="center"/>
              <w:rPr>
                <w:rFonts w:ascii="Arial" w:hAnsi="Arial" w:cs="Arial"/>
                <w:b/>
                <w:sz w:val="20"/>
                <w:szCs w:val="20"/>
                <w:lang w:eastAsia="en-GB"/>
              </w:rPr>
            </w:pPr>
          </w:p>
        </w:tc>
        <w:tc>
          <w:tcPr>
            <w:tcW w:w="1843" w:type="dxa"/>
          </w:tcPr>
          <w:p w14:paraId="77896FC9" w14:textId="77777777" w:rsidR="00B877ED" w:rsidRPr="005A14A3" w:rsidRDefault="00B877ED" w:rsidP="00B877ED">
            <w:pPr>
              <w:jc w:val="center"/>
              <w:rPr>
                <w:rFonts w:ascii="Arial" w:hAnsi="Arial" w:cs="Arial"/>
                <w:b/>
                <w:sz w:val="20"/>
                <w:szCs w:val="20"/>
              </w:rPr>
            </w:pPr>
            <w:r w:rsidRPr="005A14A3">
              <w:rPr>
                <w:rFonts w:ascii="Arial" w:hAnsi="Arial" w:cs="Arial"/>
                <w:b/>
                <w:sz w:val="20"/>
                <w:szCs w:val="20"/>
              </w:rPr>
              <w:t>Primary Care Respiratory Society</w:t>
            </w:r>
          </w:p>
        </w:tc>
        <w:tc>
          <w:tcPr>
            <w:tcW w:w="10914" w:type="dxa"/>
          </w:tcPr>
          <w:p w14:paraId="6E9267E1" w14:textId="77777777" w:rsidR="00B877ED" w:rsidRPr="005A14A3" w:rsidRDefault="00B877ED" w:rsidP="00B877ED">
            <w:pPr>
              <w:rPr>
                <w:rFonts w:ascii="Arial" w:hAnsi="Arial" w:cs="Arial"/>
                <w:sz w:val="20"/>
                <w:szCs w:val="20"/>
              </w:rPr>
            </w:pPr>
            <w:r w:rsidRPr="005A14A3">
              <w:rPr>
                <w:rFonts w:ascii="Arial" w:hAnsi="Arial" w:cs="Arial"/>
                <w:sz w:val="20"/>
                <w:szCs w:val="20"/>
              </w:rPr>
              <w:t xml:space="preserve">This is a sensible change </w:t>
            </w:r>
          </w:p>
          <w:p w14:paraId="01A8184E" w14:textId="77777777" w:rsidR="00B877ED" w:rsidRPr="005A14A3" w:rsidRDefault="00B877ED" w:rsidP="00B877ED">
            <w:pPr>
              <w:rPr>
                <w:rFonts w:ascii="Arial" w:hAnsi="Arial" w:cs="Arial"/>
                <w:sz w:val="20"/>
                <w:szCs w:val="20"/>
              </w:rPr>
            </w:pPr>
            <w:r w:rsidRPr="005A14A3">
              <w:rPr>
                <w:rFonts w:ascii="Arial" w:hAnsi="Arial" w:cs="Arial"/>
                <w:sz w:val="20"/>
                <w:szCs w:val="20"/>
              </w:rPr>
              <w:t xml:space="preserve">It would be better to say that the diagnosis was SUPPORTED rather than CONFIRMED by a ratio of 0.7 – because of the issue of lower limits of normal in over (and under) diagnosis of COPD and the existence of other causes (notably asthma) of obstructive spirometry. COPD is primarily a CLINICAL diagnosis and the indicator should acknowledge this. </w:t>
            </w:r>
          </w:p>
        </w:tc>
      </w:tr>
      <w:tr w:rsidR="00B877ED" w:rsidRPr="005A14A3" w14:paraId="1F79E5E0" w14:textId="77777777" w:rsidTr="00AD1879">
        <w:tc>
          <w:tcPr>
            <w:tcW w:w="704" w:type="dxa"/>
          </w:tcPr>
          <w:p w14:paraId="135AA65B" w14:textId="7A05AE63" w:rsidR="00B877ED" w:rsidRPr="00B877ED" w:rsidRDefault="00B877ED" w:rsidP="00B877ED">
            <w:pPr>
              <w:jc w:val="center"/>
              <w:rPr>
                <w:rFonts w:ascii="Arial" w:hAnsi="Arial" w:cs="Arial"/>
                <w:b/>
                <w:sz w:val="20"/>
                <w:szCs w:val="20"/>
                <w:lang w:eastAsia="en-GB"/>
              </w:rPr>
            </w:pPr>
            <w:r w:rsidRPr="00B877ED">
              <w:rPr>
                <w:rFonts w:ascii="Calibri" w:hAnsi="Calibri" w:cs="Calibri"/>
                <w:b/>
                <w:color w:val="000000"/>
                <w:sz w:val="22"/>
                <w:szCs w:val="22"/>
              </w:rPr>
              <w:t>36</w:t>
            </w:r>
          </w:p>
        </w:tc>
        <w:tc>
          <w:tcPr>
            <w:tcW w:w="1276" w:type="dxa"/>
          </w:tcPr>
          <w:p w14:paraId="60670C7E" w14:textId="5128553B" w:rsidR="00B877ED" w:rsidRPr="005A14A3" w:rsidRDefault="00B877ED" w:rsidP="00B877ED">
            <w:pPr>
              <w:jc w:val="center"/>
              <w:rPr>
                <w:rFonts w:ascii="Arial" w:hAnsi="Arial" w:cs="Arial"/>
                <w:b/>
                <w:bCs/>
                <w:sz w:val="20"/>
                <w:szCs w:val="20"/>
                <w:lang w:eastAsia="en-GB"/>
              </w:rPr>
            </w:pPr>
            <w:r w:rsidRPr="005A14A3">
              <w:rPr>
                <w:rFonts w:ascii="Arial" w:hAnsi="Arial" w:cs="Arial"/>
                <w:b/>
                <w:sz w:val="20"/>
                <w:szCs w:val="20"/>
                <w:lang w:eastAsia="en-GB"/>
              </w:rPr>
              <w:t>IND67</w:t>
            </w:r>
          </w:p>
        </w:tc>
        <w:tc>
          <w:tcPr>
            <w:tcW w:w="1843" w:type="dxa"/>
          </w:tcPr>
          <w:p w14:paraId="6C572AE7" w14:textId="77777777" w:rsidR="00B877ED" w:rsidRPr="005A14A3" w:rsidRDefault="00B877ED" w:rsidP="00B877ED">
            <w:pPr>
              <w:jc w:val="center"/>
              <w:rPr>
                <w:rFonts w:ascii="Arial" w:hAnsi="Arial" w:cs="Arial"/>
                <w:b/>
                <w:sz w:val="20"/>
                <w:szCs w:val="20"/>
              </w:rPr>
            </w:pPr>
            <w:r w:rsidRPr="005A14A3">
              <w:rPr>
                <w:rFonts w:ascii="Arial" w:hAnsi="Arial" w:cs="Arial"/>
                <w:b/>
                <w:sz w:val="20"/>
                <w:szCs w:val="20"/>
              </w:rPr>
              <w:t>Royal College of General Practitioners</w:t>
            </w:r>
          </w:p>
        </w:tc>
        <w:tc>
          <w:tcPr>
            <w:tcW w:w="10914" w:type="dxa"/>
          </w:tcPr>
          <w:p w14:paraId="6715E271" w14:textId="77777777" w:rsidR="00B877ED" w:rsidRPr="005A14A3" w:rsidRDefault="00B877ED" w:rsidP="00B877ED">
            <w:pPr>
              <w:autoSpaceDE w:val="0"/>
              <w:autoSpaceDN w:val="0"/>
              <w:adjustRightInd w:val="0"/>
              <w:rPr>
                <w:rFonts w:ascii="Arial" w:hAnsi="Arial" w:cs="Arial"/>
                <w:sz w:val="20"/>
                <w:szCs w:val="20"/>
                <w:lang w:eastAsia="en-GB"/>
              </w:rPr>
            </w:pPr>
            <w:r w:rsidRPr="005A14A3">
              <w:rPr>
                <w:rFonts w:ascii="Arial" w:hAnsi="Arial" w:cs="Arial"/>
                <w:sz w:val="20"/>
                <w:szCs w:val="20"/>
                <w:lang w:eastAsia="en-GB"/>
              </w:rPr>
              <w:t xml:space="preserve">IND67: The contractor establishes and maintains a register </w:t>
            </w:r>
            <w:proofErr w:type="gramStart"/>
            <w:r w:rsidRPr="005A14A3">
              <w:rPr>
                <w:rFonts w:ascii="Arial" w:hAnsi="Arial" w:cs="Arial"/>
                <w:sz w:val="20"/>
                <w:szCs w:val="20"/>
                <w:lang w:eastAsia="en-GB"/>
              </w:rPr>
              <w:t>of:</w:t>
            </w:r>
            <w:proofErr w:type="gramEnd"/>
            <w:r w:rsidRPr="005A14A3">
              <w:rPr>
                <w:rFonts w:ascii="Arial" w:hAnsi="Arial" w:cs="Arial"/>
                <w:sz w:val="20"/>
                <w:szCs w:val="20"/>
                <w:lang w:eastAsia="en-GB"/>
              </w:rPr>
              <w:t xml:space="preserve"> 1. Patients with a clinical diagnosis of COPD before (date of implementation), and</w:t>
            </w:r>
          </w:p>
          <w:p w14:paraId="4D9CF313" w14:textId="77777777" w:rsidR="00B877ED" w:rsidRPr="005A14A3" w:rsidRDefault="00B877ED" w:rsidP="00B877ED">
            <w:pPr>
              <w:autoSpaceDE w:val="0"/>
              <w:autoSpaceDN w:val="0"/>
              <w:adjustRightInd w:val="0"/>
              <w:rPr>
                <w:rFonts w:ascii="Arial" w:hAnsi="Arial" w:cs="Arial"/>
                <w:sz w:val="20"/>
                <w:szCs w:val="20"/>
                <w:lang w:eastAsia="en-GB"/>
              </w:rPr>
            </w:pPr>
            <w:r w:rsidRPr="005A14A3">
              <w:rPr>
                <w:rFonts w:ascii="Arial" w:hAnsi="Arial" w:cs="Arial"/>
                <w:sz w:val="20"/>
                <w:szCs w:val="20"/>
                <w:lang w:eastAsia="en-GB"/>
              </w:rPr>
              <w:t>2. Patients with a clinical diagnosis of COPD on or after (date of implementation) whose diagnosis has been confirmed by a quality</w:t>
            </w:r>
          </w:p>
          <w:p w14:paraId="1925FA91" w14:textId="77777777" w:rsidR="00B877ED" w:rsidRPr="005A14A3" w:rsidRDefault="00B877ED" w:rsidP="00B877ED">
            <w:pPr>
              <w:rPr>
                <w:rFonts w:ascii="Arial" w:hAnsi="Arial" w:cs="Arial"/>
                <w:sz w:val="20"/>
                <w:szCs w:val="20"/>
                <w:lang w:eastAsia="en-GB"/>
              </w:rPr>
            </w:pPr>
            <w:r w:rsidRPr="005A14A3">
              <w:rPr>
                <w:rFonts w:ascii="Arial" w:hAnsi="Arial" w:cs="Arial"/>
                <w:sz w:val="20"/>
                <w:szCs w:val="20"/>
                <w:lang w:eastAsia="en-GB"/>
              </w:rPr>
              <w:t>assured post bronchodilator spirometry FEV1/FVC ratio below 0.7 between 3 months before or 3 months after diagnosis</w:t>
            </w:r>
          </w:p>
          <w:p w14:paraId="610A5E45" w14:textId="77777777" w:rsidR="00B877ED" w:rsidRPr="005A14A3" w:rsidRDefault="00B877ED" w:rsidP="00B877ED">
            <w:pPr>
              <w:rPr>
                <w:rFonts w:ascii="Arial" w:hAnsi="Arial" w:cs="Arial"/>
                <w:sz w:val="20"/>
                <w:szCs w:val="20"/>
                <w:lang w:eastAsia="en-GB"/>
              </w:rPr>
            </w:pPr>
          </w:p>
          <w:p w14:paraId="65CF75D9" w14:textId="77777777" w:rsidR="00B877ED" w:rsidRPr="005A14A3" w:rsidRDefault="00B877ED" w:rsidP="00B877ED">
            <w:pPr>
              <w:rPr>
                <w:rFonts w:ascii="Arial" w:hAnsi="Arial" w:cs="Arial"/>
                <w:b/>
                <w:sz w:val="20"/>
                <w:szCs w:val="20"/>
                <w:lang w:eastAsia="en-GB"/>
              </w:rPr>
            </w:pPr>
            <w:r w:rsidRPr="005A14A3">
              <w:rPr>
                <w:rFonts w:ascii="Arial" w:hAnsi="Arial" w:cs="Arial"/>
                <w:b/>
                <w:sz w:val="20"/>
                <w:szCs w:val="20"/>
                <w:lang w:eastAsia="en-GB"/>
              </w:rPr>
              <w:t>We support this change</w:t>
            </w:r>
          </w:p>
          <w:p w14:paraId="62E8FE8A" w14:textId="77777777" w:rsidR="00B877ED" w:rsidRPr="005A14A3" w:rsidRDefault="00B877ED" w:rsidP="00B877ED">
            <w:pPr>
              <w:rPr>
                <w:rFonts w:ascii="Arial" w:hAnsi="Arial" w:cs="Arial"/>
                <w:sz w:val="20"/>
                <w:szCs w:val="20"/>
              </w:rPr>
            </w:pPr>
          </w:p>
        </w:tc>
      </w:tr>
      <w:tr w:rsidR="00B877ED" w:rsidRPr="009F3E21" w14:paraId="5E8CEAD3" w14:textId="77777777" w:rsidTr="00AD1879">
        <w:tc>
          <w:tcPr>
            <w:tcW w:w="704" w:type="dxa"/>
          </w:tcPr>
          <w:p w14:paraId="57DFEE88" w14:textId="470012FC" w:rsidR="00B877ED" w:rsidRPr="00B877ED" w:rsidRDefault="00B877ED" w:rsidP="00B877ED">
            <w:pPr>
              <w:pStyle w:val="TableText1"/>
              <w:jc w:val="center"/>
              <w:rPr>
                <w:rFonts w:cs="Arial"/>
                <w:b/>
                <w:bCs/>
                <w:sz w:val="20"/>
                <w:szCs w:val="20"/>
              </w:rPr>
            </w:pPr>
            <w:r w:rsidRPr="00B877ED">
              <w:rPr>
                <w:rFonts w:ascii="Calibri" w:hAnsi="Calibri" w:cs="Calibri"/>
                <w:b/>
                <w:color w:val="000000"/>
                <w:szCs w:val="22"/>
              </w:rPr>
              <w:t>37</w:t>
            </w:r>
          </w:p>
        </w:tc>
        <w:tc>
          <w:tcPr>
            <w:tcW w:w="1276" w:type="dxa"/>
          </w:tcPr>
          <w:p w14:paraId="084732BA" w14:textId="17ACB672" w:rsidR="00B877ED" w:rsidRDefault="00B877ED" w:rsidP="00B877ED">
            <w:pPr>
              <w:pStyle w:val="TableText1"/>
              <w:jc w:val="center"/>
              <w:rPr>
                <w:rFonts w:cs="Arial"/>
                <w:b/>
                <w:bCs/>
                <w:sz w:val="20"/>
                <w:szCs w:val="20"/>
              </w:rPr>
            </w:pPr>
            <w:r>
              <w:rPr>
                <w:rFonts w:cs="Arial"/>
                <w:b/>
                <w:bCs/>
                <w:sz w:val="20"/>
                <w:szCs w:val="20"/>
              </w:rPr>
              <w:t>IND67</w:t>
            </w:r>
          </w:p>
        </w:tc>
        <w:tc>
          <w:tcPr>
            <w:tcW w:w="1843" w:type="dxa"/>
          </w:tcPr>
          <w:p w14:paraId="2E71C238" w14:textId="77777777" w:rsidR="00B877ED" w:rsidRDefault="00B877ED" w:rsidP="00B877ED">
            <w:pPr>
              <w:jc w:val="center"/>
              <w:rPr>
                <w:rFonts w:ascii="Arial" w:hAnsi="Arial" w:cs="Arial"/>
                <w:b/>
                <w:sz w:val="20"/>
                <w:szCs w:val="20"/>
              </w:rPr>
            </w:pPr>
            <w:r>
              <w:rPr>
                <w:rFonts w:ascii="Arial" w:hAnsi="Arial" w:cs="Arial"/>
                <w:b/>
                <w:sz w:val="20"/>
                <w:szCs w:val="20"/>
              </w:rPr>
              <w:t>PHE</w:t>
            </w:r>
          </w:p>
        </w:tc>
        <w:tc>
          <w:tcPr>
            <w:tcW w:w="10914" w:type="dxa"/>
          </w:tcPr>
          <w:p w14:paraId="5D349E1B" w14:textId="77777777" w:rsidR="00B877ED" w:rsidRPr="000C5085" w:rsidRDefault="00B877ED" w:rsidP="00B877ED">
            <w:pPr>
              <w:rPr>
                <w:rFonts w:ascii="Arial" w:hAnsi="Arial" w:cs="Arial"/>
                <w:sz w:val="20"/>
                <w:szCs w:val="20"/>
              </w:rPr>
            </w:pPr>
            <w:r w:rsidRPr="000C5085">
              <w:rPr>
                <w:rFonts w:ascii="Arial" w:hAnsi="Arial" w:cs="Arial"/>
                <w:sz w:val="20"/>
                <w:szCs w:val="20"/>
              </w:rPr>
              <w:t>PHE welcomes the inclusion of objective testing of COPD within the QOF, however notes that there is a disparity between the asthma QOF (which separates the maintenance of a register with the percentage of those who have had objective testing – IND-63 and 64). Within IND 67 it is possible that those COPD patients who had been diagnosed with objective testing, but outside the three months before or after timeframes, may be missed off the register?</w:t>
            </w:r>
          </w:p>
          <w:p w14:paraId="46A261C0" w14:textId="77777777" w:rsidR="00B877ED" w:rsidRPr="009F3E21" w:rsidRDefault="00B877ED" w:rsidP="00B877ED">
            <w:pPr>
              <w:rPr>
                <w:rFonts w:ascii="Arial" w:hAnsi="Arial" w:cs="Arial"/>
                <w:sz w:val="20"/>
                <w:szCs w:val="20"/>
                <w:highlight w:val="yellow"/>
              </w:rPr>
            </w:pPr>
          </w:p>
        </w:tc>
      </w:tr>
      <w:tr w:rsidR="00B877ED" w:rsidRPr="005A14A3" w14:paraId="6410BF8C" w14:textId="77777777" w:rsidTr="00AD1879">
        <w:tc>
          <w:tcPr>
            <w:tcW w:w="704" w:type="dxa"/>
          </w:tcPr>
          <w:p w14:paraId="4A415ABD" w14:textId="68E533AC" w:rsidR="00B877ED" w:rsidRPr="00B877ED" w:rsidRDefault="00B877ED" w:rsidP="00B877ED">
            <w:pPr>
              <w:jc w:val="center"/>
              <w:rPr>
                <w:rFonts w:ascii="Arial" w:hAnsi="Arial" w:cs="Arial"/>
                <w:b/>
                <w:sz w:val="20"/>
                <w:szCs w:val="20"/>
                <w:lang w:eastAsia="en-GB"/>
              </w:rPr>
            </w:pPr>
            <w:r w:rsidRPr="00B877ED">
              <w:rPr>
                <w:rFonts w:ascii="Calibri" w:hAnsi="Calibri" w:cs="Calibri"/>
                <w:b/>
                <w:color w:val="000000"/>
                <w:sz w:val="22"/>
                <w:szCs w:val="22"/>
              </w:rPr>
              <w:lastRenderedPageBreak/>
              <w:t>38</w:t>
            </w:r>
          </w:p>
        </w:tc>
        <w:tc>
          <w:tcPr>
            <w:tcW w:w="1276" w:type="dxa"/>
          </w:tcPr>
          <w:p w14:paraId="227491E0" w14:textId="44CEBD4F" w:rsidR="00B877ED" w:rsidRPr="005A14A3" w:rsidRDefault="00B877ED" w:rsidP="00B877ED">
            <w:pPr>
              <w:jc w:val="center"/>
              <w:rPr>
                <w:rFonts w:ascii="Arial" w:hAnsi="Arial" w:cs="Arial"/>
                <w:b/>
                <w:sz w:val="20"/>
                <w:szCs w:val="20"/>
                <w:lang w:eastAsia="en-GB"/>
              </w:rPr>
            </w:pPr>
            <w:r w:rsidRPr="005A14A3">
              <w:rPr>
                <w:rFonts w:ascii="Arial" w:hAnsi="Arial" w:cs="Arial"/>
                <w:b/>
                <w:sz w:val="20"/>
                <w:szCs w:val="20"/>
                <w:lang w:eastAsia="en-GB"/>
              </w:rPr>
              <w:t>IND68</w:t>
            </w:r>
          </w:p>
        </w:tc>
        <w:tc>
          <w:tcPr>
            <w:tcW w:w="1843" w:type="dxa"/>
          </w:tcPr>
          <w:p w14:paraId="6D0D0D7F" w14:textId="77777777" w:rsidR="00B877ED" w:rsidRPr="005A14A3" w:rsidRDefault="00B877ED" w:rsidP="00B877ED">
            <w:pPr>
              <w:jc w:val="center"/>
              <w:rPr>
                <w:rFonts w:ascii="Arial" w:hAnsi="Arial" w:cs="Arial"/>
                <w:b/>
                <w:sz w:val="20"/>
                <w:szCs w:val="20"/>
              </w:rPr>
            </w:pPr>
            <w:r w:rsidRPr="005A14A3">
              <w:rPr>
                <w:rFonts w:ascii="Arial" w:hAnsi="Arial" w:cs="Arial"/>
                <w:b/>
                <w:sz w:val="20"/>
                <w:szCs w:val="20"/>
              </w:rPr>
              <w:t>AstraZeneca</w:t>
            </w:r>
          </w:p>
        </w:tc>
        <w:tc>
          <w:tcPr>
            <w:tcW w:w="10914" w:type="dxa"/>
          </w:tcPr>
          <w:p w14:paraId="28CBBA26" w14:textId="77777777" w:rsidR="00B877ED" w:rsidRPr="005A14A3" w:rsidRDefault="00B877ED" w:rsidP="00B877ED">
            <w:pPr>
              <w:rPr>
                <w:rFonts w:ascii="Arial" w:hAnsi="Arial" w:cs="Arial"/>
                <w:sz w:val="20"/>
                <w:szCs w:val="20"/>
              </w:rPr>
            </w:pPr>
            <w:r w:rsidRPr="005A14A3">
              <w:rPr>
                <w:rFonts w:ascii="Arial" w:hAnsi="Arial" w:cs="Arial"/>
                <w:sz w:val="20"/>
                <w:szCs w:val="20"/>
              </w:rPr>
              <w:t xml:space="preserve">AstraZeneca supports the update to this indicator and agrees that number of exacerbations is an important part of a COPD review. </w:t>
            </w:r>
          </w:p>
          <w:p w14:paraId="2AB104C5" w14:textId="77777777" w:rsidR="00B877ED" w:rsidRPr="005A14A3" w:rsidRDefault="00B877ED" w:rsidP="00B877ED">
            <w:pPr>
              <w:autoSpaceDE w:val="0"/>
              <w:autoSpaceDN w:val="0"/>
              <w:adjustRightInd w:val="0"/>
              <w:rPr>
                <w:rFonts w:ascii="Arial" w:hAnsi="Arial" w:cs="Arial"/>
                <w:sz w:val="20"/>
                <w:szCs w:val="20"/>
                <w:lang w:eastAsia="en-GB"/>
              </w:rPr>
            </w:pPr>
            <w:r w:rsidRPr="005A14A3">
              <w:rPr>
                <w:rFonts w:ascii="Arial" w:hAnsi="Arial" w:cs="Arial"/>
                <w:sz w:val="20"/>
                <w:szCs w:val="20"/>
              </w:rPr>
              <w:t>As recognised by the advisory committee, exacerbation history influences COPD morbidity, and therefore the update to this indicator is an important step in improving the management of COPD patients in England.</w:t>
            </w:r>
          </w:p>
        </w:tc>
      </w:tr>
      <w:tr w:rsidR="00B877ED" w:rsidRPr="005A14A3" w14:paraId="0307A9F4" w14:textId="77777777" w:rsidTr="00AD1879">
        <w:tc>
          <w:tcPr>
            <w:tcW w:w="704" w:type="dxa"/>
          </w:tcPr>
          <w:p w14:paraId="469B5A7A" w14:textId="3BFC3D6E" w:rsidR="00B877ED" w:rsidRPr="00B877ED" w:rsidRDefault="00B877ED" w:rsidP="00B877ED">
            <w:pPr>
              <w:jc w:val="center"/>
              <w:rPr>
                <w:rFonts w:ascii="Arial" w:hAnsi="Arial" w:cs="Arial"/>
                <w:b/>
                <w:bCs/>
                <w:sz w:val="20"/>
                <w:szCs w:val="20"/>
                <w:lang w:eastAsia="en-GB"/>
              </w:rPr>
            </w:pPr>
            <w:r w:rsidRPr="00B877ED">
              <w:rPr>
                <w:rFonts w:ascii="Calibri" w:hAnsi="Calibri" w:cs="Calibri"/>
                <w:b/>
                <w:color w:val="000000"/>
                <w:sz w:val="22"/>
                <w:szCs w:val="22"/>
              </w:rPr>
              <w:t>39</w:t>
            </w:r>
          </w:p>
        </w:tc>
        <w:tc>
          <w:tcPr>
            <w:tcW w:w="1276" w:type="dxa"/>
          </w:tcPr>
          <w:p w14:paraId="719150B9" w14:textId="4842D2BC" w:rsidR="00B877ED" w:rsidRPr="005A14A3" w:rsidRDefault="00B877ED" w:rsidP="00B877ED">
            <w:pPr>
              <w:jc w:val="center"/>
              <w:rPr>
                <w:rFonts w:ascii="Arial" w:hAnsi="Arial" w:cs="Arial"/>
                <w:b/>
                <w:sz w:val="20"/>
                <w:szCs w:val="20"/>
                <w:lang w:eastAsia="en-GB"/>
              </w:rPr>
            </w:pPr>
            <w:r w:rsidRPr="005A14A3">
              <w:rPr>
                <w:rFonts w:ascii="Arial" w:hAnsi="Arial" w:cs="Arial"/>
                <w:b/>
                <w:bCs/>
                <w:sz w:val="20"/>
                <w:szCs w:val="20"/>
                <w:lang w:eastAsia="en-GB"/>
              </w:rPr>
              <w:t>IND68</w:t>
            </w:r>
          </w:p>
        </w:tc>
        <w:tc>
          <w:tcPr>
            <w:tcW w:w="1843" w:type="dxa"/>
          </w:tcPr>
          <w:p w14:paraId="6ED2B480" w14:textId="77777777" w:rsidR="00B877ED" w:rsidRPr="005A14A3" w:rsidRDefault="00B877ED" w:rsidP="00B877ED">
            <w:pPr>
              <w:jc w:val="center"/>
              <w:rPr>
                <w:rFonts w:ascii="Arial" w:hAnsi="Arial" w:cs="Arial"/>
                <w:b/>
                <w:sz w:val="20"/>
                <w:szCs w:val="20"/>
              </w:rPr>
            </w:pPr>
            <w:r w:rsidRPr="005A14A3">
              <w:rPr>
                <w:rFonts w:ascii="Arial" w:hAnsi="Arial" w:cs="Arial"/>
                <w:b/>
                <w:sz w:val="20"/>
                <w:szCs w:val="20"/>
              </w:rPr>
              <w:t>Boehringer Ingelheim Limited</w:t>
            </w:r>
          </w:p>
        </w:tc>
        <w:tc>
          <w:tcPr>
            <w:tcW w:w="10914" w:type="dxa"/>
          </w:tcPr>
          <w:p w14:paraId="246396E6" w14:textId="77777777" w:rsidR="00B877ED" w:rsidRPr="005A14A3" w:rsidRDefault="00B877ED" w:rsidP="00B877ED">
            <w:pPr>
              <w:rPr>
                <w:rFonts w:ascii="Arial" w:hAnsi="Arial" w:cs="Arial"/>
                <w:i/>
                <w:sz w:val="20"/>
                <w:szCs w:val="20"/>
                <w:lang w:eastAsia="zh-CN"/>
              </w:rPr>
            </w:pPr>
            <w:r w:rsidRPr="005A14A3">
              <w:rPr>
                <w:rFonts w:ascii="Arial" w:hAnsi="Arial" w:cs="Arial"/>
                <w:i/>
                <w:sz w:val="20"/>
                <w:szCs w:val="20"/>
              </w:rPr>
              <w:t>Do you think there are any barriers to implementing the care described by these indicators?</w:t>
            </w:r>
          </w:p>
          <w:p w14:paraId="1BA0CDE6" w14:textId="77777777" w:rsidR="00B877ED" w:rsidRPr="005A14A3" w:rsidRDefault="00B877ED" w:rsidP="00B877ED">
            <w:pPr>
              <w:rPr>
                <w:rFonts w:ascii="Arial" w:hAnsi="Arial" w:cs="Arial"/>
                <w:sz w:val="20"/>
                <w:szCs w:val="20"/>
              </w:rPr>
            </w:pPr>
            <w:r w:rsidRPr="005A14A3">
              <w:rPr>
                <w:rFonts w:ascii="Arial" w:hAnsi="Arial" w:cs="Arial"/>
                <w:sz w:val="20"/>
                <w:szCs w:val="20"/>
              </w:rPr>
              <w:t>Recording both breathlessness and exacerbations is a positive step and is helpful in determining the appropriate treatment.  However, there is potential difficulty it terms of monitoring the number of exacerbations that patients have: exacerbations resulting in hospitalisation should be easy to measure as primary care should be notified of the admission, however what we may term 'moderate' exacerbations that are generally managed by the patient at home with rescue packs of antibiotics or oral corticosteroids may be more difficult to record.</w:t>
            </w:r>
          </w:p>
        </w:tc>
      </w:tr>
      <w:tr w:rsidR="00B877ED" w:rsidRPr="005A14A3" w14:paraId="635A1245" w14:textId="77777777" w:rsidTr="00AD1879">
        <w:tc>
          <w:tcPr>
            <w:tcW w:w="704" w:type="dxa"/>
          </w:tcPr>
          <w:p w14:paraId="5B026444" w14:textId="56CD66AC" w:rsidR="00B877ED" w:rsidRPr="00B877ED" w:rsidRDefault="00B877ED" w:rsidP="00B877ED">
            <w:pPr>
              <w:jc w:val="center"/>
              <w:rPr>
                <w:rFonts w:ascii="Arial" w:hAnsi="Arial" w:cs="Arial"/>
                <w:b/>
                <w:bCs/>
                <w:sz w:val="20"/>
                <w:szCs w:val="20"/>
                <w:lang w:eastAsia="en-GB"/>
              </w:rPr>
            </w:pPr>
            <w:r w:rsidRPr="00B877ED">
              <w:rPr>
                <w:rFonts w:ascii="Calibri" w:hAnsi="Calibri" w:cs="Calibri"/>
                <w:b/>
                <w:color w:val="000000"/>
                <w:sz w:val="22"/>
                <w:szCs w:val="22"/>
              </w:rPr>
              <w:t>40</w:t>
            </w:r>
          </w:p>
        </w:tc>
        <w:tc>
          <w:tcPr>
            <w:tcW w:w="1276" w:type="dxa"/>
          </w:tcPr>
          <w:p w14:paraId="580FAE5C" w14:textId="50EACE8A" w:rsidR="00B877ED" w:rsidRPr="005A14A3" w:rsidRDefault="00B877ED" w:rsidP="00B877ED">
            <w:pPr>
              <w:jc w:val="center"/>
              <w:rPr>
                <w:rFonts w:ascii="Arial" w:hAnsi="Arial" w:cs="Arial"/>
                <w:b/>
                <w:bCs/>
                <w:sz w:val="20"/>
                <w:szCs w:val="20"/>
                <w:lang w:eastAsia="en-GB"/>
              </w:rPr>
            </w:pPr>
            <w:r w:rsidRPr="005A14A3">
              <w:rPr>
                <w:rFonts w:ascii="Arial" w:hAnsi="Arial" w:cs="Arial"/>
                <w:b/>
                <w:bCs/>
                <w:sz w:val="20"/>
                <w:szCs w:val="20"/>
                <w:lang w:eastAsia="en-GB"/>
              </w:rPr>
              <w:t>IND68</w:t>
            </w:r>
          </w:p>
        </w:tc>
        <w:tc>
          <w:tcPr>
            <w:tcW w:w="1843" w:type="dxa"/>
          </w:tcPr>
          <w:p w14:paraId="6CA0EC84" w14:textId="77777777" w:rsidR="00B877ED" w:rsidRPr="005A14A3" w:rsidRDefault="00B877ED" w:rsidP="00B877ED">
            <w:pPr>
              <w:jc w:val="center"/>
              <w:rPr>
                <w:rFonts w:ascii="Arial" w:hAnsi="Arial" w:cs="Arial"/>
                <w:b/>
                <w:sz w:val="20"/>
                <w:szCs w:val="20"/>
              </w:rPr>
            </w:pPr>
            <w:r w:rsidRPr="005A14A3">
              <w:rPr>
                <w:rFonts w:ascii="Arial" w:hAnsi="Arial" w:cs="Arial"/>
                <w:b/>
                <w:sz w:val="20"/>
                <w:szCs w:val="20"/>
              </w:rPr>
              <w:t>Boehringer Ingelheim Limited</w:t>
            </w:r>
          </w:p>
        </w:tc>
        <w:tc>
          <w:tcPr>
            <w:tcW w:w="10914" w:type="dxa"/>
          </w:tcPr>
          <w:p w14:paraId="749E86C6" w14:textId="77777777" w:rsidR="00B877ED" w:rsidRPr="005A14A3" w:rsidRDefault="00B877ED" w:rsidP="00B877ED">
            <w:pPr>
              <w:rPr>
                <w:rFonts w:ascii="Arial" w:hAnsi="Arial" w:cs="Arial"/>
                <w:i/>
                <w:sz w:val="20"/>
                <w:szCs w:val="20"/>
              </w:rPr>
            </w:pPr>
            <w:r w:rsidRPr="005A14A3">
              <w:rPr>
                <w:rFonts w:ascii="Arial" w:hAnsi="Arial" w:cs="Arial"/>
                <w:i/>
                <w:sz w:val="20"/>
                <w:szCs w:val="20"/>
              </w:rPr>
              <w:t>Do you think there are potential unintended consequences to implementing/ using any of these indicators?</w:t>
            </w:r>
          </w:p>
          <w:p w14:paraId="00A55FD5" w14:textId="77777777" w:rsidR="00B877ED" w:rsidRPr="005A14A3" w:rsidRDefault="00B877ED" w:rsidP="00B877ED">
            <w:pPr>
              <w:rPr>
                <w:rFonts w:ascii="Arial" w:hAnsi="Arial" w:cs="Arial"/>
                <w:sz w:val="20"/>
                <w:szCs w:val="20"/>
              </w:rPr>
            </w:pPr>
            <w:r w:rsidRPr="005A14A3">
              <w:rPr>
                <w:rFonts w:ascii="Arial" w:hAnsi="Arial" w:cs="Arial"/>
                <w:sz w:val="20"/>
                <w:szCs w:val="20"/>
              </w:rPr>
              <w:t xml:space="preserve">It will be important to clearly define what an exacerbation is.  Any over recording of exacerbations is likely to lead to an inappropriate overall increase in inhaled corticosteroid prescribing, which is not recommended for infrequent exacerbators (GOLD 2019) or patients who neither show asthmatic features nor features of steroid responsiveness (NICE 2018).  ICS use is associated with </w:t>
            </w:r>
            <w:proofErr w:type="gramStart"/>
            <w:r w:rsidRPr="005A14A3">
              <w:rPr>
                <w:rFonts w:ascii="Arial" w:hAnsi="Arial" w:cs="Arial"/>
                <w:sz w:val="20"/>
                <w:szCs w:val="20"/>
              </w:rPr>
              <w:t>a number of</w:t>
            </w:r>
            <w:proofErr w:type="gramEnd"/>
            <w:r w:rsidRPr="005A14A3">
              <w:rPr>
                <w:rFonts w:ascii="Arial" w:hAnsi="Arial" w:cs="Arial"/>
                <w:sz w:val="20"/>
                <w:szCs w:val="20"/>
              </w:rPr>
              <w:t xml:space="preserve"> well-established adverse events, including pneumonias, and therefore only patients who would genuinely benefit from ICS should have them prescribed.</w:t>
            </w:r>
          </w:p>
        </w:tc>
      </w:tr>
      <w:tr w:rsidR="00B877ED" w:rsidRPr="005A14A3" w14:paraId="4C09B33C" w14:textId="77777777" w:rsidTr="00AD1879">
        <w:tc>
          <w:tcPr>
            <w:tcW w:w="704" w:type="dxa"/>
          </w:tcPr>
          <w:p w14:paraId="32F2E932" w14:textId="20E8B9CA" w:rsidR="00B877ED" w:rsidRPr="00B877ED" w:rsidRDefault="00B877ED" w:rsidP="00B877ED">
            <w:pPr>
              <w:jc w:val="center"/>
              <w:rPr>
                <w:rFonts w:ascii="Arial" w:hAnsi="Arial" w:cs="Arial"/>
                <w:b/>
                <w:bCs/>
                <w:sz w:val="20"/>
                <w:szCs w:val="20"/>
                <w:lang w:eastAsia="en-GB"/>
              </w:rPr>
            </w:pPr>
            <w:r w:rsidRPr="00B877ED">
              <w:rPr>
                <w:rFonts w:ascii="Calibri" w:hAnsi="Calibri" w:cs="Calibri"/>
                <w:b/>
                <w:color w:val="000000"/>
                <w:sz w:val="22"/>
                <w:szCs w:val="22"/>
              </w:rPr>
              <w:t>41</w:t>
            </w:r>
          </w:p>
        </w:tc>
        <w:tc>
          <w:tcPr>
            <w:tcW w:w="1276" w:type="dxa"/>
          </w:tcPr>
          <w:p w14:paraId="117BBB22" w14:textId="05CD6045" w:rsidR="00B877ED" w:rsidRPr="005A14A3" w:rsidRDefault="00B877ED" w:rsidP="00B877ED">
            <w:pPr>
              <w:jc w:val="center"/>
              <w:rPr>
                <w:rFonts w:ascii="Arial" w:hAnsi="Arial" w:cs="Arial"/>
                <w:b/>
                <w:bCs/>
                <w:sz w:val="20"/>
                <w:szCs w:val="20"/>
                <w:lang w:eastAsia="en-GB"/>
              </w:rPr>
            </w:pPr>
            <w:r w:rsidRPr="005A14A3">
              <w:rPr>
                <w:rFonts w:ascii="Arial" w:hAnsi="Arial" w:cs="Arial"/>
                <w:b/>
                <w:bCs/>
                <w:sz w:val="20"/>
                <w:szCs w:val="20"/>
                <w:lang w:eastAsia="en-GB"/>
              </w:rPr>
              <w:t>IND68</w:t>
            </w:r>
          </w:p>
        </w:tc>
        <w:tc>
          <w:tcPr>
            <w:tcW w:w="1843" w:type="dxa"/>
          </w:tcPr>
          <w:p w14:paraId="52C6D307" w14:textId="77777777" w:rsidR="00B877ED" w:rsidRPr="005A14A3" w:rsidRDefault="00B877ED" w:rsidP="00B877ED">
            <w:pPr>
              <w:jc w:val="center"/>
              <w:rPr>
                <w:rFonts w:ascii="Arial" w:hAnsi="Arial" w:cs="Arial"/>
                <w:b/>
                <w:sz w:val="20"/>
                <w:szCs w:val="20"/>
              </w:rPr>
            </w:pPr>
            <w:r w:rsidRPr="005A14A3">
              <w:rPr>
                <w:rFonts w:ascii="Arial" w:hAnsi="Arial" w:cs="Arial"/>
                <w:b/>
                <w:sz w:val="20"/>
                <w:szCs w:val="20"/>
              </w:rPr>
              <w:t>Boehringer Ingelheim Limited</w:t>
            </w:r>
          </w:p>
        </w:tc>
        <w:tc>
          <w:tcPr>
            <w:tcW w:w="10914" w:type="dxa"/>
          </w:tcPr>
          <w:p w14:paraId="309A9EEB" w14:textId="77777777" w:rsidR="00B877ED" w:rsidRPr="005A14A3" w:rsidRDefault="00B877ED" w:rsidP="00B877ED">
            <w:pPr>
              <w:rPr>
                <w:rFonts w:ascii="Arial" w:hAnsi="Arial" w:cs="Arial"/>
                <w:i/>
                <w:sz w:val="20"/>
                <w:szCs w:val="20"/>
              </w:rPr>
            </w:pPr>
            <w:r w:rsidRPr="005A14A3">
              <w:rPr>
                <w:rFonts w:ascii="Arial" w:hAnsi="Arial" w:cs="Arial"/>
                <w:i/>
                <w:sz w:val="20"/>
                <w:szCs w:val="20"/>
              </w:rPr>
              <w:t>Do you think there is potential for differential impact (in respect of age, disability, gender and gender reassignment, pregnancy and maternity, race, religion or belief, and sexual orientation)? If so, please state whether this is adverse or positive and for which group.</w:t>
            </w:r>
          </w:p>
          <w:p w14:paraId="36CF5C03" w14:textId="77777777" w:rsidR="00B877ED" w:rsidRPr="005A14A3" w:rsidRDefault="00B877ED" w:rsidP="00B877ED">
            <w:pPr>
              <w:rPr>
                <w:rFonts w:ascii="Arial" w:hAnsi="Arial" w:cs="Arial"/>
                <w:sz w:val="20"/>
                <w:szCs w:val="20"/>
                <w:lang w:eastAsia="zh-CN"/>
              </w:rPr>
            </w:pPr>
            <w:r w:rsidRPr="005A14A3">
              <w:rPr>
                <w:rFonts w:ascii="Arial" w:hAnsi="Arial" w:cs="Arial"/>
                <w:sz w:val="20"/>
                <w:szCs w:val="20"/>
              </w:rPr>
              <w:t>None anticipated</w:t>
            </w:r>
          </w:p>
        </w:tc>
      </w:tr>
      <w:tr w:rsidR="00B877ED" w:rsidRPr="005A14A3" w14:paraId="07931474" w14:textId="77777777" w:rsidTr="00AD1879">
        <w:tc>
          <w:tcPr>
            <w:tcW w:w="704" w:type="dxa"/>
          </w:tcPr>
          <w:p w14:paraId="2178E0FB" w14:textId="1B2C440A" w:rsidR="00B877ED" w:rsidRPr="00B877ED" w:rsidRDefault="00B877ED" w:rsidP="00B877ED">
            <w:pPr>
              <w:jc w:val="center"/>
              <w:rPr>
                <w:rFonts w:ascii="Arial" w:hAnsi="Arial" w:cs="Arial"/>
                <w:b/>
                <w:bCs/>
                <w:sz w:val="20"/>
                <w:szCs w:val="20"/>
                <w:lang w:eastAsia="en-GB"/>
              </w:rPr>
            </w:pPr>
            <w:r w:rsidRPr="00B877ED">
              <w:rPr>
                <w:rFonts w:ascii="Calibri" w:hAnsi="Calibri" w:cs="Calibri"/>
                <w:b/>
                <w:color w:val="000000"/>
                <w:sz w:val="22"/>
                <w:szCs w:val="22"/>
              </w:rPr>
              <w:t>42</w:t>
            </w:r>
          </w:p>
        </w:tc>
        <w:tc>
          <w:tcPr>
            <w:tcW w:w="1276" w:type="dxa"/>
          </w:tcPr>
          <w:p w14:paraId="2B2DDDF7" w14:textId="2BE8EA7F" w:rsidR="00B877ED" w:rsidRPr="005A14A3" w:rsidRDefault="00B877ED" w:rsidP="00B877ED">
            <w:pPr>
              <w:jc w:val="center"/>
              <w:rPr>
                <w:rFonts w:ascii="Arial" w:hAnsi="Arial" w:cs="Arial"/>
                <w:b/>
                <w:bCs/>
                <w:sz w:val="20"/>
                <w:szCs w:val="20"/>
                <w:lang w:eastAsia="en-GB"/>
              </w:rPr>
            </w:pPr>
            <w:r w:rsidRPr="005A14A3">
              <w:rPr>
                <w:rFonts w:ascii="Arial" w:hAnsi="Arial" w:cs="Arial"/>
                <w:b/>
                <w:bCs/>
                <w:sz w:val="20"/>
                <w:szCs w:val="20"/>
                <w:lang w:eastAsia="en-GB"/>
              </w:rPr>
              <w:t>IND68</w:t>
            </w:r>
          </w:p>
        </w:tc>
        <w:tc>
          <w:tcPr>
            <w:tcW w:w="1843" w:type="dxa"/>
          </w:tcPr>
          <w:p w14:paraId="19A9060E" w14:textId="77777777" w:rsidR="00B877ED" w:rsidRPr="005A14A3" w:rsidRDefault="00B877ED" w:rsidP="00B877ED">
            <w:pPr>
              <w:jc w:val="center"/>
              <w:rPr>
                <w:rFonts w:ascii="Arial" w:hAnsi="Arial" w:cs="Arial"/>
                <w:b/>
                <w:sz w:val="20"/>
                <w:szCs w:val="20"/>
              </w:rPr>
            </w:pPr>
            <w:r w:rsidRPr="005A14A3">
              <w:rPr>
                <w:rFonts w:ascii="Arial" w:hAnsi="Arial" w:cs="Arial"/>
                <w:b/>
                <w:sz w:val="20"/>
                <w:szCs w:val="20"/>
              </w:rPr>
              <w:t>Boehringer Ingelheim Limited</w:t>
            </w:r>
          </w:p>
        </w:tc>
        <w:tc>
          <w:tcPr>
            <w:tcW w:w="10914" w:type="dxa"/>
          </w:tcPr>
          <w:p w14:paraId="0459F8D8" w14:textId="77777777" w:rsidR="00B877ED" w:rsidRPr="005A14A3" w:rsidRDefault="00B877ED" w:rsidP="00B877ED">
            <w:pPr>
              <w:rPr>
                <w:rFonts w:ascii="Arial" w:hAnsi="Arial" w:cs="Arial"/>
                <w:i/>
                <w:sz w:val="20"/>
                <w:szCs w:val="20"/>
              </w:rPr>
            </w:pPr>
            <w:r w:rsidRPr="005A14A3">
              <w:rPr>
                <w:rFonts w:ascii="Arial" w:hAnsi="Arial" w:cs="Arial"/>
                <w:i/>
                <w:sz w:val="20"/>
                <w:szCs w:val="20"/>
              </w:rPr>
              <w:t>If you think any of these indicators may have an adverse impact in different groups in the community, can you suggest how the indicator might be delivered differently to different groups to reduce health inequalities?</w:t>
            </w:r>
          </w:p>
          <w:p w14:paraId="0AAC1AF6" w14:textId="77777777" w:rsidR="00B877ED" w:rsidRPr="005A14A3" w:rsidRDefault="00B877ED" w:rsidP="00B877ED">
            <w:pPr>
              <w:rPr>
                <w:rFonts w:ascii="Arial" w:hAnsi="Arial" w:cs="Arial"/>
                <w:sz w:val="20"/>
                <w:szCs w:val="20"/>
              </w:rPr>
            </w:pPr>
            <w:r w:rsidRPr="005A14A3">
              <w:rPr>
                <w:rFonts w:ascii="Arial" w:hAnsi="Arial" w:cs="Arial"/>
                <w:sz w:val="20"/>
                <w:szCs w:val="20"/>
              </w:rPr>
              <w:t>Exacerbations are likely to be handled and remembered differently by different individuals, let alone different groups in the community, based on the communication with their primary care team.  A practical guide to knowing what an exacerbation is and how it should be recorded by the HCP (</w:t>
            </w:r>
            <w:proofErr w:type="gramStart"/>
            <w:r w:rsidRPr="005A14A3">
              <w:rPr>
                <w:rFonts w:ascii="Arial" w:hAnsi="Arial" w:cs="Arial"/>
                <w:sz w:val="20"/>
                <w:szCs w:val="20"/>
              </w:rPr>
              <w:t>taking into account</w:t>
            </w:r>
            <w:proofErr w:type="gramEnd"/>
            <w:r w:rsidRPr="005A14A3">
              <w:rPr>
                <w:rFonts w:ascii="Arial" w:hAnsi="Arial" w:cs="Arial"/>
                <w:sz w:val="20"/>
                <w:szCs w:val="20"/>
              </w:rPr>
              <w:t xml:space="preserve"> whether the exacerbations should be classified as mild, moderate or severe) will be important. </w:t>
            </w:r>
          </w:p>
        </w:tc>
      </w:tr>
      <w:tr w:rsidR="00B877ED" w:rsidRPr="005A14A3" w14:paraId="133BA1FD" w14:textId="77777777" w:rsidTr="00AD1879">
        <w:tc>
          <w:tcPr>
            <w:tcW w:w="704" w:type="dxa"/>
          </w:tcPr>
          <w:p w14:paraId="1C94928A" w14:textId="0C3AFC51" w:rsidR="00B877ED" w:rsidRPr="00B877ED" w:rsidRDefault="00B877ED" w:rsidP="00B877ED">
            <w:pPr>
              <w:jc w:val="center"/>
              <w:rPr>
                <w:rFonts w:ascii="Arial" w:hAnsi="Arial" w:cs="Arial"/>
                <w:b/>
                <w:sz w:val="20"/>
                <w:szCs w:val="20"/>
                <w:lang w:eastAsia="en-GB"/>
              </w:rPr>
            </w:pPr>
            <w:r w:rsidRPr="00B877ED">
              <w:rPr>
                <w:rFonts w:ascii="Calibri" w:hAnsi="Calibri" w:cs="Arial"/>
                <w:b/>
                <w:color w:val="000000"/>
                <w:sz w:val="22"/>
                <w:szCs w:val="22"/>
              </w:rPr>
              <w:t>43</w:t>
            </w:r>
          </w:p>
        </w:tc>
        <w:tc>
          <w:tcPr>
            <w:tcW w:w="1276" w:type="dxa"/>
          </w:tcPr>
          <w:p w14:paraId="30846BC0" w14:textId="355BC4AB" w:rsidR="00B877ED" w:rsidRPr="005A14A3" w:rsidRDefault="00B877ED" w:rsidP="00B877ED">
            <w:pPr>
              <w:jc w:val="center"/>
              <w:rPr>
                <w:rFonts w:ascii="Arial" w:hAnsi="Arial" w:cs="Arial"/>
                <w:b/>
                <w:bCs/>
                <w:sz w:val="20"/>
                <w:szCs w:val="20"/>
                <w:lang w:eastAsia="en-GB"/>
              </w:rPr>
            </w:pPr>
            <w:r w:rsidRPr="005A14A3">
              <w:rPr>
                <w:rFonts w:ascii="Arial" w:hAnsi="Arial" w:cs="Arial"/>
                <w:b/>
                <w:sz w:val="20"/>
                <w:szCs w:val="20"/>
                <w:lang w:eastAsia="en-GB"/>
              </w:rPr>
              <w:t>IND68</w:t>
            </w:r>
          </w:p>
        </w:tc>
        <w:tc>
          <w:tcPr>
            <w:tcW w:w="1843" w:type="dxa"/>
          </w:tcPr>
          <w:p w14:paraId="632674C6" w14:textId="77777777" w:rsidR="00B877ED" w:rsidRPr="005A14A3" w:rsidRDefault="00B877ED" w:rsidP="00B877ED">
            <w:pPr>
              <w:jc w:val="center"/>
              <w:rPr>
                <w:rFonts w:ascii="Arial" w:hAnsi="Arial" w:cs="Arial"/>
                <w:b/>
                <w:sz w:val="20"/>
                <w:szCs w:val="20"/>
              </w:rPr>
            </w:pPr>
            <w:r w:rsidRPr="005A14A3">
              <w:rPr>
                <w:rFonts w:ascii="Arial" w:hAnsi="Arial" w:cs="Arial"/>
                <w:b/>
                <w:sz w:val="20"/>
                <w:szCs w:val="20"/>
              </w:rPr>
              <w:t>British Medical Association</w:t>
            </w:r>
          </w:p>
        </w:tc>
        <w:tc>
          <w:tcPr>
            <w:tcW w:w="10914" w:type="dxa"/>
          </w:tcPr>
          <w:p w14:paraId="555AA978" w14:textId="77777777" w:rsidR="00B877ED" w:rsidRPr="005A14A3" w:rsidRDefault="00B877ED" w:rsidP="00B877ED">
            <w:pPr>
              <w:rPr>
                <w:rFonts w:ascii="Arial" w:hAnsi="Arial" w:cs="Arial"/>
                <w:sz w:val="20"/>
                <w:szCs w:val="20"/>
              </w:rPr>
            </w:pPr>
            <w:r w:rsidRPr="005A14A3">
              <w:rPr>
                <w:rFonts w:ascii="Arial" w:hAnsi="Arial" w:cs="Arial"/>
                <w:sz w:val="20"/>
                <w:szCs w:val="20"/>
              </w:rPr>
              <w:t>IND68: The percentage of patients with COPD on the register, who have had a review in the preceding 12 months, including a record of the number of exacerbations and an assessment of breathlessness using the Medical Research Council dyspnoea scale.</w:t>
            </w:r>
          </w:p>
          <w:p w14:paraId="12243CC2" w14:textId="77777777" w:rsidR="00B877ED" w:rsidRPr="005A14A3" w:rsidRDefault="00B877ED" w:rsidP="00B877ED">
            <w:pPr>
              <w:rPr>
                <w:rFonts w:ascii="Arial" w:hAnsi="Arial" w:cs="Arial"/>
                <w:sz w:val="20"/>
                <w:szCs w:val="20"/>
              </w:rPr>
            </w:pPr>
            <w:r w:rsidRPr="005A14A3">
              <w:rPr>
                <w:rFonts w:ascii="Arial" w:hAnsi="Arial" w:cs="Arial"/>
                <w:sz w:val="20"/>
                <w:szCs w:val="20"/>
              </w:rPr>
              <w:t>We support the changes to this indicator.</w:t>
            </w:r>
          </w:p>
        </w:tc>
      </w:tr>
      <w:tr w:rsidR="00B877ED" w:rsidRPr="005A14A3" w14:paraId="1DA37A68" w14:textId="77777777" w:rsidTr="00AD1879">
        <w:tc>
          <w:tcPr>
            <w:tcW w:w="704" w:type="dxa"/>
          </w:tcPr>
          <w:p w14:paraId="7ADE5D09" w14:textId="4DEE6A3E" w:rsidR="00B877ED" w:rsidRPr="00B877ED" w:rsidRDefault="00B877ED" w:rsidP="00B877ED">
            <w:pPr>
              <w:jc w:val="center"/>
              <w:rPr>
                <w:rFonts w:ascii="Arial" w:hAnsi="Arial" w:cs="Arial"/>
                <w:b/>
                <w:sz w:val="20"/>
                <w:szCs w:val="20"/>
                <w:lang w:eastAsia="en-GB"/>
              </w:rPr>
            </w:pPr>
            <w:r w:rsidRPr="00B877ED">
              <w:rPr>
                <w:rFonts w:ascii="Calibri" w:hAnsi="Calibri" w:cs="Calibri"/>
                <w:b/>
                <w:color w:val="000000"/>
                <w:sz w:val="22"/>
                <w:szCs w:val="22"/>
              </w:rPr>
              <w:t>44</w:t>
            </w:r>
          </w:p>
        </w:tc>
        <w:tc>
          <w:tcPr>
            <w:tcW w:w="1276" w:type="dxa"/>
          </w:tcPr>
          <w:p w14:paraId="71C233A2" w14:textId="0AC67760" w:rsidR="00B877ED" w:rsidRPr="005A14A3" w:rsidRDefault="00B877ED" w:rsidP="00B877ED">
            <w:pPr>
              <w:jc w:val="center"/>
              <w:rPr>
                <w:rFonts w:ascii="Arial" w:hAnsi="Arial" w:cs="Arial"/>
                <w:b/>
                <w:sz w:val="20"/>
                <w:szCs w:val="20"/>
                <w:lang w:eastAsia="en-GB"/>
              </w:rPr>
            </w:pPr>
            <w:r w:rsidRPr="005A14A3">
              <w:rPr>
                <w:rFonts w:ascii="Arial" w:hAnsi="Arial" w:cs="Arial"/>
                <w:b/>
                <w:sz w:val="20"/>
                <w:szCs w:val="20"/>
                <w:lang w:eastAsia="en-GB"/>
              </w:rPr>
              <w:t>IND68</w:t>
            </w:r>
          </w:p>
        </w:tc>
        <w:tc>
          <w:tcPr>
            <w:tcW w:w="1843" w:type="dxa"/>
          </w:tcPr>
          <w:p w14:paraId="4243CE0E" w14:textId="77777777" w:rsidR="00B877ED" w:rsidRPr="005A14A3" w:rsidRDefault="00B877ED" w:rsidP="00B877ED">
            <w:pPr>
              <w:jc w:val="center"/>
              <w:rPr>
                <w:rFonts w:ascii="Arial" w:hAnsi="Arial" w:cs="Arial"/>
                <w:b/>
                <w:sz w:val="20"/>
                <w:szCs w:val="20"/>
              </w:rPr>
            </w:pPr>
            <w:r w:rsidRPr="005A14A3">
              <w:rPr>
                <w:rFonts w:ascii="Arial" w:hAnsi="Arial" w:cs="Arial"/>
                <w:b/>
                <w:sz w:val="20"/>
                <w:szCs w:val="20"/>
              </w:rPr>
              <w:t>British Thoracic Society</w:t>
            </w:r>
          </w:p>
          <w:p w14:paraId="3E44C0D5" w14:textId="77777777" w:rsidR="00B877ED" w:rsidRPr="005A14A3" w:rsidRDefault="00B877ED" w:rsidP="00B877ED">
            <w:pPr>
              <w:jc w:val="center"/>
              <w:rPr>
                <w:rFonts w:ascii="Arial" w:hAnsi="Arial" w:cs="Arial"/>
                <w:b/>
                <w:sz w:val="20"/>
                <w:szCs w:val="20"/>
              </w:rPr>
            </w:pPr>
          </w:p>
        </w:tc>
        <w:tc>
          <w:tcPr>
            <w:tcW w:w="10914" w:type="dxa"/>
          </w:tcPr>
          <w:p w14:paraId="6EA68BBC" w14:textId="77777777" w:rsidR="00B877ED" w:rsidRPr="005A14A3" w:rsidRDefault="00B877ED" w:rsidP="00B877ED">
            <w:pPr>
              <w:rPr>
                <w:rFonts w:ascii="Arial" w:hAnsi="Arial" w:cs="Arial"/>
                <w:sz w:val="20"/>
                <w:szCs w:val="20"/>
              </w:rPr>
            </w:pPr>
            <w:r w:rsidRPr="005A14A3">
              <w:rPr>
                <w:rFonts w:ascii="Arial" w:hAnsi="Arial" w:cs="Arial"/>
                <w:sz w:val="20"/>
                <w:szCs w:val="20"/>
              </w:rPr>
              <w:t xml:space="preserve">Annual review: please add oxygen saturations (measured at rest for at least 10 minutes breathing room air or usual LTOT). Rationale – LTOT is one of the few interventions that improves survival - this will trigger appropriate referral for assessment for LTOT. </w:t>
            </w:r>
          </w:p>
          <w:p w14:paraId="064B9BC5" w14:textId="77777777" w:rsidR="00B877ED" w:rsidRPr="005A14A3" w:rsidRDefault="00B877ED" w:rsidP="00B877ED">
            <w:pPr>
              <w:rPr>
                <w:rFonts w:ascii="Arial" w:hAnsi="Arial" w:cs="Arial"/>
                <w:sz w:val="20"/>
                <w:szCs w:val="20"/>
              </w:rPr>
            </w:pPr>
            <w:r w:rsidRPr="005A14A3">
              <w:rPr>
                <w:rFonts w:ascii="Arial" w:hAnsi="Arial" w:cs="Arial"/>
                <w:sz w:val="20"/>
                <w:szCs w:val="20"/>
              </w:rPr>
              <w:t xml:space="preserve">We agree with the importance of capturing exacerbations. There is a risk that routine issue of rescue packs to patients who have not received appropriate education, or are unable to understand and implement this advice, will lead to </w:t>
            </w:r>
            <w:r w:rsidRPr="005A14A3">
              <w:rPr>
                <w:rFonts w:ascii="Arial" w:hAnsi="Arial" w:cs="Arial"/>
                <w:sz w:val="20"/>
                <w:szCs w:val="20"/>
              </w:rPr>
              <w:lastRenderedPageBreak/>
              <w:t>overuse. Not all exacerbations require both antibiotics and steroids and overuse of either causes harm. We need “steroid stewardship” as well as antibiotic stewardship. Please consider making a reference to education on exacerbation recognition and management, including appropriate use of rescue packs within the rationale.</w:t>
            </w:r>
          </w:p>
        </w:tc>
      </w:tr>
      <w:tr w:rsidR="00B877ED" w:rsidRPr="005A14A3" w14:paraId="7719AF85" w14:textId="77777777" w:rsidTr="00AD1879">
        <w:tc>
          <w:tcPr>
            <w:tcW w:w="704" w:type="dxa"/>
          </w:tcPr>
          <w:p w14:paraId="178065A2" w14:textId="4E6EBCEA" w:rsidR="00B877ED" w:rsidRPr="00B877ED" w:rsidRDefault="00B877ED" w:rsidP="00B877ED">
            <w:pPr>
              <w:jc w:val="center"/>
              <w:rPr>
                <w:rFonts w:ascii="Arial" w:hAnsi="Arial" w:cs="Arial"/>
                <w:b/>
                <w:sz w:val="20"/>
                <w:szCs w:val="20"/>
                <w:lang w:eastAsia="en-GB"/>
              </w:rPr>
            </w:pPr>
            <w:r w:rsidRPr="00B877ED">
              <w:rPr>
                <w:rFonts w:ascii="Calibri" w:hAnsi="Calibri" w:cs="Calibri"/>
                <w:b/>
                <w:color w:val="000000"/>
                <w:sz w:val="22"/>
                <w:szCs w:val="22"/>
              </w:rPr>
              <w:lastRenderedPageBreak/>
              <w:t>45</w:t>
            </w:r>
          </w:p>
        </w:tc>
        <w:tc>
          <w:tcPr>
            <w:tcW w:w="1276" w:type="dxa"/>
          </w:tcPr>
          <w:p w14:paraId="239BB735" w14:textId="3FA42731" w:rsidR="00B877ED" w:rsidRPr="005A14A3" w:rsidRDefault="00B877ED" w:rsidP="00B877ED">
            <w:pPr>
              <w:jc w:val="center"/>
              <w:rPr>
                <w:rFonts w:ascii="Arial" w:hAnsi="Arial" w:cs="Arial"/>
                <w:b/>
                <w:sz w:val="20"/>
                <w:szCs w:val="20"/>
                <w:lang w:eastAsia="en-GB"/>
              </w:rPr>
            </w:pPr>
            <w:r w:rsidRPr="005A14A3">
              <w:rPr>
                <w:rFonts w:ascii="Arial" w:hAnsi="Arial" w:cs="Arial"/>
                <w:b/>
                <w:sz w:val="20"/>
                <w:szCs w:val="20"/>
                <w:lang w:eastAsia="en-GB"/>
              </w:rPr>
              <w:t>IND68</w:t>
            </w:r>
          </w:p>
        </w:tc>
        <w:tc>
          <w:tcPr>
            <w:tcW w:w="1843" w:type="dxa"/>
          </w:tcPr>
          <w:p w14:paraId="27D03469" w14:textId="77777777" w:rsidR="00B877ED" w:rsidRPr="005A14A3" w:rsidRDefault="00B877ED" w:rsidP="00B877ED">
            <w:pPr>
              <w:jc w:val="center"/>
              <w:rPr>
                <w:rFonts w:ascii="Arial" w:hAnsi="Arial" w:cs="Arial"/>
                <w:b/>
                <w:sz w:val="20"/>
                <w:szCs w:val="20"/>
              </w:rPr>
            </w:pPr>
            <w:r w:rsidRPr="005A14A3">
              <w:rPr>
                <w:rFonts w:ascii="Arial" w:hAnsi="Arial" w:cs="Arial"/>
                <w:b/>
                <w:sz w:val="20"/>
                <w:szCs w:val="20"/>
              </w:rPr>
              <w:t>National Pharmaceutical Advisers Group (PAG)</w:t>
            </w:r>
          </w:p>
        </w:tc>
        <w:tc>
          <w:tcPr>
            <w:tcW w:w="10914" w:type="dxa"/>
          </w:tcPr>
          <w:p w14:paraId="797776E9" w14:textId="77777777" w:rsidR="00B877ED" w:rsidRPr="005A14A3" w:rsidRDefault="00B877ED" w:rsidP="00B877ED">
            <w:pPr>
              <w:rPr>
                <w:rFonts w:ascii="Arial" w:hAnsi="Arial" w:cs="Arial"/>
                <w:sz w:val="20"/>
                <w:szCs w:val="20"/>
              </w:rPr>
            </w:pPr>
            <w:r w:rsidRPr="005A14A3">
              <w:rPr>
                <w:rFonts w:ascii="Arial" w:hAnsi="Arial" w:cs="Arial"/>
                <w:sz w:val="20"/>
                <w:szCs w:val="20"/>
              </w:rPr>
              <w:t>Addition of exacerbations to the indicators informs the clinicians of the level of control of COPD, reduce hospital admissions, complications and indicate action to be taken to improve control of COPD.</w:t>
            </w:r>
          </w:p>
        </w:tc>
      </w:tr>
      <w:tr w:rsidR="00B877ED" w:rsidRPr="005A14A3" w14:paraId="4D06F63B" w14:textId="77777777" w:rsidTr="00AD1879">
        <w:tc>
          <w:tcPr>
            <w:tcW w:w="704" w:type="dxa"/>
          </w:tcPr>
          <w:p w14:paraId="11600086" w14:textId="09524889" w:rsidR="00B877ED" w:rsidRPr="00B877ED" w:rsidRDefault="00B877ED" w:rsidP="00B877ED">
            <w:pPr>
              <w:jc w:val="center"/>
              <w:rPr>
                <w:rFonts w:ascii="Arial" w:hAnsi="Arial" w:cs="Arial"/>
                <w:b/>
                <w:bCs/>
                <w:sz w:val="20"/>
                <w:szCs w:val="20"/>
                <w:lang w:eastAsia="en-GB"/>
              </w:rPr>
            </w:pPr>
            <w:r w:rsidRPr="00B877ED">
              <w:rPr>
                <w:rFonts w:ascii="Calibri" w:hAnsi="Calibri" w:cs="Calibri"/>
                <w:b/>
                <w:color w:val="000000"/>
                <w:sz w:val="22"/>
                <w:szCs w:val="22"/>
              </w:rPr>
              <w:t>46</w:t>
            </w:r>
          </w:p>
        </w:tc>
        <w:tc>
          <w:tcPr>
            <w:tcW w:w="1276" w:type="dxa"/>
          </w:tcPr>
          <w:p w14:paraId="2F6F6A4B" w14:textId="33C7C1BB" w:rsidR="00B877ED" w:rsidRPr="005A14A3" w:rsidRDefault="00B877ED" w:rsidP="00B877ED">
            <w:pPr>
              <w:jc w:val="center"/>
              <w:rPr>
                <w:rFonts w:ascii="Arial" w:hAnsi="Arial" w:cs="Arial"/>
                <w:b/>
                <w:sz w:val="20"/>
                <w:szCs w:val="20"/>
                <w:lang w:eastAsia="en-GB"/>
              </w:rPr>
            </w:pPr>
            <w:r w:rsidRPr="005A14A3">
              <w:rPr>
                <w:rFonts w:ascii="Arial" w:hAnsi="Arial" w:cs="Arial"/>
                <w:b/>
                <w:bCs/>
                <w:sz w:val="20"/>
                <w:szCs w:val="20"/>
                <w:lang w:eastAsia="en-GB"/>
              </w:rPr>
              <w:t>IND68</w:t>
            </w:r>
          </w:p>
        </w:tc>
        <w:tc>
          <w:tcPr>
            <w:tcW w:w="1843" w:type="dxa"/>
          </w:tcPr>
          <w:p w14:paraId="604D8527" w14:textId="77777777" w:rsidR="00B877ED" w:rsidRPr="005A14A3" w:rsidRDefault="00B877ED" w:rsidP="00B877ED">
            <w:pPr>
              <w:jc w:val="center"/>
              <w:rPr>
                <w:rFonts w:ascii="Arial" w:hAnsi="Arial" w:cs="Arial"/>
                <w:b/>
                <w:sz w:val="20"/>
                <w:szCs w:val="20"/>
              </w:rPr>
            </w:pPr>
            <w:r w:rsidRPr="005A14A3">
              <w:rPr>
                <w:rFonts w:ascii="Arial" w:hAnsi="Arial" w:cs="Arial"/>
                <w:b/>
                <w:sz w:val="20"/>
                <w:szCs w:val="20"/>
              </w:rPr>
              <w:t>Primary Care Respiratory Society</w:t>
            </w:r>
          </w:p>
        </w:tc>
        <w:tc>
          <w:tcPr>
            <w:tcW w:w="10914" w:type="dxa"/>
          </w:tcPr>
          <w:p w14:paraId="18FA1511" w14:textId="77777777" w:rsidR="00B877ED" w:rsidRPr="005A14A3" w:rsidRDefault="00B877ED" w:rsidP="00B877ED">
            <w:pPr>
              <w:rPr>
                <w:rFonts w:ascii="Arial" w:hAnsi="Arial" w:cs="Arial"/>
                <w:sz w:val="20"/>
                <w:szCs w:val="20"/>
              </w:rPr>
            </w:pPr>
            <w:r w:rsidRPr="005A14A3">
              <w:rPr>
                <w:rFonts w:ascii="Arial" w:hAnsi="Arial" w:cs="Arial"/>
                <w:sz w:val="20"/>
                <w:szCs w:val="20"/>
              </w:rPr>
              <w:t xml:space="preserve">This is sensible in principle, since exacerbations are an indicator of poor control. There needs to be a very clear definition of what constitutes an exacerbation and a method of coding “number of exacerbations in the last year” which is universally and consistently applied We suggest that the same approach is taken to coding this as is used for the National audit for COPD and asthma, to ensure consistency.  </w:t>
            </w:r>
          </w:p>
        </w:tc>
      </w:tr>
      <w:tr w:rsidR="00B877ED" w:rsidRPr="005A14A3" w14:paraId="0A21D50B" w14:textId="77777777" w:rsidTr="00AD1879">
        <w:tc>
          <w:tcPr>
            <w:tcW w:w="704" w:type="dxa"/>
          </w:tcPr>
          <w:p w14:paraId="574AE0DE" w14:textId="34B555FC" w:rsidR="00B877ED" w:rsidRPr="00B877ED" w:rsidRDefault="00B877ED" w:rsidP="00B877ED">
            <w:pPr>
              <w:jc w:val="center"/>
              <w:rPr>
                <w:rFonts w:ascii="Arial" w:hAnsi="Arial" w:cs="Arial"/>
                <w:b/>
                <w:sz w:val="20"/>
                <w:szCs w:val="20"/>
                <w:lang w:eastAsia="en-GB"/>
              </w:rPr>
            </w:pPr>
            <w:r w:rsidRPr="00B877ED">
              <w:rPr>
                <w:rFonts w:ascii="Calibri" w:hAnsi="Calibri" w:cs="Calibri"/>
                <w:b/>
                <w:color w:val="000000"/>
                <w:sz w:val="22"/>
                <w:szCs w:val="22"/>
              </w:rPr>
              <w:t>47</w:t>
            </w:r>
          </w:p>
        </w:tc>
        <w:tc>
          <w:tcPr>
            <w:tcW w:w="1276" w:type="dxa"/>
          </w:tcPr>
          <w:p w14:paraId="1F211319" w14:textId="2B00C323" w:rsidR="00B877ED" w:rsidRPr="005A14A3" w:rsidRDefault="00B877ED" w:rsidP="00B877ED">
            <w:pPr>
              <w:jc w:val="center"/>
              <w:rPr>
                <w:rFonts w:ascii="Arial" w:hAnsi="Arial" w:cs="Arial"/>
                <w:b/>
                <w:bCs/>
                <w:sz w:val="20"/>
                <w:szCs w:val="20"/>
                <w:lang w:eastAsia="en-GB"/>
              </w:rPr>
            </w:pPr>
            <w:r w:rsidRPr="005A14A3">
              <w:rPr>
                <w:rFonts w:ascii="Arial" w:hAnsi="Arial" w:cs="Arial"/>
                <w:b/>
                <w:sz w:val="20"/>
                <w:szCs w:val="20"/>
                <w:lang w:eastAsia="en-GB"/>
              </w:rPr>
              <w:t>IND68</w:t>
            </w:r>
          </w:p>
        </w:tc>
        <w:tc>
          <w:tcPr>
            <w:tcW w:w="1843" w:type="dxa"/>
          </w:tcPr>
          <w:p w14:paraId="52E65B81" w14:textId="77777777" w:rsidR="00B877ED" w:rsidRPr="005A14A3" w:rsidRDefault="00B877ED" w:rsidP="00B877ED">
            <w:pPr>
              <w:jc w:val="center"/>
              <w:rPr>
                <w:rFonts w:ascii="Arial" w:hAnsi="Arial" w:cs="Arial"/>
                <w:b/>
                <w:sz w:val="20"/>
                <w:szCs w:val="20"/>
              </w:rPr>
            </w:pPr>
            <w:r w:rsidRPr="005A14A3">
              <w:rPr>
                <w:rFonts w:ascii="Arial" w:hAnsi="Arial" w:cs="Arial"/>
                <w:b/>
                <w:sz w:val="20"/>
                <w:szCs w:val="20"/>
              </w:rPr>
              <w:t>Royal College of General Practitioners</w:t>
            </w:r>
          </w:p>
        </w:tc>
        <w:tc>
          <w:tcPr>
            <w:tcW w:w="10914" w:type="dxa"/>
          </w:tcPr>
          <w:p w14:paraId="6A515142" w14:textId="77777777" w:rsidR="00B877ED" w:rsidRPr="005A14A3" w:rsidRDefault="00B877ED" w:rsidP="00B877ED">
            <w:pPr>
              <w:autoSpaceDE w:val="0"/>
              <w:autoSpaceDN w:val="0"/>
              <w:adjustRightInd w:val="0"/>
              <w:rPr>
                <w:rFonts w:ascii="Arial" w:hAnsi="Arial" w:cs="Arial"/>
                <w:sz w:val="20"/>
                <w:szCs w:val="20"/>
                <w:lang w:eastAsia="en-GB"/>
              </w:rPr>
            </w:pPr>
            <w:r w:rsidRPr="005A14A3">
              <w:rPr>
                <w:rFonts w:ascii="Arial" w:hAnsi="Arial" w:cs="Arial"/>
                <w:sz w:val="20"/>
                <w:szCs w:val="20"/>
                <w:lang w:eastAsia="en-GB"/>
              </w:rPr>
              <w:t>IND68: The percentage of patients with COPD on the register, who have had a review in the preceding 12 months, including a record of</w:t>
            </w:r>
          </w:p>
          <w:p w14:paraId="4CA7324F" w14:textId="77777777" w:rsidR="00B877ED" w:rsidRPr="005A14A3" w:rsidRDefault="00B877ED" w:rsidP="00B877ED">
            <w:pPr>
              <w:rPr>
                <w:rFonts w:ascii="Arial" w:hAnsi="Arial" w:cs="Arial"/>
                <w:sz w:val="20"/>
                <w:szCs w:val="20"/>
                <w:lang w:eastAsia="en-GB"/>
              </w:rPr>
            </w:pPr>
            <w:r w:rsidRPr="005A14A3">
              <w:rPr>
                <w:rFonts w:ascii="Arial" w:hAnsi="Arial" w:cs="Arial"/>
                <w:sz w:val="20"/>
                <w:szCs w:val="20"/>
                <w:lang w:eastAsia="en-GB"/>
              </w:rPr>
              <w:t>the number of exacerbations and an assessment of breathlessness using the Medical Research Council dyspnoea scale</w:t>
            </w:r>
          </w:p>
          <w:p w14:paraId="4541D8AA" w14:textId="77777777" w:rsidR="00B877ED" w:rsidRPr="005A14A3" w:rsidRDefault="00B877ED" w:rsidP="00B877ED">
            <w:pPr>
              <w:rPr>
                <w:rFonts w:ascii="Arial" w:hAnsi="Arial" w:cs="Arial"/>
                <w:sz w:val="20"/>
                <w:szCs w:val="20"/>
              </w:rPr>
            </w:pPr>
            <w:r w:rsidRPr="005A14A3">
              <w:rPr>
                <w:rFonts w:ascii="Arial" w:hAnsi="Arial" w:cs="Arial"/>
                <w:b/>
                <w:sz w:val="20"/>
                <w:szCs w:val="20"/>
              </w:rPr>
              <w:t>We support this change</w:t>
            </w:r>
          </w:p>
        </w:tc>
      </w:tr>
      <w:tr w:rsidR="00B877ED" w:rsidRPr="005A14A3" w14:paraId="3EDB3781" w14:textId="77777777" w:rsidTr="00AD1879">
        <w:tc>
          <w:tcPr>
            <w:tcW w:w="704" w:type="dxa"/>
          </w:tcPr>
          <w:p w14:paraId="458F66CC" w14:textId="2BB07073" w:rsidR="00B877ED" w:rsidRPr="00B877ED" w:rsidRDefault="00B877ED" w:rsidP="00B877ED">
            <w:pPr>
              <w:jc w:val="center"/>
              <w:rPr>
                <w:rFonts w:ascii="Arial" w:hAnsi="Arial" w:cs="Arial"/>
                <w:b/>
                <w:sz w:val="20"/>
                <w:szCs w:val="20"/>
              </w:rPr>
            </w:pPr>
            <w:r w:rsidRPr="00B877ED">
              <w:rPr>
                <w:rFonts w:ascii="Calibri" w:hAnsi="Calibri" w:cs="Calibri"/>
                <w:b/>
                <w:color w:val="000000"/>
                <w:sz w:val="22"/>
                <w:szCs w:val="22"/>
              </w:rPr>
              <w:t>48</w:t>
            </w:r>
          </w:p>
        </w:tc>
        <w:tc>
          <w:tcPr>
            <w:tcW w:w="1276" w:type="dxa"/>
          </w:tcPr>
          <w:p w14:paraId="4D596C19" w14:textId="6EA1859A" w:rsidR="00B877ED" w:rsidRPr="005A14A3" w:rsidRDefault="00B877ED" w:rsidP="00B877ED">
            <w:pPr>
              <w:jc w:val="center"/>
              <w:rPr>
                <w:rFonts w:ascii="Arial" w:hAnsi="Arial" w:cs="Arial"/>
                <w:b/>
                <w:sz w:val="20"/>
                <w:szCs w:val="20"/>
              </w:rPr>
            </w:pPr>
            <w:r w:rsidRPr="005A14A3">
              <w:rPr>
                <w:rFonts w:ascii="Arial" w:hAnsi="Arial" w:cs="Arial"/>
                <w:b/>
                <w:sz w:val="20"/>
                <w:szCs w:val="20"/>
              </w:rPr>
              <w:t>IND68</w:t>
            </w:r>
          </w:p>
        </w:tc>
        <w:tc>
          <w:tcPr>
            <w:tcW w:w="1843" w:type="dxa"/>
          </w:tcPr>
          <w:p w14:paraId="7A94CEA0" w14:textId="77777777" w:rsidR="00B877ED" w:rsidRPr="005A14A3" w:rsidRDefault="00B877ED" w:rsidP="00B877ED">
            <w:pPr>
              <w:jc w:val="center"/>
              <w:rPr>
                <w:rFonts w:ascii="Arial" w:hAnsi="Arial" w:cs="Arial"/>
                <w:b/>
                <w:sz w:val="20"/>
                <w:szCs w:val="20"/>
              </w:rPr>
            </w:pPr>
            <w:r w:rsidRPr="005A14A3">
              <w:rPr>
                <w:rFonts w:ascii="Arial" w:hAnsi="Arial" w:cs="Arial"/>
                <w:b/>
                <w:sz w:val="20"/>
                <w:szCs w:val="20"/>
              </w:rPr>
              <w:t>KSS AHSN Respiratory Programme</w:t>
            </w:r>
          </w:p>
        </w:tc>
        <w:tc>
          <w:tcPr>
            <w:tcW w:w="10914" w:type="dxa"/>
          </w:tcPr>
          <w:p w14:paraId="39C7BE45" w14:textId="77777777" w:rsidR="00B877ED" w:rsidRPr="005A14A3" w:rsidRDefault="00B877ED" w:rsidP="00B877ED">
            <w:pPr>
              <w:rPr>
                <w:rFonts w:ascii="Arial" w:hAnsi="Arial" w:cs="Arial"/>
                <w:sz w:val="20"/>
                <w:szCs w:val="20"/>
              </w:rPr>
            </w:pPr>
            <w:r w:rsidRPr="005A14A3">
              <w:rPr>
                <w:rFonts w:ascii="Arial" w:hAnsi="Arial" w:cs="Arial"/>
                <w:sz w:val="20"/>
                <w:szCs w:val="20"/>
              </w:rPr>
              <w:t xml:space="preserve">Pleased to see exacerbation frequency has been added as this supports customising the care to follow the appropriate guideline for treatment of COPD. Would like option of additional breathlessness assessment tools as MRC does not reflect change well compared to </w:t>
            </w:r>
            <w:proofErr w:type="spellStart"/>
            <w:r w:rsidRPr="005A14A3">
              <w:rPr>
                <w:rFonts w:ascii="Arial" w:hAnsi="Arial" w:cs="Arial"/>
                <w:sz w:val="20"/>
                <w:szCs w:val="20"/>
              </w:rPr>
              <w:t>CATest</w:t>
            </w:r>
            <w:proofErr w:type="spellEnd"/>
            <w:r w:rsidRPr="005A14A3">
              <w:rPr>
                <w:rFonts w:ascii="Arial" w:hAnsi="Arial" w:cs="Arial"/>
                <w:sz w:val="20"/>
                <w:szCs w:val="20"/>
              </w:rPr>
              <w:t>. Need to add check and correct inhaler technique. Concern that oxygen saturation assessment does not feature now as although it is assumed to be commonplace now there is concern that if not specifically listed it may well cease to be checked.</w:t>
            </w:r>
          </w:p>
        </w:tc>
      </w:tr>
      <w:tr w:rsidR="00B877ED" w:rsidRPr="009F3E21" w14:paraId="7560D485" w14:textId="77777777" w:rsidTr="00AD1879">
        <w:tc>
          <w:tcPr>
            <w:tcW w:w="704" w:type="dxa"/>
          </w:tcPr>
          <w:p w14:paraId="0081FF2E" w14:textId="2AD6C5B1" w:rsidR="00B877ED" w:rsidRPr="00B877ED" w:rsidRDefault="00B877ED" w:rsidP="00B877ED">
            <w:pPr>
              <w:pStyle w:val="NormalWeb"/>
              <w:spacing w:before="0" w:beforeAutospacing="0" w:after="0" w:afterAutospacing="0"/>
              <w:jc w:val="center"/>
              <w:rPr>
                <w:rFonts w:ascii="Arial" w:hAnsi="Arial" w:cs="Arial"/>
                <w:b/>
                <w:sz w:val="20"/>
                <w:szCs w:val="20"/>
              </w:rPr>
            </w:pPr>
            <w:r w:rsidRPr="00B877ED">
              <w:rPr>
                <w:rFonts w:ascii="Calibri" w:hAnsi="Calibri" w:cs="Calibri"/>
                <w:b/>
                <w:color w:val="000000"/>
                <w:sz w:val="22"/>
                <w:szCs w:val="22"/>
              </w:rPr>
              <w:t>49</w:t>
            </w:r>
          </w:p>
        </w:tc>
        <w:tc>
          <w:tcPr>
            <w:tcW w:w="1276" w:type="dxa"/>
          </w:tcPr>
          <w:p w14:paraId="3700F7A6" w14:textId="296771B5" w:rsidR="00B877ED" w:rsidRPr="0080728F" w:rsidRDefault="00B877ED" w:rsidP="00B877ED">
            <w:pPr>
              <w:pStyle w:val="NormalWeb"/>
              <w:spacing w:before="0" w:beforeAutospacing="0" w:after="0" w:afterAutospacing="0"/>
              <w:jc w:val="center"/>
              <w:rPr>
                <w:rFonts w:ascii="Arial" w:hAnsi="Arial" w:cs="Arial"/>
                <w:b/>
                <w:sz w:val="20"/>
                <w:szCs w:val="20"/>
              </w:rPr>
            </w:pPr>
            <w:r>
              <w:rPr>
                <w:rFonts w:ascii="Arial" w:hAnsi="Arial" w:cs="Arial"/>
                <w:b/>
                <w:sz w:val="20"/>
                <w:szCs w:val="20"/>
              </w:rPr>
              <w:t>IND68</w:t>
            </w:r>
          </w:p>
        </w:tc>
        <w:tc>
          <w:tcPr>
            <w:tcW w:w="1843" w:type="dxa"/>
          </w:tcPr>
          <w:p w14:paraId="3B295AB2" w14:textId="77777777" w:rsidR="00B877ED" w:rsidRPr="004B37EF" w:rsidRDefault="00B877ED" w:rsidP="00B877ED">
            <w:pPr>
              <w:jc w:val="center"/>
              <w:rPr>
                <w:rFonts w:ascii="Arial" w:hAnsi="Arial" w:cs="Arial"/>
                <w:b/>
                <w:sz w:val="20"/>
                <w:szCs w:val="20"/>
              </w:rPr>
            </w:pPr>
            <w:r w:rsidRPr="004B37EF">
              <w:rPr>
                <w:rFonts w:ascii="Arial" w:hAnsi="Arial" w:cs="Arial"/>
                <w:b/>
                <w:sz w:val="20"/>
                <w:szCs w:val="20"/>
              </w:rPr>
              <w:t>NHS England</w:t>
            </w:r>
          </w:p>
        </w:tc>
        <w:tc>
          <w:tcPr>
            <w:tcW w:w="10914" w:type="dxa"/>
          </w:tcPr>
          <w:p w14:paraId="3C892BC4" w14:textId="77777777" w:rsidR="00B877ED" w:rsidRPr="00BB23AB" w:rsidRDefault="00B877ED" w:rsidP="00B877ED">
            <w:pPr>
              <w:rPr>
                <w:rFonts w:ascii="Arial" w:hAnsi="Arial" w:cs="Arial"/>
                <w:sz w:val="20"/>
                <w:szCs w:val="20"/>
              </w:rPr>
            </w:pPr>
            <w:r w:rsidRPr="00BB23AB">
              <w:rPr>
                <w:rFonts w:ascii="Arial" w:hAnsi="Arial" w:cs="Arial"/>
                <w:sz w:val="20"/>
                <w:szCs w:val="20"/>
              </w:rPr>
              <w:t xml:space="preserve">This is sensible in principle, since exacerbations are an indicator of poor control. There needs to be a very clear definition of what constitutes an exacerbation and a method of coding “number of exacerbations in the last year” which is universally and consistently applied. The Primary Care Respiratory Society would suggest that the same approach is taken to coding this as is used for the National audit for COPD and asthma, to ensure consistency.  </w:t>
            </w:r>
          </w:p>
        </w:tc>
      </w:tr>
      <w:tr w:rsidR="00B877ED" w:rsidRPr="005A14A3" w14:paraId="2647D578" w14:textId="77777777" w:rsidTr="00AD1879">
        <w:tc>
          <w:tcPr>
            <w:tcW w:w="704" w:type="dxa"/>
          </w:tcPr>
          <w:p w14:paraId="78F6FF0A" w14:textId="0C6AEFF2" w:rsidR="00B877ED" w:rsidRPr="00B877ED" w:rsidRDefault="00B877ED" w:rsidP="00B877ED">
            <w:pPr>
              <w:jc w:val="center"/>
              <w:rPr>
                <w:rFonts w:ascii="Arial" w:hAnsi="Arial" w:cs="Arial"/>
                <w:b/>
                <w:sz w:val="20"/>
                <w:szCs w:val="20"/>
              </w:rPr>
            </w:pPr>
            <w:r w:rsidRPr="00B877ED">
              <w:rPr>
                <w:rFonts w:ascii="Calibri" w:hAnsi="Calibri" w:cs="Calibri"/>
                <w:b/>
                <w:color w:val="000000"/>
                <w:sz w:val="22"/>
                <w:szCs w:val="22"/>
              </w:rPr>
              <w:t>50</w:t>
            </w:r>
          </w:p>
        </w:tc>
        <w:tc>
          <w:tcPr>
            <w:tcW w:w="1276" w:type="dxa"/>
          </w:tcPr>
          <w:p w14:paraId="7AED32EA" w14:textId="162733B2" w:rsidR="00B877ED" w:rsidRPr="005A14A3" w:rsidRDefault="00B877ED" w:rsidP="00B877ED">
            <w:pPr>
              <w:jc w:val="center"/>
              <w:rPr>
                <w:rFonts w:ascii="Arial" w:hAnsi="Arial" w:cs="Arial"/>
                <w:b/>
                <w:sz w:val="20"/>
                <w:szCs w:val="20"/>
              </w:rPr>
            </w:pPr>
            <w:r w:rsidRPr="005A14A3">
              <w:rPr>
                <w:rFonts w:ascii="Arial" w:hAnsi="Arial" w:cs="Arial"/>
                <w:b/>
                <w:sz w:val="20"/>
                <w:szCs w:val="20"/>
              </w:rPr>
              <w:t>IND65</w:t>
            </w:r>
          </w:p>
          <w:p w14:paraId="78C74027" w14:textId="77777777" w:rsidR="00B877ED" w:rsidRPr="005A14A3" w:rsidRDefault="00B877ED" w:rsidP="00B877ED">
            <w:pPr>
              <w:jc w:val="center"/>
              <w:rPr>
                <w:rFonts w:ascii="Arial" w:hAnsi="Arial" w:cs="Arial"/>
                <w:b/>
                <w:sz w:val="20"/>
                <w:szCs w:val="20"/>
              </w:rPr>
            </w:pPr>
            <w:r w:rsidRPr="005A14A3">
              <w:rPr>
                <w:rFonts w:ascii="Arial" w:hAnsi="Arial" w:cs="Arial"/>
                <w:b/>
                <w:sz w:val="20"/>
                <w:szCs w:val="20"/>
              </w:rPr>
              <w:t>IND66</w:t>
            </w:r>
          </w:p>
          <w:p w14:paraId="0EF50FD5" w14:textId="77777777" w:rsidR="00B877ED" w:rsidRPr="005A14A3" w:rsidRDefault="00B877ED" w:rsidP="00B877ED">
            <w:pPr>
              <w:jc w:val="center"/>
              <w:rPr>
                <w:rFonts w:ascii="Arial" w:hAnsi="Arial" w:cs="Arial"/>
                <w:b/>
                <w:sz w:val="20"/>
                <w:szCs w:val="20"/>
              </w:rPr>
            </w:pPr>
            <w:r w:rsidRPr="005A14A3">
              <w:rPr>
                <w:rFonts w:ascii="Arial" w:hAnsi="Arial" w:cs="Arial"/>
                <w:b/>
                <w:sz w:val="20"/>
                <w:szCs w:val="20"/>
              </w:rPr>
              <w:t>IND68</w:t>
            </w:r>
          </w:p>
          <w:p w14:paraId="6A6D1500" w14:textId="77777777" w:rsidR="00B877ED" w:rsidRPr="005A14A3" w:rsidRDefault="00B877ED" w:rsidP="00B877ED">
            <w:pPr>
              <w:jc w:val="center"/>
              <w:rPr>
                <w:rFonts w:ascii="Arial" w:hAnsi="Arial" w:cs="Arial"/>
                <w:b/>
                <w:sz w:val="20"/>
                <w:szCs w:val="20"/>
              </w:rPr>
            </w:pPr>
            <w:r w:rsidRPr="005A14A3">
              <w:rPr>
                <w:rFonts w:ascii="Arial" w:hAnsi="Arial" w:cs="Arial"/>
                <w:b/>
                <w:sz w:val="20"/>
                <w:szCs w:val="20"/>
              </w:rPr>
              <w:t>IND72</w:t>
            </w:r>
          </w:p>
        </w:tc>
        <w:tc>
          <w:tcPr>
            <w:tcW w:w="1843" w:type="dxa"/>
          </w:tcPr>
          <w:p w14:paraId="75CB8ACC" w14:textId="77777777" w:rsidR="00B877ED" w:rsidRPr="005A14A3" w:rsidRDefault="00B877ED" w:rsidP="00B877ED">
            <w:pPr>
              <w:jc w:val="center"/>
              <w:rPr>
                <w:rFonts w:ascii="Arial" w:hAnsi="Arial" w:cs="Arial"/>
                <w:b/>
                <w:sz w:val="20"/>
                <w:szCs w:val="20"/>
              </w:rPr>
            </w:pPr>
            <w:r w:rsidRPr="005A14A3">
              <w:rPr>
                <w:rFonts w:ascii="Arial" w:hAnsi="Arial" w:cs="Arial"/>
                <w:b/>
                <w:sz w:val="20"/>
                <w:szCs w:val="20"/>
              </w:rPr>
              <w:t>Resuscitation Council (UK)</w:t>
            </w:r>
          </w:p>
        </w:tc>
        <w:tc>
          <w:tcPr>
            <w:tcW w:w="10914" w:type="dxa"/>
          </w:tcPr>
          <w:p w14:paraId="1C98A03C" w14:textId="77777777" w:rsidR="00B877ED" w:rsidRPr="005A14A3" w:rsidRDefault="00B877ED" w:rsidP="00B877ED">
            <w:pPr>
              <w:rPr>
                <w:rFonts w:ascii="Arial" w:hAnsi="Arial" w:cs="Arial"/>
                <w:sz w:val="20"/>
                <w:szCs w:val="20"/>
              </w:rPr>
            </w:pPr>
            <w:r w:rsidRPr="005A14A3">
              <w:rPr>
                <w:rFonts w:ascii="Arial" w:hAnsi="Arial" w:cs="Arial"/>
                <w:sz w:val="20"/>
                <w:szCs w:val="20"/>
              </w:rPr>
              <w:t>The proposed initial wording of these indicators is ‘The percentage of patients with asthma/COPD/heart failure on the register…’ We believe that these sentences would be better worded ‘The percentage of patients on the register with asthma/COPD/heart failure…’. This is a minor point relative to our other more important comments.</w:t>
            </w:r>
          </w:p>
        </w:tc>
      </w:tr>
    </w:tbl>
    <w:p w14:paraId="48F7C7B3" w14:textId="77777777" w:rsidR="00F87E9D" w:rsidRDefault="00F87E9D" w:rsidP="00ED6AAF">
      <w:pPr>
        <w:pStyle w:val="Heading1"/>
        <w:sectPr w:rsidR="00F87E9D" w:rsidSect="00E861CD">
          <w:pgSz w:w="16840" w:h="11907" w:orient="landscape" w:code="9"/>
          <w:pgMar w:top="1797" w:right="1440" w:bottom="1797" w:left="1440" w:header="709" w:footer="709" w:gutter="0"/>
          <w:cols w:space="708"/>
          <w:docGrid w:linePitch="360"/>
        </w:sectPr>
      </w:pPr>
    </w:p>
    <w:bookmarkEnd w:id="16"/>
    <w:p w14:paraId="1CCFB353" w14:textId="00CBDD42" w:rsidR="00622D1C" w:rsidRDefault="00622D1C" w:rsidP="00F53495">
      <w:pPr>
        <w:pStyle w:val="Paragraph"/>
        <w:spacing w:line="240" w:lineRule="auto"/>
        <w:rPr>
          <w:rFonts w:cs="Arial"/>
          <w:sz w:val="22"/>
          <w:szCs w:val="22"/>
        </w:rPr>
      </w:pPr>
    </w:p>
    <w:p w14:paraId="27F3EE51" w14:textId="77777777" w:rsidR="00622D1C" w:rsidRPr="006966FC" w:rsidRDefault="00622D1C" w:rsidP="00F53495">
      <w:pPr>
        <w:pStyle w:val="Paragraph"/>
        <w:spacing w:line="240" w:lineRule="auto"/>
        <w:rPr>
          <w:rFonts w:cs="Arial"/>
          <w:sz w:val="22"/>
          <w:szCs w:val="22"/>
        </w:rPr>
      </w:pPr>
    </w:p>
    <w:sectPr w:rsidR="00622D1C" w:rsidRPr="006966FC" w:rsidSect="00AB1161">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28B0D" w14:textId="77777777" w:rsidR="00A27551" w:rsidRDefault="00A27551" w:rsidP="00446BEE">
      <w:r>
        <w:separator/>
      </w:r>
    </w:p>
  </w:endnote>
  <w:endnote w:type="continuationSeparator" w:id="0">
    <w:p w14:paraId="4134D6C2" w14:textId="77777777" w:rsidR="00A27551" w:rsidRDefault="00A27551"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roman"/>
    <w:notTrueType/>
    <w:pitch w:val="default"/>
  </w:font>
  <w:font w:name="MS-Gothic">
    <w:altName w:val="Cambria"/>
    <w:panose1 w:val="00000000000000000000"/>
    <w:charset w:val="00"/>
    <w:family w:val="roman"/>
    <w:notTrueType/>
    <w:pitch w:val="default"/>
  </w:font>
  <w:font w:name="Frutiger 45 Light">
    <w:altName w:val="Calibri"/>
    <w:panose1 w:val="00000000000000000000"/>
    <w:charset w:val="00"/>
    <w:family w:val="swiss"/>
    <w:notTrueType/>
    <w:pitch w:val="default"/>
    <w:sig w:usb0="00000003" w:usb1="00000000" w:usb2="00000000" w:usb3="00000000" w:csb0="00000001" w:csb1="00000000"/>
  </w:font>
  <w:font w:name="SegoeUISymbol">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DE024" w14:textId="77777777" w:rsidR="00A27551" w:rsidRDefault="00A27551" w:rsidP="001E08E9">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4EED8" w14:textId="77777777" w:rsidR="00A27551" w:rsidRDefault="00A27551" w:rsidP="00446BEE">
      <w:r>
        <w:separator/>
      </w:r>
    </w:p>
  </w:footnote>
  <w:footnote w:type="continuationSeparator" w:id="0">
    <w:p w14:paraId="19DA8134" w14:textId="77777777" w:rsidR="00A27551" w:rsidRDefault="00A27551"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2ABB8" w14:textId="433858F1" w:rsidR="00A27551" w:rsidRDefault="00A27551" w:rsidP="001E08E9">
    <w:pPr>
      <w:pStyle w:val="Header"/>
      <w:jc w:val="right"/>
      <w:rPr>
        <w:b/>
        <w:bCs/>
        <w:sz w:val="22"/>
        <w:szCs w:val="22"/>
      </w:rPr>
    </w:pPr>
    <w:r>
      <w:rPr>
        <w:b/>
        <w:bCs/>
        <w:sz w:val="22"/>
        <w:szCs w:val="22"/>
      </w:rPr>
      <w:t xml:space="preserve">ITEM </w:t>
    </w:r>
    <w:r w:rsidR="00D5210B">
      <w:rPr>
        <w:b/>
        <w:bCs/>
        <w:sz w:val="22"/>
        <w:szCs w:val="22"/>
      </w:rPr>
      <w:t>5b</w:t>
    </w:r>
    <w:r>
      <w:rPr>
        <w:b/>
        <w:bCs/>
        <w:sz w:val="22"/>
        <w:szCs w:val="22"/>
      </w:rPr>
      <w:t xml:space="preserve"> COPD – consultation report</w:t>
    </w:r>
  </w:p>
  <w:p w14:paraId="5A1279D9" w14:textId="77777777" w:rsidR="00A27551" w:rsidRDefault="00A27551" w:rsidP="00482C01">
    <w:pPr>
      <w:pStyle w:val="Header"/>
      <w:tabs>
        <w:tab w:val="left" w:pos="2768"/>
        <w:tab w:val="center" w:pos="4156"/>
      </w:tabs>
      <w:jc w:val="center"/>
      <w:rPr>
        <w:b/>
        <w:color w:val="FF0000"/>
        <w:sz w:val="32"/>
        <w:szCs w:val="32"/>
      </w:rPr>
    </w:pPr>
  </w:p>
  <w:p w14:paraId="5C9EFA4C" w14:textId="77777777" w:rsidR="00A27551" w:rsidRPr="00482C01" w:rsidRDefault="00A27551" w:rsidP="00AD1879">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1D21570"/>
    <w:multiLevelType w:val="hybridMultilevel"/>
    <w:tmpl w:val="359ACBF4"/>
    <w:lvl w:ilvl="0" w:tplc="0448A9BC">
      <w:start w:val="1"/>
      <w:numFmt w:val="decimal"/>
      <w:lvlText w:val="%1."/>
      <w:lvlJc w:val="left"/>
      <w:pPr>
        <w:ind w:left="720" w:hanging="360"/>
      </w:pPr>
      <w:rPr>
        <w:sz w:val="16"/>
        <w:szCs w:val="16"/>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5652AC6"/>
    <w:multiLevelType w:val="hybridMultilevel"/>
    <w:tmpl w:val="454851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4"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0D2576A8"/>
    <w:multiLevelType w:val="hybridMultilevel"/>
    <w:tmpl w:val="C62E495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6" w15:restartNumberingAfterBreak="0">
    <w:nsid w:val="131F4DA0"/>
    <w:multiLevelType w:val="hybridMultilevel"/>
    <w:tmpl w:val="5F42BD58"/>
    <w:lvl w:ilvl="0" w:tplc="08090001">
      <w:start w:val="1"/>
      <w:numFmt w:val="bullet"/>
      <w:lvlText w:val=""/>
      <w:lvlJc w:val="left"/>
      <w:pPr>
        <w:ind w:left="9360" w:hanging="360"/>
      </w:pPr>
      <w:rPr>
        <w:rFonts w:ascii="Symbol" w:hAnsi="Symbol" w:hint="default"/>
      </w:rPr>
    </w:lvl>
    <w:lvl w:ilvl="1" w:tplc="08090003" w:tentative="1">
      <w:start w:val="1"/>
      <w:numFmt w:val="bullet"/>
      <w:lvlText w:val="o"/>
      <w:lvlJc w:val="left"/>
      <w:pPr>
        <w:ind w:left="10080" w:hanging="360"/>
      </w:pPr>
      <w:rPr>
        <w:rFonts w:ascii="Courier New" w:hAnsi="Courier New" w:cs="Courier New" w:hint="default"/>
      </w:rPr>
    </w:lvl>
    <w:lvl w:ilvl="2" w:tplc="08090005" w:tentative="1">
      <w:start w:val="1"/>
      <w:numFmt w:val="bullet"/>
      <w:lvlText w:val=""/>
      <w:lvlJc w:val="left"/>
      <w:pPr>
        <w:ind w:left="10800" w:hanging="360"/>
      </w:pPr>
      <w:rPr>
        <w:rFonts w:ascii="Wingdings" w:hAnsi="Wingdings" w:hint="default"/>
      </w:rPr>
    </w:lvl>
    <w:lvl w:ilvl="3" w:tplc="08090001" w:tentative="1">
      <w:start w:val="1"/>
      <w:numFmt w:val="bullet"/>
      <w:lvlText w:val=""/>
      <w:lvlJc w:val="left"/>
      <w:pPr>
        <w:ind w:left="11520" w:hanging="360"/>
      </w:pPr>
      <w:rPr>
        <w:rFonts w:ascii="Symbol" w:hAnsi="Symbol" w:hint="default"/>
      </w:rPr>
    </w:lvl>
    <w:lvl w:ilvl="4" w:tplc="08090003" w:tentative="1">
      <w:start w:val="1"/>
      <w:numFmt w:val="bullet"/>
      <w:lvlText w:val="o"/>
      <w:lvlJc w:val="left"/>
      <w:pPr>
        <w:ind w:left="12240" w:hanging="360"/>
      </w:pPr>
      <w:rPr>
        <w:rFonts w:ascii="Courier New" w:hAnsi="Courier New" w:cs="Courier New" w:hint="default"/>
      </w:rPr>
    </w:lvl>
    <w:lvl w:ilvl="5" w:tplc="08090005" w:tentative="1">
      <w:start w:val="1"/>
      <w:numFmt w:val="bullet"/>
      <w:lvlText w:val=""/>
      <w:lvlJc w:val="left"/>
      <w:pPr>
        <w:ind w:left="12960" w:hanging="360"/>
      </w:pPr>
      <w:rPr>
        <w:rFonts w:ascii="Wingdings" w:hAnsi="Wingdings" w:hint="default"/>
      </w:rPr>
    </w:lvl>
    <w:lvl w:ilvl="6" w:tplc="08090001" w:tentative="1">
      <w:start w:val="1"/>
      <w:numFmt w:val="bullet"/>
      <w:lvlText w:val=""/>
      <w:lvlJc w:val="left"/>
      <w:pPr>
        <w:ind w:left="13680" w:hanging="360"/>
      </w:pPr>
      <w:rPr>
        <w:rFonts w:ascii="Symbol" w:hAnsi="Symbol" w:hint="default"/>
      </w:rPr>
    </w:lvl>
    <w:lvl w:ilvl="7" w:tplc="08090003" w:tentative="1">
      <w:start w:val="1"/>
      <w:numFmt w:val="bullet"/>
      <w:lvlText w:val="o"/>
      <w:lvlJc w:val="left"/>
      <w:pPr>
        <w:ind w:left="14400" w:hanging="360"/>
      </w:pPr>
      <w:rPr>
        <w:rFonts w:ascii="Courier New" w:hAnsi="Courier New" w:cs="Courier New" w:hint="default"/>
      </w:rPr>
    </w:lvl>
    <w:lvl w:ilvl="8" w:tplc="08090005" w:tentative="1">
      <w:start w:val="1"/>
      <w:numFmt w:val="bullet"/>
      <w:lvlText w:val=""/>
      <w:lvlJc w:val="left"/>
      <w:pPr>
        <w:ind w:left="15120" w:hanging="360"/>
      </w:pPr>
      <w:rPr>
        <w:rFonts w:ascii="Wingdings" w:hAnsi="Wingdings" w:hint="default"/>
      </w:rPr>
    </w:lvl>
  </w:abstractNum>
  <w:abstractNum w:abstractNumId="7"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9" w15:restartNumberingAfterBreak="0">
    <w:nsid w:val="158128E4"/>
    <w:multiLevelType w:val="hybridMultilevel"/>
    <w:tmpl w:val="FD74D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A1B3835"/>
    <w:multiLevelType w:val="multilevel"/>
    <w:tmpl w:val="336E66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3BA41DE"/>
    <w:multiLevelType w:val="hybridMultilevel"/>
    <w:tmpl w:val="90685454"/>
    <w:lvl w:ilvl="0" w:tplc="832003AA">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4451642"/>
    <w:multiLevelType w:val="hybridMultilevel"/>
    <w:tmpl w:val="535C6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2352D2"/>
    <w:multiLevelType w:val="hybridMultilevel"/>
    <w:tmpl w:val="87042398"/>
    <w:lvl w:ilvl="0" w:tplc="857A05D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1"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5A130CC"/>
    <w:multiLevelType w:val="hybridMultilevel"/>
    <w:tmpl w:val="10EEBB0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6AC1B4D"/>
    <w:multiLevelType w:val="hybridMultilevel"/>
    <w:tmpl w:val="20885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BA2C6F"/>
    <w:multiLevelType w:val="hybridMultilevel"/>
    <w:tmpl w:val="B6D82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9" w15:restartNumberingAfterBreak="0">
    <w:nsid w:val="45CD0774"/>
    <w:multiLevelType w:val="hybridMultilevel"/>
    <w:tmpl w:val="0B867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1" w15:restartNumberingAfterBreak="0">
    <w:nsid w:val="473B785D"/>
    <w:multiLevelType w:val="hybridMultilevel"/>
    <w:tmpl w:val="C6228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4F1C36F6"/>
    <w:multiLevelType w:val="hybridMultilevel"/>
    <w:tmpl w:val="CF941BFE"/>
    <w:lvl w:ilvl="0" w:tplc="1EBA43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0B2DF3"/>
    <w:multiLevelType w:val="hybridMultilevel"/>
    <w:tmpl w:val="E49E14C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0" w15:restartNumberingAfterBreak="0">
    <w:nsid w:val="67B973E0"/>
    <w:multiLevelType w:val="hybridMultilevel"/>
    <w:tmpl w:val="33E64F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4D5709"/>
    <w:multiLevelType w:val="hybridMultilevel"/>
    <w:tmpl w:val="59127AE2"/>
    <w:lvl w:ilvl="0" w:tplc="B6288B2A">
      <w:start w:val="1"/>
      <w:numFmt w:val="decimal"/>
      <w:lvlText w:val="%1."/>
      <w:lvlJc w:val="left"/>
      <w:pPr>
        <w:ind w:left="720" w:hanging="360"/>
      </w:pPr>
      <w:rPr>
        <w:sz w:val="16"/>
        <w:szCs w:val="16"/>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7F792816"/>
    <w:multiLevelType w:val="hybridMultilevel"/>
    <w:tmpl w:val="A4EEB8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41"/>
  </w:num>
  <w:num w:numId="2">
    <w:abstractNumId w:val="15"/>
  </w:num>
  <w:num w:numId="3">
    <w:abstractNumId w:val="36"/>
  </w:num>
  <w:num w:numId="4">
    <w:abstractNumId w:val="16"/>
  </w:num>
  <w:num w:numId="5">
    <w:abstractNumId w:val="32"/>
  </w:num>
  <w:num w:numId="6">
    <w:abstractNumId w:val="3"/>
  </w:num>
  <w:num w:numId="7">
    <w:abstractNumId w:val="14"/>
  </w:num>
  <w:num w:numId="8">
    <w:abstractNumId w:val="28"/>
  </w:num>
  <w:num w:numId="9">
    <w:abstractNumId w:val="30"/>
  </w:num>
  <w:num w:numId="10">
    <w:abstractNumId w:val="8"/>
  </w:num>
  <w:num w:numId="11">
    <w:abstractNumId w:val="12"/>
  </w:num>
  <w:num w:numId="12">
    <w:abstractNumId w:val="4"/>
  </w:num>
  <w:num w:numId="13">
    <w:abstractNumId w:val="39"/>
  </w:num>
  <w:num w:numId="14">
    <w:abstractNumId w:val="20"/>
  </w:num>
  <w:num w:numId="15">
    <w:abstractNumId w:val="13"/>
  </w:num>
  <w:num w:numId="16">
    <w:abstractNumId w:val="23"/>
  </w:num>
  <w:num w:numId="17">
    <w:abstractNumId w:val="21"/>
  </w:num>
  <w:num w:numId="18">
    <w:abstractNumId w:val="27"/>
  </w:num>
  <w:num w:numId="19">
    <w:abstractNumId w:val="34"/>
  </w:num>
  <w:num w:numId="20">
    <w:abstractNumId w:val="10"/>
  </w:num>
  <w:num w:numId="21">
    <w:abstractNumId w:val="38"/>
  </w:num>
  <w:num w:numId="22">
    <w:abstractNumId w:val="0"/>
  </w:num>
  <w:num w:numId="23">
    <w:abstractNumId w:val="7"/>
  </w:num>
  <w:num w:numId="24">
    <w:abstractNumId w:val="35"/>
  </w:num>
  <w:num w:numId="25">
    <w:abstractNumId w:val="22"/>
  </w:num>
  <w:num w:numId="26">
    <w:abstractNumId w:val="33"/>
  </w:num>
  <w:num w:numId="27">
    <w:abstractNumId w:val="11"/>
  </w:num>
  <w:num w:numId="28">
    <w:abstractNumId w:val="24"/>
  </w:num>
  <w:num w:numId="29">
    <w:abstractNumId w:val="29"/>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25"/>
  </w:num>
  <w:num w:numId="39">
    <w:abstractNumId w:val="31"/>
  </w:num>
  <w:num w:numId="40">
    <w:abstractNumId w:val="26"/>
  </w:num>
  <w:num w:numId="41">
    <w:abstractNumId w:val="9"/>
  </w:num>
  <w:num w:numId="42">
    <w:abstractNumId w:val="37"/>
  </w:num>
  <w:num w:numId="43">
    <w:abstractNumId w:val="5"/>
  </w:num>
  <w:num w:numId="44">
    <w:abstractNumId w:val="6"/>
  </w:num>
  <w:num w:numId="45">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BE"/>
    <w:rsid w:val="00002AC5"/>
    <w:rsid w:val="00011FC6"/>
    <w:rsid w:val="0001222B"/>
    <w:rsid w:val="00016234"/>
    <w:rsid w:val="00024D0A"/>
    <w:rsid w:val="000300AE"/>
    <w:rsid w:val="00030385"/>
    <w:rsid w:val="0003213D"/>
    <w:rsid w:val="00037552"/>
    <w:rsid w:val="00052A67"/>
    <w:rsid w:val="00052B85"/>
    <w:rsid w:val="00060DA1"/>
    <w:rsid w:val="00063B7C"/>
    <w:rsid w:val="0006775F"/>
    <w:rsid w:val="00070065"/>
    <w:rsid w:val="0007042D"/>
    <w:rsid w:val="00077062"/>
    <w:rsid w:val="00081C69"/>
    <w:rsid w:val="000853CB"/>
    <w:rsid w:val="000A638C"/>
    <w:rsid w:val="000A7163"/>
    <w:rsid w:val="000B34B8"/>
    <w:rsid w:val="000B4C6A"/>
    <w:rsid w:val="000B5939"/>
    <w:rsid w:val="000B5EBE"/>
    <w:rsid w:val="000C22B9"/>
    <w:rsid w:val="000C4EE8"/>
    <w:rsid w:val="000C5085"/>
    <w:rsid w:val="000D1487"/>
    <w:rsid w:val="000D3776"/>
    <w:rsid w:val="001131E2"/>
    <w:rsid w:val="001134E7"/>
    <w:rsid w:val="00134FDA"/>
    <w:rsid w:val="00135081"/>
    <w:rsid w:val="001352C4"/>
    <w:rsid w:val="001368F7"/>
    <w:rsid w:val="001413FC"/>
    <w:rsid w:val="001503E8"/>
    <w:rsid w:val="00165B01"/>
    <w:rsid w:val="00166C1A"/>
    <w:rsid w:val="0017169E"/>
    <w:rsid w:val="0017396B"/>
    <w:rsid w:val="00175BE8"/>
    <w:rsid w:val="0018281C"/>
    <w:rsid w:val="00185F6B"/>
    <w:rsid w:val="00187404"/>
    <w:rsid w:val="00192188"/>
    <w:rsid w:val="00194E6C"/>
    <w:rsid w:val="001A056C"/>
    <w:rsid w:val="001A23E4"/>
    <w:rsid w:val="001A281B"/>
    <w:rsid w:val="001A48E7"/>
    <w:rsid w:val="001A7DB5"/>
    <w:rsid w:val="001B3C11"/>
    <w:rsid w:val="001B3FEC"/>
    <w:rsid w:val="001B65B3"/>
    <w:rsid w:val="001C11C4"/>
    <w:rsid w:val="001C74F4"/>
    <w:rsid w:val="001D0D90"/>
    <w:rsid w:val="001D3D36"/>
    <w:rsid w:val="001D6E16"/>
    <w:rsid w:val="001E08E9"/>
    <w:rsid w:val="001F1315"/>
    <w:rsid w:val="001F1D2D"/>
    <w:rsid w:val="00205FBE"/>
    <w:rsid w:val="00210375"/>
    <w:rsid w:val="002128D3"/>
    <w:rsid w:val="00214A72"/>
    <w:rsid w:val="0022189B"/>
    <w:rsid w:val="002229AD"/>
    <w:rsid w:val="00224AEE"/>
    <w:rsid w:val="00225FF4"/>
    <w:rsid w:val="002331C6"/>
    <w:rsid w:val="002408EA"/>
    <w:rsid w:val="00241410"/>
    <w:rsid w:val="00251AF2"/>
    <w:rsid w:val="002563DF"/>
    <w:rsid w:val="0026108E"/>
    <w:rsid w:val="00266AA6"/>
    <w:rsid w:val="00266B50"/>
    <w:rsid w:val="00270605"/>
    <w:rsid w:val="00271804"/>
    <w:rsid w:val="00271857"/>
    <w:rsid w:val="00277ED2"/>
    <w:rsid w:val="00280F8A"/>
    <w:rsid w:val="00286C3A"/>
    <w:rsid w:val="00291A5B"/>
    <w:rsid w:val="002A51E4"/>
    <w:rsid w:val="002A5503"/>
    <w:rsid w:val="002B71D2"/>
    <w:rsid w:val="002C1A7E"/>
    <w:rsid w:val="002C2893"/>
    <w:rsid w:val="002C5BFD"/>
    <w:rsid w:val="002C73DF"/>
    <w:rsid w:val="002D12BB"/>
    <w:rsid w:val="002D20E7"/>
    <w:rsid w:val="002D2CC4"/>
    <w:rsid w:val="002D7242"/>
    <w:rsid w:val="002F2EEF"/>
    <w:rsid w:val="002F3E31"/>
    <w:rsid w:val="002F58D0"/>
    <w:rsid w:val="002F69F1"/>
    <w:rsid w:val="0030244C"/>
    <w:rsid w:val="003030A7"/>
    <w:rsid w:val="003052E9"/>
    <w:rsid w:val="00311ED0"/>
    <w:rsid w:val="0031497D"/>
    <w:rsid w:val="00316D48"/>
    <w:rsid w:val="00324C60"/>
    <w:rsid w:val="00326131"/>
    <w:rsid w:val="00326482"/>
    <w:rsid w:val="00330EED"/>
    <w:rsid w:val="0033631A"/>
    <w:rsid w:val="00336946"/>
    <w:rsid w:val="00351FDE"/>
    <w:rsid w:val="00355BED"/>
    <w:rsid w:val="00357C1E"/>
    <w:rsid w:val="003604C3"/>
    <w:rsid w:val="00362EE3"/>
    <w:rsid w:val="00365698"/>
    <w:rsid w:val="00371E29"/>
    <w:rsid w:val="003722FA"/>
    <w:rsid w:val="00373EA4"/>
    <w:rsid w:val="00374EB6"/>
    <w:rsid w:val="00375AE7"/>
    <w:rsid w:val="00377277"/>
    <w:rsid w:val="00381BEA"/>
    <w:rsid w:val="00381FB7"/>
    <w:rsid w:val="00384141"/>
    <w:rsid w:val="003861AC"/>
    <w:rsid w:val="00391E74"/>
    <w:rsid w:val="003953C7"/>
    <w:rsid w:val="003B1C33"/>
    <w:rsid w:val="003B69AA"/>
    <w:rsid w:val="003C39D1"/>
    <w:rsid w:val="003C7AAF"/>
    <w:rsid w:val="003D58F7"/>
    <w:rsid w:val="003D6018"/>
    <w:rsid w:val="003E12B1"/>
    <w:rsid w:val="003E1787"/>
    <w:rsid w:val="003E22FC"/>
    <w:rsid w:val="003F2EC0"/>
    <w:rsid w:val="003F40D1"/>
    <w:rsid w:val="003F42F7"/>
    <w:rsid w:val="003F540E"/>
    <w:rsid w:val="003F7CE6"/>
    <w:rsid w:val="003F7D78"/>
    <w:rsid w:val="004075B6"/>
    <w:rsid w:val="0041238E"/>
    <w:rsid w:val="004150FB"/>
    <w:rsid w:val="00420952"/>
    <w:rsid w:val="00423DB4"/>
    <w:rsid w:val="0042425C"/>
    <w:rsid w:val="004271A0"/>
    <w:rsid w:val="00446BEE"/>
    <w:rsid w:val="00461C01"/>
    <w:rsid w:val="0046709A"/>
    <w:rsid w:val="00472CEC"/>
    <w:rsid w:val="004744F6"/>
    <w:rsid w:val="00474FE4"/>
    <w:rsid w:val="00475C7C"/>
    <w:rsid w:val="00475D8E"/>
    <w:rsid w:val="0047731B"/>
    <w:rsid w:val="004824B6"/>
    <w:rsid w:val="00482C01"/>
    <w:rsid w:val="0048353B"/>
    <w:rsid w:val="00486953"/>
    <w:rsid w:val="0049285D"/>
    <w:rsid w:val="00492AC8"/>
    <w:rsid w:val="00496B1E"/>
    <w:rsid w:val="00497AD3"/>
    <w:rsid w:val="004A13E2"/>
    <w:rsid w:val="004A237B"/>
    <w:rsid w:val="004B37EF"/>
    <w:rsid w:val="004B4360"/>
    <w:rsid w:val="004B688D"/>
    <w:rsid w:val="004C3670"/>
    <w:rsid w:val="004C3BFD"/>
    <w:rsid w:val="004C7E15"/>
    <w:rsid w:val="004D26AD"/>
    <w:rsid w:val="004D39E2"/>
    <w:rsid w:val="004E54B6"/>
    <w:rsid w:val="004F3269"/>
    <w:rsid w:val="005025A1"/>
    <w:rsid w:val="00502C4B"/>
    <w:rsid w:val="0050409D"/>
    <w:rsid w:val="00505407"/>
    <w:rsid w:val="00505DA4"/>
    <w:rsid w:val="005138B7"/>
    <w:rsid w:val="005249CF"/>
    <w:rsid w:val="00525DD1"/>
    <w:rsid w:val="00551EA9"/>
    <w:rsid w:val="00555CC8"/>
    <w:rsid w:val="00556B58"/>
    <w:rsid w:val="005577FA"/>
    <w:rsid w:val="005605BA"/>
    <w:rsid w:val="00571370"/>
    <w:rsid w:val="00575207"/>
    <w:rsid w:val="00580FF4"/>
    <w:rsid w:val="00583913"/>
    <w:rsid w:val="005842A7"/>
    <w:rsid w:val="00586210"/>
    <w:rsid w:val="005935C0"/>
    <w:rsid w:val="005A014D"/>
    <w:rsid w:val="005A14A3"/>
    <w:rsid w:val="005A188D"/>
    <w:rsid w:val="005A64F3"/>
    <w:rsid w:val="005A6AB3"/>
    <w:rsid w:val="005B0095"/>
    <w:rsid w:val="005B5C8B"/>
    <w:rsid w:val="005B6AB8"/>
    <w:rsid w:val="005D0007"/>
    <w:rsid w:val="005D1E0A"/>
    <w:rsid w:val="005E437F"/>
    <w:rsid w:val="005F3C5C"/>
    <w:rsid w:val="005F5AFD"/>
    <w:rsid w:val="005F6F0A"/>
    <w:rsid w:val="0061221F"/>
    <w:rsid w:val="00614078"/>
    <w:rsid w:val="006150A0"/>
    <w:rsid w:val="0062228B"/>
    <w:rsid w:val="00622D1C"/>
    <w:rsid w:val="00624430"/>
    <w:rsid w:val="00625AEE"/>
    <w:rsid w:val="00627687"/>
    <w:rsid w:val="00641677"/>
    <w:rsid w:val="00642C45"/>
    <w:rsid w:val="0064313B"/>
    <w:rsid w:val="0064604F"/>
    <w:rsid w:val="00651D20"/>
    <w:rsid w:val="006557A6"/>
    <w:rsid w:val="00657C65"/>
    <w:rsid w:val="00664F8F"/>
    <w:rsid w:val="00666A4E"/>
    <w:rsid w:val="00667C21"/>
    <w:rsid w:val="006814B9"/>
    <w:rsid w:val="00683913"/>
    <w:rsid w:val="0068417E"/>
    <w:rsid w:val="006921E1"/>
    <w:rsid w:val="006937D0"/>
    <w:rsid w:val="00693996"/>
    <w:rsid w:val="00696325"/>
    <w:rsid w:val="006966FC"/>
    <w:rsid w:val="006D4325"/>
    <w:rsid w:val="006D55A6"/>
    <w:rsid w:val="006D6BD0"/>
    <w:rsid w:val="006E2124"/>
    <w:rsid w:val="006E4E37"/>
    <w:rsid w:val="006F17D4"/>
    <w:rsid w:val="006F6463"/>
    <w:rsid w:val="0070542C"/>
    <w:rsid w:val="007139DD"/>
    <w:rsid w:val="00716007"/>
    <w:rsid w:val="007235D3"/>
    <w:rsid w:val="00730AA4"/>
    <w:rsid w:val="00736348"/>
    <w:rsid w:val="00736D41"/>
    <w:rsid w:val="00737933"/>
    <w:rsid w:val="00737F84"/>
    <w:rsid w:val="00740203"/>
    <w:rsid w:val="007469C6"/>
    <w:rsid w:val="00746C13"/>
    <w:rsid w:val="00752F55"/>
    <w:rsid w:val="007573F4"/>
    <w:rsid w:val="007646C3"/>
    <w:rsid w:val="0076595B"/>
    <w:rsid w:val="00770B9A"/>
    <w:rsid w:val="007718E7"/>
    <w:rsid w:val="007825BE"/>
    <w:rsid w:val="007839C3"/>
    <w:rsid w:val="00792D69"/>
    <w:rsid w:val="0079772A"/>
    <w:rsid w:val="007979B3"/>
    <w:rsid w:val="007B5378"/>
    <w:rsid w:val="007B7EEA"/>
    <w:rsid w:val="007C4561"/>
    <w:rsid w:val="007D31FD"/>
    <w:rsid w:val="007D7C52"/>
    <w:rsid w:val="007E2014"/>
    <w:rsid w:val="007E6A87"/>
    <w:rsid w:val="007E78BD"/>
    <w:rsid w:val="007F14A6"/>
    <w:rsid w:val="007F1C47"/>
    <w:rsid w:val="007F2EB4"/>
    <w:rsid w:val="007F71A5"/>
    <w:rsid w:val="007F7F72"/>
    <w:rsid w:val="008010D5"/>
    <w:rsid w:val="00802828"/>
    <w:rsid w:val="0080288C"/>
    <w:rsid w:val="0080417F"/>
    <w:rsid w:val="00804466"/>
    <w:rsid w:val="00810C89"/>
    <w:rsid w:val="008137AD"/>
    <w:rsid w:val="00813C4A"/>
    <w:rsid w:val="00820118"/>
    <w:rsid w:val="00822301"/>
    <w:rsid w:val="008318F6"/>
    <w:rsid w:val="008331BB"/>
    <w:rsid w:val="00833D43"/>
    <w:rsid w:val="00840FF7"/>
    <w:rsid w:val="00841169"/>
    <w:rsid w:val="00845593"/>
    <w:rsid w:val="00855549"/>
    <w:rsid w:val="00857A33"/>
    <w:rsid w:val="00861B3D"/>
    <w:rsid w:val="00867262"/>
    <w:rsid w:val="00870BDD"/>
    <w:rsid w:val="008717F1"/>
    <w:rsid w:val="00876F5C"/>
    <w:rsid w:val="00880ED3"/>
    <w:rsid w:val="008904D0"/>
    <w:rsid w:val="008924E3"/>
    <w:rsid w:val="008A1DAE"/>
    <w:rsid w:val="008A3D62"/>
    <w:rsid w:val="008A6605"/>
    <w:rsid w:val="008B0428"/>
    <w:rsid w:val="008B4B98"/>
    <w:rsid w:val="008C183F"/>
    <w:rsid w:val="008C4122"/>
    <w:rsid w:val="008C669E"/>
    <w:rsid w:val="008D6A3E"/>
    <w:rsid w:val="008E5BA8"/>
    <w:rsid w:val="008E664D"/>
    <w:rsid w:val="008E6FCA"/>
    <w:rsid w:val="008F27F0"/>
    <w:rsid w:val="008F61C4"/>
    <w:rsid w:val="00900B98"/>
    <w:rsid w:val="009019A9"/>
    <w:rsid w:val="00907BFE"/>
    <w:rsid w:val="00907C13"/>
    <w:rsid w:val="00913634"/>
    <w:rsid w:val="0091391C"/>
    <w:rsid w:val="00916CED"/>
    <w:rsid w:val="00917D07"/>
    <w:rsid w:val="0092122F"/>
    <w:rsid w:val="00925F15"/>
    <w:rsid w:val="0093543E"/>
    <w:rsid w:val="00937E8B"/>
    <w:rsid w:val="009460E7"/>
    <w:rsid w:val="009471FE"/>
    <w:rsid w:val="00947FDB"/>
    <w:rsid w:val="009543A4"/>
    <w:rsid w:val="00960CC3"/>
    <w:rsid w:val="0096180D"/>
    <w:rsid w:val="00962360"/>
    <w:rsid w:val="00974156"/>
    <w:rsid w:val="00974384"/>
    <w:rsid w:val="00974D81"/>
    <w:rsid w:val="00976903"/>
    <w:rsid w:val="00983AF5"/>
    <w:rsid w:val="00987E66"/>
    <w:rsid w:val="00990173"/>
    <w:rsid w:val="00993567"/>
    <w:rsid w:val="00995A38"/>
    <w:rsid w:val="009965E1"/>
    <w:rsid w:val="009A23F7"/>
    <w:rsid w:val="009A75C4"/>
    <w:rsid w:val="009B276A"/>
    <w:rsid w:val="009B3223"/>
    <w:rsid w:val="009B4063"/>
    <w:rsid w:val="009C3C0C"/>
    <w:rsid w:val="009C5ADA"/>
    <w:rsid w:val="009C6214"/>
    <w:rsid w:val="009C77BF"/>
    <w:rsid w:val="009D7602"/>
    <w:rsid w:val="009E680B"/>
    <w:rsid w:val="009F359E"/>
    <w:rsid w:val="009F4086"/>
    <w:rsid w:val="009F4F44"/>
    <w:rsid w:val="009F7239"/>
    <w:rsid w:val="00A0249B"/>
    <w:rsid w:val="00A11ECD"/>
    <w:rsid w:val="00A12BE0"/>
    <w:rsid w:val="00A144F8"/>
    <w:rsid w:val="00A1592C"/>
    <w:rsid w:val="00A15A1F"/>
    <w:rsid w:val="00A16F4B"/>
    <w:rsid w:val="00A17B57"/>
    <w:rsid w:val="00A2017B"/>
    <w:rsid w:val="00A27551"/>
    <w:rsid w:val="00A3325A"/>
    <w:rsid w:val="00A5389F"/>
    <w:rsid w:val="00A53E97"/>
    <w:rsid w:val="00A54431"/>
    <w:rsid w:val="00A60794"/>
    <w:rsid w:val="00A66AC8"/>
    <w:rsid w:val="00A756BB"/>
    <w:rsid w:val="00A77B63"/>
    <w:rsid w:val="00A8249A"/>
    <w:rsid w:val="00A85968"/>
    <w:rsid w:val="00AA276F"/>
    <w:rsid w:val="00AA32D3"/>
    <w:rsid w:val="00AA7A0F"/>
    <w:rsid w:val="00AB1161"/>
    <w:rsid w:val="00AB1BBA"/>
    <w:rsid w:val="00AB3D08"/>
    <w:rsid w:val="00AB5614"/>
    <w:rsid w:val="00AB744E"/>
    <w:rsid w:val="00AC7C93"/>
    <w:rsid w:val="00AD1879"/>
    <w:rsid w:val="00AD23FF"/>
    <w:rsid w:val="00AE0661"/>
    <w:rsid w:val="00AE76CB"/>
    <w:rsid w:val="00AF108A"/>
    <w:rsid w:val="00AF10F5"/>
    <w:rsid w:val="00AF1393"/>
    <w:rsid w:val="00B02E55"/>
    <w:rsid w:val="00B0538C"/>
    <w:rsid w:val="00B06D4E"/>
    <w:rsid w:val="00B11A62"/>
    <w:rsid w:val="00B157D0"/>
    <w:rsid w:val="00B17DE0"/>
    <w:rsid w:val="00B307EC"/>
    <w:rsid w:val="00B44CE2"/>
    <w:rsid w:val="00B52D86"/>
    <w:rsid w:val="00B53A23"/>
    <w:rsid w:val="00B54BE5"/>
    <w:rsid w:val="00B67460"/>
    <w:rsid w:val="00B70FFB"/>
    <w:rsid w:val="00B72513"/>
    <w:rsid w:val="00B73B73"/>
    <w:rsid w:val="00B8205D"/>
    <w:rsid w:val="00B8344E"/>
    <w:rsid w:val="00B84D6B"/>
    <w:rsid w:val="00B877ED"/>
    <w:rsid w:val="00B909E1"/>
    <w:rsid w:val="00B91264"/>
    <w:rsid w:val="00B94316"/>
    <w:rsid w:val="00B96E71"/>
    <w:rsid w:val="00B97C95"/>
    <w:rsid w:val="00BA31F9"/>
    <w:rsid w:val="00BA4784"/>
    <w:rsid w:val="00BA49EA"/>
    <w:rsid w:val="00BA513C"/>
    <w:rsid w:val="00BA714E"/>
    <w:rsid w:val="00BA7AA3"/>
    <w:rsid w:val="00BB23AB"/>
    <w:rsid w:val="00BB38EA"/>
    <w:rsid w:val="00BB4FE5"/>
    <w:rsid w:val="00BB6352"/>
    <w:rsid w:val="00BC0422"/>
    <w:rsid w:val="00BC4575"/>
    <w:rsid w:val="00BC4CA0"/>
    <w:rsid w:val="00BC6FC8"/>
    <w:rsid w:val="00BC7ABB"/>
    <w:rsid w:val="00BD3051"/>
    <w:rsid w:val="00BD38BB"/>
    <w:rsid w:val="00BE10A8"/>
    <w:rsid w:val="00BE5835"/>
    <w:rsid w:val="00BF28F7"/>
    <w:rsid w:val="00BF3B0A"/>
    <w:rsid w:val="00BF4B06"/>
    <w:rsid w:val="00BF7FE0"/>
    <w:rsid w:val="00C130C8"/>
    <w:rsid w:val="00C13168"/>
    <w:rsid w:val="00C13F60"/>
    <w:rsid w:val="00C22E43"/>
    <w:rsid w:val="00C23238"/>
    <w:rsid w:val="00C3004B"/>
    <w:rsid w:val="00C308F5"/>
    <w:rsid w:val="00C31F4C"/>
    <w:rsid w:val="00C32ADC"/>
    <w:rsid w:val="00C42E13"/>
    <w:rsid w:val="00C4427F"/>
    <w:rsid w:val="00C47DDE"/>
    <w:rsid w:val="00C61D3B"/>
    <w:rsid w:val="00C63347"/>
    <w:rsid w:val="00C67B74"/>
    <w:rsid w:val="00C7123A"/>
    <w:rsid w:val="00C7331B"/>
    <w:rsid w:val="00C80EB4"/>
    <w:rsid w:val="00C86682"/>
    <w:rsid w:val="00C939FE"/>
    <w:rsid w:val="00CA129E"/>
    <w:rsid w:val="00CA20B5"/>
    <w:rsid w:val="00CA371D"/>
    <w:rsid w:val="00CB0A27"/>
    <w:rsid w:val="00CB35D9"/>
    <w:rsid w:val="00CB7319"/>
    <w:rsid w:val="00CC3F84"/>
    <w:rsid w:val="00CC6E2D"/>
    <w:rsid w:val="00CD24A8"/>
    <w:rsid w:val="00CD315A"/>
    <w:rsid w:val="00CE0526"/>
    <w:rsid w:val="00CF0CDD"/>
    <w:rsid w:val="00CF2FF8"/>
    <w:rsid w:val="00CF4851"/>
    <w:rsid w:val="00CF58B7"/>
    <w:rsid w:val="00D05493"/>
    <w:rsid w:val="00D16E6A"/>
    <w:rsid w:val="00D224A1"/>
    <w:rsid w:val="00D2279D"/>
    <w:rsid w:val="00D351C1"/>
    <w:rsid w:val="00D4249C"/>
    <w:rsid w:val="00D44776"/>
    <w:rsid w:val="00D44CE7"/>
    <w:rsid w:val="00D46BC7"/>
    <w:rsid w:val="00D51245"/>
    <w:rsid w:val="00D5210B"/>
    <w:rsid w:val="00D54E73"/>
    <w:rsid w:val="00D613A6"/>
    <w:rsid w:val="00D737C5"/>
    <w:rsid w:val="00D7722A"/>
    <w:rsid w:val="00D80B1B"/>
    <w:rsid w:val="00D8405B"/>
    <w:rsid w:val="00D86BF0"/>
    <w:rsid w:val="00D950D8"/>
    <w:rsid w:val="00DA1451"/>
    <w:rsid w:val="00DB0188"/>
    <w:rsid w:val="00DB4F9F"/>
    <w:rsid w:val="00DB70FB"/>
    <w:rsid w:val="00DC334D"/>
    <w:rsid w:val="00DC6AAD"/>
    <w:rsid w:val="00DE165D"/>
    <w:rsid w:val="00DE45A3"/>
    <w:rsid w:val="00E009D9"/>
    <w:rsid w:val="00E03076"/>
    <w:rsid w:val="00E2160E"/>
    <w:rsid w:val="00E30CA9"/>
    <w:rsid w:val="00E408AB"/>
    <w:rsid w:val="00E41E68"/>
    <w:rsid w:val="00E43B2D"/>
    <w:rsid w:val="00E51920"/>
    <w:rsid w:val="00E53A58"/>
    <w:rsid w:val="00E54D26"/>
    <w:rsid w:val="00E63ADD"/>
    <w:rsid w:val="00E64120"/>
    <w:rsid w:val="00E678CB"/>
    <w:rsid w:val="00E67D1E"/>
    <w:rsid w:val="00E85E09"/>
    <w:rsid w:val="00E8605D"/>
    <w:rsid w:val="00E861CD"/>
    <w:rsid w:val="00E92CE2"/>
    <w:rsid w:val="00E9302F"/>
    <w:rsid w:val="00E93CDD"/>
    <w:rsid w:val="00EA22D5"/>
    <w:rsid w:val="00EA2704"/>
    <w:rsid w:val="00EA4221"/>
    <w:rsid w:val="00EB3CD8"/>
    <w:rsid w:val="00EB6F5F"/>
    <w:rsid w:val="00EC07DC"/>
    <w:rsid w:val="00ED246E"/>
    <w:rsid w:val="00ED379C"/>
    <w:rsid w:val="00ED5834"/>
    <w:rsid w:val="00ED5C41"/>
    <w:rsid w:val="00ED6AAF"/>
    <w:rsid w:val="00EE3926"/>
    <w:rsid w:val="00EF0646"/>
    <w:rsid w:val="00F00846"/>
    <w:rsid w:val="00F055F1"/>
    <w:rsid w:val="00F05A46"/>
    <w:rsid w:val="00F15458"/>
    <w:rsid w:val="00F26CAD"/>
    <w:rsid w:val="00F31A8E"/>
    <w:rsid w:val="00F358BF"/>
    <w:rsid w:val="00F374CD"/>
    <w:rsid w:val="00F434FF"/>
    <w:rsid w:val="00F476F3"/>
    <w:rsid w:val="00F51940"/>
    <w:rsid w:val="00F53495"/>
    <w:rsid w:val="00F561EE"/>
    <w:rsid w:val="00F6458C"/>
    <w:rsid w:val="00F6661C"/>
    <w:rsid w:val="00F71759"/>
    <w:rsid w:val="00F77FD4"/>
    <w:rsid w:val="00F858CA"/>
    <w:rsid w:val="00F87E9D"/>
    <w:rsid w:val="00F916DC"/>
    <w:rsid w:val="00F94BD6"/>
    <w:rsid w:val="00FA464E"/>
    <w:rsid w:val="00FB2379"/>
    <w:rsid w:val="00FB5293"/>
    <w:rsid w:val="00FC10ED"/>
    <w:rsid w:val="00FC2D11"/>
    <w:rsid w:val="00FC6230"/>
    <w:rsid w:val="00FD0638"/>
    <w:rsid w:val="00FD2A0A"/>
    <w:rsid w:val="00FD40F7"/>
    <w:rsid w:val="00FE0BF6"/>
    <w:rsid w:val="00FE11E8"/>
    <w:rsid w:val="00FE30AF"/>
    <w:rsid w:val="00FE32EB"/>
    <w:rsid w:val="00FF065B"/>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4:docId w14:val="461DCE81"/>
  <w15:docId w15:val="{C1C0F69B-CCDB-44F3-9DC0-A14A2995C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5FBE"/>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5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qFormat/>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uiPriority w:val="99"/>
    <w:rsid w:val="00205FBE"/>
    <w:rPr>
      <w:sz w:val="20"/>
      <w:szCs w:val="20"/>
    </w:rPr>
  </w:style>
  <w:style w:type="character" w:customStyle="1" w:styleId="FootnoteTextChar">
    <w:name w:val="Footnote Text Char"/>
    <w:basedOn w:val="DefaultParagraphFont"/>
    <w:link w:val="FootnoteText"/>
    <w:uiPriority w:val="99"/>
    <w:rsid w:val="00205FBE"/>
    <w:rPr>
      <w:lang w:eastAsia="en-US"/>
    </w:rPr>
  </w:style>
  <w:style w:type="character" w:styleId="FootnoteReference">
    <w:name w:val="footnote reference"/>
    <w:basedOn w:val="DefaultParagraphFont"/>
    <w:uiPriority w:val="99"/>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uiPriority w:val="99"/>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character" w:styleId="UnresolvedMention">
    <w:name w:val="Unresolved Mention"/>
    <w:basedOn w:val="DefaultParagraphFont"/>
    <w:uiPriority w:val="99"/>
    <w:semiHidden/>
    <w:unhideWhenUsed/>
    <w:rsid w:val="000B4C6A"/>
    <w:rPr>
      <w:color w:val="605E5C"/>
      <w:shd w:val="clear" w:color="auto" w:fill="E1DFDD"/>
    </w:rPr>
  </w:style>
  <w:style w:type="paragraph" w:styleId="ListParagraph">
    <w:name w:val="List Paragraph"/>
    <w:basedOn w:val="Normal"/>
    <w:uiPriority w:val="34"/>
    <w:qFormat/>
    <w:rsid w:val="005A14A3"/>
    <w:pPr>
      <w:ind w:left="720"/>
      <w:contextualSpacing/>
    </w:pPr>
  </w:style>
  <w:style w:type="paragraph" w:customStyle="1" w:styleId="font5">
    <w:name w:val="font5"/>
    <w:basedOn w:val="Normal"/>
    <w:rsid w:val="005A14A3"/>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5A14A3"/>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5A14A3"/>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5A14A3"/>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5A14A3"/>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5A14A3"/>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5A14A3"/>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5A14A3"/>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5A14A3"/>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5A14A3"/>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5A14A3"/>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5A14A3"/>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5A14A3"/>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5A14A3"/>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5A14A3"/>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5A14A3"/>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5A14A3"/>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5A14A3"/>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5A14A3"/>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5A14A3"/>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5A14A3"/>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5A14A3"/>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5A14A3"/>
    <w:rPr>
      <w:rFonts w:ascii="Arial" w:hAnsi="Arial"/>
      <w:sz w:val="22"/>
      <w:lang w:eastAsia="en-GB"/>
    </w:rPr>
  </w:style>
  <w:style w:type="paragraph" w:customStyle="1" w:styleId="tabletext2">
    <w:name w:val="table text"/>
    <w:basedOn w:val="Paragraphnonumbers"/>
    <w:link w:val="tabletextChar0"/>
    <w:qFormat/>
    <w:rsid w:val="005A14A3"/>
    <w:pPr>
      <w:spacing w:before="60" w:after="60" w:line="240" w:lineRule="auto"/>
    </w:pPr>
    <w:rPr>
      <w:lang w:eastAsia="en-GB"/>
    </w:rPr>
  </w:style>
  <w:style w:type="character" w:customStyle="1" w:styleId="tabletextChar0">
    <w:name w:val="table text Char"/>
    <w:basedOn w:val="DefaultParagraphFont"/>
    <w:link w:val="tabletext2"/>
    <w:rsid w:val="005A14A3"/>
    <w:rPr>
      <w:rFonts w:ascii="Arial" w:hAnsi="Arial"/>
      <w:sz w:val="24"/>
      <w:szCs w:val="24"/>
    </w:rPr>
  </w:style>
  <w:style w:type="paragraph" w:styleId="EndnoteText">
    <w:name w:val="endnote text"/>
    <w:basedOn w:val="Normal"/>
    <w:link w:val="EndnoteTextChar"/>
    <w:uiPriority w:val="99"/>
    <w:semiHidden/>
    <w:unhideWhenUsed/>
    <w:rsid w:val="005A14A3"/>
    <w:rPr>
      <w:rFonts w:ascii="Arial" w:hAnsi="Arial"/>
      <w:sz w:val="20"/>
      <w:szCs w:val="20"/>
    </w:rPr>
  </w:style>
  <w:style w:type="character" w:customStyle="1" w:styleId="EndnoteTextChar">
    <w:name w:val="Endnote Text Char"/>
    <w:basedOn w:val="DefaultParagraphFont"/>
    <w:link w:val="EndnoteText"/>
    <w:uiPriority w:val="99"/>
    <w:semiHidden/>
    <w:rsid w:val="005A14A3"/>
    <w:rPr>
      <w:rFonts w:ascii="Arial" w:hAnsi="Arial"/>
      <w:lang w:eastAsia="en-US"/>
    </w:rPr>
  </w:style>
  <w:style w:type="character" w:customStyle="1" w:styleId="fontstyle01">
    <w:name w:val="fontstyle01"/>
    <w:basedOn w:val="DefaultParagraphFont"/>
    <w:rsid w:val="005A14A3"/>
    <w:rPr>
      <w:rFonts w:ascii="ArialMT" w:hAnsi="ArialMT" w:hint="default"/>
      <w:b w:val="0"/>
      <w:bCs w:val="0"/>
      <w:i w:val="0"/>
      <w:iCs w:val="0"/>
      <w:color w:val="000000"/>
      <w:sz w:val="20"/>
      <w:szCs w:val="20"/>
    </w:rPr>
  </w:style>
  <w:style w:type="character" w:customStyle="1" w:styleId="fontstyle21">
    <w:name w:val="fontstyle21"/>
    <w:basedOn w:val="DefaultParagraphFont"/>
    <w:rsid w:val="005A14A3"/>
    <w:rPr>
      <w:rFonts w:ascii="MS-Gothic" w:hAnsi="MS-Gothic" w:hint="default"/>
      <w:b w:val="0"/>
      <w:bCs w:val="0"/>
      <w:i w:val="0"/>
      <w:iCs w:val="0"/>
      <w:color w:val="000000"/>
      <w:sz w:val="20"/>
      <w:szCs w:val="20"/>
    </w:rPr>
  </w:style>
  <w:style w:type="character" w:customStyle="1" w:styleId="A3">
    <w:name w:val="A3"/>
    <w:uiPriority w:val="99"/>
    <w:rsid w:val="005A14A3"/>
    <w:rPr>
      <w:rFonts w:ascii="Frutiger 45 Light" w:hAnsi="Frutiger 45 Light" w:cs="Frutiger 45 Light" w:hint="default"/>
      <w:b/>
      <w:bCs/>
      <w:color w:val="000000"/>
      <w:sz w:val="21"/>
      <w:szCs w:val="21"/>
    </w:rPr>
  </w:style>
  <w:style w:type="paragraph" w:customStyle="1" w:styleId="paragraph-k859h4-0">
    <w:name w:val="paragraph-k859h4-0"/>
    <w:basedOn w:val="Normal"/>
    <w:rsid w:val="005A14A3"/>
    <w:pPr>
      <w:spacing w:before="100" w:beforeAutospacing="1" w:after="100" w:afterAutospacing="1"/>
    </w:pPr>
    <w:rPr>
      <w:lang w:eastAsia="en-GB"/>
    </w:rPr>
  </w:style>
  <w:style w:type="paragraph" w:customStyle="1" w:styleId="numbered-paragraph">
    <w:name w:val="numbered-paragraph"/>
    <w:basedOn w:val="Normal"/>
    <w:uiPriority w:val="99"/>
    <w:rsid w:val="005A14A3"/>
    <w:pPr>
      <w:spacing w:before="100" w:beforeAutospacing="1" w:after="100" w:afterAutospacing="1"/>
    </w:pPr>
    <w:rPr>
      <w:lang w:eastAsia="en-GB"/>
    </w:rPr>
  </w:style>
  <w:style w:type="character" w:customStyle="1" w:styleId="apple-converted-space">
    <w:name w:val="apple-converted-space"/>
    <w:basedOn w:val="DefaultParagraphFont"/>
    <w:rsid w:val="005A14A3"/>
  </w:style>
  <w:style w:type="character" w:customStyle="1" w:styleId="highwire-cite-metadata-year">
    <w:name w:val="highwire-cite-metadata-year"/>
    <w:basedOn w:val="DefaultParagraphFont"/>
    <w:rsid w:val="005A14A3"/>
  </w:style>
  <w:style w:type="character" w:customStyle="1" w:styleId="highwire-cite-metadata-volume">
    <w:name w:val="highwire-cite-metadata-volume"/>
    <w:basedOn w:val="DefaultParagraphFont"/>
    <w:rsid w:val="005A14A3"/>
  </w:style>
  <w:style w:type="character" w:customStyle="1" w:styleId="highwire-cite-metadata-pages">
    <w:name w:val="highwire-cite-metadata-pages"/>
    <w:basedOn w:val="DefaultParagraphFont"/>
    <w:rsid w:val="005A14A3"/>
  </w:style>
  <w:style w:type="paragraph" w:customStyle="1" w:styleId="li1">
    <w:name w:val="li1"/>
    <w:basedOn w:val="Normal"/>
    <w:rsid w:val="005A14A3"/>
    <w:pPr>
      <w:spacing w:before="100" w:beforeAutospacing="1" w:after="100" w:afterAutospacing="1"/>
    </w:pPr>
  </w:style>
  <w:style w:type="character" w:customStyle="1" w:styleId="normaltextrun">
    <w:name w:val="normaltextrun"/>
    <w:basedOn w:val="DefaultParagraphFont"/>
    <w:rsid w:val="005A14A3"/>
  </w:style>
  <w:style w:type="character" w:customStyle="1" w:styleId="spellingerror">
    <w:name w:val="spellingerror"/>
    <w:basedOn w:val="DefaultParagraphFont"/>
    <w:rsid w:val="005A1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publication/report-of-the-review-of-the-quality-and-outcomes-framework-in-england/" TargetMode="External"/><Relationship Id="rId13" Type="http://schemas.openxmlformats.org/officeDocument/2006/relationships/hyperlink" Target="https://erj.ersjournals.com/content/37/3/501" TargetMode="External"/><Relationship Id="rId18" Type="http://schemas.openxmlformats.org/officeDocument/2006/relationships/hyperlink" Target="https://fingertips.phe.org.uk/profile/tobacco-control/data" TargetMode="External"/><Relationship Id="rId26" Type="http://schemas.openxmlformats.org/officeDocument/2006/relationships/hyperlink" Target="https://www.longtermplan.nhs.uk/wp-content/uploads/2019/01/nhs-long-term-plan.pdf" TargetMode="External"/><Relationship Id="rId3" Type="http://schemas.openxmlformats.org/officeDocument/2006/relationships/styles" Target="styles.xml"/><Relationship Id="rId21" Type="http://schemas.openxmlformats.org/officeDocument/2006/relationships/hyperlink" Target="https://www.ncbi.nlm.nih.gov/pubmed/15710956" TargetMode="External"/><Relationship Id="rId7" Type="http://schemas.openxmlformats.org/officeDocument/2006/relationships/endnotes" Target="endnotes.xml"/><Relationship Id="rId12" Type="http://schemas.openxmlformats.org/officeDocument/2006/relationships/hyperlink" Target="https://bjgp.org/content/69/678/e1" TargetMode="External"/><Relationship Id="rId17" Type="http://schemas.openxmlformats.org/officeDocument/2006/relationships/hyperlink" Target="https://www.surgeongeneral.gov/library/reports/50-years-of-progress/full-report.pdf" TargetMode="External"/><Relationship Id="rId25" Type="http://schemas.openxmlformats.org/officeDocument/2006/relationships/hyperlink" Target="https://www.blf.org.uk/policy/less-help-to-qui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alnutritionpathway.co.uk" TargetMode="External"/><Relationship Id="rId20" Type="http://schemas.openxmlformats.org/officeDocument/2006/relationships/hyperlink" Target="https://www.ncbi.nlm.nih.gov/pubmed/18827152" TargetMode="External"/><Relationship Id="rId29" Type="http://schemas.openxmlformats.org/officeDocument/2006/relationships/hyperlink" Target="http://www.malnutritionpathway.co.uk/co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ng115" TargetMode="External"/><Relationship Id="rId24" Type="http://schemas.openxmlformats.org/officeDocument/2006/relationships/hyperlink" Target="http://www.nice.org.uk/guidance/ng92"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assets.publishing.service.gov.uk/government/uploads/system/uploads/attachment_data/file/630217/Towards_a_Smoke_free_Generation_-_A_Tobacco_Control_Plan_for_England_2017-2022__2_.pdf" TargetMode="External"/><Relationship Id="rId28" Type="http://schemas.openxmlformats.org/officeDocument/2006/relationships/hyperlink" Target="https://www.ncbi.nlm.nih.gov/pubmed/8850213" TargetMode="External"/><Relationship Id="rId10" Type="http://schemas.openxmlformats.org/officeDocument/2006/relationships/hyperlink" Target="https://www.nice.org.uk/guidance/ng115" TargetMode="External"/><Relationship Id="rId19" Type="http://schemas.openxmlformats.org/officeDocument/2006/relationships/hyperlink" Target="https://www.rcplondon.ac.uk/projects/outputs/hiding-plain-sight-treating-tobacco-dependency-nhs" TargetMode="External"/><Relationship Id="rId31" Type="http://schemas.openxmlformats.org/officeDocument/2006/relationships/hyperlink" Target="https://www.nhs.uk/conditions/stop-smoking-treatments/" TargetMode="External"/><Relationship Id="rId4" Type="http://schemas.openxmlformats.org/officeDocument/2006/relationships/settings" Target="settings.xml"/><Relationship Id="rId9" Type="http://schemas.openxmlformats.org/officeDocument/2006/relationships/hyperlink" Target="https://www.nice.org.uk/guidance/ng115" TargetMode="External"/><Relationship Id="rId14" Type="http://schemas.openxmlformats.org/officeDocument/2006/relationships/header" Target="header1.xml"/><Relationship Id="rId22" Type="http://schemas.openxmlformats.org/officeDocument/2006/relationships/hyperlink" Target="https://digital.nhs.uk/data-and-information/publications/statistical/statistics-on-smoking/statistics-on-smoking-england-2018" TargetMode="External"/><Relationship Id="rId27" Type="http://schemas.openxmlformats.org/officeDocument/2006/relationships/hyperlink" Target="http://www.bapen.org.uk/pdfs/must/must_full.pdf" TargetMode="External"/><Relationship Id="rId30" Type="http://schemas.openxmlformats.org/officeDocument/2006/relationships/hyperlink" Target="https://www.nhs.uk/conditions/stop-smoking-treat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E6E81-DEC5-4831-BF85-FF452CF86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D9782598</Template>
  <TotalTime>32</TotalTime>
  <Pages>23</Pages>
  <Words>7668</Words>
  <Characters>46344</Characters>
  <Application>Microsoft Office Word</Application>
  <DocSecurity>0</DocSecurity>
  <Lines>386</Lines>
  <Paragraphs>107</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53905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Terence Lacey</dc:creator>
  <cp:lastModifiedBy>Esther Clifford</cp:lastModifiedBy>
  <cp:revision>9</cp:revision>
  <cp:lastPrinted>2014-05-28T14:06:00Z</cp:lastPrinted>
  <dcterms:created xsi:type="dcterms:W3CDTF">2019-05-28T12:15:00Z</dcterms:created>
  <dcterms:modified xsi:type="dcterms:W3CDTF">2019-08-27T15:34:00Z</dcterms:modified>
</cp:coreProperties>
</file>