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3D78" w14:textId="77777777" w:rsidR="000A17BD" w:rsidRDefault="000A17BD" w:rsidP="000A17BD">
      <w:pPr>
        <w:pStyle w:val="Title16pt"/>
      </w:pPr>
      <w:bookmarkStart w:id="0" w:name="_GoBack"/>
      <w:bookmarkEnd w:id="0"/>
      <w:r>
        <w:t xml:space="preserve">NATIONAL INSTITUTE FOR HEALTH AND </w:t>
      </w:r>
      <w:r w:rsidR="00E16C38">
        <w:t>CARE</w:t>
      </w:r>
      <w:r>
        <w:t xml:space="preserve"> EXCELLENCE</w:t>
      </w:r>
    </w:p>
    <w:p w14:paraId="625AF331" w14:textId="6F3EF640" w:rsidR="009250C3" w:rsidRPr="009250C3" w:rsidRDefault="00595AC6" w:rsidP="009250C3">
      <w:pPr>
        <w:keepNext/>
        <w:spacing w:before="240" w:after="240"/>
        <w:jc w:val="center"/>
        <w:outlineLvl w:val="0"/>
        <w:rPr>
          <w:rFonts w:ascii="Arial" w:hAnsi="Arial" w:cs="Arial"/>
          <w:b/>
          <w:bCs/>
          <w:kern w:val="28"/>
          <w:sz w:val="32"/>
          <w:szCs w:val="32"/>
        </w:rPr>
      </w:pPr>
      <w:r>
        <w:rPr>
          <w:rFonts w:ascii="Arial" w:hAnsi="Arial" w:cs="Arial"/>
          <w:b/>
          <w:bCs/>
          <w:kern w:val="28"/>
          <w:sz w:val="32"/>
          <w:szCs w:val="32"/>
        </w:rPr>
        <w:t xml:space="preserve">NICE </w:t>
      </w:r>
      <w:r w:rsidR="009250C3" w:rsidRPr="009250C3">
        <w:rPr>
          <w:rFonts w:ascii="Arial" w:hAnsi="Arial" w:cs="Arial"/>
          <w:b/>
          <w:bCs/>
          <w:kern w:val="28"/>
          <w:sz w:val="32"/>
          <w:szCs w:val="32"/>
        </w:rPr>
        <w:t xml:space="preserve">INDICATOR DEVELOPMENT PROGRAMME </w:t>
      </w:r>
    </w:p>
    <w:p w14:paraId="56308D65" w14:textId="5E511B4A" w:rsidR="009250C3" w:rsidRPr="009250C3" w:rsidRDefault="009250C3" w:rsidP="009250C3">
      <w:pPr>
        <w:spacing w:before="240" w:after="240"/>
        <w:jc w:val="center"/>
        <w:outlineLvl w:val="0"/>
        <w:rPr>
          <w:rFonts w:ascii="Arial" w:hAnsi="Arial"/>
          <w:b/>
          <w:bCs/>
          <w:kern w:val="28"/>
          <w:sz w:val="32"/>
          <w:szCs w:val="32"/>
          <w:lang w:eastAsia="x-none"/>
        </w:rPr>
      </w:pPr>
      <w:r w:rsidRPr="009250C3">
        <w:rPr>
          <w:rFonts w:ascii="Arial" w:hAnsi="Arial"/>
          <w:b/>
          <w:bCs/>
          <w:kern w:val="28"/>
          <w:sz w:val="32"/>
          <w:szCs w:val="32"/>
          <w:lang w:eastAsia="x-none"/>
        </w:rPr>
        <w:t>Resource</w:t>
      </w:r>
      <w:r w:rsidRPr="009250C3">
        <w:rPr>
          <w:rFonts w:ascii="Arial" w:hAnsi="Arial"/>
          <w:b/>
          <w:bCs/>
          <w:kern w:val="28"/>
          <w:sz w:val="32"/>
          <w:szCs w:val="32"/>
          <w:lang w:val="x-none" w:eastAsia="x-none"/>
        </w:rPr>
        <w:t xml:space="preserve"> impact statement: </w:t>
      </w:r>
      <w:r w:rsidR="0053285E">
        <w:rPr>
          <w:rFonts w:ascii="Arial" w:hAnsi="Arial"/>
          <w:b/>
          <w:kern w:val="28"/>
          <w:sz w:val="32"/>
          <w:szCs w:val="32"/>
          <w:lang w:eastAsia="x-none"/>
        </w:rPr>
        <w:t>N</w:t>
      </w:r>
      <w:r w:rsidR="00C17DB8">
        <w:rPr>
          <w:rFonts w:ascii="Arial" w:hAnsi="Arial"/>
          <w:b/>
          <w:kern w:val="28"/>
          <w:sz w:val="32"/>
          <w:szCs w:val="32"/>
          <w:lang w:eastAsia="x-none"/>
        </w:rPr>
        <w:t>M171</w:t>
      </w:r>
    </w:p>
    <w:p w14:paraId="1FAD396E" w14:textId="77777777" w:rsidR="000A17BD" w:rsidRPr="00551B68" w:rsidRDefault="000A17BD" w:rsidP="000A17BD">
      <w:pPr>
        <w:pStyle w:val="NICEnormal"/>
      </w:pPr>
    </w:p>
    <w:p w14:paraId="5380ED5A" w14:textId="52710084" w:rsidR="000A17BD" w:rsidRDefault="000A17BD" w:rsidP="000A17BD">
      <w:pPr>
        <w:pStyle w:val="NICEnormalsinglespacing"/>
      </w:pPr>
      <w:r>
        <w:rPr>
          <w:b/>
          <w:bCs/>
        </w:rPr>
        <w:t>Date</w:t>
      </w:r>
      <w:r w:rsidRPr="00F71E21">
        <w:rPr>
          <w:b/>
        </w:rPr>
        <w:t>:</w:t>
      </w:r>
      <w:r w:rsidR="009250C3">
        <w:t xml:space="preserve"> </w:t>
      </w:r>
      <w:r w:rsidR="00A030EC">
        <w:t>August</w:t>
      </w:r>
      <w:r>
        <w:t xml:space="preserve"> 201</w:t>
      </w:r>
      <w:r w:rsidR="00486690">
        <w:t>9</w:t>
      </w:r>
    </w:p>
    <w:p w14:paraId="141E7EF9" w14:textId="542DB067" w:rsidR="000A17BD" w:rsidRPr="00685E62" w:rsidRDefault="000A17BD" w:rsidP="00B72114">
      <w:pPr>
        <w:pStyle w:val="Heading1"/>
        <w:spacing w:line="360" w:lineRule="auto"/>
        <w:rPr>
          <w:lang w:val="en-GB"/>
        </w:rPr>
      </w:pPr>
      <w:r w:rsidRPr="006A6479">
        <w:t>Indicator</w:t>
      </w:r>
    </w:p>
    <w:p w14:paraId="3E3EA5D9" w14:textId="48842AF0" w:rsidR="003F4D69" w:rsidRPr="006C2131" w:rsidRDefault="0053285E" w:rsidP="003F4D69">
      <w:pPr>
        <w:pStyle w:val="Paragraphnonumbers"/>
        <w:spacing w:before="0" w:line="360" w:lineRule="auto"/>
      </w:pPr>
      <w:r>
        <w:t>N</w:t>
      </w:r>
      <w:r w:rsidR="00C17DB8">
        <w:rPr>
          <w:lang w:val="en-US"/>
        </w:rPr>
        <w:t>M171</w:t>
      </w:r>
      <w:r w:rsidR="005D68DB">
        <w:t>:</w:t>
      </w:r>
      <w:r w:rsidR="00CC07FD" w:rsidRPr="00A55A82">
        <w:t xml:space="preserve"> </w:t>
      </w:r>
      <w:r w:rsidR="003F4D69" w:rsidRPr="003F4D69">
        <w:t xml:space="preserve">The percentage of patients with a diagnosis of heart failure </w:t>
      </w:r>
      <w:r w:rsidR="006D3EE9">
        <w:rPr>
          <w:lang w:val="en-US"/>
        </w:rPr>
        <w:t xml:space="preserve">after </w:t>
      </w:r>
      <w:r w:rsidR="003F4D69" w:rsidRPr="003F4D69">
        <w:t>(</w:t>
      </w:r>
      <w:r w:rsidR="006D3EE9" w:rsidRPr="006D3EE9">
        <w:rPr>
          <w:i/>
          <w:iCs/>
          <w:lang w:val="en-US"/>
        </w:rPr>
        <w:t>start date</w:t>
      </w:r>
      <w:r w:rsidR="003F4D69" w:rsidRPr="003F4D69">
        <w:t>) which has been confirmed by an echocardiogram or by specialist assessment between 3 months before or 3 months after entering on to the register.</w:t>
      </w:r>
    </w:p>
    <w:p w14:paraId="3AF279EB" w14:textId="77777777" w:rsidR="000A17BD" w:rsidRDefault="000A17BD" w:rsidP="00B72114">
      <w:pPr>
        <w:pStyle w:val="Heading1"/>
        <w:spacing w:line="360" w:lineRule="auto"/>
      </w:pPr>
      <w:r>
        <w:t>Introduction</w:t>
      </w:r>
    </w:p>
    <w:p w14:paraId="5E2A022F" w14:textId="3EB6EE04" w:rsidR="003F4D69" w:rsidRPr="003F4D69" w:rsidRDefault="003F4D69" w:rsidP="003F4D69">
      <w:pPr>
        <w:pStyle w:val="Bullets"/>
        <w:numPr>
          <w:ilvl w:val="0"/>
          <w:numId w:val="0"/>
        </w:numPr>
        <w:spacing w:line="360" w:lineRule="auto"/>
        <w:rPr>
          <w:lang w:val="x-none" w:eastAsia="x-none"/>
        </w:rPr>
      </w:pPr>
      <w:r w:rsidRPr="003F4D69">
        <w:rPr>
          <w:lang w:val="x-none" w:eastAsia="x-none"/>
        </w:rPr>
        <w:t>Earlier diagnosis in primary care allows treatment initiation, potentially avoids emergency admission to hospital, and improves patient outcomes (</w:t>
      </w:r>
      <w:hyperlink r:id="rId8" w:history="1">
        <w:r w:rsidRPr="004D39C6">
          <w:rPr>
            <w:rStyle w:val="Hyperlink"/>
            <w:lang w:val="x-none" w:eastAsia="x-none"/>
          </w:rPr>
          <w:t>Taylor et al. 2019</w:t>
        </w:r>
      </w:hyperlink>
      <w:r w:rsidRPr="003F4D69">
        <w:rPr>
          <w:lang w:val="x-none" w:eastAsia="x-none"/>
        </w:rPr>
        <w:t>). The NHS Long term Plan (</w:t>
      </w:r>
      <w:hyperlink r:id="rId9" w:history="1">
        <w:r w:rsidRPr="004D39C6">
          <w:rPr>
            <w:rStyle w:val="Hyperlink"/>
            <w:lang w:val="x-none" w:eastAsia="x-none"/>
          </w:rPr>
          <w:t>NHS England 2019</w:t>
        </w:r>
      </w:hyperlink>
      <w:r w:rsidRPr="003F4D69">
        <w:rPr>
          <w:lang w:val="x-none" w:eastAsia="x-none"/>
        </w:rPr>
        <w:t xml:space="preserve">) promises greater access to echocardiography to improve the early detection of heart failure. </w:t>
      </w:r>
    </w:p>
    <w:p w14:paraId="2FE6CD64" w14:textId="2F8E1BC3" w:rsidR="00794BE2" w:rsidRPr="00A82056" w:rsidRDefault="003F4D69" w:rsidP="003F4D69">
      <w:pPr>
        <w:pStyle w:val="Paragraphnonumbers"/>
        <w:spacing w:after="120" w:line="360" w:lineRule="auto"/>
      </w:pPr>
      <w:r w:rsidRPr="003F4D69">
        <w:t xml:space="preserve">The new indicator reduces the timeframe for confirming diagnosis after entry on the register to help ensure that people with heart failure receive the right diagnosis and receive timely treatment that can control symptoms, improve quality of life and help reduce premature mortality. </w:t>
      </w:r>
    </w:p>
    <w:p w14:paraId="0B0B1079" w14:textId="77777777" w:rsidR="000F739F" w:rsidRPr="00A82AF0" w:rsidRDefault="000F739F" w:rsidP="00EA0566">
      <w:pPr>
        <w:pStyle w:val="Heading1"/>
        <w:spacing w:after="240"/>
      </w:pPr>
      <w:r w:rsidRPr="00A82AF0">
        <w:t>Resource impact</w:t>
      </w:r>
    </w:p>
    <w:p w14:paraId="168B0D7A" w14:textId="629896F5" w:rsidR="00513C15" w:rsidRDefault="003E6431" w:rsidP="003E6431">
      <w:pPr>
        <w:pStyle w:val="NICEnormal"/>
        <w:rPr>
          <w:lang w:eastAsia="x-none"/>
        </w:rPr>
      </w:pPr>
      <w:r w:rsidRPr="00E2595D">
        <w:rPr>
          <w:lang w:val="x-none" w:eastAsia="x-none"/>
        </w:rPr>
        <w:t xml:space="preserve">This </w:t>
      </w:r>
      <w:r w:rsidR="00BB5D2B" w:rsidRPr="00E2595D">
        <w:rPr>
          <w:lang w:val="x-none" w:eastAsia="x-none"/>
        </w:rPr>
        <w:t xml:space="preserve">revised indicator </w:t>
      </w:r>
      <w:r w:rsidR="00513C15">
        <w:rPr>
          <w:lang w:eastAsia="x-none"/>
        </w:rPr>
        <w:t xml:space="preserve">changes the timeframe to </w:t>
      </w:r>
      <w:r w:rsidR="00EA0566">
        <w:rPr>
          <w:lang w:eastAsia="x-none"/>
        </w:rPr>
        <w:t xml:space="preserve">confirm diagnosis of heart failure with </w:t>
      </w:r>
      <w:r w:rsidR="003F4D69">
        <w:rPr>
          <w:lang w:eastAsia="x-none"/>
        </w:rPr>
        <w:t xml:space="preserve">an echocardiogram or </w:t>
      </w:r>
      <w:r w:rsidR="00EA0566">
        <w:rPr>
          <w:lang w:eastAsia="x-none"/>
        </w:rPr>
        <w:t xml:space="preserve">by </w:t>
      </w:r>
      <w:r w:rsidR="003F4D69">
        <w:rPr>
          <w:lang w:eastAsia="x-none"/>
        </w:rPr>
        <w:t>specialist assessment</w:t>
      </w:r>
      <w:r w:rsidR="00513C15">
        <w:rPr>
          <w:lang w:eastAsia="x-none"/>
        </w:rPr>
        <w:t xml:space="preserve"> from 12 months to 3 months. </w:t>
      </w:r>
    </w:p>
    <w:p w14:paraId="0D0020D6" w14:textId="51A88541" w:rsidR="00513C15" w:rsidRDefault="00513C15" w:rsidP="003E6431">
      <w:pPr>
        <w:pStyle w:val="NICEnormal"/>
        <w:rPr>
          <w:lang w:eastAsia="x-none"/>
        </w:rPr>
      </w:pPr>
      <w:r>
        <w:rPr>
          <w:lang w:eastAsia="x-none"/>
        </w:rPr>
        <w:t xml:space="preserve">No extra resource is required to conduct </w:t>
      </w:r>
      <w:r w:rsidR="003F4D69">
        <w:rPr>
          <w:lang w:eastAsia="x-none"/>
        </w:rPr>
        <w:t>the echocardiogram or specialist assessment</w:t>
      </w:r>
      <w:r>
        <w:rPr>
          <w:lang w:eastAsia="x-none"/>
        </w:rPr>
        <w:t xml:space="preserve"> or maintain the register. There may be a saving</w:t>
      </w:r>
      <w:r w:rsidR="003F4D69">
        <w:rPr>
          <w:lang w:eastAsia="x-none"/>
        </w:rPr>
        <w:t xml:space="preserve"> from</w:t>
      </w:r>
      <w:r>
        <w:rPr>
          <w:lang w:eastAsia="x-none"/>
        </w:rPr>
        <w:t xml:space="preserve"> </w:t>
      </w:r>
      <w:r w:rsidR="003F4D69">
        <w:rPr>
          <w:lang w:eastAsia="x-none"/>
        </w:rPr>
        <w:t xml:space="preserve">secondary care admissions </w:t>
      </w:r>
      <w:r>
        <w:rPr>
          <w:lang w:eastAsia="x-none"/>
        </w:rPr>
        <w:t xml:space="preserve">avoided due to </w:t>
      </w:r>
      <w:r w:rsidR="003F4D69">
        <w:rPr>
          <w:lang w:eastAsia="x-none"/>
        </w:rPr>
        <w:t xml:space="preserve">a </w:t>
      </w:r>
      <w:proofErr w:type="gramStart"/>
      <w:r w:rsidR="003F4D69">
        <w:rPr>
          <w:lang w:eastAsia="x-none"/>
        </w:rPr>
        <w:t>more</w:t>
      </w:r>
      <w:r w:rsidR="00EA0566">
        <w:rPr>
          <w:lang w:eastAsia="x-none"/>
        </w:rPr>
        <w:t xml:space="preserve"> </w:t>
      </w:r>
      <w:r w:rsidR="003F4D69">
        <w:rPr>
          <w:lang w:eastAsia="x-none"/>
        </w:rPr>
        <w:t>timely</w:t>
      </w:r>
      <w:proofErr w:type="gramEnd"/>
      <w:r w:rsidR="003F4D69">
        <w:rPr>
          <w:lang w:eastAsia="x-none"/>
        </w:rPr>
        <w:t xml:space="preserve"> </w:t>
      </w:r>
      <w:r w:rsidR="00EA0566">
        <w:rPr>
          <w:lang w:eastAsia="x-none"/>
        </w:rPr>
        <w:t xml:space="preserve">confirmation of </w:t>
      </w:r>
      <w:r w:rsidR="003F4D69">
        <w:rPr>
          <w:lang w:eastAsia="x-none"/>
        </w:rPr>
        <w:t>diagnosis</w:t>
      </w:r>
      <w:r>
        <w:rPr>
          <w:lang w:eastAsia="x-none"/>
        </w:rPr>
        <w:t xml:space="preserve">.  </w:t>
      </w:r>
    </w:p>
    <w:p w14:paraId="3AF660C1" w14:textId="79278C1C" w:rsidR="00EC0744" w:rsidRDefault="00D2692F" w:rsidP="0053285E">
      <w:pPr>
        <w:pStyle w:val="NICEnormal"/>
      </w:pPr>
      <w:r>
        <w:lastRenderedPageBreak/>
        <w:t>The resource impact of the proposed indicator is unlikely to be significant</w:t>
      </w:r>
      <w:r w:rsidRPr="0017285A">
        <w:t>.</w:t>
      </w:r>
    </w:p>
    <w:sectPr w:rsidR="00EC074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0C36" w14:textId="77777777" w:rsidR="00AE06C9" w:rsidRDefault="00AE06C9" w:rsidP="00446BEE">
      <w:r>
        <w:separator/>
      </w:r>
    </w:p>
  </w:endnote>
  <w:endnote w:type="continuationSeparator" w:id="0">
    <w:p w14:paraId="5A00C63E" w14:textId="77777777" w:rsidR="00AE06C9" w:rsidRDefault="00AE06C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7B2A" w14:textId="569220E6" w:rsidR="007E48A9" w:rsidRDefault="00486690" w:rsidP="00446BEE">
    <w:pPr>
      <w:pStyle w:val="Footer"/>
    </w:pPr>
    <w:r>
      <w:rPr>
        <w:lang w:val="en-GB"/>
      </w:rPr>
      <w:t xml:space="preserve">NICE QOF indicator </w:t>
    </w:r>
    <w:r w:rsidR="001705E8">
      <w:rPr>
        <w:lang w:val="en-GB"/>
      </w:rPr>
      <w:t>resource</w:t>
    </w:r>
    <w:r w:rsidR="007E48A9">
      <w:t xml:space="preserve"> impact statement: </w:t>
    </w:r>
    <w:r w:rsidR="0053285E">
      <w:rPr>
        <w:lang w:val="en-GB"/>
      </w:rPr>
      <w:t>N</w:t>
    </w:r>
    <w:r w:rsidR="00C17DB8">
      <w:rPr>
        <w:lang w:val="en-GB"/>
      </w:rPr>
      <w:t>M171</w:t>
    </w:r>
    <w:r>
      <w:rPr>
        <w:lang w:val="en-GB"/>
      </w:rPr>
      <w:t xml:space="preserve"> </w:t>
    </w:r>
    <w:r w:rsidR="00E921B6">
      <w:rPr>
        <w:lang w:val="en-GB"/>
      </w:rPr>
      <w:t>(</w:t>
    </w:r>
    <w:r w:rsidR="00A030EC">
      <w:rPr>
        <w:lang w:val="en-GB"/>
      </w:rPr>
      <w:t>August</w:t>
    </w:r>
    <w:r>
      <w:rPr>
        <w:lang w:val="en-GB"/>
      </w:rPr>
      <w:t xml:space="preserve"> 2019</w:t>
    </w:r>
    <w:r w:rsidR="000A17BD">
      <w:rPr>
        <w:lang w:val="en-GB"/>
      </w:rPr>
      <w:t>)</w:t>
    </w:r>
    <w:r w:rsidR="007E48A9">
      <w:tab/>
    </w:r>
    <w:r w:rsidR="001705E8">
      <w:rPr>
        <w:lang w:val="en-GB"/>
      </w:rPr>
      <w:t xml:space="preserve"> </w:t>
    </w:r>
    <w:r w:rsidR="000A17BD">
      <w:rPr>
        <w:lang w:val="en-GB"/>
      </w:rPr>
      <w:t xml:space="preserve">page </w:t>
    </w:r>
    <w:r w:rsidR="007E48A9">
      <w:fldChar w:fldCharType="begin"/>
    </w:r>
    <w:r w:rsidR="007E48A9">
      <w:instrText xml:space="preserve"> PAGE </w:instrText>
    </w:r>
    <w:r w:rsidR="007E48A9">
      <w:fldChar w:fldCharType="separate"/>
    </w:r>
    <w:r w:rsidR="001D7D33">
      <w:rPr>
        <w:noProof/>
      </w:rPr>
      <w:t>3</w:t>
    </w:r>
    <w:r w:rsidR="007E48A9">
      <w:fldChar w:fldCharType="end"/>
    </w:r>
    <w:r w:rsidR="007E48A9">
      <w:t xml:space="preserve"> of </w:t>
    </w:r>
    <w:r w:rsidR="00C9664D">
      <w:fldChar w:fldCharType="begin"/>
    </w:r>
    <w:r w:rsidR="00C9664D">
      <w:instrText xml:space="preserve"> NUMPAGES  </w:instrText>
    </w:r>
    <w:r w:rsidR="00C9664D">
      <w:fldChar w:fldCharType="separate"/>
    </w:r>
    <w:r w:rsidR="001D7D33">
      <w:rPr>
        <w:noProof/>
      </w:rPr>
      <w:t>3</w:t>
    </w:r>
    <w:r w:rsidR="00C9664D">
      <w:rPr>
        <w:noProof/>
      </w:rPr>
      <w:fldChar w:fldCharType="end"/>
    </w:r>
  </w:p>
  <w:p w14:paraId="3ACEBF1E" w14:textId="77777777" w:rsidR="007E48A9" w:rsidRDefault="007E48A9">
    <w:pPr>
      <w:pStyle w:val="Footer"/>
    </w:pPr>
  </w:p>
  <w:p w14:paraId="2886B8F8" w14:textId="77777777" w:rsidR="007E48A9" w:rsidRDefault="007E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4E58" w14:textId="77777777" w:rsidR="00AE06C9" w:rsidRDefault="00AE06C9" w:rsidP="00446BEE">
      <w:r>
        <w:separator/>
      </w:r>
    </w:p>
  </w:footnote>
  <w:footnote w:type="continuationSeparator" w:id="0">
    <w:p w14:paraId="7EDCF117" w14:textId="77777777" w:rsidR="00AE06C9" w:rsidRDefault="00AE06C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ACE"/>
    <w:multiLevelType w:val="hybridMultilevel"/>
    <w:tmpl w:val="C6F6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35012AED"/>
    <w:multiLevelType w:val="hybridMultilevel"/>
    <w:tmpl w:val="DD6C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C47"/>
    <w:multiLevelType w:val="hybridMultilevel"/>
    <w:tmpl w:val="70A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4"/>
  </w:num>
  <w:num w:numId="21">
    <w:abstractNumId w:val="16"/>
  </w:num>
  <w:num w:numId="22">
    <w:abstractNumId w:val="13"/>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B8"/>
    <w:rsid w:val="00002396"/>
    <w:rsid w:val="00003B69"/>
    <w:rsid w:val="00011B05"/>
    <w:rsid w:val="00014E36"/>
    <w:rsid w:val="00024D0A"/>
    <w:rsid w:val="000331AB"/>
    <w:rsid w:val="00033353"/>
    <w:rsid w:val="0004559E"/>
    <w:rsid w:val="00045A48"/>
    <w:rsid w:val="00045EA2"/>
    <w:rsid w:val="0005461C"/>
    <w:rsid w:val="00066B5F"/>
    <w:rsid w:val="00070065"/>
    <w:rsid w:val="00071BF9"/>
    <w:rsid w:val="000728EF"/>
    <w:rsid w:val="000900AC"/>
    <w:rsid w:val="00090264"/>
    <w:rsid w:val="000A17BD"/>
    <w:rsid w:val="000A2D84"/>
    <w:rsid w:val="000A7DD9"/>
    <w:rsid w:val="000B3AD4"/>
    <w:rsid w:val="000B5939"/>
    <w:rsid w:val="000C04E9"/>
    <w:rsid w:val="000D0BB3"/>
    <w:rsid w:val="000D7833"/>
    <w:rsid w:val="000E20F3"/>
    <w:rsid w:val="000E54C3"/>
    <w:rsid w:val="000F08BB"/>
    <w:rsid w:val="000F1374"/>
    <w:rsid w:val="000F739F"/>
    <w:rsid w:val="00106738"/>
    <w:rsid w:val="001134E7"/>
    <w:rsid w:val="00117336"/>
    <w:rsid w:val="00120A38"/>
    <w:rsid w:val="001270EC"/>
    <w:rsid w:val="00127A2B"/>
    <w:rsid w:val="00131BB1"/>
    <w:rsid w:val="00134FDA"/>
    <w:rsid w:val="00145AFB"/>
    <w:rsid w:val="00150E04"/>
    <w:rsid w:val="001576DA"/>
    <w:rsid w:val="001705E8"/>
    <w:rsid w:val="00171504"/>
    <w:rsid w:val="0017169E"/>
    <w:rsid w:val="001835B9"/>
    <w:rsid w:val="001A23E4"/>
    <w:rsid w:val="001A3A86"/>
    <w:rsid w:val="001A7C77"/>
    <w:rsid w:val="001B18C2"/>
    <w:rsid w:val="001B1E97"/>
    <w:rsid w:val="001B2418"/>
    <w:rsid w:val="001B65B3"/>
    <w:rsid w:val="001C2196"/>
    <w:rsid w:val="001C27DA"/>
    <w:rsid w:val="001D7D33"/>
    <w:rsid w:val="001E41B5"/>
    <w:rsid w:val="001E6831"/>
    <w:rsid w:val="001F0E94"/>
    <w:rsid w:val="002014F3"/>
    <w:rsid w:val="00205E1E"/>
    <w:rsid w:val="0020600B"/>
    <w:rsid w:val="002066FD"/>
    <w:rsid w:val="00212DA0"/>
    <w:rsid w:val="00216351"/>
    <w:rsid w:val="00220CEB"/>
    <w:rsid w:val="00221D07"/>
    <w:rsid w:val="00226C51"/>
    <w:rsid w:val="00235B66"/>
    <w:rsid w:val="002408EA"/>
    <w:rsid w:val="00243A0E"/>
    <w:rsid w:val="002470A4"/>
    <w:rsid w:val="00247900"/>
    <w:rsid w:val="00251C0A"/>
    <w:rsid w:val="00252DD7"/>
    <w:rsid w:val="00254D75"/>
    <w:rsid w:val="0025570C"/>
    <w:rsid w:val="00260B25"/>
    <w:rsid w:val="00262E2E"/>
    <w:rsid w:val="00270605"/>
    <w:rsid w:val="00276A6E"/>
    <w:rsid w:val="00290914"/>
    <w:rsid w:val="002A1880"/>
    <w:rsid w:val="002A2A33"/>
    <w:rsid w:val="002A4D02"/>
    <w:rsid w:val="002A69C4"/>
    <w:rsid w:val="002A7287"/>
    <w:rsid w:val="002B5942"/>
    <w:rsid w:val="002B7C6E"/>
    <w:rsid w:val="002C1A7E"/>
    <w:rsid w:val="002E2124"/>
    <w:rsid w:val="002F2EEF"/>
    <w:rsid w:val="002F3B2A"/>
    <w:rsid w:val="002F63F9"/>
    <w:rsid w:val="00301C5A"/>
    <w:rsid w:val="00311ED0"/>
    <w:rsid w:val="00337200"/>
    <w:rsid w:val="00342E19"/>
    <w:rsid w:val="00350177"/>
    <w:rsid w:val="00361DD0"/>
    <w:rsid w:val="003666A7"/>
    <w:rsid w:val="00367204"/>
    <w:rsid w:val="003722FA"/>
    <w:rsid w:val="00377277"/>
    <w:rsid w:val="0038251A"/>
    <w:rsid w:val="00387965"/>
    <w:rsid w:val="003974AF"/>
    <w:rsid w:val="003B1C33"/>
    <w:rsid w:val="003B42E7"/>
    <w:rsid w:val="003C114C"/>
    <w:rsid w:val="003C469D"/>
    <w:rsid w:val="003C71D0"/>
    <w:rsid w:val="003C7AAF"/>
    <w:rsid w:val="003D66DD"/>
    <w:rsid w:val="003D67D8"/>
    <w:rsid w:val="003E12B1"/>
    <w:rsid w:val="003E4C4B"/>
    <w:rsid w:val="003E6431"/>
    <w:rsid w:val="003F139D"/>
    <w:rsid w:val="003F2B20"/>
    <w:rsid w:val="003F2EC0"/>
    <w:rsid w:val="003F3045"/>
    <w:rsid w:val="003F4B14"/>
    <w:rsid w:val="003F4D69"/>
    <w:rsid w:val="004023ED"/>
    <w:rsid w:val="004075B6"/>
    <w:rsid w:val="00420952"/>
    <w:rsid w:val="004217C2"/>
    <w:rsid w:val="00424250"/>
    <w:rsid w:val="00427727"/>
    <w:rsid w:val="00446BEE"/>
    <w:rsid w:val="004500D4"/>
    <w:rsid w:val="00457C93"/>
    <w:rsid w:val="00460E2F"/>
    <w:rsid w:val="004710D0"/>
    <w:rsid w:val="0047386F"/>
    <w:rsid w:val="00475DB9"/>
    <w:rsid w:val="00476DCF"/>
    <w:rsid w:val="004822CD"/>
    <w:rsid w:val="00486690"/>
    <w:rsid w:val="00496A95"/>
    <w:rsid w:val="004A2E02"/>
    <w:rsid w:val="004A31E6"/>
    <w:rsid w:val="004A37AD"/>
    <w:rsid w:val="004C4B1F"/>
    <w:rsid w:val="004D074D"/>
    <w:rsid w:val="004D2A46"/>
    <w:rsid w:val="004D39C6"/>
    <w:rsid w:val="004E5B69"/>
    <w:rsid w:val="004F0DB8"/>
    <w:rsid w:val="004F4F6A"/>
    <w:rsid w:val="004F780A"/>
    <w:rsid w:val="005025A1"/>
    <w:rsid w:val="00502B56"/>
    <w:rsid w:val="00502C4B"/>
    <w:rsid w:val="00512C30"/>
    <w:rsid w:val="00513C15"/>
    <w:rsid w:val="005238CB"/>
    <w:rsid w:val="0053285E"/>
    <w:rsid w:val="00536D74"/>
    <w:rsid w:val="00537D7F"/>
    <w:rsid w:val="00545A0E"/>
    <w:rsid w:val="00545EF3"/>
    <w:rsid w:val="00550807"/>
    <w:rsid w:val="0056031A"/>
    <w:rsid w:val="00564A5C"/>
    <w:rsid w:val="00567014"/>
    <w:rsid w:val="005745FF"/>
    <w:rsid w:val="00575C88"/>
    <w:rsid w:val="005831C5"/>
    <w:rsid w:val="00594ABA"/>
    <w:rsid w:val="00595453"/>
    <w:rsid w:val="00595AC6"/>
    <w:rsid w:val="005A017A"/>
    <w:rsid w:val="005A2295"/>
    <w:rsid w:val="005A2763"/>
    <w:rsid w:val="005B0DCC"/>
    <w:rsid w:val="005B1F9E"/>
    <w:rsid w:val="005B2D03"/>
    <w:rsid w:val="005B71E5"/>
    <w:rsid w:val="005C031A"/>
    <w:rsid w:val="005C473F"/>
    <w:rsid w:val="005D37A0"/>
    <w:rsid w:val="005D68DB"/>
    <w:rsid w:val="005E510A"/>
    <w:rsid w:val="005F08BF"/>
    <w:rsid w:val="005F08C3"/>
    <w:rsid w:val="005F2E3A"/>
    <w:rsid w:val="0061116E"/>
    <w:rsid w:val="006154E4"/>
    <w:rsid w:val="0062145A"/>
    <w:rsid w:val="00621A7E"/>
    <w:rsid w:val="00621F9E"/>
    <w:rsid w:val="00633320"/>
    <w:rsid w:val="006365DE"/>
    <w:rsid w:val="00637574"/>
    <w:rsid w:val="00644DFB"/>
    <w:rsid w:val="0065020B"/>
    <w:rsid w:val="00651123"/>
    <w:rsid w:val="00654754"/>
    <w:rsid w:val="00664AC7"/>
    <w:rsid w:val="00667B23"/>
    <w:rsid w:val="00676F3A"/>
    <w:rsid w:val="00685E62"/>
    <w:rsid w:val="006917A0"/>
    <w:rsid w:val="006921E1"/>
    <w:rsid w:val="0069343A"/>
    <w:rsid w:val="00695365"/>
    <w:rsid w:val="006958E8"/>
    <w:rsid w:val="006A089E"/>
    <w:rsid w:val="006A430C"/>
    <w:rsid w:val="006C085D"/>
    <w:rsid w:val="006C2131"/>
    <w:rsid w:val="006C2DF2"/>
    <w:rsid w:val="006C313C"/>
    <w:rsid w:val="006D0D00"/>
    <w:rsid w:val="006D3EE9"/>
    <w:rsid w:val="006D4BA4"/>
    <w:rsid w:val="006D55A6"/>
    <w:rsid w:val="006D56F1"/>
    <w:rsid w:val="006D6D4B"/>
    <w:rsid w:val="006E0C96"/>
    <w:rsid w:val="006E3DA2"/>
    <w:rsid w:val="006E3F3F"/>
    <w:rsid w:val="006F013A"/>
    <w:rsid w:val="006F0C30"/>
    <w:rsid w:val="006F1B26"/>
    <w:rsid w:val="006F1BFB"/>
    <w:rsid w:val="006F54C1"/>
    <w:rsid w:val="00706A8D"/>
    <w:rsid w:val="00710E36"/>
    <w:rsid w:val="007125A7"/>
    <w:rsid w:val="007166E6"/>
    <w:rsid w:val="007179FB"/>
    <w:rsid w:val="00730B45"/>
    <w:rsid w:val="007331F0"/>
    <w:rsid w:val="00736348"/>
    <w:rsid w:val="007424F6"/>
    <w:rsid w:val="00743E13"/>
    <w:rsid w:val="00745D99"/>
    <w:rsid w:val="00751BBE"/>
    <w:rsid w:val="007535B8"/>
    <w:rsid w:val="00753ABD"/>
    <w:rsid w:val="00754764"/>
    <w:rsid w:val="00760F3C"/>
    <w:rsid w:val="00764C26"/>
    <w:rsid w:val="00764D66"/>
    <w:rsid w:val="0076597A"/>
    <w:rsid w:val="00770B9A"/>
    <w:rsid w:val="0077798E"/>
    <w:rsid w:val="00780D83"/>
    <w:rsid w:val="007829B2"/>
    <w:rsid w:val="00786494"/>
    <w:rsid w:val="00794BE2"/>
    <w:rsid w:val="00794FF2"/>
    <w:rsid w:val="007B012A"/>
    <w:rsid w:val="007C4131"/>
    <w:rsid w:val="007C4ADC"/>
    <w:rsid w:val="007C5852"/>
    <w:rsid w:val="007C7B31"/>
    <w:rsid w:val="007E48A9"/>
    <w:rsid w:val="007E4AA8"/>
    <w:rsid w:val="007E5415"/>
    <w:rsid w:val="007E564C"/>
    <w:rsid w:val="008221D5"/>
    <w:rsid w:val="008235AB"/>
    <w:rsid w:val="0082440E"/>
    <w:rsid w:val="008248D0"/>
    <w:rsid w:val="0082656A"/>
    <w:rsid w:val="00827467"/>
    <w:rsid w:val="008325D4"/>
    <w:rsid w:val="008341D9"/>
    <w:rsid w:val="008411AE"/>
    <w:rsid w:val="00844104"/>
    <w:rsid w:val="00846B22"/>
    <w:rsid w:val="00850BA4"/>
    <w:rsid w:val="0085244C"/>
    <w:rsid w:val="0085548F"/>
    <w:rsid w:val="00856AF1"/>
    <w:rsid w:val="00862038"/>
    <w:rsid w:val="00871409"/>
    <w:rsid w:val="00871878"/>
    <w:rsid w:val="0087225F"/>
    <w:rsid w:val="00872832"/>
    <w:rsid w:val="008810AA"/>
    <w:rsid w:val="0088372E"/>
    <w:rsid w:val="00884B4D"/>
    <w:rsid w:val="0089264B"/>
    <w:rsid w:val="008A7318"/>
    <w:rsid w:val="008B21D3"/>
    <w:rsid w:val="008C2431"/>
    <w:rsid w:val="008D73A3"/>
    <w:rsid w:val="008D7570"/>
    <w:rsid w:val="008E2B80"/>
    <w:rsid w:val="008E6E8F"/>
    <w:rsid w:val="008F1571"/>
    <w:rsid w:val="008F2060"/>
    <w:rsid w:val="009032F4"/>
    <w:rsid w:val="00904B10"/>
    <w:rsid w:val="0091152C"/>
    <w:rsid w:val="00912F72"/>
    <w:rsid w:val="00914443"/>
    <w:rsid w:val="0091742C"/>
    <w:rsid w:val="0092142D"/>
    <w:rsid w:val="009250C3"/>
    <w:rsid w:val="009256AF"/>
    <w:rsid w:val="00925F15"/>
    <w:rsid w:val="00940ACF"/>
    <w:rsid w:val="00954C5D"/>
    <w:rsid w:val="00956D27"/>
    <w:rsid w:val="00977798"/>
    <w:rsid w:val="0098451C"/>
    <w:rsid w:val="009931D4"/>
    <w:rsid w:val="00996746"/>
    <w:rsid w:val="009B683B"/>
    <w:rsid w:val="009D27F9"/>
    <w:rsid w:val="009E680B"/>
    <w:rsid w:val="009F197C"/>
    <w:rsid w:val="009F52FD"/>
    <w:rsid w:val="009F7239"/>
    <w:rsid w:val="00A030EC"/>
    <w:rsid w:val="00A05F83"/>
    <w:rsid w:val="00A067CE"/>
    <w:rsid w:val="00A12DE9"/>
    <w:rsid w:val="00A15A1F"/>
    <w:rsid w:val="00A24EFD"/>
    <w:rsid w:val="00A24F7E"/>
    <w:rsid w:val="00A319C4"/>
    <w:rsid w:val="00A31EDA"/>
    <w:rsid w:val="00A3228F"/>
    <w:rsid w:val="00A3325A"/>
    <w:rsid w:val="00A44D8B"/>
    <w:rsid w:val="00A451F6"/>
    <w:rsid w:val="00A54DD4"/>
    <w:rsid w:val="00A55A82"/>
    <w:rsid w:val="00A61DAF"/>
    <w:rsid w:val="00A64113"/>
    <w:rsid w:val="00A72B11"/>
    <w:rsid w:val="00A734BE"/>
    <w:rsid w:val="00A756BB"/>
    <w:rsid w:val="00A75800"/>
    <w:rsid w:val="00A80390"/>
    <w:rsid w:val="00A82056"/>
    <w:rsid w:val="00A821FC"/>
    <w:rsid w:val="00A82AF0"/>
    <w:rsid w:val="00A917D1"/>
    <w:rsid w:val="00AA0DC6"/>
    <w:rsid w:val="00AB14BD"/>
    <w:rsid w:val="00AC38D4"/>
    <w:rsid w:val="00AC762C"/>
    <w:rsid w:val="00AD1361"/>
    <w:rsid w:val="00AD3BEB"/>
    <w:rsid w:val="00AD43E1"/>
    <w:rsid w:val="00AD64F8"/>
    <w:rsid w:val="00AE06C9"/>
    <w:rsid w:val="00AE2E03"/>
    <w:rsid w:val="00AE6C91"/>
    <w:rsid w:val="00AE78F4"/>
    <w:rsid w:val="00AF0C4E"/>
    <w:rsid w:val="00AF108A"/>
    <w:rsid w:val="00AF3595"/>
    <w:rsid w:val="00AF5509"/>
    <w:rsid w:val="00AF73BE"/>
    <w:rsid w:val="00B02E55"/>
    <w:rsid w:val="00B11028"/>
    <w:rsid w:val="00B12113"/>
    <w:rsid w:val="00B14EF7"/>
    <w:rsid w:val="00B2711F"/>
    <w:rsid w:val="00B27BF5"/>
    <w:rsid w:val="00B32D41"/>
    <w:rsid w:val="00B344CD"/>
    <w:rsid w:val="00B36042"/>
    <w:rsid w:val="00B467F6"/>
    <w:rsid w:val="00B50556"/>
    <w:rsid w:val="00B50E6B"/>
    <w:rsid w:val="00B513F4"/>
    <w:rsid w:val="00B60EA5"/>
    <w:rsid w:val="00B65B8E"/>
    <w:rsid w:val="00B668F3"/>
    <w:rsid w:val="00B70F99"/>
    <w:rsid w:val="00B72114"/>
    <w:rsid w:val="00B8205D"/>
    <w:rsid w:val="00B84DB2"/>
    <w:rsid w:val="00B86B18"/>
    <w:rsid w:val="00B9456E"/>
    <w:rsid w:val="00BA0922"/>
    <w:rsid w:val="00BA3BBC"/>
    <w:rsid w:val="00BA3C50"/>
    <w:rsid w:val="00BA4665"/>
    <w:rsid w:val="00BA5AA6"/>
    <w:rsid w:val="00BB2654"/>
    <w:rsid w:val="00BB56B3"/>
    <w:rsid w:val="00BB5796"/>
    <w:rsid w:val="00BB5D2B"/>
    <w:rsid w:val="00BB6966"/>
    <w:rsid w:val="00BB76E6"/>
    <w:rsid w:val="00BD0EDB"/>
    <w:rsid w:val="00BD1202"/>
    <w:rsid w:val="00BD7650"/>
    <w:rsid w:val="00BE5835"/>
    <w:rsid w:val="00BF4AC2"/>
    <w:rsid w:val="00BF7FE0"/>
    <w:rsid w:val="00C01F6D"/>
    <w:rsid w:val="00C17DB8"/>
    <w:rsid w:val="00C24379"/>
    <w:rsid w:val="00C40A34"/>
    <w:rsid w:val="00C42D07"/>
    <w:rsid w:val="00C450FD"/>
    <w:rsid w:val="00C4601C"/>
    <w:rsid w:val="00C47DDE"/>
    <w:rsid w:val="00C6723C"/>
    <w:rsid w:val="00C71204"/>
    <w:rsid w:val="00C80834"/>
    <w:rsid w:val="00C813B4"/>
    <w:rsid w:val="00C907E1"/>
    <w:rsid w:val="00C94E7A"/>
    <w:rsid w:val="00C9664D"/>
    <w:rsid w:val="00CA2451"/>
    <w:rsid w:val="00CB1351"/>
    <w:rsid w:val="00CC07FD"/>
    <w:rsid w:val="00CC318C"/>
    <w:rsid w:val="00CC6472"/>
    <w:rsid w:val="00CD6267"/>
    <w:rsid w:val="00CE7D50"/>
    <w:rsid w:val="00CF521F"/>
    <w:rsid w:val="00CF58B7"/>
    <w:rsid w:val="00CF7300"/>
    <w:rsid w:val="00D062EA"/>
    <w:rsid w:val="00D16CB9"/>
    <w:rsid w:val="00D17F17"/>
    <w:rsid w:val="00D23B94"/>
    <w:rsid w:val="00D25A8E"/>
    <w:rsid w:val="00D2692F"/>
    <w:rsid w:val="00D351C1"/>
    <w:rsid w:val="00D3693C"/>
    <w:rsid w:val="00D37885"/>
    <w:rsid w:val="00D4067C"/>
    <w:rsid w:val="00D44195"/>
    <w:rsid w:val="00D45686"/>
    <w:rsid w:val="00D63D86"/>
    <w:rsid w:val="00D66E9B"/>
    <w:rsid w:val="00D71320"/>
    <w:rsid w:val="00D71758"/>
    <w:rsid w:val="00D72699"/>
    <w:rsid w:val="00D8389B"/>
    <w:rsid w:val="00D86050"/>
    <w:rsid w:val="00D86BF0"/>
    <w:rsid w:val="00D91089"/>
    <w:rsid w:val="00D94905"/>
    <w:rsid w:val="00D95103"/>
    <w:rsid w:val="00D95391"/>
    <w:rsid w:val="00DA2743"/>
    <w:rsid w:val="00DA4FD5"/>
    <w:rsid w:val="00DB0584"/>
    <w:rsid w:val="00DB60BB"/>
    <w:rsid w:val="00DD267D"/>
    <w:rsid w:val="00DD2F44"/>
    <w:rsid w:val="00DE21E5"/>
    <w:rsid w:val="00DF3945"/>
    <w:rsid w:val="00DF4DF5"/>
    <w:rsid w:val="00DF77A7"/>
    <w:rsid w:val="00E0408B"/>
    <w:rsid w:val="00E1100D"/>
    <w:rsid w:val="00E1423A"/>
    <w:rsid w:val="00E14C09"/>
    <w:rsid w:val="00E16C38"/>
    <w:rsid w:val="00E257B1"/>
    <w:rsid w:val="00E2595D"/>
    <w:rsid w:val="00E26C62"/>
    <w:rsid w:val="00E36DBA"/>
    <w:rsid w:val="00E37883"/>
    <w:rsid w:val="00E44BE3"/>
    <w:rsid w:val="00E45A59"/>
    <w:rsid w:val="00E4777E"/>
    <w:rsid w:val="00E51920"/>
    <w:rsid w:val="00E55000"/>
    <w:rsid w:val="00E56F49"/>
    <w:rsid w:val="00E623D6"/>
    <w:rsid w:val="00E64120"/>
    <w:rsid w:val="00E65E30"/>
    <w:rsid w:val="00E66FFC"/>
    <w:rsid w:val="00E762DA"/>
    <w:rsid w:val="00E82505"/>
    <w:rsid w:val="00E921B6"/>
    <w:rsid w:val="00EA0566"/>
    <w:rsid w:val="00EB2C05"/>
    <w:rsid w:val="00EC0744"/>
    <w:rsid w:val="00ED6B11"/>
    <w:rsid w:val="00EE01E5"/>
    <w:rsid w:val="00EE2CDD"/>
    <w:rsid w:val="00EE6A90"/>
    <w:rsid w:val="00EE7AE7"/>
    <w:rsid w:val="00EF0485"/>
    <w:rsid w:val="00F024C1"/>
    <w:rsid w:val="00F05175"/>
    <w:rsid w:val="00F055F1"/>
    <w:rsid w:val="00F06BB5"/>
    <w:rsid w:val="00F10F74"/>
    <w:rsid w:val="00F242AC"/>
    <w:rsid w:val="00F317D7"/>
    <w:rsid w:val="00F3555D"/>
    <w:rsid w:val="00F44FC7"/>
    <w:rsid w:val="00F46399"/>
    <w:rsid w:val="00F51BF6"/>
    <w:rsid w:val="00F571B3"/>
    <w:rsid w:val="00F6644B"/>
    <w:rsid w:val="00F70E9B"/>
    <w:rsid w:val="00F7154E"/>
    <w:rsid w:val="00F72C78"/>
    <w:rsid w:val="00F738BF"/>
    <w:rsid w:val="00F86D8C"/>
    <w:rsid w:val="00F91643"/>
    <w:rsid w:val="00FA05D9"/>
    <w:rsid w:val="00FA0813"/>
    <w:rsid w:val="00FA7972"/>
    <w:rsid w:val="00FB281D"/>
    <w:rsid w:val="00FB6447"/>
    <w:rsid w:val="00FB715D"/>
    <w:rsid w:val="00FC10ED"/>
    <w:rsid w:val="00FC2D11"/>
    <w:rsid w:val="00FC49AE"/>
    <w:rsid w:val="00FC6230"/>
    <w:rsid w:val="00FC76B0"/>
    <w:rsid w:val="00FD69B8"/>
    <w:rsid w:val="00FD6D87"/>
    <w:rsid w:val="00FE0C7F"/>
    <w:rsid w:val="00FE102C"/>
    <w:rsid w:val="00FF118D"/>
    <w:rsid w:val="00FF2626"/>
    <w:rsid w:val="00FF3C4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D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1A23E4"/>
    <w:pPr>
      <w:spacing w:before="240" w:after="240" w:line="276" w:lineRule="auto"/>
    </w:pPr>
    <w:rPr>
      <w:rFonts w:ascii="Arial" w:hAnsi="Arial"/>
      <w:lang w:val="x-none" w:eastAsia="x-none"/>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Normal"/>
    <w:rsid w:val="006F1BFB"/>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character" w:styleId="CommentReference">
    <w:name w:val="annotation reference"/>
    <w:rsid w:val="002470A4"/>
    <w:rPr>
      <w:sz w:val="16"/>
      <w:szCs w:val="16"/>
    </w:rPr>
  </w:style>
  <w:style w:type="paragraph" w:styleId="CommentText">
    <w:name w:val="annotation text"/>
    <w:basedOn w:val="Normal"/>
    <w:link w:val="CommentTextChar"/>
    <w:rsid w:val="002470A4"/>
    <w:rPr>
      <w:sz w:val="20"/>
      <w:szCs w:val="20"/>
    </w:rPr>
  </w:style>
  <w:style w:type="character" w:customStyle="1" w:styleId="CommentTextChar">
    <w:name w:val="Comment Text Char"/>
    <w:basedOn w:val="DefaultParagraphFont"/>
    <w:link w:val="CommentText"/>
    <w:rsid w:val="002470A4"/>
  </w:style>
  <w:style w:type="paragraph" w:styleId="CommentSubject">
    <w:name w:val="annotation subject"/>
    <w:basedOn w:val="CommentText"/>
    <w:next w:val="CommentText"/>
    <w:link w:val="CommentSubjectChar"/>
    <w:semiHidden/>
    <w:rsid w:val="002470A4"/>
    <w:rPr>
      <w:b/>
      <w:bCs/>
      <w:lang w:val="x-none" w:eastAsia="x-none"/>
    </w:rPr>
  </w:style>
  <w:style w:type="character" w:customStyle="1" w:styleId="CommentSubjectChar">
    <w:name w:val="Comment Subject Char"/>
    <w:link w:val="CommentSubject"/>
    <w:semiHidden/>
    <w:rsid w:val="002470A4"/>
    <w:rPr>
      <w:b/>
      <w:bCs/>
    </w:rPr>
  </w:style>
  <w:style w:type="paragraph" w:customStyle="1" w:styleId="NICEnormal">
    <w:name w:val="NICE normal"/>
    <w:link w:val="NICEnormalChar"/>
    <w:rsid w:val="00D45686"/>
    <w:pPr>
      <w:spacing w:after="240" w:line="360" w:lineRule="auto"/>
    </w:pPr>
    <w:rPr>
      <w:rFonts w:ascii="Arial" w:hAnsi="Arial"/>
      <w:sz w:val="24"/>
      <w:szCs w:val="24"/>
      <w:lang w:val="en-US" w:eastAsia="en-US"/>
    </w:rPr>
  </w:style>
  <w:style w:type="character" w:customStyle="1" w:styleId="NICEnormalChar">
    <w:name w:val="NICE normal Char"/>
    <w:link w:val="NICEnormal"/>
    <w:rsid w:val="00D45686"/>
    <w:rPr>
      <w:rFonts w:ascii="Arial" w:hAnsi="Arial"/>
      <w:sz w:val="24"/>
      <w:szCs w:val="24"/>
      <w:lang w:val="en-US" w:eastAsia="en-US" w:bidi="ar-SA"/>
    </w:rPr>
  </w:style>
  <w:style w:type="paragraph" w:styleId="FootnoteText">
    <w:name w:val="footnote text"/>
    <w:basedOn w:val="Normal"/>
    <w:link w:val="FootnoteTextChar"/>
    <w:semiHidden/>
    <w:rsid w:val="003B42E7"/>
    <w:rPr>
      <w:sz w:val="20"/>
      <w:szCs w:val="20"/>
    </w:rPr>
  </w:style>
  <w:style w:type="character" w:customStyle="1" w:styleId="FootnoteTextChar">
    <w:name w:val="Footnote Text Char"/>
    <w:basedOn w:val="DefaultParagraphFont"/>
    <w:link w:val="FootnoteText"/>
    <w:semiHidden/>
    <w:rsid w:val="003B42E7"/>
  </w:style>
  <w:style w:type="character" w:styleId="FootnoteReference">
    <w:name w:val="footnote reference"/>
    <w:semiHidden/>
    <w:rsid w:val="003B42E7"/>
    <w:rPr>
      <w:vertAlign w:val="superscript"/>
    </w:rPr>
  </w:style>
  <w:style w:type="character" w:styleId="Hyperlink">
    <w:name w:val="Hyperlink"/>
    <w:semiHidden/>
    <w:rsid w:val="003B42E7"/>
    <w:rPr>
      <w:color w:val="0000FF"/>
      <w:u w:val="single"/>
    </w:rPr>
  </w:style>
  <w:style w:type="character" w:customStyle="1" w:styleId="ParagraphnonumbersChar">
    <w:name w:val="Paragraph no numbers Char"/>
    <w:link w:val="Paragraphnonumbers"/>
    <w:rsid w:val="00545EF3"/>
    <w:rPr>
      <w:rFonts w:ascii="Arial" w:hAnsi="Arial"/>
      <w:sz w:val="24"/>
      <w:szCs w:val="24"/>
    </w:rPr>
  </w:style>
  <w:style w:type="paragraph" w:customStyle="1" w:styleId="Numberedheading1">
    <w:name w:val="Numbered heading 1"/>
    <w:basedOn w:val="Heading1"/>
    <w:next w:val="NICEnormal"/>
    <w:rsid w:val="005E510A"/>
    <w:pPr>
      <w:numPr>
        <w:numId w:val="22"/>
      </w:numPr>
      <w:spacing w:line="360" w:lineRule="auto"/>
    </w:pPr>
    <w:rPr>
      <w:rFonts w:cs="Arial"/>
      <w:sz w:val="32"/>
      <w:szCs w:val="24"/>
      <w:lang w:eastAsia="en-US"/>
    </w:rPr>
  </w:style>
  <w:style w:type="paragraph" w:customStyle="1" w:styleId="Numberedheading2">
    <w:name w:val="Numbered heading 2"/>
    <w:basedOn w:val="Heading2"/>
    <w:next w:val="NICEnormal"/>
    <w:rsid w:val="005E510A"/>
    <w:pPr>
      <w:numPr>
        <w:ilvl w:val="1"/>
        <w:numId w:val="22"/>
      </w:numPr>
      <w:spacing w:line="360" w:lineRule="auto"/>
    </w:pPr>
    <w:rPr>
      <w:rFonts w:cs="Arial"/>
      <w:lang w:eastAsia="en-US"/>
    </w:rPr>
  </w:style>
  <w:style w:type="paragraph" w:customStyle="1" w:styleId="Numberedheading3">
    <w:name w:val="Numbered heading 3"/>
    <w:basedOn w:val="Heading3"/>
    <w:next w:val="NICEnormal"/>
    <w:rsid w:val="005E510A"/>
    <w:pPr>
      <w:numPr>
        <w:ilvl w:val="2"/>
        <w:numId w:val="22"/>
      </w:numPr>
      <w:spacing w:line="360" w:lineRule="auto"/>
    </w:pPr>
    <w:rPr>
      <w:rFonts w:cs="Arial"/>
      <w:sz w:val="26"/>
      <w:szCs w:val="24"/>
      <w:lang w:eastAsia="en-US"/>
    </w:rPr>
  </w:style>
  <w:style w:type="paragraph" w:customStyle="1" w:styleId="Numberedlevel4text">
    <w:name w:val="Numbered level 4 text"/>
    <w:basedOn w:val="NICEnormal"/>
    <w:next w:val="NICEnormal"/>
    <w:rsid w:val="005E510A"/>
    <w:pPr>
      <w:numPr>
        <w:ilvl w:val="3"/>
        <w:numId w:val="22"/>
      </w:numPr>
    </w:pPr>
  </w:style>
  <w:style w:type="paragraph" w:customStyle="1" w:styleId="NICEnormalsinglespacing">
    <w:name w:val="NICE normal single spacing"/>
    <w:basedOn w:val="NICEnormal"/>
    <w:rsid w:val="000A17BD"/>
    <w:pPr>
      <w:spacing w:line="240" w:lineRule="auto"/>
    </w:pPr>
    <w:rPr>
      <w:lang w:val="en-GB"/>
    </w:rPr>
  </w:style>
  <w:style w:type="paragraph" w:customStyle="1" w:styleId="Title16pt">
    <w:name w:val="Title 16 pt"/>
    <w:basedOn w:val="Title"/>
    <w:rsid w:val="000A17BD"/>
    <w:pPr>
      <w:keepNext/>
    </w:pPr>
    <w:rPr>
      <w:rFonts w:cs="Arial"/>
      <w:lang w:val="en-GB" w:eastAsia="en-GB"/>
    </w:rPr>
  </w:style>
  <w:style w:type="paragraph" w:customStyle="1" w:styleId="Bulletleft2">
    <w:name w:val="Bullet left 2"/>
    <w:basedOn w:val="NICEnormal"/>
    <w:rsid w:val="000A17BD"/>
    <w:pPr>
      <w:numPr>
        <w:ilvl w:val="1"/>
        <w:numId w:val="23"/>
      </w:numPr>
      <w:spacing w:after="0"/>
      <w:ind w:left="568" w:hanging="284"/>
    </w:pPr>
    <w:rPr>
      <w:lang w:val="en-GB"/>
    </w:rPr>
  </w:style>
  <w:style w:type="paragraph" w:customStyle="1" w:styleId="Tabletitle">
    <w:name w:val="Table title"/>
    <w:basedOn w:val="NICEnormal"/>
    <w:next w:val="NICEnormal"/>
    <w:rsid w:val="000A17BD"/>
    <w:pPr>
      <w:keepNext/>
      <w:spacing w:after="60" w:line="240" w:lineRule="auto"/>
    </w:pPr>
    <w:rPr>
      <w:b/>
      <w:lang w:val="en-GB"/>
    </w:rPr>
  </w:style>
  <w:style w:type="paragraph" w:customStyle="1" w:styleId="Tabletext">
    <w:name w:val="Table text"/>
    <w:basedOn w:val="NICEnormalsinglespacing"/>
    <w:rsid w:val="000A17BD"/>
    <w:pPr>
      <w:keepNext/>
      <w:spacing w:after="60"/>
    </w:pPr>
    <w:rPr>
      <w:sz w:val="22"/>
    </w:rPr>
  </w:style>
  <w:style w:type="paragraph" w:customStyle="1" w:styleId="Default">
    <w:name w:val="Default"/>
    <w:rsid w:val="00342E19"/>
    <w:pPr>
      <w:autoSpaceDE w:val="0"/>
      <w:autoSpaceDN w:val="0"/>
      <w:adjustRightInd w:val="0"/>
    </w:pPr>
    <w:rPr>
      <w:rFonts w:ascii="Frutiger LT 45 Light" w:hAnsi="Frutiger LT 45 Light" w:cs="Frutiger LT 45 Light"/>
      <w:color w:val="000000"/>
      <w:sz w:val="24"/>
      <w:szCs w:val="24"/>
    </w:rPr>
  </w:style>
  <w:style w:type="character" w:styleId="FollowedHyperlink">
    <w:name w:val="FollowedHyperlink"/>
    <w:semiHidden/>
    <w:rsid w:val="00B27BF5"/>
    <w:rPr>
      <w:color w:val="800080"/>
      <w:u w:val="single"/>
    </w:rPr>
  </w:style>
  <w:style w:type="paragraph" w:styleId="Revision">
    <w:name w:val="Revision"/>
    <w:hidden/>
    <w:uiPriority w:val="99"/>
    <w:semiHidden/>
    <w:rsid w:val="00667B23"/>
    <w:rPr>
      <w:sz w:val="24"/>
      <w:szCs w:val="24"/>
    </w:rPr>
  </w:style>
  <w:style w:type="character" w:styleId="UnresolvedMention">
    <w:name w:val="Unresolved Mention"/>
    <w:basedOn w:val="DefaultParagraphFont"/>
    <w:uiPriority w:val="99"/>
    <w:semiHidden/>
    <w:unhideWhenUsed/>
    <w:rsid w:val="004D3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389">
      <w:bodyDiv w:val="1"/>
      <w:marLeft w:val="0"/>
      <w:marRight w:val="0"/>
      <w:marTop w:val="0"/>
      <w:marBottom w:val="0"/>
      <w:divBdr>
        <w:top w:val="none" w:sz="0" w:space="0" w:color="auto"/>
        <w:left w:val="none" w:sz="0" w:space="0" w:color="auto"/>
        <w:bottom w:val="none" w:sz="0" w:space="0" w:color="auto"/>
        <w:right w:val="none" w:sz="0" w:space="0" w:color="auto"/>
      </w:divBdr>
    </w:div>
    <w:div w:id="36509201">
      <w:bodyDiv w:val="1"/>
      <w:marLeft w:val="0"/>
      <w:marRight w:val="0"/>
      <w:marTop w:val="0"/>
      <w:marBottom w:val="0"/>
      <w:divBdr>
        <w:top w:val="none" w:sz="0" w:space="0" w:color="auto"/>
        <w:left w:val="none" w:sz="0" w:space="0" w:color="auto"/>
        <w:bottom w:val="none" w:sz="0" w:space="0" w:color="auto"/>
        <w:right w:val="none" w:sz="0" w:space="0" w:color="auto"/>
      </w:divBdr>
    </w:div>
    <w:div w:id="49690295">
      <w:bodyDiv w:val="1"/>
      <w:marLeft w:val="0"/>
      <w:marRight w:val="0"/>
      <w:marTop w:val="0"/>
      <w:marBottom w:val="0"/>
      <w:divBdr>
        <w:top w:val="none" w:sz="0" w:space="0" w:color="auto"/>
        <w:left w:val="none" w:sz="0" w:space="0" w:color="auto"/>
        <w:bottom w:val="none" w:sz="0" w:space="0" w:color="auto"/>
        <w:right w:val="none" w:sz="0" w:space="0" w:color="auto"/>
      </w:divBdr>
    </w:div>
    <w:div w:id="105972536">
      <w:bodyDiv w:val="1"/>
      <w:marLeft w:val="0"/>
      <w:marRight w:val="0"/>
      <w:marTop w:val="0"/>
      <w:marBottom w:val="0"/>
      <w:divBdr>
        <w:top w:val="none" w:sz="0" w:space="0" w:color="auto"/>
        <w:left w:val="none" w:sz="0" w:space="0" w:color="auto"/>
        <w:bottom w:val="none" w:sz="0" w:space="0" w:color="auto"/>
        <w:right w:val="none" w:sz="0" w:space="0" w:color="auto"/>
      </w:divBdr>
    </w:div>
    <w:div w:id="162792110">
      <w:bodyDiv w:val="1"/>
      <w:marLeft w:val="0"/>
      <w:marRight w:val="0"/>
      <w:marTop w:val="0"/>
      <w:marBottom w:val="0"/>
      <w:divBdr>
        <w:top w:val="none" w:sz="0" w:space="0" w:color="auto"/>
        <w:left w:val="none" w:sz="0" w:space="0" w:color="auto"/>
        <w:bottom w:val="none" w:sz="0" w:space="0" w:color="auto"/>
        <w:right w:val="none" w:sz="0" w:space="0" w:color="auto"/>
      </w:divBdr>
    </w:div>
    <w:div w:id="167715113">
      <w:bodyDiv w:val="1"/>
      <w:marLeft w:val="0"/>
      <w:marRight w:val="0"/>
      <w:marTop w:val="0"/>
      <w:marBottom w:val="0"/>
      <w:divBdr>
        <w:top w:val="none" w:sz="0" w:space="0" w:color="auto"/>
        <w:left w:val="none" w:sz="0" w:space="0" w:color="auto"/>
        <w:bottom w:val="none" w:sz="0" w:space="0" w:color="auto"/>
        <w:right w:val="none" w:sz="0" w:space="0" w:color="auto"/>
      </w:divBdr>
    </w:div>
    <w:div w:id="295373801">
      <w:bodyDiv w:val="1"/>
      <w:marLeft w:val="0"/>
      <w:marRight w:val="0"/>
      <w:marTop w:val="0"/>
      <w:marBottom w:val="0"/>
      <w:divBdr>
        <w:top w:val="none" w:sz="0" w:space="0" w:color="auto"/>
        <w:left w:val="none" w:sz="0" w:space="0" w:color="auto"/>
        <w:bottom w:val="none" w:sz="0" w:space="0" w:color="auto"/>
        <w:right w:val="none" w:sz="0" w:space="0" w:color="auto"/>
      </w:divBdr>
    </w:div>
    <w:div w:id="332731854">
      <w:bodyDiv w:val="1"/>
      <w:marLeft w:val="0"/>
      <w:marRight w:val="0"/>
      <w:marTop w:val="0"/>
      <w:marBottom w:val="0"/>
      <w:divBdr>
        <w:top w:val="none" w:sz="0" w:space="0" w:color="auto"/>
        <w:left w:val="none" w:sz="0" w:space="0" w:color="auto"/>
        <w:bottom w:val="none" w:sz="0" w:space="0" w:color="auto"/>
        <w:right w:val="none" w:sz="0" w:space="0" w:color="auto"/>
      </w:divBdr>
    </w:div>
    <w:div w:id="695890212">
      <w:bodyDiv w:val="1"/>
      <w:marLeft w:val="0"/>
      <w:marRight w:val="0"/>
      <w:marTop w:val="0"/>
      <w:marBottom w:val="0"/>
      <w:divBdr>
        <w:top w:val="none" w:sz="0" w:space="0" w:color="auto"/>
        <w:left w:val="none" w:sz="0" w:space="0" w:color="auto"/>
        <w:bottom w:val="none" w:sz="0" w:space="0" w:color="auto"/>
        <w:right w:val="none" w:sz="0" w:space="0" w:color="auto"/>
      </w:divBdr>
    </w:div>
    <w:div w:id="971786615">
      <w:bodyDiv w:val="1"/>
      <w:marLeft w:val="0"/>
      <w:marRight w:val="0"/>
      <w:marTop w:val="0"/>
      <w:marBottom w:val="0"/>
      <w:divBdr>
        <w:top w:val="none" w:sz="0" w:space="0" w:color="auto"/>
        <w:left w:val="none" w:sz="0" w:space="0" w:color="auto"/>
        <w:bottom w:val="none" w:sz="0" w:space="0" w:color="auto"/>
        <w:right w:val="none" w:sz="0" w:space="0" w:color="auto"/>
      </w:divBdr>
    </w:div>
    <w:div w:id="1080518142">
      <w:bodyDiv w:val="1"/>
      <w:marLeft w:val="0"/>
      <w:marRight w:val="0"/>
      <w:marTop w:val="0"/>
      <w:marBottom w:val="0"/>
      <w:divBdr>
        <w:top w:val="none" w:sz="0" w:space="0" w:color="auto"/>
        <w:left w:val="none" w:sz="0" w:space="0" w:color="auto"/>
        <w:bottom w:val="none" w:sz="0" w:space="0" w:color="auto"/>
        <w:right w:val="none" w:sz="0" w:space="0" w:color="auto"/>
      </w:divBdr>
    </w:div>
    <w:div w:id="1125586440">
      <w:bodyDiv w:val="1"/>
      <w:marLeft w:val="0"/>
      <w:marRight w:val="0"/>
      <w:marTop w:val="0"/>
      <w:marBottom w:val="0"/>
      <w:divBdr>
        <w:top w:val="none" w:sz="0" w:space="0" w:color="auto"/>
        <w:left w:val="none" w:sz="0" w:space="0" w:color="auto"/>
        <w:bottom w:val="none" w:sz="0" w:space="0" w:color="auto"/>
        <w:right w:val="none" w:sz="0" w:space="0" w:color="auto"/>
      </w:divBdr>
    </w:div>
    <w:div w:id="1147938148">
      <w:bodyDiv w:val="1"/>
      <w:marLeft w:val="0"/>
      <w:marRight w:val="0"/>
      <w:marTop w:val="0"/>
      <w:marBottom w:val="0"/>
      <w:divBdr>
        <w:top w:val="none" w:sz="0" w:space="0" w:color="auto"/>
        <w:left w:val="none" w:sz="0" w:space="0" w:color="auto"/>
        <w:bottom w:val="none" w:sz="0" w:space="0" w:color="auto"/>
        <w:right w:val="none" w:sz="0" w:space="0" w:color="auto"/>
      </w:divBdr>
    </w:div>
    <w:div w:id="1256132974">
      <w:bodyDiv w:val="1"/>
      <w:marLeft w:val="0"/>
      <w:marRight w:val="0"/>
      <w:marTop w:val="0"/>
      <w:marBottom w:val="0"/>
      <w:divBdr>
        <w:top w:val="none" w:sz="0" w:space="0" w:color="auto"/>
        <w:left w:val="none" w:sz="0" w:space="0" w:color="auto"/>
        <w:bottom w:val="none" w:sz="0" w:space="0" w:color="auto"/>
        <w:right w:val="none" w:sz="0" w:space="0" w:color="auto"/>
      </w:divBdr>
    </w:div>
    <w:div w:id="1369330865">
      <w:bodyDiv w:val="1"/>
      <w:marLeft w:val="0"/>
      <w:marRight w:val="0"/>
      <w:marTop w:val="0"/>
      <w:marBottom w:val="0"/>
      <w:divBdr>
        <w:top w:val="none" w:sz="0" w:space="0" w:color="auto"/>
        <w:left w:val="none" w:sz="0" w:space="0" w:color="auto"/>
        <w:bottom w:val="none" w:sz="0" w:space="0" w:color="auto"/>
        <w:right w:val="none" w:sz="0" w:space="0" w:color="auto"/>
      </w:divBdr>
    </w:div>
    <w:div w:id="1398355588">
      <w:bodyDiv w:val="1"/>
      <w:marLeft w:val="0"/>
      <w:marRight w:val="0"/>
      <w:marTop w:val="0"/>
      <w:marBottom w:val="0"/>
      <w:divBdr>
        <w:top w:val="none" w:sz="0" w:space="0" w:color="auto"/>
        <w:left w:val="none" w:sz="0" w:space="0" w:color="auto"/>
        <w:bottom w:val="none" w:sz="0" w:space="0" w:color="auto"/>
        <w:right w:val="none" w:sz="0" w:space="0" w:color="auto"/>
      </w:divBdr>
    </w:div>
    <w:div w:id="1411269163">
      <w:bodyDiv w:val="1"/>
      <w:marLeft w:val="0"/>
      <w:marRight w:val="0"/>
      <w:marTop w:val="0"/>
      <w:marBottom w:val="0"/>
      <w:divBdr>
        <w:top w:val="none" w:sz="0" w:space="0" w:color="auto"/>
        <w:left w:val="none" w:sz="0" w:space="0" w:color="auto"/>
        <w:bottom w:val="none" w:sz="0" w:space="0" w:color="auto"/>
        <w:right w:val="none" w:sz="0" w:space="0" w:color="auto"/>
      </w:divBdr>
    </w:div>
    <w:div w:id="1528059246">
      <w:bodyDiv w:val="1"/>
      <w:marLeft w:val="0"/>
      <w:marRight w:val="0"/>
      <w:marTop w:val="0"/>
      <w:marBottom w:val="0"/>
      <w:divBdr>
        <w:top w:val="none" w:sz="0" w:space="0" w:color="auto"/>
        <w:left w:val="none" w:sz="0" w:space="0" w:color="auto"/>
        <w:bottom w:val="none" w:sz="0" w:space="0" w:color="auto"/>
        <w:right w:val="none" w:sz="0" w:space="0" w:color="auto"/>
      </w:divBdr>
    </w:div>
    <w:div w:id="1581938732">
      <w:bodyDiv w:val="1"/>
      <w:marLeft w:val="0"/>
      <w:marRight w:val="0"/>
      <w:marTop w:val="0"/>
      <w:marBottom w:val="0"/>
      <w:divBdr>
        <w:top w:val="none" w:sz="0" w:space="0" w:color="auto"/>
        <w:left w:val="none" w:sz="0" w:space="0" w:color="auto"/>
        <w:bottom w:val="none" w:sz="0" w:space="0" w:color="auto"/>
        <w:right w:val="none" w:sz="0" w:space="0" w:color="auto"/>
      </w:divBdr>
    </w:div>
    <w:div w:id="1755007525">
      <w:bodyDiv w:val="1"/>
      <w:marLeft w:val="0"/>
      <w:marRight w:val="0"/>
      <w:marTop w:val="0"/>
      <w:marBottom w:val="0"/>
      <w:divBdr>
        <w:top w:val="none" w:sz="0" w:space="0" w:color="auto"/>
        <w:left w:val="none" w:sz="0" w:space="0" w:color="auto"/>
        <w:bottom w:val="none" w:sz="0" w:space="0" w:color="auto"/>
        <w:right w:val="none" w:sz="0" w:space="0" w:color="auto"/>
      </w:divBdr>
    </w:div>
    <w:div w:id="1794251544">
      <w:bodyDiv w:val="1"/>
      <w:marLeft w:val="0"/>
      <w:marRight w:val="0"/>
      <w:marTop w:val="0"/>
      <w:marBottom w:val="0"/>
      <w:divBdr>
        <w:top w:val="none" w:sz="0" w:space="0" w:color="auto"/>
        <w:left w:val="none" w:sz="0" w:space="0" w:color="auto"/>
        <w:bottom w:val="none" w:sz="0" w:space="0" w:color="auto"/>
        <w:right w:val="none" w:sz="0" w:space="0" w:color="auto"/>
      </w:divBdr>
    </w:div>
    <w:div w:id="1931037201">
      <w:bodyDiv w:val="1"/>
      <w:marLeft w:val="0"/>
      <w:marRight w:val="0"/>
      <w:marTop w:val="0"/>
      <w:marBottom w:val="0"/>
      <w:divBdr>
        <w:top w:val="none" w:sz="0" w:space="0" w:color="auto"/>
        <w:left w:val="none" w:sz="0" w:space="0" w:color="auto"/>
        <w:bottom w:val="none" w:sz="0" w:space="0" w:color="auto"/>
        <w:right w:val="none" w:sz="0" w:space="0" w:color="auto"/>
      </w:divBdr>
    </w:div>
    <w:div w:id="2110659051">
      <w:bodyDiv w:val="1"/>
      <w:marLeft w:val="0"/>
      <w:marRight w:val="0"/>
      <w:marTop w:val="0"/>
      <w:marBottom w:val="0"/>
      <w:divBdr>
        <w:top w:val="none" w:sz="0" w:space="0" w:color="auto"/>
        <w:left w:val="none" w:sz="0" w:space="0" w:color="auto"/>
        <w:bottom w:val="none" w:sz="0" w:space="0" w:color="auto"/>
        <w:right w:val="none" w:sz="0" w:space="0" w:color="auto"/>
      </w:divBdr>
    </w:div>
    <w:div w:id="2136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64/bmj.l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land.nhs.uk/long-term-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200D-C021-4465-82AF-BC3CFEA9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7F0D1A54</Template>
  <TotalTime>0</TotalTime>
  <Pages>2</Pages>
  <Words>217</Words>
  <Characters>1360</Characters>
  <Application>Microsoft Office Word</Application>
  <DocSecurity>0</DocSecurity>
  <Lines>11</Lines>
  <Paragraphs>3</Paragraphs>
  <ScaleCrop>false</ScaleCrop>
  <Company/>
  <LinksUpToDate>false</LinksUpToDate>
  <CharactersWithSpaces>1574</CharactersWithSpaces>
  <SharedDoc>false</SharedDoc>
  <HLinks>
    <vt:vector size="78" baseType="variant">
      <vt:variant>
        <vt:i4>6029358</vt:i4>
      </vt:variant>
      <vt:variant>
        <vt:i4>36</vt:i4>
      </vt:variant>
      <vt:variant>
        <vt:i4>0</vt:i4>
      </vt:variant>
      <vt:variant>
        <vt:i4>5</vt:i4>
      </vt:variant>
      <vt:variant>
        <vt:lpwstr>http://www.ncbi.nlm.nih.gov/pubmed/?term=Abera%20SF%5BAuthor%5D&amp;cauthor=true&amp;cauthor_uid=24880830</vt:lpwstr>
      </vt:variant>
      <vt:variant>
        <vt:lpwstr/>
      </vt:variant>
      <vt:variant>
        <vt:i4>8126487</vt:i4>
      </vt:variant>
      <vt:variant>
        <vt:i4>33</vt:i4>
      </vt:variant>
      <vt:variant>
        <vt:i4>0</vt:i4>
      </vt:variant>
      <vt:variant>
        <vt:i4>5</vt:i4>
      </vt:variant>
      <vt:variant>
        <vt:lpwstr>http://www.ncbi.nlm.nih.gov/pubmed/?term=Abbafati%20C%5BAuthor%5D&amp;cauthor=true&amp;cauthor_uid=24880830</vt:lpwstr>
      </vt:variant>
      <vt:variant>
        <vt:lpwstr/>
      </vt:variant>
      <vt:variant>
        <vt:i4>6750209</vt:i4>
      </vt:variant>
      <vt:variant>
        <vt:i4>30</vt:i4>
      </vt:variant>
      <vt:variant>
        <vt:i4>0</vt:i4>
      </vt:variant>
      <vt:variant>
        <vt:i4>5</vt:i4>
      </vt:variant>
      <vt:variant>
        <vt:lpwstr>http://www.ncbi.nlm.nih.gov/pubmed/?term=Biryukov%20S%5BAuthor%5D&amp;cauthor=true&amp;cauthor_uid=24880830</vt:lpwstr>
      </vt:variant>
      <vt:variant>
        <vt:lpwstr/>
      </vt:variant>
      <vt:variant>
        <vt:i4>3539020</vt:i4>
      </vt:variant>
      <vt:variant>
        <vt:i4>27</vt:i4>
      </vt:variant>
      <vt:variant>
        <vt:i4>0</vt:i4>
      </vt:variant>
      <vt:variant>
        <vt:i4>5</vt:i4>
      </vt:variant>
      <vt:variant>
        <vt:lpwstr>http://www.ncbi.nlm.nih.gov/pubmed/?term=Mullany%20EC%5BAuthor%5D&amp;cauthor=true&amp;cauthor_uid=24880830</vt:lpwstr>
      </vt:variant>
      <vt:variant>
        <vt:lpwstr/>
      </vt:variant>
      <vt:variant>
        <vt:i4>1638447</vt:i4>
      </vt:variant>
      <vt:variant>
        <vt:i4>24</vt:i4>
      </vt:variant>
      <vt:variant>
        <vt:i4>0</vt:i4>
      </vt:variant>
      <vt:variant>
        <vt:i4>5</vt:i4>
      </vt:variant>
      <vt:variant>
        <vt:lpwstr>http://www.ncbi.nlm.nih.gov/pubmed/?term=Margono%20C%5BAuthor%5D&amp;cauthor=true&amp;cauthor_uid=24880830</vt:lpwstr>
      </vt:variant>
      <vt:variant>
        <vt:lpwstr/>
      </vt:variant>
      <vt:variant>
        <vt:i4>2031740</vt:i4>
      </vt:variant>
      <vt:variant>
        <vt:i4>21</vt:i4>
      </vt:variant>
      <vt:variant>
        <vt:i4>0</vt:i4>
      </vt:variant>
      <vt:variant>
        <vt:i4>5</vt:i4>
      </vt:variant>
      <vt:variant>
        <vt:lpwstr>http://www.ncbi.nlm.nih.gov/pubmed/?term=Graetz%20N%5BAuthor%5D&amp;cauthor=true&amp;cauthor_uid=24880830</vt:lpwstr>
      </vt:variant>
      <vt:variant>
        <vt:lpwstr/>
      </vt:variant>
      <vt:variant>
        <vt:i4>65581</vt:i4>
      </vt:variant>
      <vt:variant>
        <vt:i4>18</vt:i4>
      </vt:variant>
      <vt:variant>
        <vt:i4>0</vt:i4>
      </vt:variant>
      <vt:variant>
        <vt:i4>5</vt:i4>
      </vt:variant>
      <vt:variant>
        <vt:lpwstr>http://www.ncbi.nlm.nih.gov/pubmed/?term=Thomson%20B%5BAuthor%5D&amp;cauthor=true&amp;cauthor_uid=24880830</vt:lpwstr>
      </vt:variant>
      <vt:variant>
        <vt:lpwstr/>
      </vt:variant>
      <vt:variant>
        <vt:i4>8126473</vt:i4>
      </vt:variant>
      <vt:variant>
        <vt:i4>15</vt:i4>
      </vt:variant>
      <vt:variant>
        <vt:i4>0</vt:i4>
      </vt:variant>
      <vt:variant>
        <vt:i4>5</vt:i4>
      </vt:variant>
      <vt:variant>
        <vt:lpwstr>http://www.ncbi.nlm.nih.gov/pubmed/?term=Robinson%20M%5BAuthor%5D&amp;cauthor=true&amp;cauthor_uid=24880830</vt:lpwstr>
      </vt:variant>
      <vt:variant>
        <vt:lpwstr/>
      </vt:variant>
      <vt:variant>
        <vt:i4>1835048</vt:i4>
      </vt:variant>
      <vt:variant>
        <vt:i4>12</vt:i4>
      </vt:variant>
      <vt:variant>
        <vt:i4>0</vt:i4>
      </vt:variant>
      <vt:variant>
        <vt:i4>5</vt:i4>
      </vt:variant>
      <vt:variant>
        <vt:lpwstr>http://www.ncbi.nlm.nih.gov/pubmed/?term=Fleming%20T%5BAuthor%5D&amp;cauthor=true&amp;cauthor_uid=24880830</vt:lpwstr>
      </vt:variant>
      <vt:variant>
        <vt:lpwstr/>
      </vt:variant>
      <vt:variant>
        <vt:i4>196725</vt:i4>
      </vt:variant>
      <vt:variant>
        <vt:i4>9</vt:i4>
      </vt:variant>
      <vt:variant>
        <vt:i4>0</vt:i4>
      </vt:variant>
      <vt:variant>
        <vt:i4>5</vt:i4>
      </vt:variant>
      <vt:variant>
        <vt:lpwstr>http://www.ncbi.nlm.nih.gov/pubmed/?term=Ng%20M%5BAuthor%5D&amp;cauthor=true&amp;cauthor_uid=24880830</vt:lpwstr>
      </vt:variant>
      <vt:variant>
        <vt:lpwstr/>
      </vt:variant>
      <vt:variant>
        <vt:i4>8323109</vt:i4>
      </vt:variant>
      <vt:variant>
        <vt:i4>6</vt:i4>
      </vt:variant>
      <vt:variant>
        <vt:i4>0</vt:i4>
      </vt:variant>
      <vt:variant>
        <vt:i4>5</vt:i4>
      </vt:variant>
      <vt:variant>
        <vt:lpwstr>http://www.hscic.gov.uk/catalogue/PUB15751</vt:lpwstr>
      </vt:variant>
      <vt:variant>
        <vt:lpwstr/>
      </vt:variant>
      <vt:variant>
        <vt:i4>2293859</vt:i4>
      </vt:variant>
      <vt:variant>
        <vt:i4>3</vt:i4>
      </vt:variant>
      <vt:variant>
        <vt:i4>0</vt:i4>
      </vt:variant>
      <vt:variant>
        <vt:i4>5</vt:i4>
      </vt:variant>
      <vt:variant>
        <vt:lpwstr>http://www.nice.org.uk/guidance/ph53/resources</vt:lpwstr>
      </vt:variant>
      <vt:variant>
        <vt:lpwstr/>
      </vt:variant>
      <vt:variant>
        <vt:i4>1179713</vt:i4>
      </vt:variant>
      <vt:variant>
        <vt:i4>0</vt:i4>
      </vt:variant>
      <vt:variant>
        <vt:i4>0</vt:i4>
      </vt:variant>
      <vt:variant>
        <vt:i4>5</vt:i4>
      </vt:variant>
      <vt:variant>
        <vt:lpwstr>http://www.pssru.ac.uk/project-pages/unit-costs/2014/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2020-02-10T13:36:00Z</dcterms:created>
  <dcterms:modified xsi:type="dcterms:W3CDTF">2020-02-10T13:36:00Z</dcterms:modified>
</cp:coreProperties>
</file>