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08D1644F"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482C01">
      <w:pPr>
        <w:jc w:val="center"/>
        <w:rPr>
          <w:rFonts w:ascii="Arial" w:hAnsi="Arial" w:cs="Arial"/>
          <w:b/>
          <w:sz w:val="32"/>
          <w:szCs w:val="32"/>
        </w:rPr>
      </w:pPr>
      <w:r w:rsidRPr="00861C2E">
        <w:rPr>
          <w:rFonts w:ascii="Arial" w:hAnsi="Arial" w:cs="Arial"/>
          <w:b/>
          <w:sz w:val="32"/>
          <w:szCs w:val="32"/>
        </w:rPr>
        <w:t>C</w:t>
      </w:r>
      <w:r w:rsidR="00DB5AE0">
        <w:rPr>
          <w:rFonts w:ascii="Arial" w:hAnsi="Arial" w:cs="Arial"/>
          <w:b/>
          <w:sz w:val="32"/>
          <w:szCs w:val="32"/>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0B70C773"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7C1642">
        <w:t>Familial hypercholesterolemia (FH)</w:t>
      </w:r>
    </w:p>
    <w:p w14:paraId="0766D06F" w14:textId="1EBE1699" w:rsidR="006814B9" w:rsidRDefault="006814B9" w:rsidP="00BA331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C14404">
        <w:rPr>
          <w:lang w:val="en-GB"/>
        </w:rPr>
        <w:t>1</w:t>
      </w:r>
      <w:r w:rsidR="006948AC">
        <w:rPr>
          <w:lang w:val="en-GB"/>
        </w:rPr>
        <w:t>7 April</w:t>
      </w:r>
      <w:r w:rsidR="00C14404">
        <w:rPr>
          <w:lang w:val="en-GB"/>
        </w:rPr>
        <w:t xml:space="preserve"> – </w:t>
      </w:r>
      <w:r w:rsidR="006948AC">
        <w:rPr>
          <w:lang w:val="en-GB"/>
        </w:rPr>
        <w:t>16</w:t>
      </w:r>
      <w:r w:rsidR="00C14404">
        <w:rPr>
          <w:lang w:val="en-GB"/>
        </w:rPr>
        <w:t xml:space="preserve"> </w:t>
      </w:r>
      <w:r w:rsidR="006948AC">
        <w:rPr>
          <w:lang w:val="en-GB"/>
        </w:rPr>
        <w:t>May</w:t>
      </w:r>
      <w:r w:rsidR="00C14404">
        <w:rPr>
          <w:lang w:val="en-GB"/>
        </w:rPr>
        <w:t xml:space="preserve"> 201</w:t>
      </w:r>
      <w:r w:rsidR="00BA3317">
        <w:rPr>
          <w:lang w:val="en-GB"/>
        </w:rPr>
        <w:t>9</w:t>
      </w:r>
    </w:p>
    <w:p w14:paraId="6C394406" w14:textId="2BFE2D7B" w:rsidR="008C1C95"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7C1642">
        <w:rPr>
          <w:lang w:val="en-GB"/>
        </w:rPr>
        <w:t>5 June 2019</w:t>
      </w:r>
    </w:p>
    <w:p w14:paraId="2DDDE21F" w14:textId="4C75AD29" w:rsidR="00987B83" w:rsidRPr="00987B83" w:rsidRDefault="00987B83" w:rsidP="008C1C95">
      <w:pPr>
        <w:pStyle w:val="Introtext"/>
        <w:pBdr>
          <w:top w:val="single" w:sz="4" w:space="0" w:color="auto"/>
        </w:pBdr>
        <w:spacing w:before="100" w:beforeAutospacing="1" w:after="100" w:afterAutospacing="1" w:line="360" w:lineRule="auto"/>
        <w:contextualSpacing/>
        <w:rPr>
          <w:b/>
          <w:lang w:val="en-GB"/>
        </w:rPr>
      </w:pPr>
      <w:r w:rsidRPr="00987B83">
        <w:rPr>
          <w:b/>
          <w:lang w:val="en-GB"/>
        </w:rPr>
        <w:t>Output:</w:t>
      </w:r>
      <w:r>
        <w:rPr>
          <w:b/>
          <w:lang w:val="en-GB"/>
        </w:rPr>
        <w:t xml:space="preserve"> </w:t>
      </w:r>
      <w:r w:rsidR="00442D76">
        <w:rPr>
          <w:lang w:val="en-GB"/>
        </w:rPr>
        <w:t>New indicators for general practice</w:t>
      </w:r>
      <w:r>
        <w:rPr>
          <w:b/>
          <w:lang w:val="en-GB"/>
        </w:rPr>
        <w:t xml:space="preserve"> </w:t>
      </w:r>
    </w:p>
    <w:p w14:paraId="348194C1" w14:textId="4DE0B9BD"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855549">
      <w:pPr>
        <w:pStyle w:val="TOC1"/>
        <w:tabs>
          <w:tab w:val="right" w:leader="dot" w:pos="8303"/>
        </w:tabs>
      </w:pPr>
      <w:r>
        <w:rPr>
          <w:b/>
          <w:bCs/>
          <w:kern w:val="32"/>
          <w:sz w:val="28"/>
          <w:szCs w:val="32"/>
        </w:rPr>
        <w:t>Contents</w:t>
      </w:r>
    </w:p>
    <w:p w14:paraId="24E2A00E" w14:textId="25534F38" w:rsidR="00171A87" w:rsidRDefault="00472CEC">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9947237" w:history="1">
        <w:r w:rsidR="00171A87" w:rsidRPr="001667E0">
          <w:rPr>
            <w:rStyle w:val="Hyperlink"/>
            <w:noProof/>
          </w:rPr>
          <w:t>Introduction</w:t>
        </w:r>
        <w:r w:rsidR="00171A87">
          <w:rPr>
            <w:noProof/>
            <w:webHidden/>
          </w:rPr>
          <w:tab/>
        </w:r>
        <w:r w:rsidR="00171A87">
          <w:rPr>
            <w:noProof/>
            <w:webHidden/>
          </w:rPr>
          <w:fldChar w:fldCharType="begin"/>
        </w:r>
        <w:r w:rsidR="00171A87">
          <w:rPr>
            <w:noProof/>
            <w:webHidden/>
          </w:rPr>
          <w:instrText xml:space="preserve"> PAGEREF _Toc9947237 \h </w:instrText>
        </w:r>
        <w:r w:rsidR="00171A87">
          <w:rPr>
            <w:noProof/>
            <w:webHidden/>
          </w:rPr>
        </w:r>
        <w:r w:rsidR="00171A87">
          <w:rPr>
            <w:noProof/>
            <w:webHidden/>
          </w:rPr>
          <w:fldChar w:fldCharType="separate"/>
        </w:r>
        <w:r w:rsidR="00171A87">
          <w:rPr>
            <w:noProof/>
            <w:webHidden/>
          </w:rPr>
          <w:t>2</w:t>
        </w:r>
        <w:r w:rsidR="00171A87">
          <w:rPr>
            <w:noProof/>
            <w:webHidden/>
          </w:rPr>
          <w:fldChar w:fldCharType="end"/>
        </w:r>
      </w:hyperlink>
    </w:p>
    <w:p w14:paraId="2522F734" w14:textId="3AF72DB2" w:rsidR="00171A87" w:rsidRDefault="007249A6">
      <w:pPr>
        <w:pStyle w:val="TOC1"/>
        <w:tabs>
          <w:tab w:val="right" w:leader="dot" w:pos="9017"/>
        </w:tabs>
        <w:rPr>
          <w:rFonts w:asciiTheme="minorHAnsi" w:eastAsiaTheme="minorEastAsia" w:hAnsiTheme="minorHAnsi" w:cstheme="minorBidi"/>
          <w:noProof/>
          <w:sz w:val="22"/>
          <w:szCs w:val="22"/>
          <w:lang w:eastAsia="en-GB"/>
        </w:rPr>
      </w:pPr>
      <w:hyperlink w:anchor="_Toc9947238" w:history="1">
        <w:r w:rsidR="00171A87" w:rsidRPr="001667E0">
          <w:rPr>
            <w:rStyle w:val="Hyperlink"/>
            <w:noProof/>
          </w:rPr>
          <w:t>Summary of indicators included in the consultation</w:t>
        </w:r>
        <w:r w:rsidR="00171A87">
          <w:rPr>
            <w:noProof/>
            <w:webHidden/>
          </w:rPr>
          <w:tab/>
        </w:r>
        <w:r w:rsidR="00171A87">
          <w:rPr>
            <w:noProof/>
            <w:webHidden/>
          </w:rPr>
          <w:fldChar w:fldCharType="begin"/>
        </w:r>
        <w:r w:rsidR="00171A87">
          <w:rPr>
            <w:noProof/>
            <w:webHidden/>
          </w:rPr>
          <w:instrText xml:space="preserve"> PAGEREF _Toc9947238 \h </w:instrText>
        </w:r>
        <w:r w:rsidR="00171A87">
          <w:rPr>
            <w:noProof/>
            <w:webHidden/>
          </w:rPr>
        </w:r>
        <w:r w:rsidR="00171A87">
          <w:rPr>
            <w:noProof/>
            <w:webHidden/>
          </w:rPr>
          <w:fldChar w:fldCharType="separate"/>
        </w:r>
        <w:r w:rsidR="00171A87">
          <w:rPr>
            <w:noProof/>
            <w:webHidden/>
          </w:rPr>
          <w:t>3</w:t>
        </w:r>
        <w:r w:rsidR="00171A87">
          <w:rPr>
            <w:noProof/>
            <w:webHidden/>
          </w:rPr>
          <w:fldChar w:fldCharType="end"/>
        </w:r>
      </w:hyperlink>
    </w:p>
    <w:p w14:paraId="49724F9F" w14:textId="1577BDF9" w:rsidR="00171A87" w:rsidRDefault="007249A6">
      <w:pPr>
        <w:pStyle w:val="TOC3"/>
        <w:tabs>
          <w:tab w:val="right" w:leader="dot" w:pos="9017"/>
        </w:tabs>
        <w:rPr>
          <w:rFonts w:asciiTheme="minorHAnsi" w:eastAsiaTheme="minorEastAsia" w:hAnsiTheme="minorHAnsi" w:cstheme="minorBidi"/>
          <w:noProof/>
          <w:sz w:val="22"/>
          <w:szCs w:val="22"/>
          <w:lang w:eastAsia="en-GB"/>
        </w:rPr>
      </w:pPr>
      <w:hyperlink w:anchor="_Toc9947239" w:history="1">
        <w:r w:rsidR="00171A87" w:rsidRPr="001667E0">
          <w:rPr>
            <w:rStyle w:val="Hyperlink"/>
            <w:noProof/>
          </w:rPr>
          <w:t>IND8: FH - People aged 29 years and under with a high total cholesterol</w:t>
        </w:r>
        <w:r w:rsidR="00171A87">
          <w:rPr>
            <w:noProof/>
            <w:webHidden/>
          </w:rPr>
          <w:tab/>
        </w:r>
        <w:r w:rsidR="00171A87">
          <w:rPr>
            <w:noProof/>
            <w:webHidden/>
          </w:rPr>
          <w:fldChar w:fldCharType="begin"/>
        </w:r>
        <w:r w:rsidR="00171A87">
          <w:rPr>
            <w:noProof/>
            <w:webHidden/>
          </w:rPr>
          <w:instrText xml:space="preserve"> PAGEREF _Toc9947239 \h </w:instrText>
        </w:r>
        <w:r w:rsidR="00171A87">
          <w:rPr>
            <w:noProof/>
            <w:webHidden/>
          </w:rPr>
        </w:r>
        <w:r w:rsidR="00171A87">
          <w:rPr>
            <w:noProof/>
            <w:webHidden/>
          </w:rPr>
          <w:fldChar w:fldCharType="separate"/>
        </w:r>
        <w:r w:rsidR="00171A87">
          <w:rPr>
            <w:noProof/>
            <w:webHidden/>
          </w:rPr>
          <w:t>4</w:t>
        </w:r>
        <w:r w:rsidR="00171A87">
          <w:rPr>
            <w:noProof/>
            <w:webHidden/>
          </w:rPr>
          <w:fldChar w:fldCharType="end"/>
        </w:r>
      </w:hyperlink>
    </w:p>
    <w:p w14:paraId="41655669" w14:textId="2B6A5A89" w:rsidR="00171A87" w:rsidRDefault="007249A6">
      <w:pPr>
        <w:pStyle w:val="TOC3"/>
        <w:tabs>
          <w:tab w:val="right" w:leader="dot" w:pos="9017"/>
        </w:tabs>
        <w:rPr>
          <w:rFonts w:asciiTheme="minorHAnsi" w:eastAsiaTheme="minorEastAsia" w:hAnsiTheme="minorHAnsi" w:cstheme="minorBidi"/>
          <w:noProof/>
          <w:sz w:val="22"/>
          <w:szCs w:val="22"/>
          <w:lang w:eastAsia="en-GB"/>
        </w:rPr>
      </w:pPr>
      <w:hyperlink w:anchor="_Toc9947240" w:history="1">
        <w:r w:rsidR="00171A87" w:rsidRPr="001667E0">
          <w:rPr>
            <w:rStyle w:val="Hyperlink"/>
            <w:noProof/>
          </w:rPr>
          <w:t>IND9: FH - People aged 30 years and older with a high total cholesterol</w:t>
        </w:r>
        <w:r w:rsidR="00171A87">
          <w:rPr>
            <w:noProof/>
            <w:webHidden/>
          </w:rPr>
          <w:tab/>
        </w:r>
        <w:r w:rsidR="00171A87">
          <w:rPr>
            <w:noProof/>
            <w:webHidden/>
          </w:rPr>
          <w:fldChar w:fldCharType="begin"/>
        </w:r>
        <w:r w:rsidR="00171A87">
          <w:rPr>
            <w:noProof/>
            <w:webHidden/>
          </w:rPr>
          <w:instrText xml:space="preserve"> PAGEREF _Toc9947240 \h </w:instrText>
        </w:r>
        <w:r w:rsidR="00171A87">
          <w:rPr>
            <w:noProof/>
            <w:webHidden/>
          </w:rPr>
        </w:r>
        <w:r w:rsidR="00171A87">
          <w:rPr>
            <w:noProof/>
            <w:webHidden/>
          </w:rPr>
          <w:fldChar w:fldCharType="separate"/>
        </w:r>
        <w:r w:rsidR="00171A87">
          <w:rPr>
            <w:noProof/>
            <w:webHidden/>
          </w:rPr>
          <w:t>6</w:t>
        </w:r>
        <w:r w:rsidR="00171A87">
          <w:rPr>
            <w:noProof/>
            <w:webHidden/>
          </w:rPr>
          <w:fldChar w:fldCharType="end"/>
        </w:r>
      </w:hyperlink>
    </w:p>
    <w:p w14:paraId="67B0D734" w14:textId="16AD6119" w:rsidR="00171A87" w:rsidRDefault="007249A6">
      <w:pPr>
        <w:pStyle w:val="TOC3"/>
        <w:tabs>
          <w:tab w:val="right" w:leader="dot" w:pos="9017"/>
        </w:tabs>
        <w:rPr>
          <w:rFonts w:asciiTheme="minorHAnsi" w:eastAsiaTheme="minorEastAsia" w:hAnsiTheme="minorHAnsi" w:cstheme="minorBidi"/>
          <w:noProof/>
          <w:sz w:val="22"/>
          <w:szCs w:val="22"/>
          <w:lang w:eastAsia="en-GB"/>
        </w:rPr>
      </w:pPr>
      <w:hyperlink w:anchor="_Toc9947241" w:history="1">
        <w:r w:rsidR="00171A87" w:rsidRPr="001667E0">
          <w:rPr>
            <w:rStyle w:val="Hyperlink"/>
            <w:noProof/>
          </w:rPr>
          <w:t>IND10: FH – Referral for specialist assessment</w:t>
        </w:r>
        <w:r w:rsidR="00171A87">
          <w:rPr>
            <w:noProof/>
            <w:webHidden/>
          </w:rPr>
          <w:tab/>
        </w:r>
        <w:r w:rsidR="00171A87">
          <w:rPr>
            <w:noProof/>
            <w:webHidden/>
          </w:rPr>
          <w:fldChar w:fldCharType="begin"/>
        </w:r>
        <w:r w:rsidR="00171A87">
          <w:rPr>
            <w:noProof/>
            <w:webHidden/>
          </w:rPr>
          <w:instrText xml:space="preserve"> PAGEREF _Toc9947241 \h </w:instrText>
        </w:r>
        <w:r w:rsidR="00171A87">
          <w:rPr>
            <w:noProof/>
            <w:webHidden/>
          </w:rPr>
        </w:r>
        <w:r w:rsidR="00171A87">
          <w:rPr>
            <w:noProof/>
            <w:webHidden/>
          </w:rPr>
          <w:fldChar w:fldCharType="separate"/>
        </w:r>
        <w:r w:rsidR="00171A87">
          <w:rPr>
            <w:noProof/>
            <w:webHidden/>
          </w:rPr>
          <w:t>8</w:t>
        </w:r>
        <w:r w:rsidR="00171A87">
          <w:rPr>
            <w:noProof/>
            <w:webHidden/>
          </w:rPr>
          <w:fldChar w:fldCharType="end"/>
        </w:r>
      </w:hyperlink>
    </w:p>
    <w:p w14:paraId="063CD6A9" w14:textId="5644822D" w:rsidR="00171A87" w:rsidRDefault="007249A6">
      <w:pPr>
        <w:pStyle w:val="TOC1"/>
        <w:tabs>
          <w:tab w:val="right" w:leader="dot" w:pos="9017"/>
        </w:tabs>
        <w:rPr>
          <w:rFonts w:asciiTheme="minorHAnsi" w:eastAsiaTheme="minorEastAsia" w:hAnsiTheme="minorHAnsi" w:cstheme="minorBidi"/>
          <w:noProof/>
          <w:sz w:val="22"/>
          <w:szCs w:val="22"/>
          <w:lang w:eastAsia="en-GB"/>
        </w:rPr>
      </w:pPr>
      <w:hyperlink w:anchor="_Toc9947242" w:history="1">
        <w:r w:rsidR="00171A87" w:rsidRPr="001667E0">
          <w:rPr>
            <w:rStyle w:val="Hyperlink"/>
            <w:noProof/>
          </w:rPr>
          <w:t>General comments on FH indicators</w:t>
        </w:r>
        <w:r w:rsidR="00171A87">
          <w:rPr>
            <w:noProof/>
            <w:webHidden/>
          </w:rPr>
          <w:tab/>
        </w:r>
        <w:r w:rsidR="00171A87">
          <w:rPr>
            <w:noProof/>
            <w:webHidden/>
          </w:rPr>
          <w:fldChar w:fldCharType="begin"/>
        </w:r>
        <w:r w:rsidR="00171A87">
          <w:rPr>
            <w:noProof/>
            <w:webHidden/>
          </w:rPr>
          <w:instrText xml:space="preserve"> PAGEREF _Toc9947242 \h </w:instrText>
        </w:r>
        <w:r w:rsidR="00171A87">
          <w:rPr>
            <w:noProof/>
            <w:webHidden/>
          </w:rPr>
        </w:r>
        <w:r w:rsidR="00171A87">
          <w:rPr>
            <w:noProof/>
            <w:webHidden/>
          </w:rPr>
          <w:fldChar w:fldCharType="separate"/>
        </w:r>
        <w:r w:rsidR="00171A87">
          <w:rPr>
            <w:noProof/>
            <w:webHidden/>
          </w:rPr>
          <w:t>10</w:t>
        </w:r>
        <w:r w:rsidR="00171A87">
          <w:rPr>
            <w:noProof/>
            <w:webHidden/>
          </w:rPr>
          <w:fldChar w:fldCharType="end"/>
        </w:r>
      </w:hyperlink>
    </w:p>
    <w:p w14:paraId="6703D308" w14:textId="51441B39" w:rsidR="00171A87" w:rsidRDefault="007249A6">
      <w:pPr>
        <w:pStyle w:val="TOC1"/>
        <w:tabs>
          <w:tab w:val="right" w:leader="dot" w:pos="9017"/>
        </w:tabs>
        <w:rPr>
          <w:rFonts w:asciiTheme="minorHAnsi" w:eastAsiaTheme="minorEastAsia" w:hAnsiTheme="minorHAnsi" w:cstheme="minorBidi"/>
          <w:noProof/>
          <w:sz w:val="22"/>
          <w:szCs w:val="22"/>
          <w:lang w:eastAsia="en-GB"/>
        </w:rPr>
      </w:pPr>
      <w:hyperlink w:anchor="_Toc9947243" w:history="1">
        <w:r w:rsidR="00171A87" w:rsidRPr="001667E0">
          <w:rPr>
            <w:rStyle w:val="Hyperlink"/>
            <w:noProof/>
          </w:rPr>
          <w:t>Suggestions for additional indicators</w:t>
        </w:r>
        <w:r w:rsidR="00171A87">
          <w:rPr>
            <w:noProof/>
            <w:webHidden/>
          </w:rPr>
          <w:tab/>
        </w:r>
        <w:r w:rsidR="00171A87">
          <w:rPr>
            <w:noProof/>
            <w:webHidden/>
          </w:rPr>
          <w:fldChar w:fldCharType="begin"/>
        </w:r>
        <w:r w:rsidR="00171A87">
          <w:rPr>
            <w:noProof/>
            <w:webHidden/>
          </w:rPr>
          <w:instrText xml:space="preserve"> PAGEREF _Toc9947243 \h </w:instrText>
        </w:r>
        <w:r w:rsidR="00171A87">
          <w:rPr>
            <w:noProof/>
            <w:webHidden/>
          </w:rPr>
        </w:r>
        <w:r w:rsidR="00171A87">
          <w:rPr>
            <w:noProof/>
            <w:webHidden/>
          </w:rPr>
          <w:fldChar w:fldCharType="separate"/>
        </w:r>
        <w:r w:rsidR="00171A87">
          <w:rPr>
            <w:noProof/>
            <w:webHidden/>
          </w:rPr>
          <w:t>10</w:t>
        </w:r>
        <w:r w:rsidR="00171A87">
          <w:rPr>
            <w:noProof/>
            <w:webHidden/>
          </w:rPr>
          <w:fldChar w:fldCharType="end"/>
        </w:r>
      </w:hyperlink>
    </w:p>
    <w:p w14:paraId="18C3B83E" w14:textId="2886BB7E" w:rsidR="00171A87" w:rsidRDefault="007249A6">
      <w:pPr>
        <w:pStyle w:val="TOC1"/>
        <w:tabs>
          <w:tab w:val="right" w:leader="dot" w:pos="9017"/>
        </w:tabs>
        <w:rPr>
          <w:rFonts w:asciiTheme="minorHAnsi" w:eastAsiaTheme="minorEastAsia" w:hAnsiTheme="minorHAnsi" w:cstheme="minorBidi"/>
          <w:noProof/>
          <w:sz w:val="22"/>
          <w:szCs w:val="22"/>
          <w:lang w:eastAsia="en-GB"/>
        </w:rPr>
      </w:pPr>
      <w:hyperlink w:anchor="_Toc9947244" w:history="1">
        <w:r w:rsidR="00171A87" w:rsidRPr="001667E0">
          <w:rPr>
            <w:rStyle w:val="Hyperlink"/>
            <w:noProof/>
          </w:rPr>
          <w:t>Appendix A: Consultation comments</w:t>
        </w:r>
        <w:r w:rsidR="00171A87">
          <w:rPr>
            <w:noProof/>
            <w:webHidden/>
          </w:rPr>
          <w:tab/>
        </w:r>
        <w:r w:rsidR="00171A87">
          <w:rPr>
            <w:noProof/>
            <w:webHidden/>
          </w:rPr>
          <w:fldChar w:fldCharType="begin"/>
        </w:r>
        <w:r w:rsidR="00171A87">
          <w:rPr>
            <w:noProof/>
            <w:webHidden/>
          </w:rPr>
          <w:instrText xml:space="preserve"> PAGEREF _Toc9947244 \h </w:instrText>
        </w:r>
        <w:r w:rsidR="00171A87">
          <w:rPr>
            <w:noProof/>
            <w:webHidden/>
          </w:rPr>
        </w:r>
        <w:r w:rsidR="00171A87">
          <w:rPr>
            <w:noProof/>
            <w:webHidden/>
          </w:rPr>
          <w:fldChar w:fldCharType="separate"/>
        </w:r>
        <w:r w:rsidR="00171A87">
          <w:rPr>
            <w:noProof/>
            <w:webHidden/>
          </w:rPr>
          <w:t>11</w:t>
        </w:r>
        <w:r w:rsidR="00171A87">
          <w:rPr>
            <w:noProof/>
            <w:webHidden/>
          </w:rPr>
          <w:fldChar w:fldCharType="end"/>
        </w:r>
      </w:hyperlink>
    </w:p>
    <w:p w14:paraId="43A0535F" w14:textId="274889FE" w:rsidR="009C3C0C" w:rsidRDefault="00472CEC" w:rsidP="00482C01">
      <w:pPr>
        <w:pStyle w:val="Heading1"/>
        <w:rPr>
          <w:rStyle w:val="Hyperlink"/>
          <w:noProof/>
        </w:rPr>
      </w:pPr>
      <w:r w:rsidRPr="00802740">
        <w:rPr>
          <w:rStyle w:val="Hyperlink"/>
          <w:noProof/>
        </w:rPr>
        <w:fldChar w:fldCharType="end"/>
      </w:r>
    </w:p>
    <w:p w14:paraId="78AB4105" w14:textId="4A306496" w:rsidR="009C3C0C" w:rsidRDefault="009C3C0C">
      <w:pPr>
        <w:rPr>
          <w:rStyle w:val="Hyperlink"/>
          <w:rFonts w:ascii="Arial" w:hAnsi="Arial"/>
          <w:b/>
          <w:bCs/>
          <w:noProof/>
          <w:kern w:val="32"/>
          <w:sz w:val="28"/>
          <w:szCs w:val="32"/>
        </w:rPr>
      </w:pPr>
      <w:r>
        <w:rPr>
          <w:rStyle w:val="Hyperlink"/>
          <w:noProof/>
        </w:rPr>
        <w:br w:type="page"/>
      </w:r>
    </w:p>
    <w:p w14:paraId="135E9681" w14:textId="77777777" w:rsidR="00D87DD3" w:rsidRDefault="00D87DD3" w:rsidP="00D87DD3">
      <w:pPr>
        <w:pStyle w:val="Heading1"/>
      </w:pPr>
      <w:bookmarkStart w:id="3" w:name="_Toc9947237"/>
      <w:r w:rsidRPr="00130EC7">
        <w:lastRenderedPageBreak/>
        <w:t>Introduction</w:t>
      </w:r>
      <w:bookmarkEnd w:id="3"/>
      <w:r>
        <w:t xml:space="preserve"> </w:t>
      </w:r>
    </w:p>
    <w:p w14:paraId="2EC08E6F" w14:textId="77777777" w:rsidR="00D87DD3" w:rsidRDefault="00D87DD3" w:rsidP="00D87DD3">
      <w:pPr>
        <w:pStyle w:val="Paragraph"/>
        <w:spacing w:line="360" w:lineRule="auto"/>
      </w:pPr>
      <w:r>
        <w:t xml:space="preserve">In some people high total cholesterol levels are caused by an inherited gene defect: familial hypercholesterolemia (FH). A raised cholesterol concentration is present from birth and may lead to early development of atherosclerotic disease. </w:t>
      </w:r>
    </w:p>
    <w:p w14:paraId="2C24FB50" w14:textId="77777777" w:rsidR="00D87DD3" w:rsidRDefault="00D87DD3" w:rsidP="00D87DD3">
      <w:pPr>
        <w:pStyle w:val="Paragraph"/>
        <w:spacing w:line="360" w:lineRule="auto"/>
      </w:pPr>
      <w:r>
        <w:t xml:space="preserve">Left untreated FH can lead to </w:t>
      </w:r>
      <w:r w:rsidRPr="00C86274">
        <w:t>premature coronary heart disease</w:t>
      </w:r>
      <w:r>
        <w:t xml:space="preserve">. </w:t>
      </w:r>
      <w:r w:rsidRPr="00C86274">
        <w:t xml:space="preserve">However, with appropriate lipid-lowering treatment, </w:t>
      </w:r>
      <w:r>
        <w:t xml:space="preserve">care </w:t>
      </w:r>
      <w:r w:rsidRPr="00C86274">
        <w:t>is highly effective and life expectancy can return to normal</w:t>
      </w:r>
      <w:r>
        <w:t xml:space="preserve"> (</w:t>
      </w:r>
      <w:hyperlink r:id="rId8" w:history="1">
        <w:r w:rsidRPr="00C86274">
          <w:rPr>
            <w:rStyle w:val="Hyperlink"/>
          </w:rPr>
          <w:t>Qureshi et al. 2016</w:t>
        </w:r>
      </w:hyperlink>
      <w:r>
        <w:t>)</w:t>
      </w:r>
    </w:p>
    <w:p w14:paraId="21C9EE60" w14:textId="77777777" w:rsidR="00D87DD3" w:rsidRDefault="00D87DD3" w:rsidP="00D87DD3">
      <w:pPr>
        <w:pStyle w:val="Paragraph"/>
        <w:spacing w:line="360" w:lineRule="auto"/>
      </w:pPr>
      <w:r>
        <w:t xml:space="preserve">The prevalence of heterozygous FH in the UK population is estimated to be 1 in 250. Currently it is estimated that up to 80% of people with FH are undiagnosed and therefore untreated. </w:t>
      </w:r>
    </w:p>
    <w:p w14:paraId="5ACAA932" w14:textId="77777777" w:rsidR="00D87DD3" w:rsidRDefault="00D87DD3" w:rsidP="00D87DD3">
      <w:pPr>
        <w:pStyle w:val="Paragraph"/>
        <w:spacing w:line="360" w:lineRule="auto"/>
      </w:pPr>
      <w:r>
        <w:t xml:space="preserve">Diagnosis is based on the Simon Broome criteria or the Dutch Lipid Clinic Network (DLCN) criteria which includes information on family history, total and LDL cholesterol concentrations, clinical signs such as tendon xanthomata and DNA testing. </w:t>
      </w:r>
    </w:p>
    <w:p w14:paraId="2BC9D894" w14:textId="77777777" w:rsidR="00D87DD3" w:rsidRDefault="00D87DD3" w:rsidP="00D87DD3">
      <w:pPr>
        <w:pStyle w:val="Bulletleft1last"/>
        <w:numPr>
          <w:ilvl w:val="0"/>
          <w:numId w:val="0"/>
        </w:numPr>
      </w:pPr>
      <w:r>
        <w:t>Considering a diagnosis of FH in primary care will result in greater identification and support cascade testing of relatives. It will lead to more treatment of high cholesterol and the prevention of CHD amongst people with FH.</w:t>
      </w:r>
    </w:p>
    <w:p w14:paraId="7D03BC5F" w14:textId="77777777" w:rsidR="00D87DD3" w:rsidRDefault="00D87DD3">
      <w:pPr>
        <w:rPr>
          <w:rFonts w:ascii="Arial" w:hAnsi="Arial"/>
          <w:b/>
          <w:bCs/>
          <w:kern w:val="32"/>
          <w:sz w:val="28"/>
          <w:szCs w:val="32"/>
        </w:rPr>
      </w:pPr>
      <w:r>
        <w:br w:type="page"/>
      </w:r>
    </w:p>
    <w:p w14:paraId="5CEA5107" w14:textId="2740D3A2" w:rsidR="006814B9" w:rsidRDefault="00D47082" w:rsidP="006814B9">
      <w:pPr>
        <w:pStyle w:val="Heading1"/>
      </w:pPr>
      <w:bookmarkStart w:id="4" w:name="_Toc9947238"/>
      <w:r>
        <w:lastRenderedPageBreak/>
        <w:t>Summary of i</w:t>
      </w:r>
      <w:r w:rsidR="006814B9">
        <w:t>ndicators</w:t>
      </w:r>
      <w:r w:rsidR="006814B9" w:rsidRPr="006814B9">
        <w:t xml:space="preserve"> </w:t>
      </w:r>
      <w:r w:rsidR="00657C65">
        <w:t xml:space="preserve">included in the </w:t>
      </w:r>
      <w:r w:rsidR="006814B9" w:rsidRPr="00205FBE">
        <w:t>consultation</w:t>
      </w:r>
      <w:bookmarkEnd w:id="4"/>
      <w:r w:rsidR="0088084E">
        <w:t xml:space="preserve"> </w:t>
      </w:r>
    </w:p>
    <w:tbl>
      <w:tblPr>
        <w:tblStyle w:val="TableGrid"/>
        <w:tblW w:w="9498" w:type="dxa"/>
        <w:tblInd w:w="-5" w:type="dxa"/>
        <w:tblLayout w:type="fixed"/>
        <w:tblLook w:val="01E0" w:firstRow="1" w:lastRow="1" w:firstColumn="1" w:lastColumn="1" w:noHBand="0" w:noVBand="0"/>
      </w:tblPr>
      <w:tblGrid>
        <w:gridCol w:w="1106"/>
        <w:gridCol w:w="2863"/>
        <w:gridCol w:w="5529"/>
      </w:tblGrid>
      <w:tr w:rsidR="00482C01" w:rsidRPr="001036A1" w14:paraId="40FCF7F2" w14:textId="77777777" w:rsidTr="00A4094A">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863" w:type="dxa"/>
          </w:tcPr>
          <w:p w14:paraId="643FF82A" w14:textId="70DB4D49" w:rsidR="00482C01" w:rsidRPr="001036A1" w:rsidRDefault="00482C01" w:rsidP="00F82391">
            <w:pPr>
              <w:pStyle w:val="Tabletext"/>
              <w:rPr>
                <w:b/>
                <w:szCs w:val="22"/>
                <w:lang w:val="en-GB"/>
              </w:rPr>
            </w:pPr>
            <w:r w:rsidRPr="001036A1">
              <w:rPr>
                <w:b/>
                <w:szCs w:val="22"/>
                <w:lang w:val="en-GB"/>
              </w:rPr>
              <w:t>Indicator</w:t>
            </w:r>
            <w:r w:rsidR="00A4094A">
              <w:rPr>
                <w:b/>
                <w:szCs w:val="22"/>
                <w:lang w:val="en-GB"/>
              </w:rPr>
              <w:t xml:space="preserve"> wording</w:t>
            </w:r>
          </w:p>
        </w:tc>
        <w:tc>
          <w:tcPr>
            <w:tcW w:w="5529"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A4094A">
        <w:trPr>
          <w:trHeight w:val="263"/>
        </w:trPr>
        <w:tc>
          <w:tcPr>
            <w:tcW w:w="1106" w:type="dxa"/>
          </w:tcPr>
          <w:p w14:paraId="67AF6DEC" w14:textId="10A18550" w:rsidR="00A264CE" w:rsidRDefault="00A264CE" w:rsidP="00FC0D46">
            <w:pPr>
              <w:pStyle w:val="Tabletext"/>
              <w:rPr>
                <w:szCs w:val="22"/>
                <w:lang w:val="en-GB"/>
              </w:rPr>
            </w:pPr>
            <w:r>
              <w:t>IND8</w:t>
            </w:r>
          </w:p>
          <w:p w14:paraId="555157ED" w14:textId="43AC1A22" w:rsidR="00482C01" w:rsidRPr="001036A1" w:rsidRDefault="00482C01" w:rsidP="00FC0D46">
            <w:pPr>
              <w:pStyle w:val="Tabletext"/>
              <w:rPr>
                <w:szCs w:val="22"/>
                <w:lang w:val="en-GB"/>
              </w:rPr>
            </w:pPr>
          </w:p>
        </w:tc>
        <w:tc>
          <w:tcPr>
            <w:tcW w:w="2863" w:type="dxa"/>
          </w:tcPr>
          <w:p w14:paraId="6A7A674D" w14:textId="094DDB0A" w:rsidR="00482C01" w:rsidRPr="000453F8" w:rsidRDefault="00A264CE" w:rsidP="000453F8">
            <w:pPr>
              <w:pStyle w:val="Tabletext"/>
              <w:rPr>
                <w:szCs w:val="22"/>
                <w:lang w:val="en-GB"/>
              </w:rPr>
            </w:pPr>
            <w:r w:rsidRPr="00A264CE">
              <w:rPr>
                <w:szCs w:val="22"/>
                <w:lang w:val="en-GB"/>
              </w:rPr>
              <w:t>The percentage of people aged 29 years and under, with a total cholesterol concentration greater than 7.5 mmol/l that are assessed against the Simon Broome or Dutch Lipid Clinic Network (DLCN) criteria.</w:t>
            </w:r>
          </w:p>
        </w:tc>
        <w:bookmarkStart w:id="5" w:name="_Hlk8913031"/>
        <w:tc>
          <w:tcPr>
            <w:tcW w:w="5529" w:type="dxa"/>
          </w:tcPr>
          <w:p w14:paraId="4B20AEDB" w14:textId="11317297" w:rsidR="00A264CE" w:rsidRDefault="00B95DC2" w:rsidP="00A264CE">
            <w:pPr>
              <w:pStyle w:val="Default"/>
              <w:rPr>
                <w:rFonts w:ascii="Arial" w:hAnsi="Arial" w:cs="Times New Roman"/>
                <w:color w:val="auto"/>
                <w:sz w:val="22"/>
                <w:szCs w:val="22"/>
                <w:lang w:eastAsia="en-US"/>
              </w:rPr>
            </w:pPr>
            <w:r>
              <w:fldChar w:fldCharType="begin"/>
            </w:r>
            <w:r>
              <w:instrText xml:space="preserve"> HYPERLINK "https://www.nice.org.uk/guidance/cg71" </w:instrText>
            </w:r>
            <w:r>
              <w:fldChar w:fldCharType="separate"/>
            </w:r>
            <w:r w:rsidR="00A264CE" w:rsidRPr="00F158C7">
              <w:rPr>
                <w:rStyle w:val="Hyperlink"/>
                <w:rFonts w:ascii="Arial" w:hAnsi="Arial" w:cs="Times New Roman"/>
                <w:sz w:val="22"/>
                <w:szCs w:val="22"/>
                <w:lang w:eastAsia="en-US"/>
              </w:rPr>
              <w:t>Familial hypercholesterolaemia: identification and management</w:t>
            </w:r>
            <w:r>
              <w:rPr>
                <w:rStyle w:val="Hyperlink"/>
                <w:rFonts w:ascii="Arial" w:hAnsi="Arial" w:cs="Times New Roman"/>
                <w:sz w:val="22"/>
                <w:szCs w:val="22"/>
                <w:lang w:eastAsia="en-US"/>
              </w:rPr>
              <w:fldChar w:fldCharType="end"/>
            </w:r>
            <w:r w:rsidR="00A264CE">
              <w:rPr>
                <w:rFonts w:ascii="Arial" w:hAnsi="Arial" w:cs="Times New Roman"/>
                <w:color w:val="auto"/>
                <w:sz w:val="22"/>
                <w:szCs w:val="22"/>
                <w:lang w:eastAsia="en-US"/>
              </w:rPr>
              <w:t xml:space="preserve"> (2017) NICE guideline</w:t>
            </w:r>
            <w:r w:rsidR="00F158C7">
              <w:rPr>
                <w:rFonts w:ascii="Arial" w:hAnsi="Arial" w:cs="Times New Roman"/>
                <w:color w:val="auto"/>
                <w:sz w:val="22"/>
                <w:szCs w:val="22"/>
                <w:lang w:eastAsia="en-US"/>
              </w:rPr>
              <w:t xml:space="preserve"> CG71</w:t>
            </w:r>
            <w:r w:rsidR="00A264CE">
              <w:rPr>
                <w:rFonts w:ascii="Arial" w:hAnsi="Arial" w:cs="Times New Roman"/>
                <w:color w:val="auto"/>
                <w:sz w:val="22"/>
                <w:szCs w:val="22"/>
                <w:lang w:eastAsia="en-US"/>
              </w:rPr>
              <w:t>, section 1.1</w:t>
            </w:r>
          </w:p>
          <w:p w14:paraId="3036E31C" w14:textId="77777777" w:rsidR="00A264CE" w:rsidRDefault="00A264CE" w:rsidP="00A264CE">
            <w:pPr>
              <w:pStyle w:val="Default"/>
              <w:rPr>
                <w:rFonts w:ascii="Arial" w:hAnsi="Arial" w:cs="Times New Roman"/>
                <w:color w:val="auto"/>
                <w:sz w:val="22"/>
                <w:szCs w:val="22"/>
                <w:lang w:eastAsia="en-US"/>
              </w:rPr>
            </w:pPr>
          </w:p>
          <w:p w14:paraId="3208BDFC" w14:textId="6CC1D762" w:rsidR="00A264CE" w:rsidRPr="00A264CE" w:rsidRDefault="007249A6" w:rsidP="00A264CE">
            <w:pPr>
              <w:pStyle w:val="Default"/>
              <w:rPr>
                <w:rFonts w:ascii="Arial" w:hAnsi="Arial" w:cs="Times New Roman"/>
                <w:color w:val="auto"/>
                <w:sz w:val="22"/>
                <w:szCs w:val="22"/>
                <w:lang w:eastAsia="en-US"/>
              </w:rPr>
            </w:pPr>
            <w:hyperlink r:id="rId9" w:history="1">
              <w:r w:rsidR="00A264CE" w:rsidRPr="00A264CE">
                <w:rPr>
                  <w:rStyle w:val="Hyperlink"/>
                  <w:rFonts w:ascii="Arial" w:hAnsi="Arial" w:cs="Times New Roman"/>
                  <w:sz w:val="22"/>
                  <w:szCs w:val="22"/>
                  <w:lang w:eastAsia="en-US"/>
                </w:rPr>
                <w:t>Familial hypercholesterolaemia</w:t>
              </w:r>
            </w:hyperlink>
            <w:r w:rsidR="00A264CE">
              <w:rPr>
                <w:rFonts w:ascii="Arial" w:hAnsi="Arial" w:cs="Times New Roman"/>
                <w:color w:val="auto"/>
                <w:sz w:val="22"/>
                <w:szCs w:val="22"/>
                <w:lang w:eastAsia="en-US"/>
              </w:rPr>
              <w:t xml:space="preserve"> (2013) NICE quality standard QS41, statement 1</w:t>
            </w:r>
          </w:p>
          <w:bookmarkEnd w:id="5"/>
          <w:p w14:paraId="4CFB308A" w14:textId="226CEEAB" w:rsidR="00A264CE" w:rsidRPr="00136466" w:rsidRDefault="00A264CE" w:rsidP="00136466">
            <w:pPr>
              <w:pStyle w:val="Tabletext"/>
            </w:pPr>
          </w:p>
        </w:tc>
      </w:tr>
      <w:tr w:rsidR="00B341DA" w:rsidRPr="001036A1" w14:paraId="4B9F185E" w14:textId="77777777" w:rsidTr="00A4094A">
        <w:trPr>
          <w:trHeight w:val="263"/>
        </w:trPr>
        <w:tc>
          <w:tcPr>
            <w:tcW w:w="1106" w:type="dxa"/>
          </w:tcPr>
          <w:p w14:paraId="235AE568" w14:textId="0AAD719E" w:rsidR="00B341DA" w:rsidRPr="00B341DA" w:rsidRDefault="00287467" w:rsidP="00B341DA">
            <w:pPr>
              <w:rPr>
                <w:rFonts w:ascii="Arial" w:hAnsi="Arial" w:cs="Arial"/>
                <w:sz w:val="22"/>
                <w:szCs w:val="22"/>
              </w:rPr>
            </w:pPr>
            <w:r>
              <w:rPr>
                <w:rFonts w:ascii="Arial" w:hAnsi="Arial" w:cs="Arial"/>
                <w:sz w:val="22"/>
                <w:szCs w:val="22"/>
              </w:rPr>
              <w:t>IND</w:t>
            </w:r>
            <w:r w:rsidR="001B3DA1">
              <w:rPr>
                <w:rFonts w:ascii="Arial" w:hAnsi="Arial" w:cs="Arial"/>
                <w:sz w:val="22"/>
                <w:szCs w:val="22"/>
              </w:rPr>
              <w:t>9</w:t>
            </w:r>
          </w:p>
        </w:tc>
        <w:tc>
          <w:tcPr>
            <w:tcW w:w="2863" w:type="dxa"/>
          </w:tcPr>
          <w:p w14:paraId="711F9B5F" w14:textId="1299E745" w:rsidR="00B341DA" w:rsidRPr="001036A1" w:rsidRDefault="001B3DA1" w:rsidP="00136466">
            <w:pPr>
              <w:pStyle w:val="Tabletext"/>
              <w:rPr>
                <w:szCs w:val="22"/>
                <w:lang w:val="en-GB"/>
              </w:rPr>
            </w:pPr>
            <w:r w:rsidRPr="001B3DA1">
              <w:rPr>
                <w:szCs w:val="22"/>
                <w:lang w:val="en-GB"/>
              </w:rPr>
              <w:t>The percentage of people aged 30 years and older with a total cholesterol concentration greater than 9.0mmol/l that are assessed against the Simon Broome or Dutch Lipid Clinic Network (DLCN) criteria.</w:t>
            </w:r>
          </w:p>
        </w:tc>
        <w:bookmarkStart w:id="6" w:name="_Hlk8913328"/>
        <w:tc>
          <w:tcPr>
            <w:tcW w:w="5529" w:type="dxa"/>
          </w:tcPr>
          <w:p w14:paraId="24D396EE" w14:textId="77777777" w:rsidR="001B3DA1" w:rsidRPr="001B3DA1" w:rsidRDefault="00B95DC2" w:rsidP="001B3DA1">
            <w:pPr>
              <w:rPr>
                <w:rFonts w:ascii="Arial" w:hAnsi="Arial" w:cs="Arial"/>
                <w:sz w:val="22"/>
                <w:szCs w:val="22"/>
              </w:rPr>
            </w:pPr>
            <w:r>
              <w:fldChar w:fldCharType="begin"/>
            </w:r>
            <w:r>
              <w:instrText xml:space="preserve"> HYPERLINK "https://www.nice.org.uk/guidance/cg71" </w:instrText>
            </w:r>
            <w:r>
              <w:fldChar w:fldCharType="separate"/>
            </w:r>
            <w:r w:rsidR="001B3DA1" w:rsidRPr="001B3DA1">
              <w:rPr>
                <w:rStyle w:val="Hyperlink"/>
                <w:rFonts w:ascii="Arial" w:hAnsi="Arial" w:cs="Arial"/>
                <w:sz w:val="22"/>
                <w:szCs w:val="22"/>
              </w:rPr>
              <w:t>Familial hypercholesterolaemia: identification and management</w:t>
            </w:r>
            <w:r>
              <w:rPr>
                <w:rStyle w:val="Hyperlink"/>
                <w:rFonts w:ascii="Arial" w:hAnsi="Arial" w:cs="Arial"/>
                <w:sz w:val="22"/>
                <w:szCs w:val="22"/>
              </w:rPr>
              <w:fldChar w:fldCharType="end"/>
            </w:r>
            <w:r w:rsidR="001B3DA1" w:rsidRPr="001B3DA1">
              <w:rPr>
                <w:rFonts w:ascii="Arial" w:hAnsi="Arial" w:cs="Arial"/>
                <w:sz w:val="22"/>
                <w:szCs w:val="22"/>
              </w:rPr>
              <w:t xml:space="preserve"> (2017) NICE guideline CG71, section 1.1</w:t>
            </w:r>
          </w:p>
          <w:p w14:paraId="6451EBF8" w14:textId="77777777" w:rsidR="001B3DA1" w:rsidRPr="001B3DA1" w:rsidRDefault="001B3DA1" w:rsidP="001B3DA1">
            <w:pPr>
              <w:rPr>
                <w:rFonts w:ascii="Arial" w:hAnsi="Arial" w:cs="Arial"/>
                <w:sz w:val="22"/>
                <w:szCs w:val="22"/>
              </w:rPr>
            </w:pPr>
          </w:p>
          <w:p w14:paraId="35D67C2F" w14:textId="77777777" w:rsidR="001B3DA1" w:rsidRPr="001B3DA1" w:rsidRDefault="007249A6" w:rsidP="001B3DA1">
            <w:pPr>
              <w:rPr>
                <w:rFonts w:ascii="Arial" w:hAnsi="Arial" w:cs="Arial"/>
                <w:sz w:val="22"/>
                <w:szCs w:val="22"/>
              </w:rPr>
            </w:pPr>
            <w:hyperlink r:id="rId10" w:history="1">
              <w:r w:rsidR="001B3DA1" w:rsidRPr="001B3DA1">
                <w:rPr>
                  <w:rStyle w:val="Hyperlink"/>
                  <w:rFonts w:ascii="Arial" w:hAnsi="Arial" w:cs="Arial"/>
                  <w:sz w:val="22"/>
                  <w:szCs w:val="22"/>
                </w:rPr>
                <w:t>Familial hypercholesterolaemia</w:t>
              </w:r>
            </w:hyperlink>
            <w:r w:rsidR="001B3DA1" w:rsidRPr="001B3DA1">
              <w:rPr>
                <w:rFonts w:ascii="Arial" w:hAnsi="Arial" w:cs="Arial"/>
                <w:sz w:val="22"/>
                <w:szCs w:val="22"/>
              </w:rPr>
              <w:t xml:space="preserve"> (2013) NICE quality standard QS41, statement 1</w:t>
            </w:r>
          </w:p>
          <w:bookmarkEnd w:id="6"/>
          <w:p w14:paraId="64988E7C" w14:textId="3549F46B" w:rsidR="00B341DA" w:rsidRPr="00287467" w:rsidRDefault="00B341DA" w:rsidP="00287467">
            <w:pPr>
              <w:rPr>
                <w:rFonts w:ascii="Arial" w:hAnsi="Arial" w:cs="Arial"/>
                <w:sz w:val="22"/>
                <w:szCs w:val="22"/>
              </w:rPr>
            </w:pPr>
          </w:p>
        </w:tc>
      </w:tr>
      <w:tr w:rsidR="00B341DA" w:rsidRPr="001036A1" w14:paraId="69595CF5" w14:textId="77777777" w:rsidTr="00A4094A">
        <w:trPr>
          <w:trHeight w:val="263"/>
        </w:trPr>
        <w:tc>
          <w:tcPr>
            <w:tcW w:w="1106" w:type="dxa"/>
          </w:tcPr>
          <w:p w14:paraId="3176A883" w14:textId="5735B813" w:rsidR="00B341DA" w:rsidRPr="00B341DA" w:rsidRDefault="00287467" w:rsidP="00B341DA">
            <w:pPr>
              <w:rPr>
                <w:rFonts w:ascii="Arial" w:hAnsi="Arial" w:cs="Arial"/>
                <w:sz w:val="22"/>
                <w:szCs w:val="22"/>
              </w:rPr>
            </w:pPr>
            <w:r>
              <w:rPr>
                <w:rFonts w:ascii="Arial" w:hAnsi="Arial" w:cs="Arial"/>
                <w:sz w:val="22"/>
                <w:szCs w:val="22"/>
              </w:rPr>
              <w:t>IND</w:t>
            </w:r>
            <w:r w:rsidR="001B3DA1">
              <w:rPr>
                <w:rFonts w:ascii="Arial" w:hAnsi="Arial" w:cs="Arial"/>
                <w:sz w:val="22"/>
                <w:szCs w:val="22"/>
              </w:rPr>
              <w:t>10</w:t>
            </w:r>
          </w:p>
        </w:tc>
        <w:tc>
          <w:tcPr>
            <w:tcW w:w="2863" w:type="dxa"/>
          </w:tcPr>
          <w:p w14:paraId="302B85AE" w14:textId="3B3EE280" w:rsidR="00B341DA" w:rsidRPr="007831FB" w:rsidRDefault="007662E4" w:rsidP="00287467">
            <w:pPr>
              <w:pStyle w:val="Tabletext"/>
            </w:pPr>
            <w:r w:rsidRPr="007662E4">
              <w:t>The percentage of people with a clinical diagnosis of FH referred for specialist assessment</w:t>
            </w:r>
            <w:r>
              <w:t>.</w:t>
            </w:r>
          </w:p>
        </w:tc>
        <w:bookmarkStart w:id="7" w:name="_Hlk8913407"/>
        <w:tc>
          <w:tcPr>
            <w:tcW w:w="5529" w:type="dxa"/>
          </w:tcPr>
          <w:p w14:paraId="7DE0EEFC" w14:textId="5CA7330C" w:rsidR="007662E4" w:rsidRPr="007662E4" w:rsidRDefault="00B95DC2" w:rsidP="007662E4">
            <w:pPr>
              <w:pStyle w:val="Tabletext"/>
              <w:rPr>
                <w:lang w:val="en-GB"/>
              </w:rPr>
            </w:pPr>
            <w:r>
              <w:fldChar w:fldCharType="begin"/>
            </w:r>
            <w:r>
              <w:instrText xml:space="preserve"> HYPERLINK "https://www.nice.org.uk/guidance/cg71" </w:instrText>
            </w:r>
            <w:r>
              <w:fldChar w:fldCharType="separate"/>
            </w:r>
            <w:r w:rsidR="007662E4" w:rsidRPr="007662E4">
              <w:rPr>
                <w:rStyle w:val="Hyperlink"/>
                <w:lang w:val="en-GB"/>
              </w:rPr>
              <w:t>Familial hypercholesterolaemia: identification and management</w:t>
            </w:r>
            <w:r>
              <w:rPr>
                <w:rStyle w:val="Hyperlink"/>
                <w:lang w:val="en-GB"/>
              </w:rPr>
              <w:fldChar w:fldCharType="end"/>
            </w:r>
            <w:r w:rsidR="007662E4" w:rsidRPr="007662E4">
              <w:rPr>
                <w:lang w:val="en-GB"/>
              </w:rPr>
              <w:t xml:space="preserve"> (2017) NICE guideline CG71, </w:t>
            </w:r>
            <w:r w:rsidR="007662E4">
              <w:rPr>
                <w:lang w:val="en-GB"/>
              </w:rPr>
              <w:t>recommendations</w:t>
            </w:r>
            <w:r w:rsidR="007662E4" w:rsidRPr="007662E4">
              <w:rPr>
                <w:lang w:val="en-GB"/>
              </w:rPr>
              <w:t xml:space="preserve"> 1.1</w:t>
            </w:r>
            <w:r w:rsidR="007662E4">
              <w:rPr>
                <w:lang w:val="en-GB"/>
              </w:rPr>
              <w:t>.6, 1.1.8 and 1.2.2</w:t>
            </w:r>
          </w:p>
          <w:p w14:paraId="60E86DD4" w14:textId="77777777" w:rsidR="007662E4" w:rsidRDefault="007662E4" w:rsidP="00287467">
            <w:pPr>
              <w:pStyle w:val="Tabletext"/>
            </w:pPr>
          </w:p>
          <w:p w14:paraId="10B420C2" w14:textId="68442E46" w:rsidR="00B341DA" w:rsidRPr="00D1070A" w:rsidRDefault="007249A6" w:rsidP="00287467">
            <w:pPr>
              <w:pStyle w:val="Tabletext"/>
              <w:rPr>
                <w:lang w:val="en-GB"/>
              </w:rPr>
            </w:pPr>
            <w:hyperlink r:id="rId11" w:history="1">
              <w:r w:rsidR="007662E4" w:rsidRPr="007662E4">
                <w:rPr>
                  <w:rStyle w:val="Hyperlink"/>
                  <w:lang w:val="en-GB"/>
                </w:rPr>
                <w:t>Familial hypercholesterolaemia</w:t>
              </w:r>
            </w:hyperlink>
            <w:r w:rsidR="007662E4" w:rsidRPr="007662E4">
              <w:rPr>
                <w:lang w:val="en-GB"/>
              </w:rPr>
              <w:t xml:space="preserve"> (2013) NICE quality standard QS41, statement </w:t>
            </w:r>
            <w:r w:rsidR="007662E4">
              <w:rPr>
                <w:lang w:val="en-GB"/>
              </w:rPr>
              <w:t>2</w:t>
            </w:r>
            <w:bookmarkEnd w:id="7"/>
          </w:p>
        </w:tc>
      </w:tr>
    </w:tbl>
    <w:p w14:paraId="6F643CF3" w14:textId="1C3BE441" w:rsidR="00D97DFA" w:rsidRDefault="00D97DFA">
      <w:pPr>
        <w:rPr>
          <w:rFonts w:ascii="Arial" w:hAnsi="Arial"/>
        </w:rPr>
      </w:pPr>
      <w:bookmarkStart w:id="8" w:name="_Toc418246137"/>
      <w:r>
        <w:br w:type="page"/>
      </w:r>
    </w:p>
    <w:p w14:paraId="02E5DF0D" w14:textId="19E705FF" w:rsidR="00F87E9D" w:rsidRDefault="0089270D" w:rsidP="005C3893">
      <w:pPr>
        <w:pStyle w:val="Heading3"/>
        <w:spacing w:line="360" w:lineRule="auto"/>
        <w:rPr>
          <w:sz w:val="28"/>
          <w:szCs w:val="28"/>
        </w:rPr>
      </w:pPr>
      <w:bookmarkStart w:id="9" w:name="_Toc522098027"/>
      <w:bookmarkStart w:id="10" w:name="_Toc9947239"/>
      <w:r>
        <w:rPr>
          <w:sz w:val="28"/>
          <w:szCs w:val="28"/>
        </w:rPr>
        <w:lastRenderedPageBreak/>
        <w:t>IND</w:t>
      </w:r>
      <w:r w:rsidR="001779E5">
        <w:rPr>
          <w:sz w:val="28"/>
          <w:szCs w:val="28"/>
        </w:rPr>
        <w:t>8</w:t>
      </w:r>
      <w:r>
        <w:rPr>
          <w:sz w:val="28"/>
          <w:szCs w:val="28"/>
        </w:rPr>
        <w:t xml:space="preserve">: </w:t>
      </w:r>
      <w:r w:rsidR="001779E5">
        <w:rPr>
          <w:sz w:val="28"/>
          <w:szCs w:val="28"/>
        </w:rPr>
        <w:t>FH</w:t>
      </w:r>
      <w:r w:rsidRPr="0089270D">
        <w:rPr>
          <w:sz w:val="28"/>
          <w:szCs w:val="28"/>
        </w:rPr>
        <w:t xml:space="preserve"> - </w:t>
      </w:r>
      <w:bookmarkStart w:id="11" w:name="_Hlk9504738"/>
      <w:bookmarkEnd w:id="9"/>
      <w:bookmarkEnd w:id="8"/>
      <w:r w:rsidR="00C77109">
        <w:rPr>
          <w:sz w:val="28"/>
          <w:szCs w:val="28"/>
        </w:rPr>
        <w:t>People</w:t>
      </w:r>
      <w:r w:rsidR="001779E5" w:rsidRPr="001779E5">
        <w:rPr>
          <w:sz w:val="28"/>
          <w:szCs w:val="28"/>
        </w:rPr>
        <w:t xml:space="preserve"> aged 29 years and under with a high total cholesterol</w:t>
      </w:r>
      <w:bookmarkEnd w:id="11"/>
      <w:bookmarkEnd w:id="10"/>
    </w:p>
    <w:p w14:paraId="31631452" w14:textId="3FB23C10" w:rsidR="001779E5" w:rsidRPr="001779E5" w:rsidRDefault="001779E5" w:rsidP="00630B9F">
      <w:pPr>
        <w:pStyle w:val="Paragraph"/>
        <w:spacing w:line="360" w:lineRule="auto"/>
        <w:rPr>
          <w:i/>
        </w:rPr>
      </w:pPr>
      <w:r w:rsidRPr="001779E5">
        <w:rPr>
          <w:i/>
        </w:rPr>
        <w:t>The percentage of people aged 29 years and under, with a total cholesterol concentration greater than 7.5 mmol/l that are assessed against the Simon Broome or Dutch Lipid Clinic Network (DLCN) criteria.</w:t>
      </w:r>
    </w:p>
    <w:p w14:paraId="7B4C02A0" w14:textId="064D9611" w:rsidR="00907DF5" w:rsidRDefault="00C0570D" w:rsidP="005C3893">
      <w:pPr>
        <w:pStyle w:val="Paragraph"/>
        <w:spacing w:line="360" w:lineRule="auto"/>
        <w:rPr>
          <w:b/>
          <w:bCs/>
          <w:kern w:val="32"/>
          <w:u w:val="single"/>
        </w:rPr>
      </w:pPr>
      <w:r>
        <w:rPr>
          <w:b/>
          <w:bCs/>
          <w:kern w:val="32"/>
          <w:u w:val="single"/>
        </w:rPr>
        <w:t>Rationale</w:t>
      </w:r>
    </w:p>
    <w:p w14:paraId="6BC20C2C" w14:textId="7B4C628B" w:rsidR="007C4577" w:rsidRPr="007C4577" w:rsidRDefault="00036EE4" w:rsidP="007C4577">
      <w:pPr>
        <w:pStyle w:val="Paragraph"/>
        <w:spacing w:line="360" w:lineRule="auto"/>
      </w:pPr>
      <w:r>
        <w:t xml:space="preserve">This indicator is intended to increase identification of those </w:t>
      </w:r>
      <w:r w:rsidR="009300DF">
        <w:t xml:space="preserve">aged 29 years and under </w:t>
      </w:r>
      <w:r>
        <w:t>with undiagnosed FH.</w:t>
      </w:r>
    </w:p>
    <w:p w14:paraId="33578256" w14:textId="5E292799" w:rsidR="003D5D5A" w:rsidRPr="008679F3" w:rsidRDefault="00C0570D" w:rsidP="005C3893">
      <w:pPr>
        <w:pStyle w:val="Paragraph"/>
        <w:spacing w:line="360" w:lineRule="auto"/>
        <w:rPr>
          <w:b/>
          <w:bCs/>
          <w:kern w:val="32"/>
          <w:u w:val="single"/>
        </w:rPr>
      </w:pPr>
      <w:bookmarkStart w:id="12" w:name="_Hlk9241602"/>
      <w:r w:rsidRPr="008679F3">
        <w:rPr>
          <w:b/>
          <w:bCs/>
          <w:kern w:val="32"/>
          <w:u w:val="single"/>
        </w:rPr>
        <w:t>Summary of consultation comments</w:t>
      </w:r>
    </w:p>
    <w:p w14:paraId="28BD243C" w14:textId="24904C06" w:rsidR="0088409D" w:rsidRPr="008679F3" w:rsidRDefault="0088409D" w:rsidP="0088409D">
      <w:pPr>
        <w:pStyle w:val="Paragraph"/>
        <w:spacing w:line="360" w:lineRule="auto"/>
      </w:pPr>
      <w:bookmarkStart w:id="13" w:name="_Hlk9244822"/>
      <w:bookmarkStart w:id="14" w:name="_Hlk9246380"/>
      <w:r w:rsidRPr="008679F3">
        <w:t xml:space="preserve">Stakeholders made the following positive comments in relation to </w:t>
      </w:r>
      <w:r w:rsidR="0090239B" w:rsidRPr="008679F3">
        <w:t xml:space="preserve">this </w:t>
      </w:r>
      <w:r w:rsidRPr="008679F3">
        <w:t>indicator</w:t>
      </w:r>
      <w:bookmarkEnd w:id="13"/>
      <w:r w:rsidRPr="008679F3">
        <w:t>:</w:t>
      </w:r>
    </w:p>
    <w:p w14:paraId="6ECEAEB3" w14:textId="0AF789D8" w:rsidR="00093F96" w:rsidRPr="008679F3" w:rsidRDefault="00751D95" w:rsidP="000D4FCB">
      <w:pPr>
        <w:pStyle w:val="Bulletleft1"/>
      </w:pPr>
      <w:bookmarkStart w:id="15" w:name="_Hlk9244801"/>
      <w:bookmarkEnd w:id="14"/>
      <w:r>
        <w:rPr>
          <w:lang w:val="en-GB"/>
        </w:rPr>
        <w:t>T</w:t>
      </w:r>
      <w:r w:rsidR="00093F96" w:rsidRPr="008679F3">
        <w:rPr>
          <w:lang w:val="en-GB"/>
        </w:rPr>
        <w:t xml:space="preserve">his indicator </w:t>
      </w:r>
      <w:r w:rsidR="00D1219A" w:rsidRPr="008679F3">
        <w:rPr>
          <w:lang w:val="en-GB"/>
        </w:rPr>
        <w:t>was supported to</w:t>
      </w:r>
      <w:r w:rsidR="00093F96" w:rsidRPr="008679F3">
        <w:rPr>
          <w:lang w:val="en-GB"/>
        </w:rPr>
        <w:t xml:space="preserve"> </w:t>
      </w:r>
      <w:r w:rsidR="000D4FCB" w:rsidRPr="008679F3">
        <w:t>improve early FH identification, referral and treatment rates</w:t>
      </w:r>
      <w:r w:rsidR="00093F96" w:rsidRPr="008679F3">
        <w:rPr>
          <w:lang w:val="en-GB"/>
        </w:rPr>
        <w:t xml:space="preserve"> </w:t>
      </w:r>
      <w:r w:rsidR="002B0FDB" w:rsidRPr="008679F3">
        <w:rPr>
          <w:lang w:val="en-GB"/>
        </w:rPr>
        <w:t xml:space="preserve">and </w:t>
      </w:r>
      <w:r w:rsidR="000D4FCB" w:rsidRPr="008679F3">
        <w:t xml:space="preserve">will have a significant impact on reducing mortality and morbidity </w:t>
      </w:r>
    </w:p>
    <w:p w14:paraId="5EF6A58A" w14:textId="3D9E9EB5" w:rsidR="00963008" w:rsidRPr="008679F3" w:rsidRDefault="00751D95" w:rsidP="00963008">
      <w:pPr>
        <w:pStyle w:val="Bulletleft1"/>
      </w:pPr>
      <w:bookmarkStart w:id="16" w:name="_Hlk9342274"/>
      <w:r>
        <w:t>I</w:t>
      </w:r>
      <w:r w:rsidR="00963008" w:rsidRPr="008679F3">
        <w:t>t was strongly recommended that this indicator is developed into a full QOF indicator with appropriate achievement points</w:t>
      </w:r>
      <w:r w:rsidR="001A7483">
        <w:t>.</w:t>
      </w:r>
      <w:r w:rsidR="00963008" w:rsidRPr="008679F3">
        <w:t xml:space="preserve"> </w:t>
      </w:r>
    </w:p>
    <w:p w14:paraId="2864C84F" w14:textId="07A6AA77" w:rsidR="0088409D" w:rsidRPr="008679F3" w:rsidRDefault="0088409D" w:rsidP="0088409D">
      <w:pPr>
        <w:pStyle w:val="Paragraph"/>
        <w:spacing w:line="360" w:lineRule="auto"/>
      </w:pPr>
      <w:bookmarkStart w:id="17" w:name="_Hlk9244872"/>
      <w:bookmarkEnd w:id="15"/>
      <w:bookmarkEnd w:id="16"/>
      <w:r w:rsidRPr="008679F3">
        <w:t>Stakeholders outlined the following concerns about th</w:t>
      </w:r>
      <w:r w:rsidR="0090239B" w:rsidRPr="008679F3">
        <w:t>is indicator</w:t>
      </w:r>
      <w:r w:rsidRPr="008679F3">
        <w:t>:</w:t>
      </w:r>
    </w:p>
    <w:p w14:paraId="61C77EC6" w14:textId="471C8CE4" w:rsidR="00A447F9" w:rsidRDefault="00751D95" w:rsidP="000D4FCB">
      <w:pPr>
        <w:pStyle w:val="Bulletleft1"/>
        <w:rPr>
          <w:lang w:eastAsia="en-GB"/>
        </w:rPr>
      </w:pPr>
      <w:bookmarkStart w:id="18" w:name="_Hlk9245451"/>
      <w:bookmarkEnd w:id="17"/>
      <w:r>
        <w:rPr>
          <w:lang w:eastAsia="en-GB"/>
        </w:rPr>
        <w:t>I</w:t>
      </w:r>
      <w:r w:rsidR="00D97DFA">
        <w:rPr>
          <w:lang w:eastAsia="en-GB"/>
        </w:rPr>
        <w:t>t</w:t>
      </w:r>
      <w:r w:rsidR="00316DE0" w:rsidRPr="00F53FCB">
        <w:rPr>
          <w:lang w:eastAsia="en-GB"/>
        </w:rPr>
        <w:t xml:space="preserve"> would add a substantial burden to primary care</w:t>
      </w:r>
      <w:r w:rsidR="00254B1A">
        <w:rPr>
          <w:lang w:eastAsia="en-GB"/>
        </w:rPr>
        <w:t xml:space="preserve"> </w:t>
      </w:r>
      <w:r w:rsidR="007C4577">
        <w:rPr>
          <w:lang w:eastAsia="en-GB"/>
        </w:rPr>
        <w:t>with limited clinical benefit</w:t>
      </w:r>
    </w:p>
    <w:p w14:paraId="5F5E049C" w14:textId="4FE13117" w:rsidR="009300DF" w:rsidRDefault="00751D95" w:rsidP="000D4FCB">
      <w:pPr>
        <w:pStyle w:val="Bulletleft1"/>
        <w:rPr>
          <w:lang w:eastAsia="en-GB"/>
        </w:rPr>
      </w:pPr>
      <w:r>
        <w:rPr>
          <w:bCs/>
        </w:rPr>
        <w:t>S</w:t>
      </w:r>
      <w:r w:rsidR="00A447F9">
        <w:rPr>
          <w:lang w:val="en-GB"/>
        </w:rPr>
        <w:t xml:space="preserve">mall indicator denominators at </w:t>
      </w:r>
      <w:r w:rsidR="00A447F9">
        <w:t xml:space="preserve">individual </w:t>
      </w:r>
      <w:r w:rsidR="00A447F9">
        <w:rPr>
          <w:lang w:val="en-GB"/>
        </w:rPr>
        <w:t>GP practice level negatively impact on the validity of the indicator</w:t>
      </w:r>
      <w:r w:rsidR="007C4577">
        <w:rPr>
          <w:lang w:eastAsia="en-GB"/>
        </w:rPr>
        <w:t xml:space="preserve"> </w:t>
      </w:r>
    </w:p>
    <w:p w14:paraId="42F1D2C8" w14:textId="6DA5BDE0" w:rsidR="000D4FCB" w:rsidRPr="00F53FCB" w:rsidRDefault="00254B1A" w:rsidP="000D4FCB">
      <w:pPr>
        <w:pStyle w:val="Bulletleft1"/>
        <w:rPr>
          <w:lang w:eastAsia="en-GB"/>
        </w:rPr>
      </w:pPr>
      <w:r>
        <w:rPr>
          <w:lang w:eastAsia="en-GB"/>
        </w:rPr>
        <w:t>FH screening is not currently approved</w:t>
      </w:r>
      <w:r w:rsidRPr="00254B1A">
        <w:rPr>
          <w:rFonts w:ascii="Times New Roman" w:hAnsi="Times New Roman"/>
          <w:lang w:val="en-GB" w:eastAsia="en-GB"/>
        </w:rPr>
        <w:t xml:space="preserve"> </w:t>
      </w:r>
      <w:r w:rsidRPr="00254B1A">
        <w:rPr>
          <w:lang w:val="en-GB" w:eastAsia="en-GB"/>
        </w:rPr>
        <w:t>by the National Screening Committee</w:t>
      </w:r>
      <w:r>
        <w:rPr>
          <w:lang w:eastAsia="en-GB"/>
        </w:rPr>
        <w:t xml:space="preserve"> </w:t>
      </w:r>
    </w:p>
    <w:bookmarkEnd w:id="18"/>
    <w:p w14:paraId="2A816144" w14:textId="0A722813" w:rsidR="00254B1A" w:rsidRPr="00F53FCB" w:rsidRDefault="00254B1A" w:rsidP="00254B1A">
      <w:pPr>
        <w:pStyle w:val="Bulletleft1"/>
      </w:pPr>
      <w:r>
        <w:t>Triglyceride</w:t>
      </w:r>
      <w:r w:rsidR="00B1612A">
        <w:t xml:space="preserve"> levels</w:t>
      </w:r>
      <w:r>
        <w:t xml:space="preserve"> </w:t>
      </w:r>
      <w:r w:rsidR="000D4FCB">
        <w:t xml:space="preserve">will </w:t>
      </w:r>
      <w:r>
        <w:t>need to be c</w:t>
      </w:r>
      <w:r w:rsidRPr="00F53FCB">
        <w:t>onsi</w:t>
      </w:r>
      <w:r>
        <w:t xml:space="preserve">dered </w:t>
      </w:r>
      <w:r w:rsidR="00FB46D2">
        <w:t>as well as</w:t>
      </w:r>
      <w:r w:rsidRPr="00F53FCB">
        <w:t xml:space="preserve"> high cholesterol</w:t>
      </w:r>
      <w:r w:rsidR="002B0FDB">
        <w:rPr>
          <w:lang w:val="en-GB"/>
        </w:rPr>
        <w:t xml:space="preserve">. </w:t>
      </w:r>
      <w:r w:rsidRPr="00F53FCB">
        <w:t xml:space="preserve">Ideally patients with secondary causes should also be excluded before </w:t>
      </w:r>
      <w:r w:rsidR="002B0FDB" w:rsidRPr="002B0FDB">
        <w:rPr>
          <w:lang w:val="en-GB"/>
        </w:rPr>
        <w:t>Simon Broome or DLCN</w:t>
      </w:r>
      <w:r w:rsidR="002B0FDB">
        <w:rPr>
          <w:lang w:val="en-GB"/>
        </w:rPr>
        <w:t xml:space="preserve"> assessment is carried</w:t>
      </w:r>
      <w:r w:rsidRPr="00F53FCB">
        <w:t xml:space="preserve"> </w:t>
      </w:r>
      <w:r w:rsidR="002B0FDB">
        <w:t>out</w:t>
      </w:r>
    </w:p>
    <w:p w14:paraId="48123E45" w14:textId="58781161" w:rsidR="007C4577" w:rsidRPr="007F3C30" w:rsidRDefault="00BF168E" w:rsidP="005C3893">
      <w:pPr>
        <w:pStyle w:val="Bulletleft1"/>
      </w:pPr>
      <w:bookmarkStart w:id="19" w:name="_Hlk9332234"/>
      <w:r>
        <w:rPr>
          <w:lang w:val="en-GB"/>
        </w:rPr>
        <w:t>This indicator w</w:t>
      </w:r>
      <w:r w:rsidRPr="00BF168E">
        <w:rPr>
          <w:lang w:val="en-GB"/>
        </w:rPr>
        <w:t>ill require a R</w:t>
      </w:r>
      <w:r w:rsidR="00C86274">
        <w:rPr>
          <w:lang w:val="en-GB"/>
        </w:rPr>
        <w:t>ead</w:t>
      </w:r>
      <w:r w:rsidRPr="00BF168E">
        <w:rPr>
          <w:lang w:val="en-GB"/>
        </w:rPr>
        <w:t>/SNOMED code for assessment by S</w:t>
      </w:r>
      <w:r>
        <w:rPr>
          <w:lang w:val="en-GB"/>
        </w:rPr>
        <w:t xml:space="preserve">imon </w:t>
      </w:r>
      <w:r w:rsidRPr="00BF168E">
        <w:rPr>
          <w:lang w:val="en-GB"/>
        </w:rPr>
        <w:t>B</w:t>
      </w:r>
      <w:r>
        <w:rPr>
          <w:lang w:val="en-GB"/>
        </w:rPr>
        <w:t xml:space="preserve">roome or </w:t>
      </w:r>
      <w:r w:rsidRPr="00BF168E">
        <w:rPr>
          <w:lang w:val="en-GB"/>
        </w:rPr>
        <w:t>DLCN</w:t>
      </w:r>
      <w:r>
        <w:rPr>
          <w:lang w:val="en-GB"/>
        </w:rPr>
        <w:t xml:space="preserve"> criteria</w:t>
      </w:r>
      <w:r w:rsidRPr="00BF168E">
        <w:rPr>
          <w:lang w:val="en-GB"/>
        </w:rPr>
        <w:t>, if not already available</w:t>
      </w:r>
      <w:r w:rsidR="00B1612A">
        <w:rPr>
          <w:lang w:val="en-GB"/>
        </w:rPr>
        <w:t>.</w:t>
      </w:r>
    </w:p>
    <w:bookmarkEnd w:id="19"/>
    <w:p w14:paraId="6AC80CCB" w14:textId="77777777" w:rsidR="00C86274" w:rsidRDefault="00C86274">
      <w:pPr>
        <w:rPr>
          <w:rFonts w:ascii="Arial" w:hAnsi="Arial"/>
          <w:b/>
          <w:u w:val="single"/>
        </w:rPr>
      </w:pPr>
      <w:r>
        <w:rPr>
          <w:b/>
          <w:u w:val="single"/>
        </w:rPr>
        <w:br w:type="page"/>
      </w:r>
    </w:p>
    <w:p w14:paraId="58A9C24A" w14:textId="179FAC87" w:rsidR="00036EE4" w:rsidRPr="00AC1812" w:rsidRDefault="00036EE4" w:rsidP="00036EE4">
      <w:pPr>
        <w:pStyle w:val="Paragraph"/>
        <w:keepNext/>
        <w:spacing w:line="360" w:lineRule="auto"/>
        <w:rPr>
          <w:u w:val="single"/>
        </w:rPr>
      </w:pPr>
      <w:r w:rsidRPr="00AC1812">
        <w:rPr>
          <w:b/>
          <w:u w:val="single"/>
        </w:rPr>
        <w:lastRenderedPageBreak/>
        <w:t>Considerations for the advisory committee</w:t>
      </w:r>
    </w:p>
    <w:p w14:paraId="1EEF218A" w14:textId="7CA9E63B" w:rsidR="009F35A4" w:rsidRPr="00AC1812" w:rsidRDefault="009F35A4" w:rsidP="009F35A4">
      <w:pPr>
        <w:pStyle w:val="Paragraph"/>
      </w:pPr>
      <w:bookmarkStart w:id="20" w:name="_Hlk8914783"/>
      <w:bookmarkStart w:id="21" w:name="_Toc418246138"/>
      <w:r w:rsidRPr="00AC1812">
        <w:t>The committee is asked to consider:</w:t>
      </w:r>
    </w:p>
    <w:p w14:paraId="3162360F" w14:textId="3477E163" w:rsidR="00B90E20" w:rsidRDefault="00FB46D2" w:rsidP="00B90E20">
      <w:pPr>
        <w:pStyle w:val="Bulletleft1"/>
      </w:pPr>
      <w:r>
        <w:t xml:space="preserve">The </w:t>
      </w:r>
      <w:r w:rsidR="00FB4C46">
        <w:t xml:space="preserve">concerns raised around the </w:t>
      </w:r>
      <w:r>
        <w:t>burden of testing</w:t>
      </w:r>
      <w:r w:rsidR="00FB4C46">
        <w:t xml:space="preserve"> and links to screening, possible misunderstanding around how the indicator works?</w:t>
      </w:r>
      <w:r>
        <w:t xml:space="preserve"> </w:t>
      </w:r>
    </w:p>
    <w:p w14:paraId="3C3D9AED" w14:textId="77777777" w:rsidR="00C77109" w:rsidRDefault="00C77109" w:rsidP="00C77109">
      <w:pPr>
        <w:pStyle w:val="Bulletleft1"/>
      </w:pPr>
      <w:r>
        <w:t>Stakeholder concerns around patient numbers:</w:t>
      </w:r>
    </w:p>
    <w:p w14:paraId="226D4872" w14:textId="77777777" w:rsidR="00C77109" w:rsidRDefault="00C77109" w:rsidP="00C77109">
      <w:pPr>
        <w:pStyle w:val="Bulletleft1"/>
        <w:numPr>
          <w:ilvl w:val="2"/>
          <w:numId w:val="10"/>
        </w:numPr>
      </w:pPr>
      <w:r>
        <w:rPr>
          <w:lang w:val="en-GB"/>
        </w:rPr>
        <w:t>small indicator denominators at individual GP practice level</w:t>
      </w:r>
    </w:p>
    <w:p w14:paraId="6D284074" w14:textId="558108CA" w:rsidR="00C77109" w:rsidRPr="00B90E20" w:rsidRDefault="00C77109" w:rsidP="001A7483">
      <w:pPr>
        <w:pStyle w:val="Bulletleft1"/>
        <w:numPr>
          <w:ilvl w:val="2"/>
          <w:numId w:val="10"/>
        </w:numPr>
      </w:pPr>
      <w:r>
        <w:rPr>
          <w:lang w:val="en-GB"/>
        </w:rPr>
        <w:t>burden of work for general practice</w:t>
      </w:r>
    </w:p>
    <w:p w14:paraId="1CF2506F" w14:textId="73A7E8E2" w:rsidR="007C4577" w:rsidRDefault="00FB46D2" w:rsidP="00B602C5">
      <w:pPr>
        <w:pStyle w:val="Bulletleft1"/>
        <w:rPr>
          <w:lang w:val="en-GB"/>
        </w:rPr>
      </w:pPr>
      <w:r>
        <w:rPr>
          <w:lang w:val="en-GB"/>
        </w:rPr>
        <w:t>Additional a</w:t>
      </w:r>
      <w:r w:rsidR="00B602C5">
        <w:rPr>
          <w:lang w:val="en-GB"/>
        </w:rPr>
        <w:t>ssess</w:t>
      </w:r>
      <w:r>
        <w:rPr>
          <w:lang w:val="en-GB"/>
        </w:rPr>
        <w:t>ments</w:t>
      </w:r>
      <w:r w:rsidR="00B602C5">
        <w:rPr>
          <w:lang w:val="en-GB"/>
        </w:rPr>
        <w:t xml:space="preserve"> for </w:t>
      </w:r>
      <w:r>
        <w:rPr>
          <w:lang w:val="en-GB"/>
        </w:rPr>
        <w:t>t</w:t>
      </w:r>
      <w:r w:rsidR="007C4577" w:rsidRPr="00B602C5">
        <w:rPr>
          <w:lang w:val="en-GB"/>
        </w:rPr>
        <w:t>riglycerides</w:t>
      </w:r>
      <w:r>
        <w:rPr>
          <w:lang w:val="en-GB"/>
        </w:rPr>
        <w:t xml:space="preserve"> and exclusion of secondary causes</w:t>
      </w:r>
      <w:r w:rsidR="00963008">
        <w:rPr>
          <w:lang w:val="en-GB"/>
        </w:rPr>
        <w:t>.</w:t>
      </w:r>
    </w:p>
    <w:bookmarkEnd w:id="12"/>
    <w:bookmarkEnd w:id="20"/>
    <w:p w14:paraId="09EB9493" w14:textId="032305B5" w:rsidR="008F2FAE" w:rsidRPr="008679F3" w:rsidRDefault="00FB46D2" w:rsidP="005C3893">
      <w:pPr>
        <w:pStyle w:val="Bulletleft1"/>
      </w:pPr>
      <w:r>
        <w:t>Codes required for GP systems.</w:t>
      </w:r>
    </w:p>
    <w:p w14:paraId="05A80AD5" w14:textId="77777777" w:rsidR="00B1612A" w:rsidRDefault="00B1612A">
      <w:pPr>
        <w:rPr>
          <w:rFonts w:ascii="Arial" w:hAnsi="Arial"/>
          <w:b/>
          <w:bCs/>
          <w:sz w:val="28"/>
          <w:szCs w:val="28"/>
        </w:rPr>
      </w:pPr>
      <w:r>
        <w:rPr>
          <w:sz w:val="28"/>
          <w:szCs w:val="28"/>
        </w:rPr>
        <w:br w:type="page"/>
      </w:r>
    </w:p>
    <w:p w14:paraId="2DAF8D44" w14:textId="6BA63A6B" w:rsidR="00F87E9D" w:rsidRPr="00E8632C" w:rsidRDefault="007136A7" w:rsidP="005C3893">
      <w:pPr>
        <w:pStyle w:val="Heading3"/>
        <w:spacing w:line="360" w:lineRule="auto"/>
        <w:rPr>
          <w:sz w:val="28"/>
          <w:szCs w:val="28"/>
        </w:rPr>
      </w:pPr>
      <w:bookmarkStart w:id="22" w:name="_Toc9947240"/>
      <w:r>
        <w:rPr>
          <w:sz w:val="28"/>
          <w:szCs w:val="28"/>
        </w:rPr>
        <w:lastRenderedPageBreak/>
        <w:t>IND</w:t>
      </w:r>
      <w:r w:rsidR="001779E5">
        <w:rPr>
          <w:sz w:val="28"/>
          <w:szCs w:val="28"/>
        </w:rPr>
        <w:t>9</w:t>
      </w:r>
      <w:r>
        <w:rPr>
          <w:sz w:val="28"/>
          <w:szCs w:val="28"/>
        </w:rPr>
        <w:t>:</w:t>
      </w:r>
      <w:bookmarkStart w:id="23" w:name="_Toc479342923"/>
      <w:r w:rsidR="005143BA">
        <w:rPr>
          <w:sz w:val="28"/>
          <w:szCs w:val="28"/>
        </w:rPr>
        <w:t xml:space="preserve"> </w:t>
      </w:r>
      <w:r w:rsidR="00187570">
        <w:rPr>
          <w:sz w:val="28"/>
          <w:szCs w:val="28"/>
        </w:rPr>
        <w:t>FH</w:t>
      </w:r>
      <w:r w:rsidRPr="007136A7">
        <w:rPr>
          <w:sz w:val="28"/>
          <w:szCs w:val="28"/>
        </w:rPr>
        <w:t xml:space="preserve"> -</w:t>
      </w:r>
      <w:r w:rsidR="00C77109">
        <w:rPr>
          <w:sz w:val="28"/>
          <w:szCs w:val="28"/>
        </w:rPr>
        <w:t xml:space="preserve"> </w:t>
      </w:r>
      <w:bookmarkEnd w:id="21"/>
      <w:bookmarkEnd w:id="23"/>
      <w:r w:rsidR="00C77109">
        <w:rPr>
          <w:sz w:val="28"/>
          <w:szCs w:val="28"/>
        </w:rPr>
        <w:t>People</w:t>
      </w:r>
      <w:r w:rsidR="001779E5" w:rsidRPr="001779E5">
        <w:rPr>
          <w:sz w:val="28"/>
          <w:szCs w:val="28"/>
        </w:rPr>
        <w:t xml:space="preserve"> age</w:t>
      </w:r>
      <w:r w:rsidR="00FB46D2">
        <w:rPr>
          <w:sz w:val="28"/>
          <w:szCs w:val="28"/>
        </w:rPr>
        <w:t>d</w:t>
      </w:r>
      <w:r w:rsidR="001779E5" w:rsidRPr="001779E5">
        <w:rPr>
          <w:sz w:val="28"/>
          <w:szCs w:val="28"/>
        </w:rPr>
        <w:t xml:space="preserve"> 30 years and older with a high total cholesterol</w:t>
      </w:r>
      <w:bookmarkEnd w:id="22"/>
    </w:p>
    <w:p w14:paraId="0AB11756" w14:textId="57166E96" w:rsidR="001779E5" w:rsidRDefault="001779E5" w:rsidP="005C3893">
      <w:pPr>
        <w:pStyle w:val="Paragraph"/>
        <w:spacing w:line="360" w:lineRule="auto"/>
        <w:rPr>
          <w:i/>
        </w:rPr>
      </w:pPr>
      <w:r w:rsidRPr="001779E5">
        <w:rPr>
          <w:i/>
        </w:rPr>
        <w:t>The percentage of people aged 30 years and older with a total cholesterol concentration greater than 9.0mmol/l that are assessed against the Simon Broome or Dutch Lipid Clinic Network (DLCN) criteria.</w:t>
      </w:r>
    </w:p>
    <w:p w14:paraId="08F9B38C" w14:textId="5AD8F40B" w:rsidR="004E0E78" w:rsidRDefault="002C292E" w:rsidP="005C3893">
      <w:pPr>
        <w:pStyle w:val="Paragraph"/>
        <w:spacing w:line="360" w:lineRule="auto"/>
        <w:rPr>
          <w:b/>
          <w:bCs/>
          <w:kern w:val="32"/>
          <w:u w:val="single"/>
        </w:rPr>
      </w:pPr>
      <w:r>
        <w:rPr>
          <w:b/>
          <w:bCs/>
          <w:kern w:val="32"/>
          <w:u w:val="single"/>
        </w:rPr>
        <w:t>Rationale</w:t>
      </w:r>
    </w:p>
    <w:p w14:paraId="50171FB7" w14:textId="0A980F3A" w:rsidR="00E949AC" w:rsidRPr="003D5D5A" w:rsidRDefault="00E949AC" w:rsidP="005C3893">
      <w:pPr>
        <w:pStyle w:val="Paragraph"/>
        <w:spacing w:line="360" w:lineRule="auto"/>
        <w:rPr>
          <w:b/>
          <w:bCs/>
          <w:kern w:val="32"/>
          <w:u w:val="single"/>
        </w:rPr>
      </w:pPr>
      <w:r>
        <w:t xml:space="preserve">This indicator is intended to increase identification of those people </w:t>
      </w:r>
      <w:r w:rsidR="00E90147">
        <w:t xml:space="preserve">aged 30 years and over </w:t>
      </w:r>
      <w:r>
        <w:t>with undiagnosed FH.</w:t>
      </w:r>
    </w:p>
    <w:p w14:paraId="539927E8" w14:textId="706DE90D" w:rsidR="00E949AC" w:rsidRPr="008679F3" w:rsidRDefault="002C292E" w:rsidP="00E949AC">
      <w:pPr>
        <w:pStyle w:val="Paragraph"/>
        <w:spacing w:line="360" w:lineRule="auto"/>
        <w:rPr>
          <w:b/>
          <w:bCs/>
          <w:kern w:val="32"/>
          <w:u w:val="single"/>
        </w:rPr>
      </w:pPr>
      <w:r w:rsidRPr="008679F3">
        <w:rPr>
          <w:b/>
          <w:bCs/>
          <w:kern w:val="32"/>
          <w:u w:val="single"/>
        </w:rPr>
        <w:t>Summary of consultation c</w:t>
      </w:r>
      <w:r w:rsidR="004E0E78" w:rsidRPr="008679F3">
        <w:rPr>
          <w:b/>
          <w:bCs/>
          <w:kern w:val="32"/>
          <w:u w:val="single"/>
        </w:rPr>
        <w:t>omments</w:t>
      </w:r>
    </w:p>
    <w:p w14:paraId="439280B3" w14:textId="6800C13B" w:rsidR="00BF168E" w:rsidRPr="00BF168E" w:rsidRDefault="00BF168E" w:rsidP="00E949AC">
      <w:pPr>
        <w:pStyle w:val="Paragraph"/>
        <w:spacing w:line="360" w:lineRule="auto"/>
        <w:rPr>
          <w:b/>
          <w:bCs/>
          <w:kern w:val="32"/>
          <w:u w:val="single"/>
        </w:rPr>
      </w:pPr>
      <w:bookmarkStart w:id="24" w:name="_Hlk9245986"/>
      <w:r w:rsidRPr="00BF168E">
        <w:t>Stakeholders made the following positive comments in relation to this indicator</w:t>
      </w:r>
    </w:p>
    <w:bookmarkEnd w:id="24"/>
    <w:p w14:paraId="22906491" w14:textId="0A8AAAFA" w:rsidR="00BF168E" w:rsidRPr="0090239B" w:rsidRDefault="007F3C30" w:rsidP="007F3C30">
      <w:pPr>
        <w:pStyle w:val="Bulletleft1"/>
      </w:pPr>
      <w:r w:rsidRPr="007F3C30">
        <w:t>This indicator w</w:t>
      </w:r>
      <w:r w:rsidR="00E90147">
        <w:t>ill</w:t>
      </w:r>
      <w:r w:rsidRPr="007F3C30">
        <w:t xml:space="preserve"> support improve</w:t>
      </w:r>
      <w:r w:rsidR="00E90147">
        <w:t>d</w:t>
      </w:r>
      <w:r w:rsidRPr="007F3C30">
        <w:t xml:space="preserve"> diagnosis and treatment rates to prevent premature death</w:t>
      </w:r>
      <w:r w:rsidR="00353360">
        <w:t>.</w:t>
      </w:r>
    </w:p>
    <w:p w14:paraId="1D992938" w14:textId="77777777" w:rsidR="00BF168E" w:rsidRPr="002E26A9" w:rsidRDefault="00BF168E" w:rsidP="00BF168E">
      <w:pPr>
        <w:pStyle w:val="Paragraph"/>
        <w:spacing w:line="360" w:lineRule="auto"/>
      </w:pPr>
      <w:bookmarkStart w:id="25" w:name="_Hlk9246101"/>
      <w:r w:rsidRPr="002E26A9">
        <w:t>Stakeholders outlined the following concerns about this indicator:</w:t>
      </w:r>
    </w:p>
    <w:bookmarkEnd w:id="25"/>
    <w:p w14:paraId="46F9CBC3" w14:textId="41A6C62B" w:rsidR="00BF168E" w:rsidRPr="00295231" w:rsidRDefault="000E5617" w:rsidP="00BF168E">
      <w:pPr>
        <w:pStyle w:val="Bulletleft1"/>
        <w:rPr>
          <w:lang w:val="en-GB"/>
        </w:rPr>
      </w:pPr>
      <w:r>
        <w:rPr>
          <w:bCs/>
          <w:lang w:val="en-GB"/>
        </w:rPr>
        <w:t>This indicator does not support the wider identification of these people</w:t>
      </w:r>
    </w:p>
    <w:p w14:paraId="0087F3AB" w14:textId="760E5220" w:rsidR="005C6F33" w:rsidRDefault="00630B9F" w:rsidP="00630B9F">
      <w:pPr>
        <w:pStyle w:val="Bulletleft1"/>
      </w:pPr>
      <w:r w:rsidRPr="00630B9F">
        <w:t>Testing would add a substantial burden to primary care with limited clinical benefit</w:t>
      </w:r>
    </w:p>
    <w:p w14:paraId="1BA07F52" w14:textId="1E719A8D" w:rsidR="00BE1BD8" w:rsidRDefault="005C6F33" w:rsidP="001A7483">
      <w:pPr>
        <w:pStyle w:val="Bulletleft1"/>
        <w:rPr>
          <w:lang w:eastAsia="en-GB"/>
        </w:rPr>
      </w:pPr>
      <w:r>
        <w:rPr>
          <w:bCs/>
        </w:rPr>
        <w:t>S</w:t>
      </w:r>
      <w:r>
        <w:rPr>
          <w:lang w:val="en-GB"/>
        </w:rPr>
        <w:t xml:space="preserve">mall indicator denominators at </w:t>
      </w:r>
      <w:r>
        <w:t xml:space="preserve">individual </w:t>
      </w:r>
      <w:r>
        <w:rPr>
          <w:lang w:val="en-GB"/>
        </w:rPr>
        <w:t>GP practice level negatively impact on the validity of the indicator</w:t>
      </w:r>
      <w:r>
        <w:rPr>
          <w:lang w:eastAsia="en-GB"/>
        </w:rPr>
        <w:t xml:space="preserve"> </w:t>
      </w:r>
    </w:p>
    <w:p w14:paraId="6C20816A" w14:textId="2BE7B889" w:rsidR="00630B9F" w:rsidRDefault="00630B9F" w:rsidP="00630B9F">
      <w:pPr>
        <w:pStyle w:val="Bulletleft1"/>
      </w:pPr>
      <w:r w:rsidRPr="00630B9F">
        <w:t>FH screening is not currently approved</w:t>
      </w:r>
      <w:r w:rsidRPr="00630B9F">
        <w:rPr>
          <w:lang w:val="en-GB"/>
        </w:rPr>
        <w:t xml:space="preserve"> by the National Screening Committee</w:t>
      </w:r>
      <w:r w:rsidRPr="00630B9F">
        <w:t xml:space="preserve"> </w:t>
      </w:r>
    </w:p>
    <w:p w14:paraId="34C4AA9F" w14:textId="2E773C1A" w:rsidR="00295231" w:rsidRDefault="00295231" w:rsidP="00172413">
      <w:pPr>
        <w:pStyle w:val="Bulletleft1"/>
      </w:pPr>
      <w:bookmarkStart w:id="26" w:name="_Hlk9326896"/>
      <w:r>
        <w:t>Th</w:t>
      </w:r>
      <w:r w:rsidR="002E26A9">
        <w:t>is indicator’s</w:t>
      </w:r>
      <w:r>
        <w:t xml:space="preserve"> age range needs to be reviewed</w:t>
      </w:r>
      <w:r w:rsidR="00172413">
        <w:t xml:space="preserve"> </w:t>
      </w:r>
      <w:r w:rsidR="00172413">
        <w:rPr>
          <w:lang w:val="en-GB"/>
        </w:rPr>
        <w:t xml:space="preserve">as </w:t>
      </w:r>
      <w:r w:rsidR="00172413" w:rsidRPr="00172413">
        <w:rPr>
          <w:lang w:val="en-GB"/>
        </w:rPr>
        <w:t>test</w:t>
      </w:r>
      <w:r w:rsidR="00172413">
        <w:rPr>
          <w:lang w:val="en-GB"/>
        </w:rPr>
        <w:t>ing</w:t>
      </w:r>
      <w:r w:rsidR="00172413" w:rsidRPr="00172413">
        <w:rPr>
          <w:lang w:val="en-GB"/>
        </w:rPr>
        <w:t xml:space="preserve"> lipids for patients aged 30 and over would add a substantial burden to primary care</w:t>
      </w:r>
      <w:r w:rsidR="00172413">
        <w:rPr>
          <w:lang w:val="en-GB"/>
        </w:rPr>
        <w:t>. I</w:t>
      </w:r>
      <w:r w:rsidR="00172413" w:rsidRPr="00172413">
        <w:rPr>
          <w:lang w:val="en-GB"/>
        </w:rPr>
        <w:t xml:space="preserve">s </w:t>
      </w:r>
      <w:r w:rsidR="00172413">
        <w:rPr>
          <w:lang w:val="en-GB"/>
        </w:rPr>
        <w:t xml:space="preserve">this </w:t>
      </w:r>
      <w:r w:rsidR="00172413" w:rsidRPr="00172413">
        <w:rPr>
          <w:lang w:val="en-GB"/>
        </w:rPr>
        <w:t>proportionate to the benefit to patients</w:t>
      </w:r>
      <w:r w:rsidR="00172413">
        <w:rPr>
          <w:lang w:val="en-GB"/>
        </w:rPr>
        <w:t>?</w:t>
      </w:r>
      <w:r w:rsidR="00172413">
        <w:t xml:space="preserve"> </w:t>
      </w:r>
    </w:p>
    <w:p w14:paraId="19431995" w14:textId="2F496D3D" w:rsidR="00BE1BD8" w:rsidRDefault="00BE1BD8" w:rsidP="00295231">
      <w:pPr>
        <w:pStyle w:val="Bulletleft1"/>
      </w:pPr>
      <w:r>
        <w:t>Triglycerides and the need to exclude secondary causes of high cholesterol should be considered</w:t>
      </w:r>
    </w:p>
    <w:p w14:paraId="3BBD2BD7" w14:textId="26B7BFE8" w:rsidR="00BE1BD8" w:rsidRPr="00295231" w:rsidRDefault="00BE1BD8" w:rsidP="00295231">
      <w:pPr>
        <w:pStyle w:val="Bulletleft1"/>
      </w:pPr>
      <w:r>
        <w:t>Appropriate coding will be required for GP systems.</w:t>
      </w:r>
    </w:p>
    <w:bookmarkEnd w:id="26"/>
    <w:p w14:paraId="6AA0B079" w14:textId="60CC65AF" w:rsidR="0006231E" w:rsidRPr="008679F3" w:rsidRDefault="0006231E" w:rsidP="00E949AC">
      <w:pPr>
        <w:pStyle w:val="Paragraph"/>
        <w:spacing w:line="360" w:lineRule="auto"/>
        <w:rPr>
          <w:b/>
          <w:u w:val="single"/>
        </w:rPr>
      </w:pPr>
      <w:r w:rsidRPr="008679F3">
        <w:rPr>
          <w:b/>
          <w:u w:val="single"/>
        </w:rPr>
        <w:t xml:space="preserve">Considerations for the </w:t>
      </w:r>
      <w:r w:rsidR="003C3023" w:rsidRPr="008679F3">
        <w:rPr>
          <w:b/>
          <w:u w:val="single"/>
        </w:rPr>
        <w:t>a</w:t>
      </w:r>
      <w:r w:rsidRPr="008679F3">
        <w:rPr>
          <w:b/>
          <w:u w:val="single"/>
        </w:rPr>
        <w:t xml:space="preserve">dvisory </w:t>
      </w:r>
      <w:r w:rsidR="003C3023" w:rsidRPr="008679F3">
        <w:rPr>
          <w:b/>
          <w:u w:val="single"/>
        </w:rPr>
        <w:t>c</w:t>
      </w:r>
      <w:r w:rsidRPr="008679F3">
        <w:rPr>
          <w:b/>
          <w:u w:val="single"/>
        </w:rPr>
        <w:t>ommittee</w:t>
      </w:r>
    </w:p>
    <w:p w14:paraId="1C65DA4B" w14:textId="6DAF3770" w:rsidR="00B95DC2" w:rsidRDefault="00B95DC2" w:rsidP="00B95DC2">
      <w:pPr>
        <w:pStyle w:val="Paragraph"/>
      </w:pPr>
      <w:r w:rsidRPr="008679F3">
        <w:t>The committee is asked to consider:</w:t>
      </w:r>
    </w:p>
    <w:p w14:paraId="6BF19F67" w14:textId="77777777" w:rsidR="00C77109" w:rsidRDefault="00C77109" w:rsidP="00C77109">
      <w:pPr>
        <w:pStyle w:val="Bulletleft1"/>
      </w:pPr>
      <w:r>
        <w:lastRenderedPageBreak/>
        <w:t>Stakeholder concerns around patient numbers:</w:t>
      </w:r>
    </w:p>
    <w:p w14:paraId="2F7D29C8" w14:textId="77777777" w:rsidR="00C77109" w:rsidRDefault="00C77109" w:rsidP="00C77109">
      <w:pPr>
        <w:pStyle w:val="Bulletleft1"/>
        <w:numPr>
          <w:ilvl w:val="2"/>
          <w:numId w:val="10"/>
        </w:numPr>
      </w:pPr>
      <w:r>
        <w:rPr>
          <w:lang w:val="en-GB"/>
        </w:rPr>
        <w:t>small indicator denominators at individual GP practice level</w:t>
      </w:r>
    </w:p>
    <w:p w14:paraId="78690FD1" w14:textId="19F70F29" w:rsidR="00526588" w:rsidRPr="00526588" w:rsidRDefault="00C77109" w:rsidP="00526588">
      <w:pPr>
        <w:pStyle w:val="Bulletleft1"/>
        <w:numPr>
          <w:ilvl w:val="2"/>
          <w:numId w:val="10"/>
        </w:numPr>
      </w:pPr>
      <w:r>
        <w:rPr>
          <w:lang w:val="en-GB"/>
        </w:rPr>
        <w:t>burden of work for general practice</w:t>
      </w:r>
      <w:r w:rsidR="00526588">
        <w:rPr>
          <w:lang w:val="en-GB"/>
        </w:rPr>
        <w:t xml:space="preserve"> </w:t>
      </w:r>
    </w:p>
    <w:p w14:paraId="075CACB4" w14:textId="042E28AF" w:rsidR="00526588" w:rsidRPr="00526588" w:rsidRDefault="005829B9" w:rsidP="00526588">
      <w:pPr>
        <w:pStyle w:val="Bulletleft1"/>
      </w:pPr>
      <w:r>
        <w:t>Suggestion to c</w:t>
      </w:r>
      <w:r w:rsidR="00526588" w:rsidRPr="00526588">
        <w:t xml:space="preserve">onstruct one indicator </w:t>
      </w:r>
      <w:r w:rsidR="006439B1">
        <w:t>based on</w:t>
      </w:r>
      <w:r w:rsidR="00751D95">
        <w:t xml:space="preserve"> IND8 and IND9 </w:t>
      </w:r>
      <w:r w:rsidR="00526588" w:rsidRPr="00526588">
        <w:t>for all age ranges to avoid the challenge of small numbers</w:t>
      </w:r>
      <w:r>
        <w:t>.</w:t>
      </w:r>
    </w:p>
    <w:p w14:paraId="3E93F686" w14:textId="30033D8A" w:rsidR="00526588" w:rsidRPr="008679F3" w:rsidRDefault="00526588" w:rsidP="00526588">
      <w:pPr>
        <w:pStyle w:val="Bulletleft1"/>
        <w:numPr>
          <w:ilvl w:val="0"/>
          <w:numId w:val="0"/>
        </w:numPr>
        <w:ind w:left="284" w:hanging="284"/>
      </w:pPr>
      <w:r>
        <w:rPr>
          <w:lang w:val="en-GB"/>
        </w:rPr>
        <w:t xml:space="preserve"> </w:t>
      </w:r>
    </w:p>
    <w:p w14:paraId="4C5516D4" w14:textId="77777777" w:rsidR="00C77109" w:rsidRDefault="00C77109">
      <w:pPr>
        <w:rPr>
          <w:rFonts w:ascii="Arial" w:hAnsi="Arial"/>
          <w:b/>
          <w:bCs/>
          <w:sz w:val="28"/>
          <w:szCs w:val="28"/>
        </w:rPr>
      </w:pPr>
      <w:r>
        <w:rPr>
          <w:sz w:val="28"/>
          <w:szCs w:val="28"/>
        </w:rPr>
        <w:br w:type="page"/>
      </w:r>
    </w:p>
    <w:p w14:paraId="51345DE6" w14:textId="5627B4EF" w:rsidR="005243EC" w:rsidRDefault="00140B46" w:rsidP="005C3893">
      <w:pPr>
        <w:pStyle w:val="Heading3"/>
        <w:spacing w:line="360" w:lineRule="auto"/>
        <w:rPr>
          <w:sz w:val="28"/>
          <w:szCs w:val="28"/>
        </w:rPr>
      </w:pPr>
      <w:bookmarkStart w:id="27" w:name="_Toc9947241"/>
      <w:r>
        <w:rPr>
          <w:sz w:val="28"/>
          <w:szCs w:val="28"/>
        </w:rPr>
        <w:lastRenderedPageBreak/>
        <w:t>IND</w:t>
      </w:r>
      <w:r w:rsidR="001779E5">
        <w:rPr>
          <w:sz w:val="28"/>
          <w:szCs w:val="28"/>
        </w:rPr>
        <w:t>10</w:t>
      </w:r>
      <w:r>
        <w:rPr>
          <w:sz w:val="28"/>
          <w:szCs w:val="28"/>
        </w:rPr>
        <w:t xml:space="preserve">: </w:t>
      </w:r>
      <w:r w:rsidR="00187570">
        <w:rPr>
          <w:sz w:val="28"/>
          <w:szCs w:val="28"/>
        </w:rPr>
        <w:t>FH</w:t>
      </w:r>
      <w:r w:rsidRPr="00140B46">
        <w:rPr>
          <w:sz w:val="28"/>
          <w:szCs w:val="28"/>
        </w:rPr>
        <w:t xml:space="preserve"> </w:t>
      </w:r>
      <w:r w:rsidR="001779E5">
        <w:rPr>
          <w:sz w:val="28"/>
          <w:szCs w:val="28"/>
        </w:rPr>
        <w:t>–</w:t>
      </w:r>
      <w:r w:rsidRPr="00140B46">
        <w:rPr>
          <w:sz w:val="28"/>
          <w:szCs w:val="28"/>
        </w:rPr>
        <w:t xml:space="preserve"> </w:t>
      </w:r>
      <w:r w:rsidR="001779E5">
        <w:rPr>
          <w:sz w:val="28"/>
          <w:szCs w:val="28"/>
        </w:rPr>
        <w:t xml:space="preserve">Referral </w:t>
      </w:r>
      <w:r w:rsidR="00BE1BD8">
        <w:rPr>
          <w:sz w:val="28"/>
          <w:szCs w:val="28"/>
        </w:rPr>
        <w:t>for specialist asse</w:t>
      </w:r>
      <w:r w:rsidR="00B1612A">
        <w:rPr>
          <w:sz w:val="28"/>
          <w:szCs w:val="28"/>
        </w:rPr>
        <w:t>ss</w:t>
      </w:r>
      <w:r w:rsidR="00BE1BD8">
        <w:rPr>
          <w:sz w:val="28"/>
          <w:szCs w:val="28"/>
        </w:rPr>
        <w:t>ment</w:t>
      </w:r>
      <w:bookmarkEnd w:id="27"/>
    </w:p>
    <w:p w14:paraId="0E9BE4F3" w14:textId="6992BA29" w:rsidR="001779E5" w:rsidRPr="00630B9F" w:rsidRDefault="001779E5" w:rsidP="0020340C">
      <w:pPr>
        <w:pStyle w:val="Paragraph"/>
        <w:spacing w:line="360" w:lineRule="auto"/>
        <w:rPr>
          <w:i/>
        </w:rPr>
      </w:pPr>
      <w:r w:rsidRPr="00630B9F">
        <w:rPr>
          <w:i/>
        </w:rPr>
        <w:t>The percentage of people with a clinical diagnosis of FH referred for specialist assessment</w:t>
      </w:r>
      <w:r w:rsidR="007C4577" w:rsidRPr="00630B9F">
        <w:rPr>
          <w:i/>
        </w:rPr>
        <w:t>.</w:t>
      </w:r>
      <w:r w:rsidRPr="00630B9F">
        <w:rPr>
          <w:i/>
        </w:rPr>
        <w:t xml:space="preserve"> </w:t>
      </w:r>
    </w:p>
    <w:p w14:paraId="28C90240" w14:textId="359CBF02" w:rsidR="00C50FF0" w:rsidRDefault="00C50FF0" w:rsidP="005C3893">
      <w:pPr>
        <w:pStyle w:val="Paragraph"/>
        <w:spacing w:line="360" w:lineRule="auto"/>
        <w:rPr>
          <w:b/>
          <w:bCs/>
          <w:kern w:val="32"/>
          <w:u w:val="single"/>
        </w:rPr>
      </w:pPr>
      <w:r>
        <w:rPr>
          <w:b/>
          <w:bCs/>
          <w:kern w:val="32"/>
          <w:u w:val="single"/>
        </w:rPr>
        <w:t>Rationale</w:t>
      </w:r>
    </w:p>
    <w:p w14:paraId="59586D64" w14:textId="0DBE39F4" w:rsidR="00E949AC" w:rsidRPr="003D5D5A" w:rsidRDefault="00E949AC" w:rsidP="005C3893">
      <w:pPr>
        <w:pStyle w:val="Paragraph"/>
        <w:spacing w:line="360" w:lineRule="auto"/>
        <w:rPr>
          <w:b/>
          <w:bCs/>
          <w:kern w:val="32"/>
          <w:u w:val="single"/>
        </w:rPr>
      </w:pPr>
      <w:r>
        <w:t>Diagnosis and management of FH can be complex and is best achieved in specialist services. Referral from primary care for specialist assessment, including DNA testing can confirm a diagnosis. Once an accurate diagnosis has been made, people with FH can receive appropriate treatment and cascade testing can be started to identify affected family members.</w:t>
      </w:r>
    </w:p>
    <w:p w14:paraId="2E6CE402" w14:textId="1C843602" w:rsidR="00C50FF0" w:rsidRPr="008679F3" w:rsidRDefault="00C50FF0" w:rsidP="005C3893">
      <w:pPr>
        <w:pStyle w:val="Paragraph"/>
        <w:spacing w:line="360" w:lineRule="auto"/>
        <w:rPr>
          <w:b/>
          <w:bCs/>
          <w:kern w:val="32"/>
          <w:u w:val="single"/>
        </w:rPr>
      </w:pPr>
      <w:bookmarkStart w:id="28" w:name="_Hlk9253257"/>
      <w:bookmarkStart w:id="29" w:name="_Hlk8908360"/>
      <w:r w:rsidRPr="008679F3">
        <w:rPr>
          <w:b/>
          <w:bCs/>
          <w:kern w:val="32"/>
          <w:u w:val="single"/>
        </w:rPr>
        <w:t>Summary of consultation comments</w:t>
      </w:r>
    </w:p>
    <w:p w14:paraId="13E67EF5" w14:textId="48F98CAE" w:rsidR="00FF725F" w:rsidRDefault="00FF725F" w:rsidP="00FF725F">
      <w:pPr>
        <w:pStyle w:val="Paragraph"/>
        <w:spacing w:line="360" w:lineRule="auto"/>
        <w:rPr>
          <w:b/>
          <w:bCs/>
          <w:kern w:val="32"/>
          <w:u w:val="single"/>
        </w:rPr>
      </w:pPr>
      <w:r w:rsidRPr="008679F3">
        <w:t>Stakeholders made the following positive comments in relation to this indicator:</w:t>
      </w:r>
    </w:p>
    <w:p w14:paraId="2B7338D8" w14:textId="0742CFB2" w:rsidR="00564EAE" w:rsidRPr="00564EAE" w:rsidRDefault="00564EAE" w:rsidP="00564EAE">
      <w:pPr>
        <w:pStyle w:val="Bulletleft1"/>
      </w:pPr>
      <w:r w:rsidRPr="00564EAE">
        <w:t>It was strongly recommended that this indicator is developed</w:t>
      </w:r>
      <w:r w:rsidR="0045044C">
        <w:t xml:space="preserve"> </w:t>
      </w:r>
      <w:r w:rsidR="00BE1BD8">
        <w:t>to</w:t>
      </w:r>
      <w:r w:rsidR="0045044C">
        <w:t xml:space="preserve"> </w:t>
      </w:r>
      <w:r w:rsidRPr="00564EAE">
        <w:t>help drive identification of people with suspected FH in primary care and ensure appropriate management</w:t>
      </w:r>
    </w:p>
    <w:bookmarkEnd w:id="28"/>
    <w:p w14:paraId="1EBFECA5" w14:textId="7C84A08A" w:rsidR="00FE7058" w:rsidRDefault="006D7D07" w:rsidP="0045044C">
      <w:pPr>
        <w:pStyle w:val="Bulletleft1"/>
      </w:pPr>
      <w:r w:rsidRPr="0045044C">
        <w:t>T</w:t>
      </w:r>
      <w:r w:rsidR="00CD29B4" w:rsidRPr="0045044C">
        <w:t>reat</w:t>
      </w:r>
      <w:r w:rsidRPr="0045044C">
        <w:t>ing</w:t>
      </w:r>
      <w:r w:rsidR="00CD29B4" w:rsidRPr="0045044C">
        <w:t xml:space="preserve"> FH </w:t>
      </w:r>
      <w:r w:rsidRPr="0045044C">
        <w:t xml:space="preserve">with specialist involvement </w:t>
      </w:r>
      <w:r w:rsidR="00CD29B4" w:rsidRPr="0045044C">
        <w:t xml:space="preserve">was supported </w:t>
      </w:r>
      <w:r w:rsidRPr="0045044C">
        <w:t>based on the</w:t>
      </w:r>
      <w:r w:rsidR="00CD29B4" w:rsidRPr="0045044C">
        <w:t xml:space="preserve"> complexity of the condition and its management.</w:t>
      </w:r>
      <w:r w:rsidR="00FE7058" w:rsidRPr="00FE7058">
        <w:t xml:space="preserve"> </w:t>
      </w:r>
    </w:p>
    <w:p w14:paraId="089BEDFF" w14:textId="506BEF75" w:rsidR="00FF725F" w:rsidRPr="008679F3" w:rsidRDefault="00FF725F" w:rsidP="00FF725F">
      <w:pPr>
        <w:pStyle w:val="Paragraph"/>
        <w:spacing w:line="360" w:lineRule="auto"/>
      </w:pPr>
      <w:bookmarkStart w:id="30" w:name="_Hlk9253405"/>
      <w:r w:rsidRPr="008679F3">
        <w:t>Stakeholders outlined the following concerns about this indicator:</w:t>
      </w:r>
      <w:r w:rsidRPr="008679F3">
        <w:rPr>
          <w:b/>
          <w:bCs/>
          <w:kern w:val="32"/>
          <w:u w:val="single"/>
        </w:rPr>
        <w:t xml:space="preserve"> </w:t>
      </w:r>
    </w:p>
    <w:bookmarkEnd w:id="30"/>
    <w:p w14:paraId="3D99CA09" w14:textId="6A28CCD6" w:rsidR="00984202" w:rsidRPr="00431D47" w:rsidRDefault="006B35AF" w:rsidP="00431D47">
      <w:pPr>
        <w:pStyle w:val="Bulletleft1"/>
      </w:pPr>
      <w:r>
        <w:rPr>
          <w:bCs/>
          <w:kern w:val="32"/>
        </w:rPr>
        <w:t xml:space="preserve">Clarification needed on </w:t>
      </w:r>
      <w:r w:rsidR="00775559">
        <w:rPr>
          <w:bCs/>
          <w:kern w:val="32"/>
        </w:rPr>
        <w:t xml:space="preserve">which </w:t>
      </w:r>
      <w:r>
        <w:rPr>
          <w:bCs/>
          <w:kern w:val="32"/>
        </w:rPr>
        <w:t xml:space="preserve">specialist assessment service people </w:t>
      </w:r>
      <w:r w:rsidR="00DD2D60">
        <w:rPr>
          <w:bCs/>
          <w:kern w:val="32"/>
        </w:rPr>
        <w:t xml:space="preserve">with FH </w:t>
      </w:r>
      <w:r>
        <w:rPr>
          <w:bCs/>
          <w:kern w:val="32"/>
        </w:rPr>
        <w:t>should be referred to</w:t>
      </w:r>
      <w:r w:rsidR="00775559">
        <w:rPr>
          <w:bCs/>
          <w:kern w:val="32"/>
        </w:rPr>
        <w:t xml:space="preserve"> and what this entails</w:t>
      </w:r>
    </w:p>
    <w:p w14:paraId="596A6F88" w14:textId="578B3586" w:rsidR="00431D47" w:rsidRPr="00CD29B4" w:rsidRDefault="00DD2D60" w:rsidP="00431D47">
      <w:pPr>
        <w:pStyle w:val="Bulletleft1"/>
      </w:pPr>
      <w:r>
        <w:rPr>
          <w:bCs/>
          <w:kern w:val="32"/>
          <w:lang w:val="en-GB"/>
        </w:rPr>
        <w:t>Accuracy of diagnosis coding</w:t>
      </w:r>
    </w:p>
    <w:p w14:paraId="54F5DE15" w14:textId="77777777" w:rsidR="00751D95" w:rsidRDefault="00606956" w:rsidP="00D56E00">
      <w:pPr>
        <w:pStyle w:val="Bulletleft1"/>
      </w:pPr>
      <w:r w:rsidRPr="005927B3">
        <w:t xml:space="preserve">This </w:t>
      </w:r>
      <w:r w:rsidR="00CD29B4" w:rsidRPr="005927B3">
        <w:t xml:space="preserve">indicator </w:t>
      </w:r>
      <w:r w:rsidRPr="005927B3">
        <w:t xml:space="preserve">should be changed </w:t>
      </w:r>
      <w:r w:rsidR="00CD29B4" w:rsidRPr="005927B3">
        <w:t xml:space="preserve">from </w:t>
      </w:r>
      <w:r w:rsidR="00DD2D60" w:rsidRPr="005927B3">
        <w:t>people</w:t>
      </w:r>
      <w:r w:rsidRPr="005927B3">
        <w:t xml:space="preserve"> with a clinical diagnosis of FH</w:t>
      </w:r>
      <w:r w:rsidR="00CD29B4" w:rsidRPr="005927B3">
        <w:t xml:space="preserve"> </w:t>
      </w:r>
      <w:r w:rsidRPr="005927B3">
        <w:t xml:space="preserve">who are </w:t>
      </w:r>
      <w:r w:rsidR="00CD29B4" w:rsidRPr="005927B3">
        <w:t>referred to a lipid or endocrine clinic to those who have been genetically screened</w:t>
      </w:r>
      <w:r w:rsidR="00751D95">
        <w:t xml:space="preserve"> as the </w:t>
      </w:r>
      <w:r w:rsidR="00D56E00" w:rsidRPr="00D56E00">
        <w:t>purpose of the referral to secondary care is to get diagnostic confirmation</w:t>
      </w:r>
      <w:r w:rsidR="005927B3" w:rsidRPr="005927B3">
        <w:t xml:space="preserve"> </w:t>
      </w:r>
      <w:r w:rsidR="00D56E00" w:rsidRPr="005927B3">
        <w:t>through</w:t>
      </w:r>
      <w:r w:rsidR="00D56E00" w:rsidRPr="00D56E00">
        <w:t xml:space="preserve"> genetic testing</w:t>
      </w:r>
      <w:r w:rsidR="00D56E00" w:rsidRPr="005927B3">
        <w:t xml:space="preserve"> </w:t>
      </w:r>
      <w:r w:rsidR="00751D95">
        <w:t>however</w:t>
      </w:r>
      <w:r w:rsidR="00D56E00" w:rsidRPr="005927B3">
        <w:t xml:space="preserve"> this is not </w:t>
      </w:r>
      <w:r w:rsidR="005927B3">
        <w:t xml:space="preserve">current </w:t>
      </w:r>
      <w:r w:rsidR="00D56E00" w:rsidRPr="005927B3">
        <w:t>national practice</w:t>
      </w:r>
      <w:r w:rsidR="00D56E00" w:rsidRPr="00D56E00">
        <w:t xml:space="preserve">. </w:t>
      </w:r>
      <w:r w:rsidR="00751D95">
        <w:t>By April 2020</w:t>
      </w:r>
      <w:r w:rsidR="00D56E00" w:rsidRPr="00D56E00">
        <w:t xml:space="preserve"> genomic hubs </w:t>
      </w:r>
      <w:r w:rsidR="00751D95">
        <w:t xml:space="preserve">will </w:t>
      </w:r>
      <w:r w:rsidR="00D56E00" w:rsidRPr="00D56E00">
        <w:t>come online</w:t>
      </w:r>
      <w:r w:rsidR="00751D95">
        <w:t xml:space="preserve"> and </w:t>
      </w:r>
      <w:r w:rsidR="00D56E00" w:rsidRPr="00D56E00">
        <w:t xml:space="preserve">this should be </w:t>
      </w:r>
      <w:r w:rsidR="00751D95">
        <w:t>the</w:t>
      </w:r>
      <w:r w:rsidR="00D56E00" w:rsidRPr="00D56E00">
        <w:t xml:space="preserve"> end point. </w:t>
      </w:r>
    </w:p>
    <w:p w14:paraId="6053D5AD" w14:textId="272BC373" w:rsidR="00526588" w:rsidRPr="005927B3" w:rsidRDefault="00E674A2" w:rsidP="00751D95">
      <w:pPr>
        <w:pStyle w:val="Bulletleft1"/>
        <w:numPr>
          <w:ilvl w:val="0"/>
          <w:numId w:val="0"/>
        </w:numPr>
        <w:ind w:left="284"/>
      </w:pPr>
      <w:r w:rsidRPr="005927B3">
        <w:rPr>
          <w:lang w:val="en-GB"/>
        </w:rPr>
        <w:t>Arguably</w:t>
      </w:r>
      <w:r w:rsidR="00526588" w:rsidRPr="00526588">
        <w:rPr>
          <w:lang w:val="en-GB"/>
        </w:rPr>
        <w:t xml:space="preserve"> as GPs cannot </w:t>
      </w:r>
      <w:r w:rsidRPr="005927B3">
        <w:rPr>
          <w:lang w:val="en-GB"/>
        </w:rPr>
        <w:t>currently</w:t>
      </w:r>
      <w:r w:rsidR="00526588" w:rsidRPr="00526588">
        <w:rPr>
          <w:lang w:val="en-GB"/>
        </w:rPr>
        <w:t xml:space="preserve"> refer </w:t>
      </w:r>
      <w:r w:rsidR="005927B3" w:rsidRPr="005927B3">
        <w:rPr>
          <w:lang w:val="en-GB"/>
        </w:rPr>
        <w:t xml:space="preserve">FH patients </w:t>
      </w:r>
      <w:r w:rsidR="00526588" w:rsidRPr="00526588">
        <w:rPr>
          <w:lang w:val="en-GB"/>
        </w:rPr>
        <w:t>directly for genomic testing the</w:t>
      </w:r>
      <w:r w:rsidR="005927B3" w:rsidRPr="005927B3">
        <w:rPr>
          <w:lang w:val="en-GB"/>
        </w:rPr>
        <w:t xml:space="preserve"> </w:t>
      </w:r>
      <w:r w:rsidR="00526588" w:rsidRPr="00526588">
        <w:rPr>
          <w:lang w:val="en-GB"/>
        </w:rPr>
        <w:t>measure in QOF is restricted</w:t>
      </w:r>
      <w:r w:rsidRPr="005927B3">
        <w:rPr>
          <w:lang w:val="en-GB"/>
        </w:rPr>
        <w:t>.</w:t>
      </w:r>
      <w:r w:rsidR="00526588" w:rsidRPr="00526588">
        <w:rPr>
          <w:lang w:val="en-GB"/>
        </w:rPr>
        <w:t xml:space="preserve"> </w:t>
      </w:r>
      <w:r w:rsidR="005927B3" w:rsidRPr="005927B3">
        <w:rPr>
          <w:lang w:val="en-GB"/>
        </w:rPr>
        <w:t>Knowing and managing g</w:t>
      </w:r>
      <w:r w:rsidR="00526588" w:rsidRPr="00526588">
        <w:rPr>
          <w:lang w:val="en-GB"/>
        </w:rPr>
        <w:t>enomic risk</w:t>
      </w:r>
      <w:r w:rsidRPr="005927B3">
        <w:rPr>
          <w:lang w:val="en-GB"/>
        </w:rPr>
        <w:t xml:space="preserve"> is vital</w:t>
      </w:r>
      <w:r w:rsidR="00526588" w:rsidRPr="00526588">
        <w:rPr>
          <w:lang w:val="en-GB"/>
        </w:rPr>
        <w:t>.</w:t>
      </w:r>
      <w:r w:rsidRPr="005927B3">
        <w:t xml:space="preserve"> </w:t>
      </w:r>
      <w:r w:rsidR="005927B3" w:rsidRPr="005927B3">
        <w:lastRenderedPageBreak/>
        <w:t>M</w:t>
      </w:r>
      <w:r w:rsidR="00CD29B4" w:rsidRPr="005927B3">
        <w:t xml:space="preserve">easuring referrals without measuring those having genetic testing may add </w:t>
      </w:r>
      <w:r w:rsidR="00606956" w:rsidRPr="005927B3">
        <w:t>increased</w:t>
      </w:r>
      <w:r w:rsidR="00CD29B4" w:rsidRPr="005927B3">
        <w:t xml:space="preserve"> cost and little benefit</w:t>
      </w:r>
      <w:r w:rsidR="00526588" w:rsidRPr="005927B3">
        <w:t xml:space="preserve"> </w:t>
      </w:r>
    </w:p>
    <w:p w14:paraId="43799700" w14:textId="198494EF" w:rsidR="0045044C" w:rsidRDefault="0045044C" w:rsidP="005C3893">
      <w:pPr>
        <w:pStyle w:val="Bulletleft1"/>
      </w:pPr>
      <w:r>
        <w:rPr>
          <w:lang w:eastAsia="en-GB"/>
        </w:rPr>
        <w:t>It was assumed</w:t>
      </w:r>
      <w:r w:rsidR="00775559" w:rsidRPr="000A2AB7">
        <w:rPr>
          <w:lang w:eastAsia="en-GB"/>
        </w:rPr>
        <w:t xml:space="preserve"> ‘referred for specialist assessment’ includes phone call assessment</w:t>
      </w:r>
      <w:r>
        <w:rPr>
          <w:lang w:eastAsia="en-GB"/>
        </w:rPr>
        <w:t>. C</w:t>
      </w:r>
      <w:r w:rsidR="00775559" w:rsidRPr="000A2AB7">
        <w:rPr>
          <w:lang w:eastAsia="en-GB"/>
        </w:rPr>
        <w:t>ould this description be expanded to include face</w:t>
      </w:r>
      <w:r>
        <w:rPr>
          <w:lang w:eastAsia="en-GB"/>
        </w:rPr>
        <w:t>-</w:t>
      </w:r>
      <w:r w:rsidR="00775559" w:rsidRPr="000A2AB7">
        <w:rPr>
          <w:lang w:eastAsia="en-GB"/>
        </w:rPr>
        <w:t>to</w:t>
      </w:r>
      <w:r>
        <w:rPr>
          <w:lang w:eastAsia="en-GB"/>
        </w:rPr>
        <w:t>-</w:t>
      </w:r>
      <w:r w:rsidR="00775559" w:rsidRPr="000A2AB7">
        <w:rPr>
          <w:lang w:eastAsia="en-GB"/>
        </w:rPr>
        <w:t>face specialis</w:t>
      </w:r>
      <w:r>
        <w:rPr>
          <w:lang w:eastAsia="en-GB"/>
        </w:rPr>
        <w:t>t</w:t>
      </w:r>
      <w:r w:rsidR="00775559" w:rsidRPr="000A2AB7">
        <w:rPr>
          <w:lang w:eastAsia="en-GB"/>
        </w:rPr>
        <w:t xml:space="preserve"> assessment</w:t>
      </w:r>
      <w:r>
        <w:rPr>
          <w:lang w:eastAsia="en-GB"/>
        </w:rPr>
        <w:t>?</w:t>
      </w:r>
    </w:p>
    <w:p w14:paraId="3F22EC3A" w14:textId="77777777" w:rsidR="0045044C" w:rsidRDefault="0045044C" w:rsidP="0045044C">
      <w:pPr>
        <w:pStyle w:val="Bulletleft1"/>
        <w:numPr>
          <w:ilvl w:val="0"/>
          <w:numId w:val="0"/>
        </w:numPr>
        <w:rPr>
          <w:lang w:eastAsia="en-GB"/>
        </w:rPr>
      </w:pPr>
    </w:p>
    <w:p w14:paraId="67AA8FE6" w14:textId="2AA2B5BD" w:rsidR="00C50FF0" w:rsidRPr="0045044C" w:rsidRDefault="00C50FF0" w:rsidP="0045044C">
      <w:pPr>
        <w:pStyle w:val="Bulletleft1"/>
        <w:numPr>
          <w:ilvl w:val="0"/>
          <w:numId w:val="0"/>
        </w:numPr>
      </w:pPr>
      <w:r w:rsidRPr="0045044C">
        <w:rPr>
          <w:b/>
          <w:u w:val="single"/>
        </w:rPr>
        <w:t xml:space="preserve">Considerations for the </w:t>
      </w:r>
      <w:r w:rsidR="003C3023" w:rsidRPr="0045044C">
        <w:rPr>
          <w:b/>
          <w:u w:val="single"/>
        </w:rPr>
        <w:t>a</w:t>
      </w:r>
      <w:r w:rsidRPr="0045044C">
        <w:rPr>
          <w:b/>
          <w:u w:val="single"/>
        </w:rPr>
        <w:t xml:space="preserve">dvisory </w:t>
      </w:r>
      <w:r w:rsidR="003C3023" w:rsidRPr="0045044C">
        <w:rPr>
          <w:b/>
          <w:u w:val="single"/>
        </w:rPr>
        <w:t>c</w:t>
      </w:r>
      <w:r w:rsidRPr="0045044C">
        <w:rPr>
          <w:b/>
          <w:u w:val="single"/>
        </w:rPr>
        <w:t>ommittee</w:t>
      </w:r>
    </w:p>
    <w:p w14:paraId="487952DD" w14:textId="77777777" w:rsidR="00D1070A" w:rsidRDefault="00D1070A" w:rsidP="00D1070A">
      <w:pPr>
        <w:pStyle w:val="Paragraphnonumbers"/>
        <w:keepNext/>
        <w:spacing w:line="360" w:lineRule="auto"/>
      </w:pPr>
      <w:bookmarkStart w:id="31" w:name="_Hlk8908465"/>
      <w:r w:rsidRPr="008679F3">
        <w:t>The committee is asked to consider:</w:t>
      </w:r>
    </w:p>
    <w:p w14:paraId="7DED5493" w14:textId="0172CB23" w:rsidR="00FE7058" w:rsidRPr="00431D47" w:rsidRDefault="00BE1BD8" w:rsidP="00FE7058">
      <w:pPr>
        <w:pStyle w:val="Bulletleft1"/>
      </w:pPr>
      <w:bookmarkStart w:id="32" w:name="_Hlk8139364"/>
      <w:bookmarkEnd w:id="29"/>
      <w:bookmarkEnd w:id="31"/>
      <w:r>
        <w:rPr>
          <w:bCs/>
          <w:kern w:val="32"/>
        </w:rPr>
        <w:t>W</w:t>
      </w:r>
      <w:r w:rsidR="00FE7058">
        <w:rPr>
          <w:bCs/>
          <w:kern w:val="32"/>
        </w:rPr>
        <w:t xml:space="preserve">hich specialist assessment service people should be referred </w:t>
      </w:r>
      <w:proofErr w:type="gramStart"/>
      <w:r w:rsidR="00FE7058">
        <w:rPr>
          <w:bCs/>
          <w:kern w:val="32"/>
        </w:rPr>
        <w:t>to</w:t>
      </w:r>
      <w:proofErr w:type="gramEnd"/>
      <w:r w:rsidR="00FE7058">
        <w:rPr>
          <w:rFonts w:ascii="Times New Roman" w:hAnsi="Times New Roman"/>
          <w:bCs/>
          <w:kern w:val="32"/>
          <w:lang w:val="en-GB"/>
        </w:rPr>
        <w:t xml:space="preserve"> </w:t>
      </w:r>
    </w:p>
    <w:p w14:paraId="169A0EDF" w14:textId="53B27D03" w:rsidR="00FE7058" w:rsidRPr="00FE7058" w:rsidRDefault="00FE7058" w:rsidP="00FE7058">
      <w:pPr>
        <w:pStyle w:val="Bulletleft1"/>
      </w:pPr>
      <w:r>
        <w:rPr>
          <w:bCs/>
          <w:kern w:val="32"/>
          <w:lang w:val="en-GB"/>
        </w:rPr>
        <w:t>Accuracy of diagnosis coding</w:t>
      </w:r>
    </w:p>
    <w:p w14:paraId="6A31A2D9" w14:textId="041778C1" w:rsidR="00FE7058" w:rsidRDefault="00D97DFA" w:rsidP="00FE7058">
      <w:pPr>
        <w:pStyle w:val="Bulletleft1"/>
      </w:pPr>
      <w:r>
        <w:rPr>
          <w:bCs/>
          <w:kern w:val="32"/>
          <w:lang w:val="en-GB"/>
        </w:rPr>
        <w:t>F</w:t>
      </w:r>
      <w:r w:rsidR="00FE7058">
        <w:rPr>
          <w:bCs/>
          <w:kern w:val="32"/>
          <w:lang w:val="en-GB"/>
        </w:rPr>
        <w:t>ocus</w:t>
      </w:r>
      <w:r>
        <w:rPr>
          <w:bCs/>
          <w:kern w:val="32"/>
          <w:lang w:val="en-GB"/>
        </w:rPr>
        <w:t>sing</w:t>
      </w:r>
      <w:r w:rsidR="00FE7058">
        <w:rPr>
          <w:bCs/>
          <w:kern w:val="32"/>
          <w:lang w:val="en-GB"/>
        </w:rPr>
        <w:t xml:space="preserve"> on a combined </w:t>
      </w:r>
      <w:r w:rsidR="00FE7058">
        <w:t xml:space="preserve">measure of referrals and genetic testing </w:t>
      </w:r>
    </w:p>
    <w:p w14:paraId="2760E3A6" w14:textId="324FEE05" w:rsidR="001A3903" w:rsidRPr="009A728E" w:rsidRDefault="001A3903" w:rsidP="00FE7058">
      <w:pPr>
        <w:pStyle w:val="Bulletleft1"/>
      </w:pPr>
      <w:r>
        <w:t>The description of specialist assessment.</w:t>
      </w:r>
    </w:p>
    <w:p w14:paraId="0A8E5C00" w14:textId="14EB2BAD" w:rsidR="00D73835" w:rsidRPr="00B95DC2" w:rsidRDefault="007136A7" w:rsidP="00B95DC2">
      <w:pPr>
        <w:pStyle w:val="Heading3"/>
        <w:spacing w:line="360" w:lineRule="auto"/>
      </w:pPr>
      <w:r>
        <w:rPr>
          <w:sz w:val="28"/>
          <w:szCs w:val="28"/>
        </w:rPr>
        <w:br w:type="page"/>
      </w:r>
      <w:bookmarkEnd w:id="32"/>
    </w:p>
    <w:p w14:paraId="126C31B0" w14:textId="5AB9C818" w:rsidR="00D73835" w:rsidRPr="007136A7" w:rsidRDefault="00D73835" w:rsidP="00511471">
      <w:pPr>
        <w:pStyle w:val="Heading1"/>
      </w:pPr>
      <w:bookmarkStart w:id="33" w:name="_Toc9947242"/>
      <w:r w:rsidRPr="00130EC7">
        <w:lastRenderedPageBreak/>
        <w:t>General</w:t>
      </w:r>
      <w:r w:rsidRPr="0080217C">
        <w:t xml:space="preserve"> </w:t>
      </w:r>
      <w:r w:rsidRPr="00130EC7">
        <w:t xml:space="preserve">comments on </w:t>
      </w:r>
      <w:r w:rsidR="00B95DC2">
        <w:t>FH</w:t>
      </w:r>
      <w:r w:rsidRPr="00130EC7">
        <w:t xml:space="preserve"> indicators</w:t>
      </w:r>
      <w:bookmarkEnd w:id="33"/>
      <w:r>
        <w:t xml:space="preserve"> </w:t>
      </w:r>
    </w:p>
    <w:p w14:paraId="5BBADD91" w14:textId="3BFCD098" w:rsidR="00D73835" w:rsidRDefault="00D73835" w:rsidP="005C3893">
      <w:pPr>
        <w:pStyle w:val="Paragraph"/>
        <w:spacing w:line="360" w:lineRule="auto"/>
      </w:pPr>
      <w:r w:rsidRPr="00210A86">
        <w:t>The following is a summary of general comments</w:t>
      </w:r>
      <w:r>
        <w:t xml:space="preserve"> on </w:t>
      </w:r>
      <w:r w:rsidR="002E26A9">
        <w:t xml:space="preserve">the 3 draft FH </w:t>
      </w:r>
      <w:r>
        <w:t>indicators:</w:t>
      </w:r>
    </w:p>
    <w:p w14:paraId="38FDA693" w14:textId="04EB42FE" w:rsidR="00467CD8" w:rsidRPr="000D4FCB" w:rsidRDefault="00D97DFA" w:rsidP="00C11625">
      <w:pPr>
        <w:pStyle w:val="Bulletleft1"/>
        <w:rPr>
          <w:bCs/>
        </w:rPr>
      </w:pPr>
      <w:r>
        <w:rPr>
          <w:bCs/>
        </w:rPr>
        <w:t>T</w:t>
      </w:r>
      <w:r w:rsidR="00744C0E">
        <w:rPr>
          <w:bCs/>
        </w:rPr>
        <w:t>he</w:t>
      </w:r>
      <w:r w:rsidR="00043AC4" w:rsidRPr="00043AC4">
        <w:rPr>
          <w:bCs/>
        </w:rPr>
        <w:t xml:space="preserve"> numbers per </w:t>
      </w:r>
      <w:r w:rsidR="00AC1812">
        <w:rPr>
          <w:bCs/>
        </w:rPr>
        <w:t xml:space="preserve">GP </w:t>
      </w:r>
      <w:r w:rsidR="00043AC4" w:rsidRPr="00043AC4">
        <w:rPr>
          <w:bCs/>
        </w:rPr>
        <w:t xml:space="preserve">practice </w:t>
      </w:r>
      <w:r>
        <w:rPr>
          <w:bCs/>
        </w:rPr>
        <w:t>are too</w:t>
      </w:r>
      <w:r w:rsidR="00043AC4" w:rsidRPr="00043AC4">
        <w:rPr>
          <w:bCs/>
        </w:rPr>
        <w:t xml:space="preserve"> low for </w:t>
      </w:r>
      <w:r w:rsidR="00106104">
        <w:rPr>
          <w:bCs/>
        </w:rPr>
        <w:t>these indicators</w:t>
      </w:r>
      <w:r w:rsidR="00043AC4" w:rsidRPr="00043AC4">
        <w:rPr>
          <w:bCs/>
        </w:rPr>
        <w:t xml:space="preserve"> to provide an acceptable indication of </w:t>
      </w:r>
      <w:r w:rsidR="00467CD8">
        <w:rPr>
          <w:bCs/>
        </w:rPr>
        <w:t xml:space="preserve">care </w:t>
      </w:r>
      <w:r w:rsidR="00043AC4" w:rsidRPr="00043AC4">
        <w:rPr>
          <w:bCs/>
        </w:rPr>
        <w:t>standards</w:t>
      </w:r>
      <w:r w:rsidR="00A6691C" w:rsidRPr="00C11625">
        <w:rPr>
          <w:bCs/>
          <w:lang w:val="en-GB"/>
        </w:rPr>
        <w:t xml:space="preserve"> </w:t>
      </w:r>
    </w:p>
    <w:p w14:paraId="7F433490" w14:textId="5075BAAD" w:rsidR="000D4FCB" w:rsidRDefault="000D4FCB" w:rsidP="000D4FCB">
      <w:pPr>
        <w:pStyle w:val="Bulletleft1"/>
        <w:rPr>
          <w:bCs/>
        </w:rPr>
      </w:pPr>
      <w:r w:rsidRPr="000D4FCB">
        <w:rPr>
          <w:bCs/>
        </w:rPr>
        <w:t xml:space="preserve">A number of stakeholders highlighted </w:t>
      </w:r>
      <w:bookmarkStart w:id="34" w:name="_Hlk9344875"/>
      <w:r w:rsidRPr="000D4FCB">
        <w:rPr>
          <w:bCs/>
        </w:rPr>
        <w:fldChar w:fldCharType="begin"/>
      </w:r>
      <w:r w:rsidRPr="000D4FCB">
        <w:rPr>
          <w:bCs/>
        </w:rPr>
        <w:instrText xml:space="preserve"> HYPERLINK "https://www.longtermplan.nhs.uk/publication/nhs-long-term-plan/" </w:instrText>
      </w:r>
      <w:r w:rsidRPr="000D4FCB">
        <w:rPr>
          <w:bCs/>
        </w:rPr>
        <w:fldChar w:fldCharType="separate"/>
      </w:r>
      <w:r w:rsidRPr="000D4FCB">
        <w:rPr>
          <w:rStyle w:val="Hyperlink"/>
          <w:bCs/>
        </w:rPr>
        <w:t>The NHS Long Term Plan</w:t>
      </w:r>
      <w:r w:rsidRPr="000D4FCB">
        <w:rPr>
          <w:bCs/>
        </w:rPr>
        <w:fldChar w:fldCharType="end"/>
      </w:r>
      <w:bookmarkEnd w:id="34"/>
      <w:r w:rsidRPr="000D4FCB">
        <w:rPr>
          <w:bCs/>
        </w:rPr>
        <w:t xml:space="preserve"> which supports 10 year cardiovascular disease prevention and includes key risk factors such as cholesterol, raised blood pressure and atrial fibrillation </w:t>
      </w:r>
    </w:p>
    <w:p w14:paraId="258FB388" w14:textId="4F8765B9" w:rsidR="00C11625" w:rsidRPr="000D4FCB" w:rsidRDefault="00467CD8" w:rsidP="000D4FCB">
      <w:pPr>
        <w:pStyle w:val="Bulletleft1"/>
        <w:rPr>
          <w:bCs/>
        </w:rPr>
      </w:pPr>
      <w:r>
        <w:rPr>
          <w:bCs/>
          <w:lang w:val="en-GB"/>
        </w:rPr>
        <w:t xml:space="preserve">One stakeholder raised concern about the </w:t>
      </w:r>
      <w:r w:rsidRPr="00467CD8">
        <w:rPr>
          <w:bCs/>
          <w:lang w:val="en-GB"/>
        </w:rPr>
        <w:t xml:space="preserve">lack of indicators for </w:t>
      </w:r>
      <w:r>
        <w:rPr>
          <w:bCs/>
          <w:lang w:val="en-GB"/>
        </w:rPr>
        <w:t xml:space="preserve">cholesterol </w:t>
      </w:r>
      <w:r w:rsidRPr="00467CD8">
        <w:rPr>
          <w:bCs/>
          <w:lang w:val="en-GB"/>
        </w:rPr>
        <w:t xml:space="preserve">identification and management </w:t>
      </w:r>
      <w:r w:rsidR="00043AC4" w:rsidRPr="00043AC4">
        <w:rPr>
          <w:bCs/>
        </w:rPr>
        <w:t xml:space="preserve">in </w:t>
      </w:r>
      <w:r w:rsidR="00043AC4" w:rsidRPr="00467CD8">
        <w:rPr>
          <w:bCs/>
        </w:rPr>
        <w:t>people</w:t>
      </w:r>
      <w:r w:rsidRPr="00467CD8">
        <w:rPr>
          <w:bCs/>
        </w:rPr>
        <w:t xml:space="preserve"> </w:t>
      </w:r>
      <w:r w:rsidR="00043AC4" w:rsidRPr="00043AC4">
        <w:rPr>
          <w:bCs/>
        </w:rPr>
        <w:t>who</w:t>
      </w:r>
      <w:r w:rsidR="00043AC4" w:rsidRPr="00467CD8">
        <w:rPr>
          <w:bCs/>
        </w:rPr>
        <w:t xml:space="preserve"> </w:t>
      </w:r>
      <w:r w:rsidR="00043AC4" w:rsidRPr="00043AC4">
        <w:rPr>
          <w:bCs/>
        </w:rPr>
        <w:t>have already suffered a cardiovascular event</w:t>
      </w:r>
      <w:r w:rsidR="00043AC4" w:rsidRPr="00467CD8">
        <w:rPr>
          <w:bCs/>
        </w:rPr>
        <w:t xml:space="preserve"> or are at</w:t>
      </w:r>
      <w:r w:rsidR="00043AC4" w:rsidRPr="00043AC4">
        <w:rPr>
          <w:bCs/>
        </w:rPr>
        <w:t xml:space="preserve"> the highest risk of further cardiovascular events</w:t>
      </w:r>
      <w:r w:rsidR="00043AC4" w:rsidRPr="00467CD8">
        <w:rPr>
          <w:bCs/>
        </w:rPr>
        <w:t>.</w:t>
      </w:r>
      <w:r w:rsidRPr="00467CD8">
        <w:rPr>
          <w:bCs/>
          <w:lang w:val="en-GB"/>
        </w:rPr>
        <w:t xml:space="preserve"> </w:t>
      </w:r>
      <w:r w:rsidR="00C11625" w:rsidRPr="00C11625">
        <w:rPr>
          <w:bCs/>
        </w:rPr>
        <w:t xml:space="preserve">It was felt that these current indicators do not go far enough to </w:t>
      </w:r>
      <w:r w:rsidR="00C11625" w:rsidRPr="00C11625">
        <w:rPr>
          <w:bCs/>
          <w:lang w:val="en-GB"/>
        </w:rPr>
        <w:t xml:space="preserve">improve outcomes in line with aspirations of </w:t>
      </w:r>
      <w:hyperlink r:id="rId12" w:history="1">
        <w:r w:rsidR="00C11625" w:rsidRPr="00C11625">
          <w:rPr>
            <w:rStyle w:val="Hyperlink"/>
            <w:bCs/>
            <w:lang w:val="en-GB"/>
          </w:rPr>
          <w:t>The NHS Long Term Plan</w:t>
        </w:r>
      </w:hyperlink>
    </w:p>
    <w:p w14:paraId="2E7BD02D" w14:textId="42BF1809" w:rsidR="00106104" w:rsidRPr="00106104" w:rsidRDefault="00106104" w:rsidP="00106104">
      <w:pPr>
        <w:pStyle w:val="Bulletleft1"/>
        <w:rPr>
          <w:b/>
          <w:bCs/>
          <w:u w:val="single"/>
        </w:rPr>
      </w:pPr>
      <w:r>
        <w:rPr>
          <w:bCs/>
        </w:rPr>
        <w:t>One stakeholder highlighted the need for a</w:t>
      </w:r>
      <w:r w:rsidRPr="00106104">
        <w:rPr>
          <w:bCs/>
        </w:rPr>
        <w:t xml:space="preserve"> national FH registry for people and families</w:t>
      </w:r>
      <w:r w:rsidR="00D949CA">
        <w:rPr>
          <w:bCs/>
        </w:rPr>
        <w:t>. This would also include s</w:t>
      </w:r>
      <w:r w:rsidRPr="00106104">
        <w:rPr>
          <w:bCs/>
        </w:rPr>
        <w:t>ervice provision management</w:t>
      </w:r>
      <w:r w:rsidR="00D949CA">
        <w:rPr>
          <w:bCs/>
        </w:rPr>
        <w:t xml:space="preserve"> and </w:t>
      </w:r>
      <w:r w:rsidRPr="00106104">
        <w:rPr>
          <w:bCs/>
        </w:rPr>
        <w:t>cascade testing</w:t>
      </w:r>
    </w:p>
    <w:p w14:paraId="0EEE2D8B" w14:textId="71D4E896" w:rsidR="00744C0E" w:rsidRDefault="00744C0E" w:rsidP="00744C0E">
      <w:pPr>
        <w:pStyle w:val="Bulletleft1"/>
        <w:rPr>
          <w:bCs/>
        </w:rPr>
      </w:pPr>
      <w:r w:rsidRPr="00744C0E">
        <w:rPr>
          <w:bCs/>
        </w:rPr>
        <w:t>Self-care education for people with FH was highlighted as a general consideratio</w:t>
      </w:r>
      <w:r w:rsidR="00467CD8">
        <w:rPr>
          <w:bCs/>
        </w:rPr>
        <w:t>n as different people have different symptoms</w:t>
      </w:r>
    </w:p>
    <w:p w14:paraId="034BE7AA" w14:textId="2926832F" w:rsidR="00D97DFA" w:rsidRPr="00E6539A" w:rsidRDefault="00D97DFA" w:rsidP="00FF4A09">
      <w:pPr>
        <w:pStyle w:val="Bulletleft1"/>
        <w:rPr>
          <w:bCs/>
        </w:rPr>
      </w:pPr>
      <w:bookmarkStart w:id="35" w:name="_Hlk9506029"/>
      <w:r>
        <w:rPr>
          <w:bCs/>
          <w:lang w:val="en-GB"/>
        </w:rPr>
        <w:t>Ensure data and definitions link to those used in the CVDPrevent audit.</w:t>
      </w:r>
    </w:p>
    <w:p w14:paraId="78624246" w14:textId="77777777" w:rsidR="00E6539A" w:rsidRPr="00266B6F" w:rsidRDefault="00E6539A" w:rsidP="00E6539A">
      <w:pPr>
        <w:pStyle w:val="Heading1"/>
        <w:rPr>
          <w:highlight w:val="yellow"/>
        </w:rPr>
      </w:pPr>
      <w:bookmarkStart w:id="36" w:name="_Toc9947243"/>
      <w:bookmarkEnd w:id="35"/>
      <w:r>
        <w:t>Suggestions for additional indicators</w:t>
      </w:r>
      <w:bookmarkEnd w:id="36"/>
    </w:p>
    <w:p w14:paraId="0126C21C" w14:textId="6F0C31B5" w:rsidR="00E6539A" w:rsidRPr="00E6539A" w:rsidRDefault="00E6539A" w:rsidP="00E6539A">
      <w:pPr>
        <w:pStyle w:val="Bulletleft1"/>
        <w:rPr>
          <w:bCs/>
        </w:rPr>
      </w:pPr>
      <w:r>
        <w:rPr>
          <w:bCs/>
        </w:rPr>
        <w:t>Suggestion to include additional indicators to identify and manage people with FH.</w:t>
      </w:r>
    </w:p>
    <w:p w14:paraId="286914FC" w14:textId="77777777" w:rsidR="00E6539A" w:rsidRDefault="00E6539A" w:rsidP="00E6539A">
      <w:pPr>
        <w:pStyle w:val="Bulletleft1"/>
        <w:numPr>
          <w:ilvl w:val="0"/>
          <w:numId w:val="0"/>
        </w:numPr>
        <w:rPr>
          <w:bCs/>
          <w:lang w:val="en-GB"/>
        </w:rPr>
      </w:pPr>
    </w:p>
    <w:p w14:paraId="230E6E92" w14:textId="77777777" w:rsidR="00E6539A" w:rsidRPr="00744C0E" w:rsidRDefault="00E6539A" w:rsidP="00E6539A">
      <w:pPr>
        <w:pStyle w:val="Bulletleft1"/>
        <w:numPr>
          <w:ilvl w:val="0"/>
          <w:numId w:val="0"/>
        </w:numPr>
        <w:rPr>
          <w:bCs/>
        </w:rPr>
      </w:pPr>
    </w:p>
    <w:p w14:paraId="2E66D905" w14:textId="77777777" w:rsidR="00106104" w:rsidRPr="00106104" w:rsidRDefault="00106104" w:rsidP="000D4FCB">
      <w:pPr>
        <w:pStyle w:val="Bulletleft1"/>
        <w:numPr>
          <w:ilvl w:val="0"/>
          <w:numId w:val="0"/>
        </w:numPr>
        <w:ind w:left="284"/>
        <w:rPr>
          <w:bCs/>
          <w:lang w:val="en-GB"/>
        </w:rPr>
      </w:pPr>
    </w:p>
    <w:p w14:paraId="0EB80309" w14:textId="77777777" w:rsidR="00AE0AC9" w:rsidRDefault="00AE0AC9" w:rsidP="00AE0AC9">
      <w:pPr>
        <w:pStyle w:val="Bulletleft1"/>
        <w:numPr>
          <w:ilvl w:val="0"/>
          <w:numId w:val="0"/>
        </w:numPr>
        <w:ind w:left="284" w:hanging="284"/>
      </w:pPr>
    </w:p>
    <w:p w14:paraId="057CC993" w14:textId="360D6A9E" w:rsidR="009A728E" w:rsidRDefault="009A728E" w:rsidP="00494891">
      <w:pPr>
        <w:pStyle w:val="Bulletleft1last"/>
        <w:numPr>
          <w:ilvl w:val="0"/>
          <w:numId w:val="0"/>
        </w:numPr>
        <w:ind w:left="284" w:hanging="284"/>
        <w:sectPr w:rsidR="009A728E" w:rsidSect="009F1902">
          <w:headerReference w:type="default" r:id="rId13"/>
          <w:footerReference w:type="default" r:id="rId14"/>
          <w:pgSz w:w="11907" w:h="16840" w:code="9"/>
          <w:pgMar w:top="1440" w:right="1440" w:bottom="1440" w:left="1440" w:header="709" w:footer="709" w:gutter="0"/>
          <w:pgNumType w:chapStyle="1"/>
          <w:cols w:space="708"/>
          <w:docGrid w:linePitch="360"/>
        </w:sectPr>
      </w:pPr>
      <w:r w:rsidRPr="00467CD8">
        <w:rPr>
          <w:b/>
          <w:bCs/>
          <w:sz w:val="28"/>
          <w:szCs w:val="28"/>
        </w:rPr>
        <w:br w:type="page"/>
      </w:r>
    </w:p>
    <w:p w14:paraId="6FD71D8E" w14:textId="6AB3FFEF" w:rsidR="00C130C8" w:rsidRDefault="00C130C8" w:rsidP="00511471">
      <w:pPr>
        <w:pStyle w:val="Heading1"/>
      </w:pPr>
      <w:bookmarkStart w:id="37" w:name="_Toc9947244"/>
      <w:r>
        <w:lastRenderedPageBreak/>
        <w:t>Appendix A</w:t>
      </w:r>
      <w:r w:rsidR="00BB716A">
        <w:t>: C</w:t>
      </w:r>
      <w:r>
        <w:t>onsultation comments</w:t>
      </w:r>
      <w:bookmarkEnd w:id="37"/>
      <w:r>
        <w:t xml:space="preserve"> </w:t>
      </w:r>
    </w:p>
    <w:tbl>
      <w:tblPr>
        <w:tblStyle w:val="TableGrid"/>
        <w:tblW w:w="14884" w:type="dxa"/>
        <w:tblLayout w:type="fixed"/>
        <w:tblLook w:val="0020" w:firstRow="1" w:lastRow="0" w:firstColumn="0" w:lastColumn="0" w:noHBand="0" w:noVBand="0"/>
      </w:tblPr>
      <w:tblGrid>
        <w:gridCol w:w="562"/>
        <w:gridCol w:w="1139"/>
        <w:gridCol w:w="1985"/>
        <w:gridCol w:w="11198"/>
      </w:tblGrid>
      <w:tr w:rsidR="00AB487A" w:rsidRPr="005E75EE" w14:paraId="6A3A7C2A" w14:textId="77777777" w:rsidTr="007249A6">
        <w:trPr>
          <w:trHeight w:val="316"/>
        </w:trPr>
        <w:tc>
          <w:tcPr>
            <w:tcW w:w="562" w:type="dxa"/>
          </w:tcPr>
          <w:p w14:paraId="20D8A8A7" w14:textId="77777777" w:rsidR="00AB487A" w:rsidRPr="00406712" w:rsidRDefault="00AB487A" w:rsidP="00AB487A">
            <w:pPr>
              <w:pStyle w:val="TableText1"/>
              <w:jc w:val="center"/>
              <w:rPr>
                <w:b/>
                <w:sz w:val="20"/>
                <w:szCs w:val="20"/>
              </w:rPr>
            </w:pPr>
            <w:r>
              <w:rPr>
                <w:b/>
                <w:sz w:val="20"/>
                <w:szCs w:val="20"/>
              </w:rPr>
              <w:t>ID</w:t>
            </w:r>
          </w:p>
        </w:tc>
        <w:tc>
          <w:tcPr>
            <w:tcW w:w="1139" w:type="dxa"/>
          </w:tcPr>
          <w:p w14:paraId="32CAD8FF" w14:textId="77777777" w:rsidR="00AB487A" w:rsidRPr="005E75EE" w:rsidRDefault="00AB487A" w:rsidP="00AB487A">
            <w:pPr>
              <w:pStyle w:val="TableText1"/>
              <w:rPr>
                <w:b/>
              </w:rPr>
            </w:pPr>
            <w:r>
              <w:rPr>
                <w:rFonts w:cs="Arial"/>
                <w:b/>
                <w:bCs/>
                <w:color w:val="000000"/>
                <w:sz w:val="20"/>
                <w:szCs w:val="20"/>
              </w:rPr>
              <w:t>Indicator</w:t>
            </w:r>
          </w:p>
        </w:tc>
        <w:tc>
          <w:tcPr>
            <w:tcW w:w="1985" w:type="dxa"/>
          </w:tcPr>
          <w:p w14:paraId="2AF38FAC" w14:textId="77777777" w:rsidR="00AB487A" w:rsidRPr="005E75EE" w:rsidRDefault="00AB487A" w:rsidP="00AB487A">
            <w:pPr>
              <w:pStyle w:val="TableText1"/>
              <w:rPr>
                <w:b/>
              </w:rPr>
            </w:pPr>
            <w:r>
              <w:rPr>
                <w:rFonts w:cs="Arial"/>
                <w:b/>
                <w:bCs/>
                <w:color w:val="000000"/>
                <w:sz w:val="20"/>
                <w:szCs w:val="20"/>
              </w:rPr>
              <w:t>Stakeholder</w:t>
            </w:r>
          </w:p>
        </w:tc>
        <w:tc>
          <w:tcPr>
            <w:tcW w:w="11198" w:type="dxa"/>
          </w:tcPr>
          <w:p w14:paraId="5CDB7593" w14:textId="77777777" w:rsidR="00AB487A" w:rsidRPr="005E75EE" w:rsidRDefault="00AB487A" w:rsidP="00AB487A">
            <w:pPr>
              <w:pStyle w:val="TableText1"/>
              <w:rPr>
                <w:b/>
              </w:rPr>
            </w:pPr>
            <w:r>
              <w:rPr>
                <w:rFonts w:cs="Arial"/>
                <w:b/>
                <w:bCs/>
                <w:color w:val="000000"/>
                <w:sz w:val="20"/>
                <w:szCs w:val="20"/>
              </w:rPr>
              <w:t>Comment</w:t>
            </w:r>
          </w:p>
        </w:tc>
      </w:tr>
      <w:tr w:rsidR="006D7D07" w:rsidRPr="005E75EE" w14:paraId="30DE252E" w14:textId="77777777" w:rsidTr="007249A6">
        <w:trPr>
          <w:trHeight w:val="259"/>
        </w:trPr>
        <w:tc>
          <w:tcPr>
            <w:tcW w:w="562" w:type="dxa"/>
          </w:tcPr>
          <w:p w14:paraId="507F7CF0" w14:textId="2B4EE2F4" w:rsidR="006D7D07" w:rsidRPr="00406712" w:rsidRDefault="00913C26" w:rsidP="006D7D07">
            <w:pPr>
              <w:pStyle w:val="TableText1"/>
              <w:jc w:val="center"/>
              <w:rPr>
                <w:rFonts w:cs="Arial"/>
                <w:sz w:val="20"/>
                <w:szCs w:val="20"/>
              </w:rPr>
            </w:pPr>
            <w:r>
              <w:rPr>
                <w:rFonts w:cs="Arial"/>
                <w:sz w:val="20"/>
                <w:szCs w:val="20"/>
              </w:rPr>
              <w:t>1</w:t>
            </w:r>
          </w:p>
        </w:tc>
        <w:tc>
          <w:tcPr>
            <w:tcW w:w="1139" w:type="dxa"/>
          </w:tcPr>
          <w:p w14:paraId="45E8E904" w14:textId="044389A6" w:rsidR="006D7D07" w:rsidRPr="00913C26" w:rsidRDefault="006D7D07" w:rsidP="006D7D07">
            <w:pPr>
              <w:pStyle w:val="TableText1"/>
              <w:rPr>
                <w:rFonts w:cs="Arial"/>
                <w:szCs w:val="20"/>
              </w:rPr>
            </w:pPr>
            <w:r w:rsidRPr="00913C26">
              <w:rPr>
                <w:rFonts w:cs="Arial"/>
                <w:sz w:val="20"/>
                <w:szCs w:val="20"/>
              </w:rPr>
              <w:t>General</w:t>
            </w:r>
          </w:p>
        </w:tc>
        <w:tc>
          <w:tcPr>
            <w:tcW w:w="1985" w:type="dxa"/>
          </w:tcPr>
          <w:p w14:paraId="13401287" w14:textId="2BFCDC5C" w:rsidR="006D7D07" w:rsidRPr="00913C26" w:rsidRDefault="006D7D07" w:rsidP="006D7D07">
            <w:pPr>
              <w:pStyle w:val="TableText1"/>
              <w:rPr>
                <w:rFonts w:cs="Arial"/>
                <w:szCs w:val="20"/>
              </w:rPr>
            </w:pPr>
            <w:r w:rsidRPr="00913C26">
              <w:rPr>
                <w:rFonts w:cs="Arial"/>
                <w:sz w:val="20"/>
                <w:szCs w:val="20"/>
              </w:rPr>
              <w:t>British Cardiovascular Society (BCS)</w:t>
            </w:r>
          </w:p>
        </w:tc>
        <w:tc>
          <w:tcPr>
            <w:tcW w:w="11198" w:type="dxa"/>
          </w:tcPr>
          <w:p w14:paraId="1C1370E1" w14:textId="1E9E7962" w:rsidR="006D7D07" w:rsidRPr="006D7D07" w:rsidRDefault="006D7D07" w:rsidP="006D7D07">
            <w:pPr>
              <w:pStyle w:val="TableText1"/>
              <w:rPr>
                <w:rFonts w:cs="Arial"/>
                <w:szCs w:val="20"/>
              </w:rPr>
            </w:pPr>
            <w:r w:rsidRPr="006D7D07">
              <w:rPr>
                <w:rFonts w:cs="Arial"/>
                <w:sz w:val="20"/>
                <w:szCs w:val="20"/>
              </w:rPr>
              <w:t>The BCS Clinical Standards group have reviewed the proposed new indicators for FH and we are very positive about the 3 suggested FH indicators and have no comments. We feel it is a good step and supports the 10 year CVD prevention plan.</w:t>
            </w:r>
          </w:p>
        </w:tc>
      </w:tr>
      <w:tr w:rsidR="001E6D12" w:rsidRPr="005E75EE" w14:paraId="3F94E24D" w14:textId="77777777" w:rsidTr="007249A6">
        <w:trPr>
          <w:trHeight w:val="259"/>
        </w:trPr>
        <w:tc>
          <w:tcPr>
            <w:tcW w:w="562" w:type="dxa"/>
          </w:tcPr>
          <w:p w14:paraId="2822B86D" w14:textId="19C8E0B0" w:rsidR="001E6D12" w:rsidRDefault="001E6D12" w:rsidP="006D7D07">
            <w:pPr>
              <w:pStyle w:val="TableText1"/>
              <w:jc w:val="center"/>
              <w:rPr>
                <w:rFonts w:cs="Arial"/>
                <w:sz w:val="20"/>
                <w:szCs w:val="20"/>
              </w:rPr>
            </w:pPr>
            <w:r>
              <w:rPr>
                <w:rFonts w:cs="Arial"/>
                <w:sz w:val="20"/>
                <w:szCs w:val="20"/>
              </w:rPr>
              <w:t>2</w:t>
            </w:r>
          </w:p>
        </w:tc>
        <w:tc>
          <w:tcPr>
            <w:tcW w:w="1139" w:type="dxa"/>
          </w:tcPr>
          <w:p w14:paraId="5709E485" w14:textId="3596B91F" w:rsidR="001E6D12" w:rsidRPr="00913C26" w:rsidRDefault="001E6D12" w:rsidP="006D7D07">
            <w:pPr>
              <w:pStyle w:val="TableText1"/>
              <w:rPr>
                <w:rFonts w:cs="Arial"/>
                <w:sz w:val="20"/>
                <w:szCs w:val="20"/>
              </w:rPr>
            </w:pPr>
            <w:r w:rsidRPr="001E6D12">
              <w:rPr>
                <w:rFonts w:cs="Arial"/>
                <w:sz w:val="20"/>
                <w:szCs w:val="20"/>
              </w:rPr>
              <w:t>General</w:t>
            </w:r>
          </w:p>
        </w:tc>
        <w:tc>
          <w:tcPr>
            <w:tcW w:w="1985" w:type="dxa"/>
          </w:tcPr>
          <w:p w14:paraId="3190A1A0" w14:textId="34F37386" w:rsidR="001E6D12" w:rsidRPr="00913C26" w:rsidRDefault="001E6D12" w:rsidP="006D7D07">
            <w:pPr>
              <w:pStyle w:val="TableText1"/>
              <w:rPr>
                <w:rFonts w:cs="Arial"/>
                <w:sz w:val="20"/>
                <w:szCs w:val="20"/>
              </w:rPr>
            </w:pPr>
            <w:r>
              <w:rPr>
                <w:rFonts w:cs="Arial"/>
                <w:sz w:val="20"/>
                <w:szCs w:val="20"/>
              </w:rPr>
              <w:t>PHE</w:t>
            </w:r>
          </w:p>
        </w:tc>
        <w:tc>
          <w:tcPr>
            <w:tcW w:w="11198" w:type="dxa"/>
          </w:tcPr>
          <w:p w14:paraId="03154D4B" w14:textId="77777777" w:rsidR="001E6D12" w:rsidRDefault="001E6D12" w:rsidP="006D7D07">
            <w:pPr>
              <w:pStyle w:val="TableText1"/>
              <w:rPr>
                <w:rFonts w:cs="Arial"/>
                <w:sz w:val="20"/>
                <w:szCs w:val="20"/>
              </w:rPr>
            </w:pPr>
          </w:p>
          <w:p w14:paraId="1B85936F" w14:textId="1ED62EAA" w:rsidR="001E6D12" w:rsidRDefault="001E6D12" w:rsidP="006D7D07">
            <w:pPr>
              <w:pStyle w:val="TableText1"/>
              <w:rPr>
                <w:rFonts w:cs="Arial"/>
                <w:sz w:val="20"/>
                <w:szCs w:val="20"/>
              </w:rPr>
            </w:pPr>
            <w:r w:rsidRPr="001E6D12">
              <w:rPr>
                <w:rFonts w:cs="Arial"/>
                <w:iCs/>
                <w:sz w:val="20"/>
                <w:szCs w:val="20"/>
              </w:rPr>
              <w:t xml:space="preserve">PHE welcomes the development of indicators to support Familial Hypercholesterolaemia testing IND 8 &amp; IND 9 to support NICE guidance and the NHS Plan commitment. We would like to highlight ongoing work (which NICE is linked with) on the NHS funded </w:t>
            </w:r>
            <w:r w:rsidRPr="001E6D12">
              <w:rPr>
                <w:rFonts w:cs="Arial"/>
                <w:b/>
                <w:bCs/>
                <w:iCs/>
                <w:sz w:val="20"/>
                <w:szCs w:val="20"/>
              </w:rPr>
              <w:t>CVD prevent audit</w:t>
            </w:r>
            <w:r w:rsidRPr="001E6D12">
              <w:rPr>
                <w:rFonts w:cs="Arial"/>
                <w:iCs/>
                <w:sz w:val="20"/>
                <w:szCs w:val="20"/>
              </w:rPr>
              <w:t xml:space="preserve"> to ensure there is a consistent approach to data definitions for these two pieces of work.</w:t>
            </w:r>
            <w:r w:rsidRPr="001E6D12">
              <w:rPr>
                <w:rFonts w:cs="Arial"/>
                <w:sz w:val="20"/>
                <w:szCs w:val="20"/>
              </w:rPr>
              <w:t xml:space="preserve"> </w:t>
            </w:r>
          </w:p>
          <w:p w14:paraId="149552C4" w14:textId="6342FA34" w:rsidR="001E6D12" w:rsidRPr="006D7D07" w:rsidRDefault="001E6D12" w:rsidP="006D7D07">
            <w:pPr>
              <w:pStyle w:val="TableText1"/>
              <w:rPr>
                <w:rFonts w:cs="Arial"/>
                <w:sz w:val="20"/>
                <w:szCs w:val="20"/>
              </w:rPr>
            </w:pPr>
          </w:p>
        </w:tc>
      </w:tr>
      <w:tr w:rsidR="006D7D07" w:rsidRPr="005E75EE" w14:paraId="4A7A4D7B" w14:textId="77777777" w:rsidTr="007249A6">
        <w:tc>
          <w:tcPr>
            <w:tcW w:w="562" w:type="dxa"/>
          </w:tcPr>
          <w:p w14:paraId="55452D73" w14:textId="74BC32B3" w:rsidR="006D7D07" w:rsidRPr="00406712" w:rsidRDefault="001E6D12" w:rsidP="006D7D07">
            <w:pPr>
              <w:pStyle w:val="TableText1"/>
              <w:jc w:val="center"/>
              <w:rPr>
                <w:rFonts w:cs="Arial"/>
                <w:sz w:val="20"/>
                <w:szCs w:val="20"/>
              </w:rPr>
            </w:pPr>
            <w:r>
              <w:rPr>
                <w:rFonts w:cs="Arial"/>
                <w:sz w:val="20"/>
                <w:szCs w:val="20"/>
              </w:rPr>
              <w:t>3</w:t>
            </w:r>
          </w:p>
        </w:tc>
        <w:tc>
          <w:tcPr>
            <w:tcW w:w="1139" w:type="dxa"/>
          </w:tcPr>
          <w:p w14:paraId="59ED8984" w14:textId="03A04C92" w:rsidR="006D7D07" w:rsidRPr="00913C26" w:rsidRDefault="006D7D07" w:rsidP="006D7D07">
            <w:pPr>
              <w:pStyle w:val="TableText1"/>
              <w:rPr>
                <w:rFonts w:cs="Arial"/>
                <w:szCs w:val="20"/>
              </w:rPr>
            </w:pPr>
            <w:r w:rsidRPr="00913C26">
              <w:rPr>
                <w:rFonts w:cs="Arial"/>
                <w:sz w:val="20"/>
                <w:szCs w:val="20"/>
              </w:rPr>
              <w:t>General</w:t>
            </w:r>
          </w:p>
        </w:tc>
        <w:tc>
          <w:tcPr>
            <w:tcW w:w="1985" w:type="dxa"/>
          </w:tcPr>
          <w:p w14:paraId="08C166A5" w14:textId="33DCB7F7" w:rsidR="006D7D07" w:rsidRPr="00913C26" w:rsidRDefault="006D7D07" w:rsidP="006D7D07">
            <w:pPr>
              <w:pStyle w:val="TableText1"/>
              <w:rPr>
                <w:rFonts w:cs="Arial"/>
                <w:szCs w:val="20"/>
              </w:rPr>
            </w:pPr>
            <w:proofErr w:type="spellStart"/>
            <w:r w:rsidRPr="00913C26">
              <w:rPr>
                <w:rFonts w:cs="Arial"/>
                <w:sz w:val="20"/>
                <w:szCs w:val="20"/>
              </w:rPr>
              <w:t>Elcena</w:t>
            </w:r>
            <w:proofErr w:type="spellEnd"/>
            <w:r w:rsidRPr="00913C26">
              <w:rPr>
                <w:rFonts w:cs="Arial"/>
                <w:sz w:val="20"/>
                <w:szCs w:val="20"/>
              </w:rPr>
              <w:t xml:space="preserve"> Jeffers Foundation</w:t>
            </w:r>
          </w:p>
        </w:tc>
        <w:tc>
          <w:tcPr>
            <w:tcW w:w="11198" w:type="dxa"/>
          </w:tcPr>
          <w:p w14:paraId="7E8B8BAC" w14:textId="358A4D08" w:rsidR="006D7D07" w:rsidRPr="006D7D07" w:rsidRDefault="006D7D07" w:rsidP="006D7D07">
            <w:pPr>
              <w:pStyle w:val="TableText1"/>
              <w:rPr>
                <w:rFonts w:cs="Arial"/>
                <w:szCs w:val="20"/>
              </w:rPr>
            </w:pPr>
            <w:r w:rsidRPr="006D7D07">
              <w:rPr>
                <w:rFonts w:cs="Arial"/>
                <w:sz w:val="20"/>
                <w:szCs w:val="20"/>
              </w:rPr>
              <w:t>There is a wish to know about self-care in general public education in life as different people has different diseases or ailments</w:t>
            </w:r>
          </w:p>
        </w:tc>
      </w:tr>
      <w:tr w:rsidR="006D7D07" w:rsidRPr="005E75EE" w14:paraId="37FDDA40" w14:textId="77777777" w:rsidTr="007249A6">
        <w:tc>
          <w:tcPr>
            <w:tcW w:w="562" w:type="dxa"/>
          </w:tcPr>
          <w:p w14:paraId="5CF78123" w14:textId="44E65C49" w:rsidR="006D7D07" w:rsidRDefault="001E6D12" w:rsidP="006D7D07">
            <w:pPr>
              <w:pStyle w:val="TableText1"/>
              <w:jc w:val="center"/>
              <w:rPr>
                <w:rFonts w:cs="Arial"/>
                <w:sz w:val="20"/>
                <w:szCs w:val="20"/>
              </w:rPr>
            </w:pPr>
            <w:r>
              <w:rPr>
                <w:rFonts w:cs="Arial"/>
                <w:sz w:val="20"/>
                <w:szCs w:val="20"/>
              </w:rPr>
              <w:t>4</w:t>
            </w:r>
          </w:p>
        </w:tc>
        <w:tc>
          <w:tcPr>
            <w:tcW w:w="1139" w:type="dxa"/>
          </w:tcPr>
          <w:p w14:paraId="1E220272" w14:textId="67CBF8A8" w:rsidR="006D7D07" w:rsidRPr="00913C26" w:rsidRDefault="006D7D07" w:rsidP="006D7D07">
            <w:pPr>
              <w:pStyle w:val="TableText1"/>
              <w:rPr>
                <w:rFonts w:cs="Arial"/>
                <w:szCs w:val="20"/>
              </w:rPr>
            </w:pPr>
            <w:r w:rsidRPr="00913C26">
              <w:rPr>
                <w:rFonts w:cs="Arial"/>
                <w:sz w:val="20"/>
                <w:szCs w:val="20"/>
              </w:rPr>
              <w:t>General</w:t>
            </w:r>
          </w:p>
        </w:tc>
        <w:tc>
          <w:tcPr>
            <w:tcW w:w="1985" w:type="dxa"/>
          </w:tcPr>
          <w:p w14:paraId="19C48404" w14:textId="170F3B92" w:rsidR="006D7D07" w:rsidRPr="00913C26" w:rsidRDefault="006D7D07" w:rsidP="006D7D07">
            <w:pPr>
              <w:pStyle w:val="TableText1"/>
              <w:rPr>
                <w:rFonts w:cs="Arial"/>
                <w:szCs w:val="20"/>
              </w:rPr>
            </w:pPr>
            <w:r w:rsidRPr="00913C26">
              <w:rPr>
                <w:rFonts w:cs="Arial"/>
                <w:sz w:val="20"/>
                <w:szCs w:val="20"/>
              </w:rPr>
              <w:t>Royal College of Nursing</w:t>
            </w:r>
          </w:p>
        </w:tc>
        <w:tc>
          <w:tcPr>
            <w:tcW w:w="11198" w:type="dxa"/>
          </w:tcPr>
          <w:p w14:paraId="3E6D1127" w14:textId="77777777" w:rsidR="006D7D07" w:rsidRPr="006D7D07" w:rsidRDefault="006D7D07" w:rsidP="006D7D07">
            <w:pPr>
              <w:rPr>
                <w:rFonts w:ascii="Arial" w:hAnsi="Arial" w:cs="Arial"/>
                <w:sz w:val="20"/>
                <w:szCs w:val="20"/>
              </w:rPr>
            </w:pPr>
            <w:r w:rsidRPr="006D7D07">
              <w:rPr>
                <w:rFonts w:ascii="Arial" w:hAnsi="Arial" w:cs="Arial"/>
                <w:sz w:val="20"/>
                <w:szCs w:val="20"/>
              </w:rPr>
              <w:t xml:space="preserve">The Royal College of Nursing (RCN) welcome the consultation on the listed NICE QOF indicators. The RCN invited members who care for people with the listed conditions to review the draft indicators on our behalf.  </w:t>
            </w:r>
          </w:p>
          <w:p w14:paraId="7937D916" w14:textId="77777777" w:rsidR="006D7D07" w:rsidRPr="006D7D07" w:rsidRDefault="006D7D07" w:rsidP="006D7D07">
            <w:pPr>
              <w:rPr>
                <w:rFonts w:ascii="Arial" w:hAnsi="Arial" w:cs="Arial"/>
                <w:sz w:val="20"/>
                <w:szCs w:val="20"/>
              </w:rPr>
            </w:pPr>
          </w:p>
          <w:p w14:paraId="23095490" w14:textId="6E900B9D" w:rsidR="006D7D07" w:rsidRPr="006D7D07" w:rsidRDefault="006D7D07" w:rsidP="006D7D07">
            <w:pPr>
              <w:pStyle w:val="TableText1"/>
              <w:rPr>
                <w:rFonts w:cs="Arial"/>
                <w:szCs w:val="20"/>
              </w:rPr>
            </w:pPr>
            <w:r w:rsidRPr="006D7D07">
              <w:rPr>
                <w:rFonts w:cs="Arial"/>
                <w:sz w:val="20"/>
                <w:szCs w:val="20"/>
              </w:rPr>
              <w:t>The comments below reflect the views of our reviewers.</w:t>
            </w:r>
          </w:p>
        </w:tc>
      </w:tr>
      <w:tr w:rsidR="00FF4A09" w:rsidRPr="005E75EE" w14:paraId="5E77CCC2" w14:textId="77777777" w:rsidTr="007249A6">
        <w:tc>
          <w:tcPr>
            <w:tcW w:w="562" w:type="dxa"/>
          </w:tcPr>
          <w:p w14:paraId="074E3757" w14:textId="77777777" w:rsidR="00FF4A09" w:rsidRDefault="00FF4A09" w:rsidP="006D7D07">
            <w:pPr>
              <w:pStyle w:val="TableText1"/>
              <w:jc w:val="center"/>
              <w:rPr>
                <w:rFonts w:cs="Arial"/>
                <w:sz w:val="20"/>
                <w:szCs w:val="20"/>
              </w:rPr>
            </w:pPr>
          </w:p>
          <w:p w14:paraId="474E2864" w14:textId="4B0C2781" w:rsidR="00FF4A09" w:rsidRDefault="001E6D12" w:rsidP="006D7D07">
            <w:pPr>
              <w:pStyle w:val="TableText1"/>
              <w:jc w:val="center"/>
              <w:rPr>
                <w:rFonts w:cs="Arial"/>
                <w:sz w:val="20"/>
                <w:szCs w:val="20"/>
              </w:rPr>
            </w:pPr>
            <w:r>
              <w:rPr>
                <w:rFonts w:cs="Arial"/>
                <w:sz w:val="20"/>
                <w:szCs w:val="20"/>
              </w:rPr>
              <w:t>5</w:t>
            </w:r>
          </w:p>
          <w:p w14:paraId="3BE8E98D" w14:textId="5EADA98B" w:rsidR="00FF4A09" w:rsidRDefault="00FF4A09" w:rsidP="006D7D07">
            <w:pPr>
              <w:pStyle w:val="TableText1"/>
              <w:jc w:val="center"/>
              <w:rPr>
                <w:rFonts w:cs="Arial"/>
                <w:sz w:val="20"/>
                <w:szCs w:val="20"/>
              </w:rPr>
            </w:pPr>
          </w:p>
        </w:tc>
        <w:tc>
          <w:tcPr>
            <w:tcW w:w="1139" w:type="dxa"/>
          </w:tcPr>
          <w:p w14:paraId="71549498" w14:textId="1C3A4C53" w:rsidR="00FF4A09" w:rsidRPr="00913C26" w:rsidRDefault="00FF4A09" w:rsidP="006D7D07">
            <w:pPr>
              <w:pStyle w:val="TableText1"/>
              <w:rPr>
                <w:rFonts w:cs="Arial"/>
                <w:sz w:val="20"/>
                <w:szCs w:val="20"/>
              </w:rPr>
            </w:pPr>
            <w:r>
              <w:rPr>
                <w:rFonts w:cs="Arial"/>
                <w:sz w:val="20"/>
                <w:szCs w:val="20"/>
              </w:rPr>
              <w:t xml:space="preserve">General </w:t>
            </w:r>
          </w:p>
        </w:tc>
        <w:tc>
          <w:tcPr>
            <w:tcW w:w="1985" w:type="dxa"/>
          </w:tcPr>
          <w:p w14:paraId="54D58B45" w14:textId="726384AF" w:rsidR="00FF4A09" w:rsidRPr="00913C26" w:rsidRDefault="00131FF8" w:rsidP="006D7D07">
            <w:pPr>
              <w:pStyle w:val="TableText1"/>
              <w:rPr>
                <w:rFonts w:cs="Arial"/>
                <w:sz w:val="20"/>
                <w:szCs w:val="20"/>
              </w:rPr>
            </w:pPr>
            <w:r>
              <w:rPr>
                <w:rFonts w:cs="Arial"/>
                <w:bCs/>
                <w:sz w:val="20"/>
                <w:szCs w:val="20"/>
              </w:rPr>
              <w:t>SANOFI</w:t>
            </w:r>
          </w:p>
        </w:tc>
        <w:tc>
          <w:tcPr>
            <w:tcW w:w="11198" w:type="dxa"/>
          </w:tcPr>
          <w:p w14:paraId="6BFBAE5D" w14:textId="77777777" w:rsidR="00131FF8" w:rsidRPr="00131FF8" w:rsidRDefault="00131FF8" w:rsidP="00131FF8">
            <w:pPr>
              <w:rPr>
                <w:rFonts w:ascii="Arial" w:hAnsi="Arial" w:cs="Arial"/>
                <w:sz w:val="20"/>
                <w:szCs w:val="20"/>
              </w:rPr>
            </w:pPr>
            <w:r w:rsidRPr="00131FF8">
              <w:rPr>
                <w:rFonts w:ascii="Arial" w:hAnsi="Arial" w:cs="Arial"/>
                <w:bCs/>
                <w:sz w:val="20"/>
                <w:szCs w:val="20"/>
              </w:rPr>
              <w:t xml:space="preserve">Background / Rationale for piloting and consulting on the new indicator </w:t>
            </w:r>
          </w:p>
          <w:p w14:paraId="1C59DF3D" w14:textId="77777777" w:rsidR="00131FF8" w:rsidRDefault="00131FF8" w:rsidP="00FF4A09">
            <w:pPr>
              <w:rPr>
                <w:rFonts w:ascii="Arial" w:hAnsi="Arial" w:cs="Arial"/>
                <w:sz w:val="20"/>
                <w:szCs w:val="20"/>
              </w:rPr>
            </w:pPr>
          </w:p>
          <w:p w14:paraId="1CDC74AD" w14:textId="3ED5F037" w:rsidR="00FF4A09" w:rsidRPr="00FF4A09" w:rsidRDefault="00FF4A09" w:rsidP="00FF4A09">
            <w:pPr>
              <w:rPr>
                <w:rFonts w:ascii="Arial" w:hAnsi="Arial" w:cs="Arial"/>
                <w:sz w:val="20"/>
                <w:szCs w:val="20"/>
              </w:rPr>
            </w:pPr>
            <w:r w:rsidRPr="00FF4A09">
              <w:rPr>
                <w:rFonts w:ascii="Arial" w:hAnsi="Arial" w:cs="Arial"/>
                <w:sz w:val="20"/>
                <w:szCs w:val="20"/>
              </w:rPr>
              <w:t xml:space="preserve">Would a reference need </w:t>
            </w:r>
            <w:proofErr w:type="gramStart"/>
            <w:r w:rsidRPr="00FF4A09">
              <w:rPr>
                <w:rFonts w:ascii="Arial" w:hAnsi="Arial" w:cs="Arial"/>
                <w:sz w:val="20"/>
                <w:szCs w:val="20"/>
              </w:rPr>
              <w:t>adding</w:t>
            </w:r>
            <w:proofErr w:type="gramEnd"/>
            <w:r w:rsidRPr="00FF4A09">
              <w:rPr>
                <w:rFonts w:ascii="Arial" w:hAnsi="Arial" w:cs="Arial"/>
                <w:sz w:val="20"/>
                <w:szCs w:val="20"/>
              </w:rPr>
              <w:t xml:space="preserve"> to the prevalence of heterozygous Familial Hypocholesteraemia and estimated % of people with Familial Hypocholesteraemia? Numbers vary depending on the evidence referenced. </w:t>
            </w:r>
          </w:p>
          <w:p w14:paraId="1F4CC03E" w14:textId="77777777" w:rsidR="00FF4A09" w:rsidRPr="006D7D07" w:rsidRDefault="00FF4A09" w:rsidP="006D7D07">
            <w:pPr>
              <w:rPr>
                <w:rFonts w:ascii="Arial" w:hAnsi="Arial" w:cs="Arial"/>
                <w:sz w:val="20"/>
                <w:szCs w:val="20"/>
              </w:rPr>
            </w:pPr>
          </w:p>
        </w:tc>
      </w:tr>
      <w:tr w:rsidR="00131FF8" w:rsidRPr="005E75EE" w14:paraId="36B20990" w14:textId="77777777" w:rsidTr="007249A6">
        <w:tc>
          <w:tcPr>
            <w:tcW w:w="562" w:type="dxa"/>
          </w:tcPr>
          <w:p w14:paraId="13E14AC3" w14:textId="3D2FC6F9" w:rsidR="00131FF8" w:rsidRDefault="001E6D12" w:rsidP="006D7D07">
            <w:pPr>
              <w:pStyle w:val="TableText1"/>
              <w:jc w:val="center"/>
              <w:rPr>
                <w:rFonts w:cs="Arial"/>
                <w:sz w:val="20"/>
                <w:szCs w:val="20"/>
              </w:rPr>
            </w:pPr>
            <w:r>
              <w:rPr>
                <w:rFonts w:cs="Arial"/>
                <w:sz w:val="20"/>
                <w:szCs w:val="20"/>
              </w:rPr>
              <w:t>6</w:t>
            </w:r>
          </w:p>
        </w:tc>
        <w:tc>
          <w:tcPr>
            <w:tcW w:w="1139" w:type="dxa"/>
          </w:tcPr>
          <w:p w14:paraId="3DFFAEFC" w14:textId="77777777" w:rsidR="00131FF8" w:rsidRDefault="00131FF8" w:rsidP="006D7D07">
            <w:pPr>
              <w:pStyle w:val="TableText1"/>
              <w:rPr>
                <w:rFonts w:cs="Arial"/>
                <w:sz w:val="20"/>
                <w:szCs w:val="20"/>
              </w:rPr>
            </w:pPr>
          </w:p>
          <w:p w14:paraId="41110503" w14:textId="4AA42CAF" w:rsidR="00131FF8" w:rsidRDefault="00131FF8" w:rsidP="006D7D07">
            <w:pPr>
              <w:pStyle w:val="TableText1"/>
              <w:rPr>
                <w:rFonts w:cs="Arial"/>
                <w:sz w:val="20"/>
                <w:szCs w:val="20"/>
              </w:rPr>
            </w:pPr>
            <w:r w:rsidRPr="00131FF8">
              <w:rPr>
                <w:rFonts w:cs="Arial"/>
                <w:sz w:val="20"/>
                <w:szCs w:val="20"/>
              </w:rPr>
              <w:t>General</w:t>
            </w:r>
          </w:p>
          <w:p w14:paraId="44FDCDB7" w14:textId="14E8C66D" w:rsidR="00131FF8" w:rsidRDefault="00131FF8" w:rsidP="006D7D07">
            <w:pPr>
              <w:pStyle w:val="TableText1"/>
              <w:rPr>
                <w:rFonts w:cs="Arial"/>
                <w:sz w:val="20"/>
                <w:szCs w:val="20"/>
              </w:rPr>
            </w:pPr>
          </w:p>
        </w:tc>
        <w:tc>
          <w:tcPr>
            <w:tcW w:w="1985" w:type="dxa"/>
          </w:tcPr>
          <w:p w14:paraId="2558F0D5" w14:textId="77777777" w:rsidR="00131FF8" w:rsidRDefault="00131FF8" w:rsidP="00131FF8">
            <w:pPr>
              <w:pStyle w:val="TableText1"/>
              <w:rPr>
                <w:rFonts w:cs="Arial"/>
                <w:bCs/>
                <w:sz w:val="20"/>
                <w:szCs w:val="20"/>
              </w:rPr>
            </w:pPr>
          </w:p>
          <w:p w14:paraId="0A76F2BD" w14:textId="30B18570" w:rsidR="00131FF8" w:rsidRPr="00131FF8" w:rsidRDefault="00131FF8" w:rsidP="00131FF8">
            <w:pPr>
              <w:pStyle w:val="TableText1"/>
              <w:rPr>
                <w:rFonts w:cs="Arial"/>
                <w:bCs/>
                <w:sz w:val="20"/>
                <w:szCs w:val="20"/>
              </w:rPr>
            </w:pPr>
            <w:r w:rsidRPr="00131FF8">
              <w:rPr>
                <w:rFonts w:cs="Arial"/>
                <w:bCs/>
                <w:sz w:val="20"/>
                <w:szCs w:val="20"/>
              </w:rPr>
              <w:t>SANOFI</w:t>
            </w:r>
          </w:p>
          <w:p w14:paraId="57C9CC22" w14:textId="77777777" w:rsidR="00131FF8" w:rsidRDefault="00131FF8" w:rsidP="00FF4A09">
            <w:pPr>
              <w:pStyle w:val="TableText1"/>
              <w:rPr>
                <w:rFonts w:cs="Arial"/>
                <w:bCs/>
                <w:sz w:val="20"/>
                <w:szCs w:val="20"/>
              </w:rPr>
            </w:pPr>
          </w:p>
        </w:tc>
        <w:tc>
          <w:tcPr>
            <w:tcW w:w="11198" w:type="dxa"/>
          </w:tcPr>
          <w:p w14:paraId="124D09F6" w14:textId="77777777" w:rsidR="00131FF8" w:rsidRPr="00131FF8" w:rsidRDefault="00131FF8" w:rsidP="00131FF8">
            <w:pPr>
              <w:rPr>
                <w:rFonts w:ascii="Arial" w:hAnsi="Arial" w:cs="Arial"/>
                <w:bCs/>
                <w:sz w:val="20"/>
                <w:szCs w:val="20"/>
              </w:rPr>
            </w:pPr>
            <w:r w:rsidRPr="00131FF8">
              <w:rPr>
                <w:rFonts w:ascii="Arial" w:hAnsi="Arial" w:cs="Arial"/>
                <w:bCs/>
                <w:sz w:val="20"/>
                <w:szCs w:val="20"/>
              </w:rPr>
              <w:t>Recommendation to include two further indicators to support the CVD prevention plan within the long term plan and current NICE guidelines to identify and manage patients with Familial Hypocholesteraemia</w:t>
            </w:r>
          </w:p>
          <w:p w14:paraId="3083D8EB" w14:textId="77777777" w:rsidR="00131FF8" w:rsidRPr="00131FF8" w:rsidRDefault="00131FF8" w:rsidP="00131FF8">
            <w:pPr>
              <w:numPr>
                <w:ilvl w:val="0"/>
                <w:numId w:val="26"/>
              </w:numPr>
              <w:rPr>
                <w:rFonts w:ascii="Arial" w:hAnsi="Arial" w:cs="Arial"/>
                <w:bCs/>
                <w:sz w:val="20"/>
                <w:szCs w:val="20"/>
              </w:rPr>
            </w:pPr>
            <w:r w:rsidRPr="00131FF8">
              <w:rPr>
                <w:rFonts w:ascii="Arial" w:hAnsi="Arial" w:cs="Arial"/>
                <w:bCs/>
                <w:sz w:val="20"/>
                <w:szCs w:val="20"/>
              </w:rPr>
              <w:t xml:space="preserve">The percentage of people aged 60 years and younger who have had an emergency admission for a cardiovascular event in the last year, that are assessed against the Simon Broome or Dutch Lipid Clinic Network (DLCN) criteria. </w:t>
            </w:r>
          </w:p>
          <w:p w14:paraId="4D256BD6" w14:textId="77777777" w:rsidR="00131FF8" w:rsidRPr="00131FF8" w:rsidRDefault="00131FF8" w:rsidP="00131FF8">
            <w:pPr>
              <w:numPr>
                <w:ilvl w:val="0"/>
                <w:numId w:val="27"/>
              </w:numPr>
              <w:rPr>
                <w:rFonts w:ascii="Arial" w:hAnsi="Arial" w:cs="Arial"/>
                <w:b/>
                <w:bCs/>
                <w:sz w:val="20"/>
                <w:szCs w:val="20"/>
              </w:rPr>
            </w:pPr>
            <w:r w:rsidRPr="00131FF8">
              <w:rPr>
                <w:rFonts w:ascii="Arial" w:hAnsi="Arial" w:cs="Arial"/>
                <w:b/>
                <w:bCs/>
                <w:sz w:val="20"/>
                <w:szCs w:val="20"/>
              </w:rPr>
              <w:t xml:space="preserve">Evidence base - NICE guidance CG71 (2017) Familial Hypercholesterolaemia: identification and management. </w:t>
            </w:r>
          </w:p>
          <w:p w14:paraId="2FA6E0FC" w14:textId="77777777" w:rsidR="00131FF8" w:rsidRPr="00131FF8" w:rsidRDefault="00131FF8" w:rsidP="00131FF8">
            <w:pPr>
              <w:numPr>
                <w:ilvl w:val="0"/>
                <w:numId w:val="27"/>
              </w:numPr>
              <w:rPr>
                <w:rFonts w:ascii="Arial" w:hAnsi="Arial" w:cs="Arial"/>
                <w:bCs/>
                <w:i/>
                <w:sz w:val="20"/>
                <w:szCs w:val="20"/>
              </w:rPr>
            </w:pPr>
            <w:r w:rsidRPr="00131FF8">
              <w:rPr>
                <w:rFonts w:ascii="Arial" w:hAnsi="Arial" w:cs="Arial"/>
                <w:bCs/>
                <w:i/>
                <w:sz w:val="20"/>
                <w:szCs w:val="20"/>
              </w:rPr>
              <w:t>1.1.3 For people with a personal or family history of premature coronary heart disease (an event before 60 years in an index individual or first-degree relative), but whose total cholesterol is unknown, offer to measure their total cholesterol</w:t>
            </w:r>
          </w:p>
          <w:p w14:paraId="30120122" w14:textId="77777777" w:rsidR="00131FF8" w:rsidRPr="00131FF8" w:rsidRDefault="00131FF8" w:rsidP="00131FF8">
            <w:pPr>
              <w:numPr>
                <w:ilvl w:val="0"/>
                <w:numId w:val="26"/>
              </w:numPr>
              <w:rPr>
                <w:rFonts w:ascii="Arial" w:hAnsi="Arial" w:cs="Arial"/>
                <w:bCs/>
                <w:sz w:val="20"/>
                <w:szCs w:val="20"/>
              </w:rPr>
            </w:pPr>
            <w:r w:rsidRPr="00131FF8">
              <w:rPr>
                <w:rFonts w:ascii="Arial" w:hAnsi="Arial" w:cs="Arial"/>
                <w:bCs/>
                <w:sz w:val="20"/>
                <w:szCs w:val="20"/>
              </w:rPr>
              <w:t xml:space="preserve">The percentage of people who have had an emergency admission for a cardiovascular event in the last year and are on maximum statin therapy, that are assessed against the Simon Broome or Dutch Lipid Clinic Network (DLCN) criteria. </w:t>
            </w:r>
          </w:p>
          <w:p w14:paraId="3DC24A2C" w14:textId="77777777" w:rsidR="00131FF8" w:rsidRPr="00131FF8" w:rsidRDefault="00131FF8" w:rsidP="00131FF8">
            <w:pPr>
              <w:numPr>
                <w:ilvl w:val="0"/>
                <w:numId w:val="27"/>
              </w:numPr>
              <w:rPr>
                <w:rFonts w:ascii="Arial" w:hAnsi="Arial" w:cs="Arial"/>
                <w:b/>
                <w:bCs/>
                <w:sz w:val="20"/>
                <w:szCs w:val="20"/>
              </w:rPr>
            </w:pPr>
            <w:r w:rsidRPr="00131FF8">
              <w:rPr>
                <w:rFonts w:ascii="Arial" w:hAnsi="Arial" w:cs="Arial"/>
                <w:b/>
                <w:bCs/>
                <w:sz w:val="20"/>
                <w:szCs w:val="20"/>
              </w:rPr>
              <w:t xml:space="preserve">Evidence base - NICE guidance CG71 (2017) Familial Hypercholesterolaemia: identification and management. </w:t>
            </w:r>
          </w:p>
          <w:p w14:paraId="61A44523" w14:textId="77777777" w:rsidR="00131FF8" w:rsidRPr="00131FF8" w:rsidRDefault="00131FF8" w:rsidP="00131FF8">
            <w:pPr>
              <w:numPr>
                <w:ilvl w:val="0"/>
                <w:numId w:val="27"/>
              </w:numPr>
              <w:rPr>
                <w:rFonts w:ascii="Arial" w:hAnsi="Arial" w:cs="Arial"/>
                <w:bCs/>
                <w:i/>
                <w:sz w:val="20"/>
                <w:szCs w:val="20"/>
              </w:rPr>
            </w:pPr>
            <w:r w:rsidRPr="00131FF8">
              <w:rPr>
                <w:rFonts w:ascii="Arial" w:hAnsi="Arial" w:cs="Arial"/>
                <w:bCs/>
                <w:i/>
                <w:sz w:val="20"/>
                <w:szCs w:val="20"/>
              </w:rPr>
              <w:lastRenderedPageBreak/>
              <w:t>1.1.3 For people with a personal or family history of premature coronary heart disease (an event before 60 years in an index individual or first-degree relative), but whose total cholesterol is unknown, offer to measure their total cholesterol</w:t>
            </w:r>
          </w:p>
          <w:p w14:paraId="75FD30AB" w14:textId="77777777" w:rsidR="00131FF8" w:rsidRPr="00131FF8" w:rsidRDefault="00131FF8" w:rsidP="00131FF8">
            <w:pPr>
              <w:numPr>
                <w:ilvl w:val="0"/>
                <w:numId w:val="27"/>
              </w:numPr>
              <w:rPr>
                <w:rFonts w:ascii="Arial" w:hAnsi="Arial" w:cs="Arial"/>
                <w:b/>
                <w:bCs/>
                <w:sz w:val="20"/>
                <w:szCs w:val="20"/>
              </w:rPr>
            </w:pPr>
            <w:r w:rsidRPr="00131FF8">
              <w:rPr>
                <w:rFonts w:ascii="Arial" w:hAnsi="Arial" w:cs="Arial"/>
                <w:b/>
                <w:bCs/>
                <w:sz w:val="20"/>
                <w:szCs w:val="20"/>
              </w:rPr>
              <w:t>Evidence base - NICE guidance CG181 (2016) Cardiovascular disease: risk assessment and reduction, including lipid modification</w:t>
            </w:r>
          </w:p>
          <w:p w14:paraId="0D4111FA" w14:textId="77777777" w:rsidR="00131FF8" w:rsidRPr="00131FF8" w:rsidRDefault="00131FF8" w:rsidP="00131FF8">
            <w:pPr>
              <w:numPr>
                <w:ilvl w:val="0"/>
                <w:numId w:val="27"/>
              </w:numPr>
              <w:rPr>
                <w:rFonts w:ascii="Arial" w:hAnsi="Arial" w:cs="Arial"/>
                <w:b/>
                <w:bCs/>
                <w:i/>
                <w:sz w:val="20"/>
                <w:szCs w:val="20"/>
              </w:rPr>
            </w:pPr>
            <w:r w:rsidRPr="00131FF8">
              <w:rPr>
                <w:rFonts w:ascii="Arial" w:hAnsi="Arial" w:cs="Arial"/>
                <w:bCs/>
                <w:i/>
                <w:sz w:val="20"/>
                <w:szCs w:val="20"/>
              </w:rPr>
              <w:t>1.3.21 Do not delay statin treatment in secondary prevention to manage modifiable risk factors.</w:t>
            </w:r>
          </w:p>
          <w:p w14:paraId="145B4F0F" w14:textId="77777777" w:rsidR="00131FF8" w:rsidRPr="00131FF8" w:rsidRDefault="00131FF8" w:rsidP="00131FF8">
            <w:pPr>
              <w:numPr>
                <w:ilvl w:val="0"/>
                <w:numId w:val="27"/>
              </w:numPr>
              <w:rPr>
                <w:rFonts w:ascii="Arial" w:hAnsi="Arial" w:cs="Arial"/>
                <w:b/>
                <w:bCs/>
                <w:i/>
                <w:sz w:val="20"/>
                <w:szCs w:val="20"/>
              </w:rPr>
            </w:pPr>
            <w:r w:rsidRPr="00131FF8">
              <w:rPr>
                <w:rFonts w:ascii="Arial" w:hAnsi="Arial" w:cs="Arial"/>
                <w:bCs/>
                <w:i/>
                <w:sz w:val="20"/>
                <w:szCs w:val="20"/>
              </w:rPr>
              <w:t>1.3.22 If a person has acute coronary syndrome, do not delay statin treatment. Take a lipid sample on admission and about 3 months after the start of treatment</w:t>
            </w:r>
          </w:p>
          <w:p w14:paraId="73A90858" w14:textId="77777777" w:rsidR="00131FF8" w:rsidRPr="00131FF8" w:rsidRDefault="00131FF8" w:rsidP="00131FF8">
            <w:pPr>
              <w:rPr>
                <w:rFonts w:ascii="Arial" w:hAnsi="Arial" w:cs="Arial"/>
                <w:bCs/>
                <w:sz w:val="20"/>
                <w:szCs w:val="20"/>
              </w:rPr>
            </w:pPr>
          </w:p>
        </w:tc>
      </w:tr>
      <w:tr w:rsidR="006D7D07" w:rsidRPr="005E75EE" w14:paraId="30B7BD00" w14:textId="77777777" w:rsidTr="007249A6">
        <w:tc>
          <w:tcPr>
            <w:tcW w:w="562" w:type="dxa"/>
          </w:tcPr>
          <w:p w14:paraId="2B40DA11" w14:textId="10686BF5" w:rsidR="006D7D07" w:rsidRDefault="008679F3" w:rsidP="006D7D07">
            <w:pPr>
              <w:pStyle w:val="TableText1"/>
              <w:jc w:val="center"/>
              <w:rPr>
                <w:rFonts w:cs="Arial"/>
                <w:sz w:val="20"/>
                <w:szCs w:val="20"/>
              </w:rPr>
            </w:pPr>
            <w:r>
              <w:rPr>
                <w:rFonts w:cs="Arial"/>
                <w:sz w:val="20"/>
                <w:szCs w:val="20"/>
              </w:rPr>
              <w:lastRenderedPageBreak/>
              <w:t>7</w:t>
            </w:r>
          </w:p>
          <w:p w14:paraId="655828F4" w14:textId="6C8AFE0B" w:rsidR="006D7D07" w:rsidRDefault="006D7D07" w:rsidP="006D7D07">
            <w:pPr>
              <w:pStyle w:val="TableText1"/>
              <w:jc w:val="center"/>
              <w:rPr>
                <w:rFonts w:cs="Arial"/>
                <w:sz w:val="20"/>
                <w:szCs w:val="20"/>
              </w:rPr>
            </w:pPr>
          </w:p>
        </w:tc>
        <w:tc>
          <w:tcPr>
            <w:tcW w:w="1139" w:type="dxa"/>
          </w:tcPr>
          <w:p w14:paraId="0228182C" w14:textId="34AF6E3F" w:rsidR="006D7D07" w:rsidRPr="00913C26" w:rsidRDefault="006D7D07" w:rsidP="006D7D07">
            <w:pPr>
              <w:pStyle w:val="TableText1"/>
              <w:rPr>
                <w:rFonts w:cs="Arial"/>
                <w:sz w:val="20"/>
                <w:szCs w:val="20"/>
              </w:rPr>
            </w:pPr>
            <w:r w:rsidRPr="00913C26">
              <w:rPr>
                <w:rFonts w:cs="Arial"/>
                <w:sz w:val="20"/>
                <w:szCs w:val="20"/>
              </w:rPr>
              <w:t>General</w:t>
            </w:r>
          </w:p>
        </w:tc>
        <w:tc>
          <w:tcPr>
            <w:tcW w:w="1985" w:type="dxa"/>
          </w:tcPr>
          <w:p w14:paraId="5734094E" w14:textId="13351468" w:rsidR="006D7D07" w:rsidRPr="00913C26" w:rsidRDefault="006D7D07" w:rsidP="006D7D07">
            <w:pPr>
              <w:pStyle w:val="TableText1"/>
              <w:rPr>
                <w:rFonts w:cs="Arial"/>
                <w:sz w:val="20"/>
                <w:szCs w:val="20"/>
              </w:rPr>
            </w:pPr>
            <w:r w:rsidRPr="00913C26">
              <w:rPr>
                <w:rFonts w:cs="Arial"/>
                <w:sz w:val="20"/>
                <w:szCs w:val="20"/>
              </w:rPr>
              <w:t>AMGEN Ltd</w:t>
            </w:r>
          </w:p>
        </w:tc>
        <w:tc>
          <w:tcPr>
            <w:tcW w:w="11198" w:type="dxa"/>
          </w:tcPr>
          <w:p w14:paraId="765C8443" w14:textId="03ACFCED" w:rsidR="006D7D07" w:rsidRPr="00E95A76" w:rsidRDefault="006D7D07" w:rsidP="006D7D07">
            <w:pPr>
              <w:rPr>
                <w:rFonts w:ascii="Arial" w:hAnsi="Arial" w:cs="Arial"/>
                <w:sz w:val="20"/>
                <w:szCs w:val="20"/>
              </w:rPr>
            </w:pPr>
            <w:bookmarkStart w:id="38" w:name="_Hlk9241112"/>
            <w:r w:rsidRPr="00E95A76">
              <w:rPr>
                <w:rFonts w:ascii="Arial" w:hAnsi="Arial" w:cs="Arial"/>
                <w:sz w:val="20"/>
                <w:szCs w:val="20"/>
              </w:rPr>
              <w:t>The three current indicators under consultation, referenced above, appropriately seek to improve the identification and management of patients with suspected FH.  Based on the prevalence of FH, however, there will be a significantly larger population of patients who have already suffered cardiovascular events, without FH, who remain at very high risk of further avoidable events and who should be appropriately managed. Given the complete lack of indicators for identification and management of patients’ cholesterol in those who have already suffered a cardiovascular event (secondary prevention) these current indicators do not go far enough.</w:t>
            </w:r>
          </w:p>
          <w:p w14:paraId="564AFE2B" w14:textId="77777777" w:rsidR="006D7D07" w:rsidRPr="00E95A76" w:rsidRDefault="006D7D07" w:rsidP="006D7D07">
            <w:pPr>
              <w:rPr>
                <w:rFonts w:ascii="Arial" w:hAnsi="Arial" w:cs="Arial"/>
                <w:sz w:val="20"/>
                <w:szCs w:val="20"/>
              </w:rPr>
            </w:pPr>
          </w:p>
          <w:bookmarkEnd w:id="38"/>
          <w:p w14:paraId="16058CF8" w14:textId="77777777" w:rsidR="006D7D07" w:rsidRPr="00E95A76" w:rsidRDefault="006D7D07" w:rsidP="006D7D07">
            <w:pPr>
              <w:rPr>
                <w:rFonts w:ascii="Arial" w:hAnsi="Arial" w:cs="Arial"/>
                <w:sz w:val="20"/>
                <w:szCs w:val="20"/>
              </w:rPr>
            </w:pPr>
            <w:r w:rsidRPr="00E95A76">
              <w:rPr>
                <w:rFonts w:ascii="Arial" w:hAnsi="Arial" w:cs="Arial"/>
                <w:sz w:val="20"/>
                <w:szCs w:val="20"/>
              </w:rPr>
              <w:t xml:space="preserve">QOF currently supports improved management of raised blood pressure and atrial fibrillation, but notably does not address the issue of raised cholesterol in secondary prevention patients and as such is out of step with the NHS Long Term Plan. As demonstrated in the report that accompanied the QOF review </w:t>
            </w:r>
            <w:r w:rsidRPr="00E95A76">
              <w:rPr>
                <w:rFonts w:ascii="Arial" w:hAnsi="Arial" w:cs="Arial"/>
                <w:bCs/>
                <w:sz w:val="20"/>
                <w:szCs w:val="20"/>
              </w:rPr>
              <w:t>[1]</w:t>
            </w:r>
            <w:r w:rsidRPr="00E95A76">
              <w:rPr>
                <w:rFonts w:ascii="Arial" w:hAnsi="Arial" w:cs="Arial"/>
                <w:sz w:val="20"/>
                <w:szCs w:val="20"/>
              </w:rPr>
              <w:t xml:space="preserve">, removal of indicators incentivising active identification and management has led to a drop off in performance in this indicator for secondary prevention patients putting them at risk of avoidable CVD events. </w:t>
            </w:r>
          </w:p>
          <w:p w14:paraId="6DFDB54C" w14:textId="77777777" w:rsidR="006D7D07" w:rsidRPr="00E95A76" w:rsidRDefault="006D7D07" w:rsidP="006D7D07">
            <w:pPr>
              <w:rPr>
                <w:rFonts w:ascii="Arial" w:hAnsi="Arial" w:cs="Arial"/>
                <w:sz w:val="20"/>
                <w:szCs w:val="20"/>
              </w:rPr>
            </w:pPr>
          </w:p>
          <w:p w14:paraId="39210F15" w14:textId="77777777" w:rsidR="006D7D07" w:rsidRPr="00E95A76" w:rsidRDefault="006D7D07" w:rsidP="006D7D07">
            <w:pPr>
              <w:rPr>
                <w:rFonts w:ascii="Arial" w:hAnsi="Arial" w:cs="Arial"/>
                <w:b/>
                <w:sz w:val="20"/>
                <w:szCs w:val="20"/>
              </w:rPr>
            </w:pPr>
            <w:r w:rsidRPr="00E95A76">
              <w:rPr>
                <w:rFonts w:ascii="Arial" w:hAnsi="Arial" w:cs="Arial"/>
                <w:sz w:val="20"/>
                <w:szCs w:val="20"/>
              </w:rPr>
              <w:t xml:space="preserve">In addition, recent UK figures highlighted by the British Heart Foundation (BHF) have shown that deaths from heart and circulatory diseases among people under 75 is on the rise for the first time in 50 years [2]. </w:t>
            </w:r>
            <w:r w:rsidRPr="00E95A76">
              <w:rPr>
                <w:rFonts w:ascii="Arial" w:hAnsi="Arial" w:cs="Arial"/>
                <w:b/>
                <w:sz w:val="20"/>
                <w:szCs w:val="20"/>
              </w:rPr>
              <w:t>Indicators should therefore include factors such as:</w:t>
            </w:r>
          </w:p>
          <w:p w14:paraId="444C76D0" w14:textId="77777777" w:rsidR="006D7D07" w:rsidRPr="00E95A76" w:rsidRDefault="006D7D07" w:rsidP="006D7D07">
            <w:pPr>
              <w:rPr>
                <w:rFonts w:ascii="Arial" w:hAnsi="Arial" w:cs="Arial"/>
                <w:sz w:val="20"/>
                <w:szCs w:val="20"/>
              </w:rPr>
            </w:pPr>
            <w:r w:rsidRPr="00E95A76">
              <w:rPr>
                <w:rFonts w:ascii="Arial" w:hAnsi="Arial" w:cs="Arial"/>
                <w:sz w:val="20"/>
                <w:szCs w:val="20"/>
              </w:rPr>
              <w:t>% patients who have suffered an MI or stroke in the previous 12 months that are taking a high intensity statin / atorvastatin 80mg.</w:t>
            </w:r>
          </w:p>
          <w:p w14:paraId="4476EFC4" w14:textId="77777777" w:rsidR="006D7D07" w:rsidRPr="00E95A76" w:rsidRDefault="006D7D07" w:rsidP="006D7D07">
            <w:pPr>
              <w:rPr>
                <w:rFonts w:ascii="Arial" w:hAnsi="Arial" w:cs="Arial"/>
                <w:sz w:val="20"/>
                <w:szCs w:val="20"/>
              </w:rPr>
            </w:pPr>
            <w:r w:rsidRPr="00E95A76">
              <w:rPr>
                <w:rFonts w:ascii="Arial" w:hAnsi="Arial" w:cs="Arial"/>
                <w:sz w:val="20"/>
                <w:szCs w:val="20"/>
              </w:rPr>
              <w:t>% patients who have suffered an MI or stroke in the previous 12 months whose total cholesterol is below 5mmol/l.</w:t>
            </w:r>
          </w:p>
          <w:p w14:paraId="21D902C1" w14:textId="77777777" w:rsidR="006D7D07" w:rsidRPr="00E95A76" w:rsidRDefault="006D7D07" w:rsidP="006D7D07">
            <w:pPr>
              <w:rPr>
                <w:rFonts w:ascii="Arial" w:hAnsi="Arial" w:cs="Arial"/>
                <w:sz w:val="20"/>
                <w:szCs w:val="20"/>
              </w:rPr>
            </w:pPr>
          </w:p>
          <w:p w14:paraId="1D4B63B5" w14:textId="77777777" w:rsidR="006D7D07" w:rsidRPr="00E95A76" w:rsidRDefault="006D7D07" w:rsidP="006D7D07">
            <w:pPr>
              <w:rPr>
                <w:rFonts w:ascii="Arial" w:hAnsi="Arial" w:cs="Arial"/>
                <w:b/>
                <w:sz w:val="20"/>
                <w:szCs w:val="20"/>
              </w:rPr>
            </w:pPr>
            <w:bookmarkStart w:id="39" w:name="_Hlk9241406"/>
            <w:r w:rsidRPr="00E95A76">
              <w:rPr>
                <w:rFonts w:ascii="Arial" w:hAnsi="Arial" w:cs="Arial"/>
                <w:b/>
                <w:sz w:val="20"/>
                <w:szCs w:val="20"/>
              </w:rPr>
              <w:t>We therefore suggest that additional NICE and QOF indicators are introduced to ensure patients at the highest risk of suffering further cardiovascular events are appropriately managed in order to improve outcomes in line with aspirations of the NHS Long Term Plan.</w:t>
            </w:r>
          </w:p>
          <w:bookmarkEnd w:id="39"/>
          <w:p w14:paraId="703CD611" w14:textId="77777777" w:rsidR="006D7D07" w:rsidRPr="00E95A76" w:rsidRDefault="006D7D07" w:rsidP="006D7D07">
            <w:pPr>
              <w:rPr>
                <w:rFonts w:ascii="Arial" w:hAnsi="Arial" w:cs="Arial"/>
                <w:sz w:val="20"/>
                <w:szCs w:val="20"/>
              </w:rPr>
            </w:pPr>
          </w:p>
          <w:p w14:paraId="68ED36AB" w14:textId="77777777" w:rsidR="006D7D07" w:rsidRPr="00E95A76" w:rsidRDefault="006D7D07" w:rsidP="006D7D07">
            <w:pPr>
              <w:pStyle w:val="Default"/>
              <w:rPr>
                <w:rFonts w:ascii="Arial" w:hAnsi="Arial" w:cs="Arial"/>
                <w:color w:val="auto"/>
                <w:sz w:val="20"/>
                <w:szCs w:val="20"/>
              </w:rPr>
            </w:pPr>
            <w:r w:rsidRPr="00E95A76">
              <w:rPr>
                <w:rFonts w:ascii="Arial" w:hAnsi="Arial" w:cs="Arial"/>
                <w:bCs/>
                <w:color w:val="auto"/>
                <w:sz w:val="20"/>
                <w:szCs w:val="20"/>
              </w:rPr>
              <w:t xml:space="preserve">[1] IMPACT OF REMOVING INDICATORS FROM THE QUALITY AND OUTCOMES FRAMEWORK: RETROSPECTIVE STUDY USING INDIVIDUAL PATIENT DATA IN ENGLAND. </w:t>
            </w:r>
            <w:r w:rsidRPr="00E95A76">
              <w:rPr>
                <w:rFonts w:ascii="Arial" w:hAnsi="Arial" w:cs="Arial"/>
                <w:color w:val="auto"/>
                <w:sz w:val="20"/>
                <w:szCs w:val="20"/>
              </w:rPr>
              <w:t>Policy Research Unit in Commissioning and the Healthcare System, June 28</w:t>
            </w:r>
            <w:r w:rsidRPr="00E95A76">
              <w:rPr>
                <w:rFonts w:ascii="Arial" w:hAnsi="Arial" w:cs="Arial"/>
                <w:color w:val="auto"/>
                <w:sz w:val="20"/>
                <w:szCs w:val="20"/>
                <w:vertAlign w:val="superscript"/>
              </w:rPr>
              <w:t>th</w:t>
            </w:r>
            <w:r w:rsidRPr="00E95A76">
              <w:rPr>
                <w:rFonts w:ascii="Arial" w:hAnsi="Arial" w:cs="Arial"/>
                <w:color w:val="auto"/>
                <w:sz w:val="20"/>
                <w:szCs w:val="20"/>
              </w:rPr>
              <w:t>, 2018.</w:t>
            </w:r>
          </w:p>
          <w:p w14:paraId="0255CD75" w14:textId="6F573EEC" w:rsidR="006D7D07" w:rsidRPr="00E95A76" w:rsidRDefault="006D7D07" w:rsidP="006D7D07">
            <w:pPr>
              <w:rPr>
                <w:rFonts w:ascii="Arial" w:hAnsi="Arial" w:cs="Arial"/>
                <w:sz w:val="20"/>
                <w:szCs w:val="20"/>
              </w:rPr>
            </w:pPr>
            <w:r w:rsidRPr="00E95A76">
              <w:rPr>
                <w:rFonts w:ascii="Arial" w:hAnsi="Arial" w:cs="Arial"/>
                <w:sz w:val="20"/>
                <w:szCs w:val="20"/>
              </w:rPr>
              <w:t xml:space="preserve">[2] </w:t>
            </w:r>
            <w:r w:rsidRPr="00E95A76">
              <w:rPr>
                <w:rFonts w:ascii="Arial" w:hAnsi="Arial" w:cs="Arial"/>
                <w:sz w:val="20"/>
                <w:szCs w:val="20"/>
                <w:lang w:val="en"/>
              </w:rPr>
              <w:t>13 May 2019    </w:t>
            </w:r>
            <w:r w:rsidRPr="00E95A76">
              <w:rPr>
                <w:rFonts w:ascii="Arial" w:hAnsi="Arial" w:cs="Arial"/>
                <w:sz w:val="20"/>
                <w:szCs w:val="20"/>
              </w:rPr>
              <w:t xml:space="preserve">  https://www.bhf.org.uk/what-we-do/news-from-the-bhf/news-archive/2019/may/heart-and-circulatory-disease-deaths-in-under-75s-see-first-sustained-rise-in-50-years</w:t>
            </w:r>
          </w:p>
        </w:tc>
      </w:tr>
      <w:tr w:rsidR="005F7E16" w:rsidRPr="005E75EE" w14:paraId="29B25BF3" w14:textId="77777777" w:rsidTr="007249A6">
        <w:tc>
          <w:tcPr>
            <w:tcW w:w="562" w:type="dxa"/>
          </w:tcPr>
          <w:p w14:paraId="0DE57DD4" w14:textId="20A43B87" w:rsidR="005F7E16" w:rsidRPr="00406712" w:rsidRDefault="008679F3" w:rsidP="005F7E16">
            <w:pPr>
              <w:pStyle w:val="TableText1"/>
              <w:jc w:val="center"/>
              <w:rPr>
                <w:rFonts w:cs="Arial"/>
                <w:sz w:val="20"/>
                <w:szCs w:val="20"/>
              </w:rPr>
            </w:pPr>
            <w:r>
              <w:rPr>
                <w:rFonts w:cs="Arial"/>
                <w:sz w:val="20"/>
                <w:szCs w:val="20"/>
              </w:rPr>
              <w:lastRenderedPageBreak/>
              <w:t>8</w:t>
            </w:r>
          </w:p>
        </w:tc>
        <w:tc>
          <w:tcPr>
            <w:tcW w:w="1139" w:type="dxa"/>
          </w:tcPr>
          <w:p w14:paraId="3818D8F3" w14:textId="54704649" w:rsidR="005F7E16" w:rsidRPr="00913C26" w:rsidRDefault="005F7E16" w:rsidP="005F7E16">
            <w:pPr>
              <w:pStyle w:val="TableText1"/>
              <w:rPr>
                <w:rFonts w:cs="Arial"/>
                <w:szCs w:val="20"/>
              </w:rPr>
            </w:pPr>
            <w:r w:rsidRPr="00913C26">
              <w:rPr>
                <w:rFonts w:cs="Arial"/>
                <w:sz w:val="20"/>
                <w:szCs w:val="20"/>
              </w:rPr>
              <w:t>IND8</w:t>
            </w:r>
          </w:p>
        </w:tc>
        <w:tc>
          <w:tcPr>
            <w:tcW w:w="1985" w:type="dxa"/>
          </w:tcPr>
          <w:p w14:paraId="2C47BF31" w14:textId="0C841FAB" w:rsidR="005F7E16" w:rsidRPr="00913C26" w:rsidRDefault="005F7E16" w:rsidP="005F7E16">
            <w:pPr>
              <w:pStyle w:val="TableText1"/>
              <w:rPr>
                <w:rFonts w:cs="Arial"/>
                <w:szCs w:val="20"/>
              </w:rPr>
            </w:pPr>
            <w:r w:rsidRPr="00913C26">
              <w:rPr>
                <w:rFonts w:cs="Arial"/>
                <w:sz w:val="20"/>
                <w:szCs w:val="20"/>
              </w:rPr>
              <w:t>Royal College of Nursing</w:t>
            </w:r>
          </w:p>
        </w:tc>
        <w:tc>
          <w:tcPr>
            <w:tcW w:w="11198" w:type="dxa"/>
          </w:tcPr>
          <w:p w14:paraId="2AEC9BA1" w14:textId="77777777" w:rsidR="005F7E16" w:rsidRPr="00F53FCB" w:rsidRDefault="005F7E16" w:rsidP="005F7E16">
            <w:pPr>
              <w:rPr>
                <w:rFonts w:ascii="Arial" w:hAnsi="Arial" w:cs="Arial"/>
                <w:sz w:val="20"/>
                <w:szCs w:val="20"/>
              </w:rPr>
            </w:pPr>
            <w:r w:rsidRPr="00F53FCB">
              <w:rPr>
                <w:rFonts w:ascii="Arial" w:hAnsi="Arial" w:cs="Arial"/>
                <w:sz w:val="20"/>
                <w:szCs w:val="20"/>
              </w:rPr>
              <w:t xml:space="preserve">This is an important new indicator as currently the number of people who have been identified with FH is very low. Early identification and referral for treatment will have a significant impact on reducing mortality and morbidity. </w:t>
            </w:r>
          </w:p>
          <w:p w14:paraId="521B4B93" w14:textId="77777777" w:rsidR="005F7E16" w:rsidRPr="00F53FCB" w:rsidRDefault="005F7E16" w:rsidP="005F7E16">
            <w:pPr>
              <w:rPr>
                <w:rFonts w:ascii="Arial" w:hAnsi="Arial" w:cs="Arial"/>
                <w:sz w:val="20"/>
                <w:szCs w:val="20"/>
              </w:rPr>
            </w:pPr>
          </w:p>
          <w:p w14:paraId="577E7744" w14:textId="7C2F294E" w:rsidR="005F7E16" w:rsidRPr="005E75EE" w:rsidRDefault="005F7E16" w:rsidP="005F7E16">
            <w:pPr>
              <w:pStyle w:val="TableText1"/>
              <w:rPr>
                <w:rFonts w:cs="Arial"/>
                <w:szCs w:val="20"/>
              </w:rPr>
            </w:pPr>
            <w:r w:rsidRPr="00F53FCB">
              <w:rPr>
                <w:rFonts w:cs="Arial"/>
                <w:sz w:val="20"/>
                <w:szCs w:val="20"/>
              </w:rPr>
              <w:t>The difficulty will be in ensuring that people under the age of forty get their cholesterol levels checked and identifying those in which this check should be done could be a challenge.</w:t>
            </w:r>
          </w:p>
        </w:tc>
      </w:tr>
      <w:tr w:rsidR="005F7E16" w:rsidRPr="005E75EE" w14:paraId="0B7D136A" w14:textId="77777777" w:rsidTr="007249A6">
        <w:trPr>
          <w:trHeight w:val="214"/>
        </w:trPr>
        <w:tc>
          <w:tcPr>
            <w:tcW w:w="562" w:type="dxa"/>
          </w:tcPr>
          <w:p w14:paraId="0D4CEDCD" w14:textId="43A9926A" w:rsidR="005F7E16" w:rsidRDefault="005F7E16" w:rsidP="005F7E16">
            <w:pPr>
              <w:pStyle w:val="TableText1"/>
              <w:rPr>
                <w:rFonts w:cs="Arial"/>
                <w:sz w:val="20"/>
                <w:szCs w:val="20"/>
              </w:rPr>
            </w:pPr>
            <w:r>
              <w:rPr>
                <w:rFonts w:cs="Arial"/>
                <w:sz w:val="20"/>
                <w:szCs w:val="20"/>
              </w:rPr>
              <w:t xml:space="preserve">  </w:t>
            </w:r>
            <w:r w:rsidR="008679F3">
              <w:rPr>
                <w:rFonts w:cs="Arial"/>
                <w:sz w:val="20"/>
                <w:szCs w:val="20"/>
              </w:rPr>
              <w:t>9</w:t>
            </w:r>
          </w:p>
        </w:tc>
        <w:tc>
          <w:tcPr>
            <w:tcW w:w="1139" w:type="dxa"/>
          </w:tcPr>
          <w:p w14:paraId="5B4B8D6A" w14:textId="1B9424DB" w:rsidR="005F7E16" w:rsidRPr="00913C26" w:rsidRDefault="005F7E16" w:rsidP="005F7E16">
            <w:pPr>
              <w:pStyle w:val="TableText1"/>
              <w:rPr>
                <w:rFonts w:cs="Arial"/>
                <w:color w:val="000000"/>
                <w:sz w:val="20"/>
                <w:szCs w:val="20"/>
              </w:rPr>
            </w:pPr>
            <w:r w:rsidRPr="00913C26">
              <w:rPr>
                <w:rFonts w:cs="Arial"/>
                <w:sz w:val="20"/>
                <w:szCs w:val="20"/>
              </w:rPr>
              <w:t xml:space="preserve">IND8 </w:t>
            </w:r>
          </w:p>
        </w:tc>
        <w:tc>
          <w:tcPr>
            <w:tcW w:w="1985" w:type="dxa"/>
          </w:tcPr>
          <w:p w14:paraId="7C7D0155" w14:textId="771B63B1" w:rsidR="005F7E16" w:rsidRPr="00913C26" w:rsidRDefault="005F7E16" w:rsidP="005F7E16">
            <w:pPr>
              <w:pStyle w:val="TableText1"/>
              <w:rPr>
                <w:rFonts w:cs="Arial"/>
                <w:color w:val="000000"/>
                <w:sz w:val="20"/>
                <w:szCs w:val="20"/>
              </w:rPr>
            </w:pPr>
            <w:r w:rsidRPr="00913C26">
              <w:rPr>
                <w:rFonts w:cs="Arial"/>
                <w:sz w:val="20"/>
                <w:szCs w:val="20"/>
              </w:rPr>
              <w:t>AMGEN Ltd</w:t>
            </w:r>
          </w:p>
        </w:tc>
        <w:tc>
          <w:tcPr>
            <w:tcW w:w="11198" w:type="dxa"/>
          </w:tcPr>
          <w:p w14:paraId="70CC661F" w14:textId="77777777" w:rsidR="005F7E16" w:rsidRPr="00F53FCB" w:rsidRDefault="005F7E16" w:rsidP="005F7E16">
            <w:pPr>
              <w:rPr>
                <w:rFonts w:ascii="Arial" w:hAnsi="Arial" w:cs="Arial"/>
                <w:sz w:val="20"/>
                <w:szCs w:val="20"/>
              </w:rPr>
            </w:pPr>
            <w:bookmarkStart w:id="40" w:name="_Hlk9242348"/>
            <w:r w:rsidRPr="00F53FCB">
              <w:rPr>
                <w:rFonts w:ascii="Arial" w:hAnsi="Arial" w:cs="Arial"/>
                <w:sz w:val="20"/>
                <w:szCs w:val="20"/>
              </w:rPr>
              <w:t>Familial Hypercholesterolaemia (FH) leads to raised cholesterol levels from birth, which cause the early development of atherosclerotic disease. This in turn increases the risk of premature stroke and coronary heart disease with significant reductions in both the quality and quantity of life years.</w:t>
            </w:r>
          </w:p>
          <w:p w14:paraId="6C76B7F5" w14:textId="77777777" w:rsidR="005F7E16" w:rsidRPr="00F53FCB" w:rsidRDefault="005F7E16" w:rsidP="005F7E16">
            <w:pPr>
              <w:rPr>
                <w:rFonts w:ascii="Arial" w:hAnsi="Arial" w:cs="Arial"/>
                <w:sz w:val="20"/>
                <w:szCs w:val="20"/>
              </w:rPr>
            </w:pPr>
          </w:p>
          <w:p w14:paraId="217C2638" w14:textId="77777777" w:rsidR="005F7E16" w:rsidRPr="00F53FCB" w:rsidRDefault="005F7E16" w:rsidP="005F7E16">
            <w:pPr>
              <w:rPr>
                <w:rStyle w:val="A3"/>
                <w:rFonts w:ascii="Arial" w:hAnsi="Arial" w:cs="Arial"/>
                <w:b w:val="0"/>
                <w:sz w:val="20"/>
                <w:szCs w:val="20"/>
              </w:rPr>
            </w:pPr>
            <w:r w:rsidRPr="00F53FCB">
              <w:rPr>
                <w:rFonts w:ascii="Arial" w:hAnsi="Arial" w:cs="Arial"/>
                <w:sz w:val="20"/>
                <w:szCs w:val="20"/>
              </w:rPr>
              <w:t xml:space="preserve">The need to address patients with this genetic condition has also been recognised in the NHS Long Term Plan published in January this year. Included within the plan is a recognition that cholesterol, alongside raised blood pressure and atrial fibrillation, is a key modifiable risk factor to be addressed if the NHS is to achieve its goal of preventing 150,000 </w:t>
            </w:r>
            <w:r w:rsidRPr="00F53FCB">
              <w:rPr>
                <w:rStyle w:val="A3"/>
                <w:rFonts w:ascii="Arial" w:hAnsi="Arial" w:cs="Arial"/>
                <w:sz w:val="20"/>
                <w:szCs w:val="20"/>
              </w:rPr>
              <w:t>heart attacks, strokes and dementia cases over the next 10 years.</w:t>
            </w:r>
          </w:p>
          <w:bookmarkEnd w:id="40"/>
          <w:p w14:paraId="32D301B2" w14:textId="77777777" w:rsidR="005F7E16" w:rsidRPr="00F53FCB" w:rsidRDefault="005F7E16" w:rsidP="005F7E16">
            <w:pPr>
              <w:rPr>
                <w:rStyle w:val="A3"/>
                <w:rFonts w:ascii="Arial" w:hAnsi="Arial" w:cs="Arial"/>
                <w:sz w:val="20"/>
                <w:szCs w:val="20"/>
              </w:rPr>
            </w:pPr>
          </w:p>
          <w:p w14:paraId="63F4CADA" w14:textId="77777777" w:rsidR="005F7E16" w:rsidRPr="00F53FCB" w:rsidRDefault="005F7E16" w:rsidP="005F7E16">
            <w:pPr>
              <w:rPr>
                <w:rFonts w:ascii="Arial" w:hAnsi="Arial" w:cs="Arial"/>
                <w:sz w:val="20"/>
                <w:szCs w:val="20"/>
              </w:rPr>
            </w:pPr>
            <w:r w:rsidRPr="00F53FCB">
              <w:rPr>
                <w:rFonts w:ascii="Arial" w:hAnsi="Arial" w:cs="Arial"/>
                <w:sz w:val="20"/>
                <w:szCs w:val="20"/>
              </w:rPr>
              <w:t>To help achieve this figure, the Long Term Plan also highlights the need to increase identification of patients with FH from 7% currently to 25% in the next 5 years. At current levels of identification, it is almost certain that this target will be missed by some distance.</w:t>
            </w:r>
          </w:p>
          <w:p w14:paraId="4116E815" w14:textId="77777777" w:rsidR="005F7E16" w:rsidRPr="00F53FCB" w:rsidRDefault="005F7E16" w:rsidP="005F7E16">
            <w:pPr>
              <w:rPr>
                <w:rFonts w:ascii="Arial" w:hAnsi="Arial" w:cs="Arial"/>
                <w:sz w:val="20"/>
                <w:szCs w:val="20"/>
              </w:rPr>
            </w:pPr>
          </w:p>
          <w:p w14:paraId="26D25422" w14:textId="77777777" w:rsidR="005F7E16" w:rsidRPr="00F53FCB" w:rsidRDefault="005F7E16" w:rsidP="005F7E16">
            <w:pPr>
              <w:rPr>
                <w:rFonts w:ascii="Arial" w:hAnsi="Arial" w:cs="Arial"/>
                <w:sz w:val="20"/>
                <w:szCs w:val="20"/>
              </w:rPr>
            </w:pPr>
            <w:r w:rsidRPr="00F53FCB">
              <w:rPr>
                <w:rFonts w:ascii="Arial" w:hAnsi="Arial" w:cs="Arial"/>
                <w:sz w:val="20"/>
                <w:szCs w:val="20"/>
              </w:rPr>
              <w:t xml:space="preserve">Introducing indicators to support and drive this activity is </w:t>
            </w:r>
            <w:proofErr w:type="gramStart"/>
            <w:r w:rsidRPr="00F53FCB">
              <w:rPr>
                <w:rFonts w:ascii="Arial" w:hAnsi="Arial" w:cs="Arial"/>
                <w:sz w:val="20"/>
                <w:szCs w:val="20"/>
              </w:rPr>
              <w:t>absolutely necessary</w:t>
            </w:r>
            <w:proofErr w:type="gramEnd"/>
            <w:r w:rsidRPr="00F53FCB">
              <w:rPr>
                <w:rFonts w:ascii="Arial" w:hAnsi="Arial" w:cs="Arial"/>
                <w:sz w:val="20"/>
                <w:szCs w:val="20"/>
              </w:rPr>
              <w:t xml:space="preserve"> and a hugely positive step. Given the number of often competing therapeutic priorities faced by general practitioners, it is often those which are not incentivised that are missed. A recent analysis [1] conducted to support NHS England’s </w:t>
            </w:r>
            <w:r w:rsidRPr="00F53FCB">
              <w:rPr>
                <w:rFonts w:ascii="Arial" w:hAnsi="Arial" w:cs="Arial"/>
                <w:sz w:val="20"/>
                <w:szCs w:val="20"/>
                <w:lang w:eastAsia="en-GB"/>
              </w:rPr>
              <w:t xml:space="preserve">Report of the Review of the Quality and Outcomes Framework in England [2] demonstrated the impact a Quality and Outcomes Framework (QOF) indicator can have. </w:t>
            </w:r>
            <w:bookmarkStart w:id="41" w:name="_Hlk9241932"/>
            <w:r w:rsidRPr="00F53FCB">
              <w:rPr>
                <w:rFonts w:ascii="Arial" w:hAnsi="Arial" w:cs="Arial"/>
                <w:sz w:val="20"/>
                <w:szCs w:val="20"/>
                <w:lang w:eastAsia="en-GB"/>
              </w:rPr>
              <w:t>It showed that following the removal of CHD003 (</w:t>
            </w:r>
            <w:r w:rsidRPr="00F53FCB">
              <w:rPr>
                <w:rFonts w:ascii="Arial" w:hAnsi="Arial" w:cs="Arial"/>
                <w:sz w:val="20"/>
                <w:szCs w:val="20"/>
              </w:rPr>
              <w:t>percentage of patients with coronary heart disease whose last measured total cholesterol, measured in the preceding 15 months, is 5mmol/l or less) there was a drop in indicator performance and increase an in missed cholesterol readings.</w:t>
            </w:r>
          </w:p>
          <w:p w14:paraId="6DF26268" w14:textId="77777777" w:rsidR="005F7E16" w:rsidRPr="00F53FCB" w:rsidRDefault="005F7E16" w:rsidP="005F7E16">
            <w:pPr>
              <w:rPr>
                <w:rFonts w:ascii="Arial" w:hAnsi="Arial" w:cs="Arial"/>
                <w:sz w:val="20"/>
                <w:szCs w:val="20"/>
              </w:rPr>
            </w:pPr>
          </w:p>
          <w:p w14:paraId="06B6299E" w14:textId="77777777" w:rsidR="005F7E16" w:rsidRPr="00F53FCB" w:rsidRDefault="005F7E16" w:rsidP="005F7E16">
            <w:pPr>
              <w:rPr>
                <w:rFonts w:ascii="Arial" w:hAnsi="Arial" w:cs="Arial"/>
                <w:sz w:val="20"/>
                <w:szCs w:val="20"/>
                <w:lang w:eastAsia="en-GB"/>
              </w:rPr>
            </w:pPr>
            <w:r w:rsidRPr="00F53FCB">
              <w:rPr>
                <w:rFonts w:ascii="Arial" w:hAnsi="Arial" w:cs="Arial"/>
                <w:sz w:val="20"/>
                <w:szCs w:val="20"/>
                <w:lang w:eastAsia="en-GB"/>
              </w:rPr>
              <w:t>We believe that the removal of cholesterol as a measurable, modifiable risk factor from this and other CVD related QOF domains puts patients at risk of suffering heart attacks and strokes. Cholesterol is now only present in the diabetes domain of QOF, whereas it was once present in several CVD related ones, and we believe this has been a serious omission given levels of stroke and coronary heart disease remain the single biggest contributor to premature mortality and morbidity in England.</w:t>
            </w:r>
          </w:p>
          <w:bookmarkEnd w:id="41"/>
          <w:p w14:paraId="1567535D" w14:textId="77777777" w:rsidR="005F7E16" w:rsidRPr="00F53FCB" w:rsidRDefault="005F7E16" w:rsidP="005F7E16">
            <w:pPr>
              <w:rPr>
                <w:rFonts w:ascii="Arial" w:hAnsi="Arial" w:cs="Arial"/>
                <w:sz w:val="20"/>
                <w:szCs w:val="20"/>
                <w:lang w:eastAsia="en-GB"/>
              </w:rPr>
            </w:pPr>
          </w:p>
          <w:p w14:paraId="37F5DCC5" w14:textId="77777777" w:rsidR="005F7E16" w:rsidRPr="00F53FCB" w:rsidRDefault="005F7E16" w:rsidP="005F7E16">
            <w:pPr>
              <w:rPr>
                <w:rFonts w:ascii="Arial" w:hAnsi="Arial" w:cs="Arial"/>
                <w:sz w:val="20"/>
                <w:szCs w:val="20"/>
                <w:lang w:eastAsia="en-GB"/>
              </w:rPr>
            </w:pPr>
            <w:r w:rsidRPr="00F53FCB">
              <w:rPr>
                <w:rFonts w:ascii="Arial" w:hAnsi="Arial" w:cs="Arial"/>
                <w:sz w:val="20"/>
                <w:szCs w:val="20"/>
                <w:lang w:eastAsia="en-GB"/>
              </w:rPr>
              <w:t>NICE Guideline CG71 brings together a comprehensive suite of evidence and recommendations to identify and manage patients with suspected FH, but without incentives and drivers in the system implementation of such guidance often does not happen.</w:t>
            </w:r>
          </w:p>
          <w:p w14:paraId="6E233E11" w14:textId="77777777" w:rsidR="005F7E16" w:rsidRPr="00F53FCB" w:rsidRDefault="005F7E16" w:rsidP="005F7E16">
            <w:pPr>
              <w:rPr>
                <w:rFonts w:ascii="Arial" w:hAnsi="Arial" w:cs="Arial"/>
                <w:sz w:val="20"/>
                <w:szCs w:val="20"/>
                <w:lang w:eastAsia="en-GB"/>
              </w:rPr>
            </w:pPr>
          </w:p>
          <w:p w14:paraId="5910FD79" w14:textId="77777777" w:rsidR="005F7E16" w:rsidRPr="00F53FCB" w:rsidRDefault="005F7E16" w:rsidP="005F7E16">
            <w:pPr>
              <w:rPr>
                <w:rFonts w:ascii="Arial" w:hAnsi="Arial" w:cs="Arial"/>
                <w:b/>
                <w:sz w:val="20"/>
                <w:szCs w:val="20"/>
                <w:lang w:eastAsia="en-GB"/>
              </w:rPr>
            </w:pPr>
            <w:bookmarkStart w:id="42" w:name="_Hlk9241806"/>
            <w:r w:rsidRPr="00F53FCB">
              <w:rPr>
                <w:rFonts w:ascii="Arial" w:hAnsi="Arial" w:cs="Arial"/>
                <w:b/>
                <w:sz w:val="20"/>
                <w:szCs w:val="20"/>
                <w:lang w:eastAsia="en-GB"/>
              </w:rPr>
              <w:lastRenderedPageBreak/>
              <w:t>We therefore fully support introduction of this indicator and strongly recommend that it is developed into a full QOF indicator with appropriate points for achievement to help drive activity in primary care to identify patients with suspected FH.</w:t>
            </w:r>
          </w:p>
          <w:bookmarkEnd w:id="42"/>
          <w:p w14:paraId="7BD8E8FD" w14:textId="77777777" w:rsidR="005F7E16" w:rsidRPr="00F53FCB" w:rsidRDefault="005F7E16" w:rsidP="005F7E16">
            <w:pPr>
              <w:rPr>
                <w:rFonts w:ascii="Arial" w:hAnsi="Arial" w:cs="Arial"/>
                <w:sz w:val="20"/>
                <w:szCs w:val="20"/>
              </w:rPr>
            </w:pPr>
          </w:p>
          <w:p w14:paraId="4B6F308A" w14:textId="77777777" w:rsidR="005F7E16" w:rsidRPr="00F53FCB" w:rsidRDefault="005F7E16" w:rsidP="005F7E16">
            <w:pPr>
              <w:pStyle w:val="Default"/>
              <w:rPr>
                <w:rFonts w:ascii="Arial" w:hAnsi="Arial" w:cs="Arial"/>
                <w:color w:val="auto"/>
                <w:sz w:val="20"/>
                <w:szCs w:val="20"/>
              </w:rPr>
            </w:pPr>
            <w:r w:rsidRPr="00F53FCB">
              <w:rPr>
                <w:rFonts w:ascii="Arial" w:hAnsi="Arial" w:cs="Arial"/>
                <w:bCs/>
                <w:color w:val="auto"/>
                <w:sz w:val="20"/>
                <w:szCs w:val="20"/>
              </w:rPr>
              <w:t xml:space="preserve">[1] IMPACT OF REMOVING INDICATORS FROM THE QUALITY AND OUTCOMES FRAMEWORK: RETROSPECTIVE STUDY USING INDIVIDUAL PATIENT DATA IN ENGLAND. </w:t>
            </w:r>
            <w:r w:rsidRPr="00F53FCB">
              <w:rPr>
                <w:rFonts w:ascii="Arial" w:hAnsi="Arial" w:cs="Arial"/>
                <w:color w:val="auto"/>
                <w:sz w:val="20"/>
                <w:szCs w:val="20"/>
              </w:rPr>
              <w:t>Policy Research Unit in Commissioning and the Healthcare System, June 28</w:t>
            </w:r>
            <w:r w:rsidRPr="00F53FCB">
              <w:rPr>
                <w:rFonts w:ascii="Arial" w:hAnsi="Arial" w:cs="Arial"/>
                <w:color w:val="auto"/>
                <w:sz w:val="20"/>
                <w:szCs w:val="20"/>
                <w:vertAlign w:val="superscript"/>
              </w:rPr>
              <w:t>th</w:t>
            </w:r>
            <w:r w:rsidRPr="00F53FCB">
              <w:rPr>
                <w:rFonts w:ascii="Arial" w:hAnsi="Arial" w:cs="Arial"/>
                <w:color w:val="auto"/>
                <w:sz w:val="20"/>
                <w:szCs w:val="20"/>
              </w:rPr>
              <w:t>, 2018.</w:t>
            </w:r>
          </w:p>
          <w:p w14:paraId="03A5F714" w14:textId="77777777" w:rsidR="005F7E16" w:rsidRPr="00F53FCB" w:rsidRDefault="005F7E16" w:rsidP="005F7E16">
            <w:pPr>
              <w:pStyle w:val="Default"/>
              <w:rPr>
                <w:rFonts w:ascii="Arial" w:hAnsi="Arial" w:cs="Arial"/>
                <w:color w:val="auto"/>
                <w:sz w:val="20"/>
                <w:szCs w:val="20"/>
              </w:rPr>
            </w:pPr>
            <w:r w:rsidRPr="00F53FCB">
              <w:rPr>
                <w:rFonts w:ascii="Arial" w:hAnsi="Arial" w:cs="Arial"/>
                <w:color w:val="auto"/>
                <w:sz w:val="20"/>
                <w:szCs w:val="20"/>
              </w:rPr>
              <w:t xml:space="preserve">[2] </w:t>
            </w:r>
            <w:r w:rsidRPr="00F53FCB">
              <w:rPr>
                <w:rFonts w:ascii="Arial" w:hAnsi="Arial" w:cs="Arial"/>
                <w:bCs/>
                <w:color w:val="auto"/>
                <w:sz w:val="20"/>
                <w:szCs w:val="20"/>
              </w:rPr>
              <w:t>Report of the Review of the Quality and Outcomes Framework in England. NHS England, July 4</w:t>
            </w:r>
            <w:r w:rsidRPr="00F53FCB">
              <w:rPr>
                <w:rFonts w:ascii="Arial" w:hAnsi="Arial" w:cs="Arial"/>
                <w:bCs/>
                <w:color w:val="auto"/>
                <w:sz w:val="20"/>
                <w:szCs w:val="20"/>
                <w:vertAlign w:val="superscript"/>
              </w:rPr>
              <w:t>th</w:t>
            </w:r>
            <w:proofErr w:type="gramStart"/>
            <w:r w:rsidRPr="00F53FCB">
              <w:rPr>
                <w:rFonts w:ascii="Arial" w:hAnsi="Arial" w:cs="Arial"/>
                <w:bCs/>
                <w:color w:val="auto"/>
                <w:sz w:val="20"/>
                <w:szCs w:val="20"/>
              </w:rPr>
              <w:t xml:space="preserve"> 2018</w:t>
            </w:r>
            <w:proofErr w:type="gramEnd"/>
            <w:r w:rsidRPr="00F53FCB">
              <w:rPr>
                <w:rFonts w:ascii="Arial" w:hAnsi="Arial" w:cs="Arial"/>
                <w:bCs/>
                <w:color w:val="auto"/>
                <w:sz w:val="20"/>
                <w:szCs w:val="20"/>
              </w:rPr>
              <w:t>.</w:t>
            </w:r>
          </w:p>
          <w:p w14:paraId="62A9144F" w14:textId="370C22BE" w:rsidR="005F7E16" w:rsidRDefault="005F7E16" w:rsidP="005F7E16">
            <w:pPr>
              <w:pStyle w:val="TableText1"/>
              <w:rPr>
                <w:rFonts w:cs="Arial"/>
                <w:b/>
                <w:bCs/>
                <w:color w:val="000000"/>
                <w:sz w:val="20"/>
                <w:szCs w:val="20"/>
              </w:rPr>
            </w:pPr>
          </w:p>
        </w:tc>
      </w:tr>
      <w:tr w:rsidR="005F7E16" w:rsidRPr="005E75EE" w14:paraId="01628FB8" w14:textId="77777777" w:rsidTr="007249A6">
        <w:trPr>
          <w:trHeight w:val="214"/>
        </w:trPr>
        <w:tc>
          <w:tcPr>
            <w:tcW w:w="562" w:type="dxa"/>
          </w:tcPr>
          <w:p w14:paraId="3A7E3080" w14:textId="6BD030FE" w:rsidR="005F7E16" w:rsidRPr="005F7E16" w:rsidRDefault="008679F3" w:rsidP="005F7E16">
            <w:pPr>
              <w:pStyle w:val="TableText1"/>
              <w:jc w:val="center"/>
              <w:rPr>
                <w:rFonts w:cs="Arial"/>
                <w:sz w:val="20"/>
                <w:szCs w:val="20"/>
              </w:rPr>
            </w:pPr>
            <w:r>
              <w:rPr>
                <w:rFonts w:cs="Arial"/>
                <w:sz w:val="20"/>
                <w:szCs w:val="20"/>
              </w:rPr>
              <w:lastRenderedPageBreak/>
              <w:t>10</w:t>
            </w:r>
          </w:p>
        </w:tc>
        <w:tc>
          <w:tcPr>
            <w:tcW w:w="1139" w:type="dxa"/>
          </w:tcPr>
          <w:p w14:paraId="16177352" w14:textId="019DF538" w:rsidR="005F7E16" w:rsidRPr="00913C26" w:rsidRDefault="005F7E16" w:rsidP="005F7E16">
            <w:pPr>
              <w:pStyle w:val="TableText1"/>
              <w:rPr>
                <w:rFonts w:cs="Arial"/>
                <w:szCs w:val="20"/>
              </w:rPr>
            </w:pPr>
            <w:r w:rsidRPr="00913C26">
              <w:rPr>
                <w:rFonts w:cs="Arial"/>
                <w:sz w:val="20"/>
                <w:szCs w:val="20"/>
              </w:rPr>
              <w:t>IND8</w:t>
            </w:r>
          </w:p>
        </w:tc>
        <w:tc>
          <w:tcPr>
            <w:tcW w:w="1985" w:type="dxa"/>
          </w:tcPr>
          <w:p w14:paraId="1CAFDBF2" w14:textId="64AF6DAA" w:rsidR="005F7E16" w:rsidRPr="00913C26" w:rsidRDefault="005F7E16" w:rsidP="005F7E16">
            <w:pPr>
              <w:pStyle w:val="TableText1"/>
              <w:rPr>
                <w:rFonts w:cs="Arial"/>
                <w:szCs w:val="20"/>
              </w:rPr>
            </w:pPr>
            <w:r w:rsidRPr="00913C26">
              <w:rPr>
                <w:rFonts w:cs="Arial"/>
                <w:sz w:val="20"/>
                <w:szCs w:val="20"/>
              </w:rPr>
              <w:t>British Medical Association</w:t>
            </w:r>
          </w:p>
        </w:tc>
        <w:tc>
          <w:tcPr>
            <w:tcW w:w="11198" w:type="dxa"/>
          </w:tcPr>
          <w:p w14:paraId="21958D83" w14:textId="1162E409" w:rsidR="005F7E16" w:rsidRPr="005F7E16" w:rsidRDefault="005F7E16" w:rsidP="005F7E16">
            <w:pPr>
              <w:pStyle w:val="TableText1"/>
              <w:rPr>
                <w:rFonts w:cs="Arial"/>
                <w:szCs w:val="20"/>
              </w:rPr>
            </w:pPr>
            <w:bookmarkStart w:id="43" w:name="_Hlk9243553"/>
            <w:r w:rsidRPr="005F7E16">
              <w:rPr>
                <w:rFonts w:cs="Arial"/>
                <w:sz w:val="20"/>
                <w:szCs w:val="20"/>
              </w:rPr>
              <w:t>While agreeing that this represents best practice, we cannot support this as an indicator of quality as the numbers in each practice will be too low to provide an acceptable indication of standards of care.</w:t>
            </w:r>
            <w:bookmarkEnd w:id="43"/>
          </w:p>
        </w:tc>
      </w:tr>
      <w:tr w:rsidR="005F7E16" w:rsidRPr="005E75EE" w14:paraId="075DDFD5" w14:textId="77777777" w:rsidTr="007249A6">
        <w:tc>
          <w:tcPr>
            <w:tcW w:w="562" w:type="dxa"/>
          </w:tcPr>
          <w:p w14:paraId="3D303101" w14:textId="3AD4DB5C" w:rsidR="005F7E16" w:rsidRPr="00406712" w:rsidRDefault="00131FF8" w:rsidP="005F7E16">
            <w:pPr>
              <w:pStyle w:val="TableText1"/>
              <w:jc w:val="center"/>
              <w:rPr>
                <w:rFonts w:cs="Arial"/>
                <w:sz w:val="20"/>
                <w:szCs w:val="20"/>
              </w:rPr>
            </w:pPr>
            <w:r>
              <w:rPr>
                <w:rFonts w:cs="Arial"/>
                <w:sz w:val="20"/>
                <w:szCs w:val="20"/>
              </w:rPr>
              <w:t>1</w:t>
            </w:r>
            <w:r w:rsidR="008679F3">
              <w:rPr>
                <w:rFonts w:cs="Arial"/>
                <w:sz w:val="20"/>
                <w:szCs w:val="20"/>
              </w:rPr>
              <w:t>1</w:t>
            </w:r>
          </w:p>
        </w:tc>
        <w:tc>
          <w:tcPr>
            <w:tcW w:w="1139" w:type="dxa"/>
          </w:tcPr>
          <w:p w14:paraId="7CD4BED0" w14:textId="1C419A8A" w:rsidR="005F7E16" w:rsidRPr="00913C26" w:rsidRDefault="005F7E16" w:rsidP="005F7E16">
            <w:pPr>
              <w:pStyle w:val="TableText1"/>
              <w:rPr>
                <w:rFonts w:cs="Arial"/>
                <w:szCs w:val="20"/>
              </w:rPr>
            </w:pPr>
            <w:r w:rsidRPr="00913C26">
              <w:rPr>
                <w:rFonts w:cs="Arial"/>
                <w:sz w:val="20"/>
                <w:szCs w:val="20"/>
              </w:rPr>
              <w:t>IND8</w:t>
            </w:r>
          </w:p>
        </w:tc>
        <w:tc>
          <w:tcPr>
            <w:tcW w:w="1985" w:type="dxa"/>
          </w:tcPr>
          <w:p w14:paraId="08A939DC" w14:textId="5A9327DB" w:rsidR="005F7E16" w:rsidRPr="00913C26" w:rsidRDefault="005F7E16" w:rsidP="005F7E16">
            <w:pPr>
              <w:pStyle w:val="TableText1"/>
              <w:rPr>
                <w:rFonts w:cs="Arial"/>
                <w:szCs w:val="20"/>
              </w:rPr>
            </w:pPr>
            <w:r w:rsidRPr="00913C26">
              <w:rPr>
                <w:rFonts w:cs="Arial"/>
                <w:sz w:val="20"/>
                <w:szCs w:val="20"/>
              </w:rPr>
              <w:t>National Pharmaceutical Advisers Group (PAG)</w:t>
            </w:r>
          </w:p>
        </w:tc>
        <w:tc>
          <w:tcPr>
            <w:tcW w:w="11198" w:type="dxa"/>
          </w:tcPr>
          <w:p w14:paraId="5F1D6FFB" w14:textId="5A6CD559" w:rsidR="005F7E16" w:rsidRPr="005F7E16" w:rsidRDefault="005F7E16" w:rsidP="005F7E16">
            <w:pPr>
              <w:pStyle w:val="TableText1"/>
              <w:rPr>
                <w:rFonts w:cs="Arial"/>
                <w:szCs w:val="20"/>
              </w:rPr>
            </w:pPr>
            <w:bookmarkStart w:id="44" w:name="_Hlk9243604"/>
            <w:r w:rsidRPr="005F7E16">
              <w:rPr>
                <w:rFonts w:cs="Arial"/>
                <w:sz w:val="20"/>
                <w:szCs w:val="20"/>
              </w:rPr>
              <w:t>Agree with rationale and should improve rates of diagnosis and treatment to prevent premature death.</w:t>
            </w:r>
            <w:bookmarkEnd w:id="44"/>
          </w:p>
        </w:tc>
      </w:tr>
      <w:tr w:rsidR="00563D13" w:rsidRPr="005E75EE" w14:paraId="5A3B6436" w14:textId="77777777" w:rsidTr="007249A6">
        <w:tc>
          <w:tcPr>
            <w:tcW w:w="562" w:type="dxa"/>
          </w:tcPr>
          <w:p w14:paraId="3B20F8CB" w14:textId="252C55D9" w:rsidR="00563D13" w:rsidRDefault="00131FF8" w:rsidP="00563D13">
            <w:pPr>
              <w:pStyle w:val="TableText1"/>
              <w:jc w:val="center"/>
              <w:rPr>
                <w:rFonts w:cs="Arial"/>
                <w:sz w:val="20"/>
                <w:szCs w:val="20"/>
              </w:rPr>
            </w:pPr>
            <w:r>
              <w:rPr>
                <w:rFonts w:cs="Arial"/>
                <w:sz w:val="20"/>
                <w:szCs w:val="20"/>
              </w:rPr>
              <w:t>1</w:t>
            </w:r>
            <w:r w:rsidR="008679F3">
              <w:rPr>
                <w:rFonts w:cs="Arial"/>
                <w:sz w:val="20"/>
                <w:szCs w:val="20"/>
              </w:rPr>
              <w:t>2</w:t>
            </w:r>
          </w:p>
        </w:tc>
        <w:tc>
          <w:tcPr>
            <w:tcW w:w="1139" w:type="dxa"/>
          </w:tcPr>
          <w:p w14:paraId="7AF54D9F" w14:textId="53E0CFCC" w:rsidR="00563D13" w:rsidRPr="00913C26" w:rsidRDefault="00563D13" w:rsidP="00563D13">
            <w:pPr>
              <w:pStyle w:val="TableText1"/>
              <w:rPr>
                <w:rFonts w:cs="Arial"/>
                <w:sz w:val="20"/>
                <w:szCs w:val="20"/>
              </w:rPr>
            </w:pPr>
            <w:r>
              <w:rPr>
                <w:rFonts w:cs="Arial"/>
                <w:sz w:val="20"/>
                <w:szCs w:val="20"/>
              </w:rPr>
              <w:t>IND8</w:t>
            </w:r>
          </w:p>
        </w:tc>
        <w:tc>
          <w:tcPr>
            <w:tcW w:w="1985" w:type="dxa"/>
          </w:tcPr>
          <w:p w14:paraId="2FAFD0B6" w14:textId="7B05FB20" w:rsidR="00563D13" w:rsidRPr="00563D13" w:rsidRDefault="00563D13" w:rsidP="00563D13">
            <w:pPr>
              <w:pStyle w:val="TableText1"/>
              <w:rPr>
                <w:rFonts w:cs="Arial"/>
                <w:sz w:val="20"/>
                <w:szCs w:val="20"/>
              </w:rPr>
            </w:pPr>
            <w:r w:rsidRPr="00563D13">
              <w:rPr>
                <w:rFonts w:cs="Arial"/>
                <w:sz w:val="20"/>
                <w:szCs w:val="20"/>
              </w:rPr>
              <w:t>Royal College of General Practitioners</w:t>
            </w:r>
          </w:p>
        </w:tc>
        <w:tc>
          <w:tcPr>
            <w:tcW w:w="11198" w:type="dxa"/>
          </w:tcPr>
          <w:p w14:paraId="5676C0B0" w14:textId="77777777" w:rsidR="00563D13" w:rsidRPr="00563D13" w:rsidRDefault="00563D13" w:rsidP="00563D13">
            <w:pPr>
              <w:rPr>
                <w:rFonts w:ascii="Arial" w:hAnsi="Arial" w:cs="Arial"/>
                <w:b/>
                <w:sz w:val="20"/>
                <w:szCs w:val="20"/>
                <w:lang w:eastAsia="en-GB"/>
              </w:rPr>
            </w:pPr>
          </w:p>
          <w:p w14:paraId="24CAF13D" w14:textId="77777777" w:rsidR="00563D13" w:rsidRPr="00563D13" w:rsidRDefault="00563D13" w:rsidP="00563D13">
            <w:pPr>
              <w:autoSpaceDE w:val="0"/>
              <w:autoSpaceDN w:val="0"/>
              <w:adjustRightInd w:val="0"/>
              <w:rPr>
                <w:rFonts w:ascii="Arial" w:hAnsi="Arial" w:cs="Arial"/>
                <w:sz w:val="20"/>
                <w:szCs w:val="20"/>
                <w:lang w:eastAsia="en-GB"/>
              </w:rPr>
            </w:pPr>
            <w:bookmarkStart w:id="45" w:name="_Hlk9243769"/>
            <w:r w:rsidRPr="00563D13">
              <w:rPr>
                <w:rFonts w:ascii="Arial" w:hAnsi="Arial" w:cs="Arial"/>
                <w:sz w:val="20"/>
                <w:szCs w:val="20"/>
                <w:lang w:eastAsia="en-GB"/>
              </w:rPr>
              <w:t>We are concerned that the indicator to test lipids for patients aged 29 and under would add a substantial burden to primary care and question whether this is proportionate to the benefit to patients. Screening for FH is not currently approved by the National Screening Committee and is likely to cause a large degree of extra work with limited clinical benefit</w:t>
            </w:r>
          </w:p>
          <w:bookmarkEnd w:id="45"/>
          <w:p w14:paraId="189567B6" w14:textId="77777777" w:rsidR="00563D13" w:rsidRPr="00563D13" w:rsidRDefault="00563D13" w:rsidP="00563D13">
            <w:pPr>
              <w:autoSpaceDE w:val="0"/>
              <w:autoSpaceDN w:val="0"/>
              <w:adjustRightInd w:val="0"/>
              <w:rPr>
                <w:rFonts w:ascii="Arial" w:hAnsi="Arial" w:cs="Arial"/>
                <w:sz w:val="20"/>
                <w:szCs w:val="20"/>
                <w:lang w:eastAsia="en-GB"/>
              </w:rPr>
            </w:pPr>
          </w:p>
          <w:p w14:paraId="06E6AB04" w14:textId="36B86D96" w:rsidR="00563D13" w:rsidRPr="00563D13" w:rsidRDefault="007249A6" w:rsidP="00563D13">
            <w:pPr>
              <w:pStyle w:val="TableText1"/>
              <w:rPr>
                <w:rFonts w:cs="Arial"/>
                <w:sz w:val="20"/>
                <w:szCs w:val="20"/>
              </w:rPr>
            </w:pPr>
            <w:hyperlink r:id="rId15" w:history="1">
              <w:r w:rsidR="00563D13" w:rsidRPr="00563D13">
                <w:rPr>
                  <w:rStyle w:val="Hyperlink"/>
                  <w:rFonts w:cs="Arial"/>
                  <w:color w:val="auto"/>
                  <w:sz w:val="20"/>
                  <w:szCs w:val="20"/>
                </w:rPr>
                <w:t>https://legacyscreening.phe.org.uk/screening-recommendations.php</w:t>
              </w:r>
            </w:hyperlink>
          </w:p>
        </w:tc>
      </w:tr>
      <w:tr w:rsidR="00563D13" w:rsidRPr="005E75EE" w14:paraId="31DE7256" w14:textId="77777777" w:rsidTr="007249A6">
        <w:trPr>
          <w:trHeight w:val="406"/>
        </w:trPr>
        <w:tc>
          <w:tcPr>
            <w:tcW w:w="562" w:type="dxa"/>
          </w:tcPr>
          <w:p w14:paraId="37609438" w14:textId="099EB842" w:rsidR="00563D13" w:rsidRPr="00406712" w:rsidRDefault="00131FF8" w:rsidP="00563D13">
            <w:pPr>
              <w:pStyle w:val="TableText1"/>
              <w:jc w:val="center"/>
              <w:rPr>
                <w:rFonts w:cs="Arial"/>
                <w:sz w:val="20"/>
                <w:szCs w:val="20"/>
              </w:rPr>
            </w:pPr>
            <w:r>
              <w:rPr>
                <w:rFonts w:cs="Arial"/>
                <w:sz w:val="20"/>
                <w:szCs w:val="20"/>
              </w:rPr>
              <w:t>1</w:t>
            </w:r>
            <w:r w:rsidR="008679F3">
              <w:rPr>
                <w:rFonts w:cs="Arial"/>
                <w:sz w:val="20"/>
                <w:szCs w:val="20"/>
              </w:rPr>
              <w:t>3</w:t>
            </w:r>
          </w:p>
        </w:tc>
        <w:tc>
          <w:tcPr>
            <w:tcW w:w="1139" w:type="dxa"/>
          </w:tcPr>
          <w:p w14:paraId="0F22F7C5" w14:textId="481D911F" w:rsidR="00563D13" w:rsidRPr="00913C26" w:rsidRDefault="00563D13" w:rsidP="00563D13">
            <w:pPr>
              <w:pStyle w:val="TableText1"/>
              <w:rPr>
                <w:rFonts w:cs="Arial"/>
                <w:szCs w:val="20"/>
              </w:rPr>
            </w:pPr>
            <w:r w:rsidRPr="00913C26">
              <w:rPr>
                <w:rFonts w:cs="Arial"/>
                <w:sz w:val="20"/>
                <w:szCs w:val="20"/>
              </w:rPr>
              <w:t xml:space="preserve">IND8 </w:t>
            </w:r>
          </w:p>
        </w:tc>
        <w:tc>
          <w:tcPr>
            <w:tcW w:w="1985" w:type="dxa"/>
          </w:tcPr>
          <w:p w14:paraId="4B8808B9" w14:textId="7038F5B5" w:rsidR="00563D13" w:rsidRPr="00913C26" w:rsidRDefault="00563D13" w:rsidP="00563D13">
            <w:pPr>
              <w:pStyle w:val="TableText1"/>
              <w:rPr>
                <w:rFonts w:cs="Arial"/>
                <w:szCs w:val="20"/>
              </w:rPr>
            </w:pPr>
            <w:r w:rsidRPr="00913C26">
              <w:rPr>
                <w:rFonts w:cs="Arial"/>
                <w:sz w:val="20"/>
                <w:szCs w:val="20"/>
              </w:rPr>
              <w:t>Heart UK</w:t>
            </w:r>
          </w:p>
        </w:tc>
        <w:tc>
          <w:tcPr>
            <w:tcW w:w="11198" w:type="dxa"/>
          </w:tcPr>
          <w:p w14:paraId="5E325434" w14:textId="77777777" w:rsidR="00563D13" w:rsidRPr="00F53FCB" w:rsidRDefault="00563D13" w:rsidP="00563D13">
            <w:pPr>
              <w:rPr>
                <w:rFonts w:ascii="Arial" w:hAnsi="Arial" w:cs="Arial"/>
                <w:sz w:val="20"/>
                <w:szCs w:val="20"/>
              </w:rPr>
            </w:pPr>
            <w:bookmarkStart w:id="46" w:name="_Hlk9244214"/>
            <w:r w:rsidRPr="00F53FCB">
              <w:rPr>
                <w:rFonts w:ascii="Arial" w:hAnsi="Arial" w:cs="Arial"/>
                <w:sz w:val="20"/>
                <w:szCs w:val="20"/>
              </w:rPr>
              <w:t>Consideration needs to be given to triglycerides. Many of those with high cholesterol will also have high trigs and may not have FH and require assessment by Simon Broome or DLCN. Ideally patients with secondary causes should also be excluded before assessment by SB/DLCN is done.</w:t>
            </w:r>
          </w:p>
          <w:bookmarkEnd w:id="46"/>
          <w:p w14:paraId="4BD532D8" w14:textId="77777777" w:rsidR="00563D13" w:rsidRPr="00F53FCB" w:rsidRDefault="00563D13" w:rsidP="00563D13">
            <w:pPr>
              <w:rPr>
                <w:rFonts w:ascii="Arial" w:hAnsi="Arial" w:cs="Arial"/>
                <w:sz w:val="20"/>
                <w:szCs w:val="20"/>
              </w:rPr>
            </w:pPr>
          </w:p>
          <w:p w14:paraId="4D0C6E25" w14:textId="77777777" w:rsidR="00563D13" w:rsidRPr="00F53FCB" w:rsidRDefault="00563D13" w:rsidP="00563D13">
            <w:pPr>
              <w:rPr>
                <w:rFonts w:ascii="Arial" w:hAnsi="Arial" w:cs="Arial"/>
                <w:sz w:val="20"/>
                <w:szCs w:val="20"/>
              </w:rPr>
            </w:pPr>
            <w:r w:rsidRPr="00F53FCB">
              <w:rPr>
                <w:rFonts w:ascii="Arial" w:hAnsi="Arial" w:cs="Arial"/>
                <w:sz w:val="20"/>
                <w:szCs w:val="20"/>
              </w:rPr>
              <w:t>If the code for potential heterozygous familial hypercholesterolaemia (</w:t>
            </w:r>
            <w:proofErr w:type="spellStart"/>
            <w:r w:rsidRPr="00F53FCB">
              <w:rPr>
                <w:rFonts w:ascii="Arial" w:hAnsi="Arial" w:cs="Arial"/>
                <w:sz w:val="20"/>
                <w:szCs w:val="20"/>
              </w:rPr>
              <w:t>HeFH</w:t>
            </w:r>
            <w:proofErr w:type="spellEnd"/>
            <w:r w:rsidRPr="00F53FCB">
              <w:rPr>
                <w:rFonts w:ascii="Arial" w:hAnsi="Arial" w:cs="Arial"/>
                <w:sz w:val="20"/>
                <w:szCs w:val="20"/>
              </w:rPr>
              <w:t xml:space="preserve">) was produced and </w:t>
            </w:r>
            <w:proofErr w:type="gramStart"/>
            <w:r w:rsidRPr="00F53FCB">
              <w:rPr>
                <w:rFonts w:ascii="Arial" w:hAnsi="Arial" w:cs="Arial"/>
                <w:sz w:val="20"/>
                <w:szCs w:val="20"/>
              </w:rPr>
              <w:t>used</w:t>
            </w:r>
            <w:proofErr w:type="gramEnd"/>
            <w:r w:rsidRPr="00F53FCB">
              <w:rPr>
                <w:rFonts w:ascii="Arial" w:hAnsi="Arial" w:cs="Arial"/>
                <w:sz w:val="20"/>
                <w:szCs w:val="20"/>
              </w:rPr>
              <w:t xml:space="preserve"> then the indicator would need revising to:</w:t>
            </w:r>
          </w:p>
          <w:p w14:paraId="70EA6DEF" w14:textId="77777777" w:rsidR="00563D13" w:rsidRPr="00F53FCB" w:rsidRDefault="00563D13" w:rsidP="00563D13">
            <w:pPr>
              <w:rPr>
                <w:rFonts w:ascii="Arial" w:hAnsi="Arial" w:cs="Arial"/>
                <w:sz w:val="20"/>
                <w:szCs w:val="20"/>
              </w:rPr>
            </w:pPr>
          </w:p>
          <w:p w14:paraId="6C886AA0" w14:textId="77777777" w:rsidR="00563D13" w:rsidRPr="00F53FCB" w:rsidRDefault="00563D13" w:rsidP="00563D13">
            <w:pPr>
              <w:rPr>
                <w:rFonts w:ascii="Arial" w:hAnsi="Arial" w:cs="Arial"/>
                <w:sz w:val="20"/>
                <w:szCs w:val="20"/>
              </w:rPr>
            </w:pPr>
            <w:r w:rsidRPr="00F53FCB">
              <w:rPr>
                <w:rFonts w:ascii="Arial" w:hAnsi="Arial" w:cs="Arial"/>
                <w:sz w:val="20"/>
                <w:szCs w:val="20"/>
              </w:rPr>
              <w:t xml:space="preserve">“The percentage of people…, with a total cholesterol concentration greater than…, where secondary causes and significant </w:t>
            </w:r>
            <w:proofErr w:type="spellStart"/>
            <w:r w:rsidRPr="00F53FCB">
              <w:rPr>
                <w:rFonts w:ascii="Arial" w:hAnsi="Arial" w:cs="Arial"/>
                <w:sz w:val="20"/>
                <w:szCs w:val="20"/>
              </w:rPr>
              <w:t>hypertriglycaeridaemia</w:t>
            </w:r>
            <w:proofErr w:type="spellEnd"/>
            <w:r w:rsidRPr="00F53FCB">
              <w:rPr>
                <w:rFonts w:ascii="Arial" w:hAnsi="Arial" w:cs="Arial"/>
                <w:sz w:val="20"/>
                <w:szCs w:val="20"/>
              </w:rPr>
              <w:t xml:space="preserve"> have been excluded </w:t>
            </w:r>
            <w:proofErr w:type="spellStart"/>
            <w:r w:rsidRPr="00F53FCB">
              <w:rPr>
                <w:rFonts w:ascii="Arial" w:hAnsi="Arial" w:cs="Arial"/>
                <w:sz w:val="20"/>
                <w:szCs w:val="20"/>
              </w:rPr>
              <w:t>ie</w:t>
            </w:r>
            <w:proofErr w:type="spellEnd"/>
            <w:r w:rsidRPr="00F53FCB">
              <w:rPr>
                <w:rFonts w:ascii="Arial" w:hAnsi="Arial" w:cs="Arial"/>
                <w:sz w:val="20"/>
                <w:szCs w:val="20"/>
              </w:rPr>
              <w:t xml:space="preserve"> have potential FH, that are assessed against the Simon Broome or Dutch Lipid Clinic (DLCN) criteria.”</w:t>
            </w:r>
          </w:p>
          <w:p w14:paraId="3CC377F9" w14:textId="5DAD4D01" w:rsidR="00563D13" w:rsidRPr="005E75EE" w:rsidRDefault="00563D13" w:rsidP="00563D13">
            <w:pPr>
              <w:pStyle w:val="TableText1"/>
              <w:rPr>
                <w:rFonts w:cs="Arial"/>
                <w:szCs w:val="20"/>
              </w:rPr>
            </w:pPr>
          </w:p>
        </w:tc>
      </w:tr>
      <w:tr w:rsidR="00563D13" w:rsidRPr="005E75EE" w14:paraId="35CD0616" w14:textId="77777777" w:rsidTr="007249A6">
        <w:trPr>
          <w:trHeight w:val="355"/>
        </w:trPr>
        <w:tc>
          <w:tcPr>
            <w:tcW w:w="562" w:type="dxa"/>
          </w:tcPr>
          <w:p w14:paraId="3DD50FC7" w14:textId="511C5C56" w:rsidR="00563D13" w:rsidRPr="00406712" w:rsidRDefault="00131FF8" w:rsidP="00563D13">
            <w:pPr>
              <w:pStyle w:val="TableText1"/>
              <w:jc w:val="center"/>
              <w:rPr>
                <w:rFonts w:cs="Arial"/>
                <w:sz w:val="20"/>
                <w:szCs w:val="20"/>
              </w:rPr>
            </w:pPr>
            <w:r>
              <w:rPr>
                <w:rFonts w:cs="Arial"/>
                <w:sz w:val="20"/>
                <w:szCs w:val="20"/>
              </w:rPr>
              <w:t>1</w:t>
            </w:r>
            <w:r w:rsidR="008679F3">
              <w:rPr>
                <w:rFonts w:cs="Arial"/>
                <w:sz w:val="20"/>
                <w:szCs w:val="20"/>
              </w:rPr>
              <w:t>4</w:t>
            </w:r>
          </w:p>
        </w:tc>
        <w:tc>
          <w:tcPr>
            <w:tcW w:w="1139" w:type="dxa"/>
          </w:tcPr>
          <w:p w14:paraId="31CB2A86" w14:textId="044EE9D8" w:rsidR="00563D13" w:rsidRPr="00913C26" w:rsidRDefault="00563D13" w:rsidP="00563D13">
            <w:pPr>
              <w:pStyle w:val="TableText1"/>
              <w:rPr>
                <w:rFonts w:cs="Arial"/>
                <w:szCs w:val="20"/>
              </w:rPr>
            </w:pPr>
            <w:r w:rsidRPr="00913C26">
              <w:rPr>
                <w:rFonts w:cs="Arial"/>
                <w:sz w:val="20"/>
                <w:szCs w:val="20"/>
              </w:rPr>
              <w:t xml:space="preserve">IND8 </w:t>
            </w:r>
          </w:p>
        </w:tc>
        <w:tc>
          <w:tcPr>
            <w:tcW w:w="1985" w:type="dxa"/>
          </w:tcPr>
          <w:p w14:paraId="5A2B195D" w14:textId="25CF270E" w:rsidR="00563D13" w:rsidRPr="00913C26" w:rsidRDefault="00563D13" w:rsidP="00563D13">
            <w:pPr>
              <w:pStyle w:val="TableText1"/>
              <w:rPr>
                <w:rFonts w:cs="Arial"/>
                <w:szCs w:val="20"/>
              </w:rPr>
            </w:pPr>
            <w:r w:rsidRPr="00913C26">
              <w:rPr>
                <w:rFonts w:cs="Arial"/>
                <w:sz w:val="20"/>
                <w:szCs w:val="20"/>
              </w:rPr>
              <w:t>Heart UK</w:t>
            </w:r>
          </w:p>
        </w:tc>
        <w:tc>
          <w:tcPr>
            <w:tcW w:w="11198" w:type="dxa"/>
          </w:tcPr>
          <w:p w14:paraId="4278F7F3" w14:textId="5B40B537" w:rsidR="00563D13" w:rsidRPr="007D38BD" w:rsidRDefault="00563D13" w:rsidP="00563D13">
            <w:pPr>
              <w:pStyle w:val="TableText1"/>
              <w:rPr>
                <w:rFonts w:cs="Arial"/>
                <w:szCs w:val="20"/>
              </w:rPr>
            </w:pPr>
            <w:bookmarkStart w:id="47" w:name="_Hlk9244442"/>
            <w:r w:rsidRPr="00F53FCB">
              <w:rPr>
                <w:rFonts w:cs="Arial"/>
                <w:sz w:val="20"/>
                <w:szCs w:val="20"/>
              </w:rPr>
              <w:t>Will require a READ/SNOMED code for assessment by SB/DLCN, if not already available</w:t>
            </w:r>
            <w:bookmarkEnd w:id="47"/>
          </w:p>
        </w:tc>
      </w:tr>
      <w:tr w:rsidR="00563D13" w:rsidRPr="005E75EE" w14:paraId="2D58BDB7" w14:textId="77777777" w:rsidTr="007249A6">
        <w:tc>
          <w:tcPr>
            <w:tcW w:w="562" w:type="dxa"/>
          </w:tcPr>
          <w:p w14:paraId="2540208B" w14:textId="0A4E694B" w:rsidR="00563D13" w:rsidRPr="00406712" w:rsidRDefault="00131FF8" w:rsidP="00563D13">
            <w:pPr>
              <w:pStyle w:val="TableText1"/>
              <w:jc w:val="center"/>
              <w:rPr>
                <w:rFonts w:cs="Arial"/>
                <w:sz w:val="20"/>
                <w:szCs w:val="20"/>
              </w:rPr>
            </w:pPr>
            <w:r>
              <w:rPr>
                <w:rFonts w:cs="Arial"/>
                <w:sz w:val="20"/>
                <w:szCs w:val="20"/>
              </w:rPr>
              <w:t>1</w:t>
            </w:r>
            <w:r w:rsidR="008679F3">
              <w:rPr>
                <w:rFonts w:cs="Arial"/>
                <w:sz w:val="20"/>
                <w:szCs w:val="20"/>
              </w:rPr>
              <w:t>5</w:t>
            </w:r>
          </w:p>
        </w:tc>
        <w:tc>
          <w:tcPr>
            <w:tcW w:w="1139" w:type="dxa"/>
          </w:tcPr>
          <w:p w14:paraId="282D2EB8" w14:textId="1965B408" w:rsidR="00563D13" w:rsidRPr="00913C26" w:rsidRDefault="00563D13" w:rsidP="00563D13">
            <w:pPr>
              <w:pStyle w:val="TableText1"/>
              <w:rPr>
                <w:rFonts w:cs="Arial"/>
                <w:szCs w:val="20"/>
              </w:rPr>
            </w:pPr>
            <w:r w:rsidRPr="00913C26">
              <w:rPr>
                <w:rFonts w:cs="Arial"/>
                <w:sz w:val="20"/>
                <w:szCs w:val="20"/>
              </w:rPr>
              <w:t>IND9</w:t>
            </w:r>
          </w:p>
        </w:tc>
        <w:tc>
          <w:tcPr>
            <w:tcW w:w="1985" w:type="dxa"/>
          </w:tcPr>
          <w:p w14:paraId="6866017D" w14:textId="50457ECC" w:rsidR="00563D13" w:rsidRPr="00913C26" w:rsidRDefault="00563D13" w:rsidP="00563D13">
            <w:pPr>
              <w:pStyle w:val="TableText1"/>
              <w:rPr>
                <w:rFonts w:cs="Arial"/>
                <w:szCs w:val="20"/>
              </w:rPr>
            </w:pPr>
            <w:r w:rsidRPr="00913C26">
              <w:rPr>
                <w:rFonts w:cs="Arial"/>
                <w:sz w:val="20"/>
                <w:szCs w:val="20"/>
              </w:rPr>
              <w:t>Heart UK</w:t>
            </w:r>
          </w:p>
        </w:tc>
        <w:tc>
          <w:tcPr>
            <w:tcW w:w="11198" w:type="dxa"/>
          </w:tcPr>
          <w:p w14:paraId="038A6958" w14:textId="77777777" w:rsidR="00563D13" w:rsidRPr="00F53FCB" w:rsidRDefault="00563D13" w:rsidP="00563D13">
            <w:pPr>
              <w:rPr>
                <w:rFonts w:ascii="Arial" w:hAnsi="Arial" w:cs="Arial"/>
                <w:sz w:val="20"/>
                <w:szCs w:val="20"/>
              </w:rPr>
            </w:pPr>
            <w:r w:rsidRPr="00F53FCB">
              <w:rPr>
                <w:rFonts w:ascii="Arial" w:hAnsi="Arial" w:cs="Arial"/>
                <w:sz w:val="20"/>
                <w:szCs w:val="20"/>
              </w:rPr>
              <w:t>Consideration needs to be given to triglycerides. Many of those with high cholesterol will also have high trigs and may not have FH and require assessment by Simon Broome or DLCN. Ideally patients with secondary causes should also be excluded before assessment by SB/DLCN is done.</w:t>
            </w:r>
          </w:p>
          <w:p w14:paraId="6FF7FDF4" w14:textId="77777777" w:rsidR="00563D13" w:rsidRPr="00F53FCB" w:rsidRDefault="00563D13" w:rsidP="00563D13">
            <w:pPr>
              <w:rPr>
                <w:rFonts w:ascii="Arial" w:hAnsi="Arial" w:cs="Arial"/>
                <w:sz w:val="20"/>
                <w:szCs w:val="20"/>
              </w:rPr>
            </w:pPr>
          </w:p>
          <w:p w14:paraId="17D66132" w14:textId="77777777" w:rsidR="00563D13" w:rsidRPr="00F53FCB" w:rsidRDefault="00563D13" w:rsidP="00563D13">
            <w:pPr>
              <w:rPr>
                <w:rFonts w:ascii="Arial" w:hAnsi="Arial" w:cs="Arial"/>
                <w:sz w:val="20"/>
                <w:szCs w:val="20"/>
              </w:rPr>
            </w:pPr>
            <w:r w:rsidRPr="00F53FCB">
              <w:rPr>
                <w:rFonts w:ascii="Arial" w:hAnsi="Arial" w:cs="Arial"/>
                <w:sz w:val="20"/>
                <w:szCs w:val="20"/>
              </w:rPr>
              <w:lastRenderedPageBreak/>
              <w:t>If the code for potential heterozygous familial hypercholesterolaemia (</w:t>
            </w:r>
            <w:proofErr w:type="spellStart"/>
            <w:r w:rsidRPr="00F53FCB">
              <w:rPr>
                <w:rFonts w:ascii="Arial" w:hAnsi="Arial" w:cs="Arial"/>
                <w:sz w:val="20"/>
                <w:szCs w:val="20"/>
              </w:rPr>
              <w:t>HeFH</w:t>
            </w:r>
            <w:proofErr w:type="spellEnd"/>
            <w:r w:rsidRPr="00F53FCB">
              <w:rPr>
                <w:rFonts w:ascii="Arial" w:hAnsi="Arial" w:cs="Arial"/>
                <w:sz w:val="20"/>
                <w:szCs w:val="20"/>
              </w:rPr>
              <w:t xml:space="preserve">) was produced and </w:t>
            </w:r>
            <w:proofErr w:type="gramStart"/>
            <w:r w:rsidRPr="00F53FCB">
              <w:rPr>
                <w:rFonts w:ascii="Arial" w:hAnsi="Arial" w:cs="Arial"/>
                <w:sz w:val="20"/>
                <w:szCs w:val="20"/>
              </w:rPr>
              <w:t>used</w:t>
            </w:r>
            <w:proofErr w:type="gramEnd"/>
            <w:r w:rsidRPr="00F53FCB">
              <w:rPr>
                <w:rFonts w:ascii="Arial" w:hAnsi="Arial" w:cs="Arial"/>
                <w:sz w:val="20"/>
                <w:szCs w:val="20"/>
              </w:rPr>
              <w:t xml:space="preserve"> then the indicator would need revising to:</w:t>
            </w:r>
          </w:p>
          <w:p w14:paraId="165B6FD7" w14:textId="77777777" w:rsidR="00563D13" w:rsidRPr="00F53FCB" w:rsidRDefault="00563D13" w:rsidP="00563D13">
            <w:pPr>
              <w:rPr>
                <w:rFonts w:ascii="Arial" w:hAnsi="Arial" w:cs="Arial"/>
                <w:sz w:val="20"/>
                <w:szCs w:val="20"/>
              </w:rPr>
            </w:pPr>
          </w:p>
          <w:p w14:paraId="2C53FE8A" w14:textId="4A57880C" w:rsidR="00563D13" w:rsidRPr="0026129F" w:rsidRDefault="00563D13" w:rsidP="00563D13">
            <w:pPr>
              <w:rPr>
                <w:rFonts w:ascii="Arial" w:hAnsi="Arial" w:cs="Arial"/>
                <w:sz w:val="20"/>
                <w:szCs w:val="20"/>
              </w:rPr>
            </w:pPr>
            <w:r w:rsidRPr="00F53FCB">
              <w:rPr>
                <w:rFonts w:ascii="Arial" w:hAnsi="Arial" w:cs="Arial"/>
                <w:sz w:val="20"/>
                <w:szCs w:val="20"/>
              </w:rPr>
              <w:t xml:space="preserve">“The percentage of people…, with a total cholesterol concentration greater than…, where secondary causes and significant </w:t>
            </w:r>
            <w:proofErr w:type="spellStart"/>
            <w:r w:rsidRPr="00F53FCB">
              <w:rPr>
                <w:rFonts w:ascii="Arial" w:hAnsi="Arial" w:cs="Arial"/>
                <w:sz w:val="20"/>
                <w:szCs w:val="20"/>
              </w:rPr>
              <w:t>hypertriglycaeridaemia</w:t>
            </w:r>
            <w:proofErr w:type="spellEnd"/>
            <w:r w:rsidRPr="00F53FCB">
              <w:rPr>
                <w:rFonts w:ascii="Arial" w:hAnsi="Arial" w:cs="Arial"/>
                <w:sz w:val="20"/>
                <w:szCs w:val="20"/>
              </w:rPr>
              <w:t xml:space="preserve"> have been excluded </w:t>
            </w:r>
            <w:proofErr w:type="spellStart"/>
            <w:r w:rsidRPr="00F53FCB">
              <w:rPr>
                <w:rFonts w:ascii="Arial" w:hAnsi="Arial" w:cs="Arial"/>
                <w:sz w:val="20"/>
                <w:szCs w:val="20"/>
              </w:rPr>
              <w:t>ie</w:t>
            </w:r>
            <w:proofErr w:type="spellEnd"/>
            <w:r w:rsidRPr="00F53FCB">
              <w:rPr>
                <w:rFonts w:ascii="Arial" w:hAnsi="Arial" w:cs="Arial"/>
                <w:sz w:val="20"/>
                <w:szCs w:val="20"/>
              </w:rPr>
              <w:t xml:space="preserve"> have potential FH, that are assessed against the Simon Broome or Dutch Lipid Clinic (DLCN) criteria.”</w:t>
            </w:r>
          </w:p>
        </w:tc>
      </w:tr>
      <w:tr w:rsidR="00563D13" w:rsidRPr="005E75EE" w14:paraId="6964C9D3" w14:textId="77777777" w:rsidTr="007249A6">
        <w:tc>
          <w:tcPr>
            <w:tcW w:w="562" w:type="dxa"/>
          </w:tcPr>
          <w:p w14:paraId="4072D731" w14:textId="53B27ED1" w:rsidR="00563D13" w:rsidRPr="00406712" w:rsidRDefault="00131FF8" w:rsidP="00563D13">
            <w:pPr>
              <w:pStyle w:val="TableText1"/>
              <w:jc w:val="center"/>
              <w:rPr>
                <w:rFonts w:cs="Arial"/>
                <w:sz w:val="20"/>
                <w:szCs w:val="20"/>
              </w:rPr>
            </w:pPr>
            <w:r>
              <w:rPr>
                <w:rFonts w:cs="Arial"/>
                <w:sz w:val="20"/>
                <w:szCs w:val="20"/>
              </w:rPr>
              <w:lastRenderedPageBreak/>
              <w:t>1</w:t>
            </w:r>
            <w:r w:rsidR="008679F3">
              <w:rPr>
                <w:rFonts w:cs="Arial"/>
                <w:sz w:val="20"/>
                <w:szCs w:val="20"/>
              </w:rPr>
              <w:t>6</w:t>
            </w:r>
          </w:p>
        </w:tc>
        <w:tc>
          <w:tcPr>
            <w:tcW w:w="1139" w:type="dxa"/>
          </w:tcPr>
          <w:p w14:paraId="10B6581B" w14:textId="79715DD1" w:rsidR="00563D13" w:rsidRPr="00913C26" w:rsidRDefault="00563D13" w:rsidP="00563D13">
            <w:pPr>
              <w:pStyle w:val="TableText1"/>
              <w:rPr>
                <w:rFonts w:cs="Arial"/>
                <w:sz w:val="20"/>
                <w:szCs w:val="20"/>
              </w:rPr>
            </w:pPr>
            <w:r w:rsidRPr="00913C26">
              <w:rPr>
                <w:rFonts w:cs="Arial"/>
                <w:sz w:val="20"/>
                <w:szCs w:val="20"/>
              </w:rPr>
              <w:t>IND9</w:t>
            </w:r>
          </w:p>
        </w:tc>
        <w:tc>
          <w:tcPr>
            <w:tcW w:w="1985" w:type="dxa"/>
          </w:tcPr>
          <w:p w14:paraId="3E5ECD77" w14:textId="23618237" w:rsidR="00563D13" w:rsidRPr="00913C26" w:rsidRDefault="00563D13" w:rsidP="00563D13">
            <w:pPr>
              <w:pStyle w:val="TableText1"/>
              <w:rPr>
                <w:rFonts w:cs="Arial"/>
                <w:szCs w:val="20"/>
              </w:rPr>
            </w:pPr>
            <w:r w:rsidRPr="00913C26">
              <w:rPr>
                <w:rFonts w:cs="Arial"/>
                <w:sz w:val="20"/>
                <w:szCs w:val="20"/>
              </w:rPr>
              <w:t>Heart UK</w:t>
            </w:r>
          </w:p>
        </w:tc>
        <w:tc>
          <w:tcPr>
            <w:tcW w:w="11198" w:type="dxa"/>
          </w:tcPr>
          <w:p w14:paraId="55FD16E9" w14:textId="67171987" w:rsidR="00563D13" w:rsidRPr="005E75EE" w:rsidRDefault="00563D13" w:rsidP="00563D13">
            <w:pPr>
              <w:pStyle w:val="TableText1"/>
              <w:rPr>
                <w:rFonts w:cs="Arial"/>
                <w:szCs w:val="20"/>
              </w:rPr>
            </w:pPr>
            <w:r w:rsidRPr="00F53FCB">
              <w:rPr>
                <w:rFonts w:cs="Arial"/>
                <w:sz w:val="20"/>
                <w:szCs w:val="20"/>
              </w:rPr>
              <w:t>Will require a READ/SNOMED code for assessment by SB/DLCN, if not already available</w:t>
            </w:r>
          </w:p>
        </w:tc>
      </w:tr>
      <w:tr w:rsidR="00563D13" w:rsidRPr="005E75EE" w14:paraId="6344BA23" w14:textId="77777777" w:rsidTr="007249A6">
        <w:tc>
          <w:tcPr>
            <w:tcW w:w="562" w:type="dxa"/>
          </w:tcPr>
          <w:p w14:paraId="6C9E5772" w14:textId="77777777" w:rsidR="00563D13" w:rsidRDefault="00563D13" w:rsidP="00563D13">
            <w:pPr>
              <w:pStyle w:val="TableText1"/>
              <w:jc w:val="center"/>
              <w:rPr>
                <w:rFonts w:cs="Arial"/>
                <w:sz w:val="20"/>
                <w:szCs w:val="20"/>
              </w:rPr>
            </w:pPr>
          </w:p>
          <w:p w14:paraId="52BE1988" w14:textId="0991B491" w:rsidR="00563D13" w:rsidRDefault="00131FF8" w:rsidP="00563D13">
            <w:pPr>
              <w:pStyle w:val="TableText1"/>
              <w:jc w:val="center"/>
              <w:rPr>
                <w:rFonts w:cs="Arial"/>
                <w:sz w:val="20"/>
                <w:szCs w:val="20"/>
              </w:rPr>
            </w:pPr>
            <w:r>
              <w:rPr>
                <w:rFonts w:cs="Arial"/>
                <w:sz w:val="20"/>
                <w:szCs w:val="20"/>
              </w:rPr>
              <w:t>1</w:t>
            </w:r>
            <w:r w:rsidR="008679F3">
              <w:rPr>
                <w:rFonts w:cs="Arial"/>
                <w:sz w:val="20"/>
                <w:szCs w:val="20"/>
              </w:rPr>
              <w:t>7</w:t>
            </w:r>
          </w:p>
          <w:p w14:paraId="5AE39B18" w14:textId="77777777" w:rsidR="00563D13" w:rsidRDefault="00563D13" w:rsidP="00563D13">
            <w:pPr>
              <w:pStyle w:val="TableText1"/>
              <w:jc w:val="center"/>
              <w:rPr>
                <w:rFonts w:cs="Arial"/>
                <w:sz w:val="20"/>
                <w:szCs w:val="20"/>
              </w:rPr>
            </w:pPr>
          </w:p>
          <w:p w14:paraId="4D0F3570" w14:textId="61E64B4C" w:rsidR="00563D13" w:rsidRPr="00406712" w:rsidRDefault="00563D13" w:rsidP="00563D13">
            <w:pPr>
              <w:pStyle w:val="TableText1"/>
              <w:jc w:val="center"/>
              <w:rPr>
                <w:rFonts w:cs="Arial"/>
                <w:sz w:val="20"/>
                <w:szCs w:val="20"/>
              </w:rPr>
            </w:pPr>
          </w:p>
        </w:tc>
        <w:tc>
          <w:tcPr>
            <w:tcW w:w="1139" w:type="dxa"/>
          </w:tcPr>
          <w:p w14:paraId="5B81E1CD" w14:textId="79BB387F" w:rsidR="00563D13" w:rsidRPr="00913C26" w:rsidRDefault="00563D13" w:rsidP="00563D13">
            <w:pPr>
              <w:pStyle w:val="TableText1"/>
              <w:rPr>
                <w:rFonts w:cs="Arial"/>
                <w:szCs w:val="20"/>
              </w:rPr>
            </w:pPr>
            <w:r w:rsidRPr="00913C26">
              <w:rPr>
                <w:rFonts w:cs="Arial"/>
                <w:sz w:val="20"/>
                <w:szCs w:val="20"/>
              </w:rPr>
              <w:t>IND9</w:t>
            </w:r>
          </w:p>
        </w:tc>
        <w:tc>
          <w:tcPr>
            <w:tcW w:w="1985" w:type="dxa"/>
          </w:tcPr>
          <w:p w14:paraId="20C066B1" w14:textId="01B5224B" w:rsidR="00563D13" w:rsidRPr="00913C26" w:rsidRDefault="00563D13" w:rsidP="00563D13">
            <w:pPr>
              <w:pStyle w:val="TableText1"/>
              <w:rPr>
                <w:rFonts w:cs="Arial"/>
                <w:szCs w:val="20"/>
              </w:rPr>
            </w:pPr>
            <w:r w:rsidRPr="00913C26">
              <w:rPr>
                <w:rFonts w:cs="Arial"/>
                <w:sz w:val="20"/>
                <w:szCs w:val="20"/>
              </w:rPr>
              <w:t>National Pharmaceutical Advisers Group (PAG)</w:t>
            </w:r>
          </w:p>
        </w:tc>
        <w:tc>
          <w:tcPr>
            <w:tcW w:w="11198" w:type="dxa"/>
          </w:tcPr>
          <w:p w14:paraId="5BD7076D" w14:textId="6F81B03E" w:rsidR="00563D13" w:rsidRPr="0026129F" w:rsidRDefault="00563D13" w:rsidP="00563D13">
            <w:pPr>
              <w:pStyle w:val="TableText1"/>
              <w:rPr>
                <w:rFonts w:cs="Arial"/>
                <w:szCs w:val="20"/>
              </w:rPr>
            </w:pPr>
            <w:r w:rsidRPr="0026129F">
              <w:rPr>
                <w:rFonts w:cs="Arial"/>
                <w:sz w:val="20"/>
                <w:szCs w:val="20"/>
              </w:rPr>
              <w:t>Agree with rationale and should improve rates of diagnosis and treatment to prevent premature death.</w:t>
            </w:r>
          </w:p>
        </w:tc>
      </w:tr>
      <w:tr w:rsidR="00563D13" w:rsidRPr="005E75EE" w14:paraId="3B542693" w14:textId="77777777" w:rsidTr="007249A6">
        <w:tc>
          <w:tcPr>
            <w:tcW w:w="562" w:type="dxa"/>
          </w:tcPr>
          <w:p w14:paraId="4396070F" w14:textId="75A8BA05" w:rsidR="00563D13" w:rsidRDefault="00131FF8" w:rsidP="00563D13">
            <w:pPr>
              <w:pStyle w:val="TableText1"/>
              <w:jc w:val="center"/>
              <w:rPr>
                <w:rFonts w:cs="Arial"/>
                <w:sz w:val="20"/>
                <w:szCs w:val="20"/>
              </w:rPr>
            </w:pPr>
            <w:r>
              <w:rPr>
                <w:rFonts w:cs="Arial"/>
                <w:sz w:val="20"/>
                <w:szCs w:val="20"/>
              </w:rPr>
              <w:t>1</w:t>
            </w:r>
            <w:r w:rsidR="008679F3">
              <w:rPr>
                <w:rFonts w:cs="Arial"/>
                <w:sz w:val="20"/>
                <w:szCs w:val="20"/>
              </w:rPr>
              <w:t>8</w:t>
            </w:r>
          </w:p>
        </w:tc>
        <w:tc>
          <w:tcPr>
            <w:tcW w:w="1139" w:type="dxa"/>
          </w:tcPr>
          <w:p w14:paraId="6D99A077" w14:textId="7182536D" w:rsidR="00563D13" w:rsidRPr="00913C26" w:rsidRDefault="00563D13" w:rsidP="00563D13">
            <w:pPr>
              <w:pStyle w:val="TableText1"/>
              <w:rPr>
                <w:rFonts w:cs="Arial"/>
                <w:sz w:val="20"/>
                <w:szCs w:val="20"/>
              </w:rPr>
            </w:pPr>
            <w:r w:rsidRPr="00913C26">
              <w:rPr>
                <w:rFonts w:cs="Arial"/>
                <w:sz w:val="20"/>
                <w:szCs w:val="20"/>
              </w:rPr>
              <w:t>IND9</w:t>
            </w:r>
          </w:p>
        </w:tc>
        <w:tc>
          <w:tcPr>
            <w:tcW w:w="1985" w:type="dxa"/>
          </w:tcPr>
          <w:p w14:paraId="39ADE327" w14:textId="44BEAB5D" w:rsidR="00563D13" w:rsidRPr="00913C26" w:rsidRDefault="00563D13" w:rsidP="00563D13">
            <w:pPr>
              <w:pStyle w:val="TableText1"/>
              <w:rPr>
                <w:rFonts w:cs="Arial"/>
                <w:sz w:val="20"/>
                <w:szCs w:val="20"/>
              </w:rPr>
            </w:pPr>
            <w:r w:rsidRPr="00913C26">
              <w:rPr>
                <w:rFonts w:cs="Arial"/>
                <w:sz w:val="20"/>
                <w:szCs w:val="20"/>
              </w:rPr>
              <w:t>AMGEN Ltd</w:t>
            </w:r>
          </w:p>
        </w:tc>
        <w:tc>
          <w:tcPr>
            <w:tcW w:w="11198" w:type="dxa"/>
          </w:tcPr>
          <w:p w14:paraId="61C0F5CF" w14:textId="77777777" w:rsidR="00563D13" w:rsidRPr="00F53FCB" w:rsidRDefault="00563D13" w:rsidP="00563D13">
            <w:pPr>
              <w:rPr>
                <w:rFonts w:ascii="Arial" w:hAnsi="Arial" w:cs="Arial"/>
                <w:sz w:val="20"/>
                <w:szCs w:val="20"/>
              </w:rPr>
            </w:pPr>
            <w:bookmarkStart w:id="48" w:name="_Hlk9244889"/>
            <w:r w:rsidRPr="00F53FCB">
              <w:rPr>
                <w:rFonts w:ascii="Arial" w:hAnsi="Arial" w:cs="Arial"/>
                <w:sz w:val="20"/>
                <w:szCs w:val="20"/>
              </w:rPr>
              <w:t xml:space="preserve">We believe that a separate indicator based around a different threshold in IND9 compared to IND8, i.e. 9mmol/l versus 7.5mmol/l, is not required and should be removed. </w:t>
            </w:r>
          </w:p>
          <w:p w14:paraId="42A2FD09" w14:textId="77777777" w:rsidR="00563D13" w:rsidRPr="00F53FCB" w:rsidRDefault="00563D13" w:rsidP="00563D13">
            <w:pPr>
              <w:rPr>
                <w:rFonts w:ascii="Arial" w:hAnsi="Arial" w:cs="Arial"/>
                <w:sz w:val="20"/>
                <w:szCs w:val="20"/>
              </w:rPr>
            </w:pPr>
            <w:r w:rsidRPr="00F53FCB">
              <w:rPr>
                <w:rFonts w:ascii="Arial" w:hAnsi="Arial" w:cs="Arial"/>
                <w:sz w:val="20"/>
                <w:szCs w:val="20"/>
              </w:rPr>
              <w:t>Having a higher cut-off will without doubt mean a cohort of patients with FH whose total cholesterol is between 7.5mmol/l and 9mmol/l will not be identified if this indicator is used. It will effectively discriminate against those patients above 29 years old who are in this cholesterol range.</w:t>
            </w:r>
          </w:p>
          <w:p w14:paraId="01D21F42" w14:textId="77777777" w:rsidR="00563D13" w:rsidRPr="00F53FCB" w:rsidRDefault="00563D13" w:rsidP="00563D13">
            <w:pPr>
              <w:rPr>
                <w:rFonts w:ascii="Arial" w:hAnsi="Arial" w:cs="Arial"/>
                <w:sz w:val="20"/>
                <w:szCs w:val="20"/>
              </w:rPr>
            </w:pPr>
            <w:r w:rsidRPr="00F53FCB">
              <w:rPr>
                <w:rFonts w:ascii="Arial" w:hAnsi="Arial" w:cs="Arial"/>
                <w:sz w:val="20"/>
                <w:szCs w:val="20"/>
              </w:rPr>
              <w:t xml:space="preserve">As it stands, IND9 does not support the wider identification of these patients </w:t>
            </w:r>
          </w:p>
          <w:p w14:paraId="7505EA69" w14:textId="77777777" w:rsidR="00563D13" w:rsidRPr="00F53FCB" w:rsidRDefault="00563D13" w:rsidP="00563D13">
            <w:pPr>
              <w:rPr>
                <w:rFonts w:ascii="Arial" w:hAnsi="Arial" w:cs="Arial"/>
                <w:sz w:val="20"/>
                <w:szCs w:val="20"/>
              </w:rPr>
            </w:pPr>
          </w:p>
          <w:p w14:paraId="7EFEAA44" w14:textId="77777777" w:rsidR="00563D13" w:rsidRPr="00F53FCB" w:rsidRDefault="00563D13" w:rsidP="00563D13">
            <w:pPr>
              <w:rPr>
                <w:rFonts w:ascii="Arial" w:hAnsi="Arial" w:cs="Arial"/>
                <w:b/>
                <w:sz w:val="20"/>
                <w:szCs w:val="20"/>
                <w:lang w:eastAsia="en-GB"/>
              </w:rPr>
            </w:pPr>
            <w:r w:rsidRPr="00F53FCB">
              <w:rPr>
                <w:rFonts w:ascii="Arial" w:hAnsi="Arial" w:cs="Arial"/>
                <w:b/>
                <w:sz w:val="20"/>
                <w:szCs w:val="20"/>
                <w:lang w:eastAsia="en-GB"/>
              </w:rPr>
              <w:t>We therefore strongly suggest that this indicator be merged with IND8 and in effect a single indicator produced that would not prejudice patients falling in this cholesterol range over the age of 29 leaving them without a potential diagnosis and appropriate treatment for FH.</w:t>
            </w:r>
          </w:p>
          <w:bookmarkEnd w:id="48"/>
          <w:p w14:paraId="5EF014A0" w14:textId="32967F6E" w:rsidR="00563D13" w:rsidRPr="0026129F" w:rsidRDefault="00563D13" w:rsidP="00563D13">
            <w:pPr>
              <w:pStyle w:val="TableText1"/>
              <w:rPr>
                <w:rFonts w:cs="Arial"/>
                <w:sz w:val="20"/>
                <w:szCs w:val="20"/>
              </w:rPr>
            </w:pPr>
          </w:p>
        </w:tc>
      </w:tr>
      <w:tr w:rsidR="00563D13" w:rsidRPr="005E75EE" w14:paraId="10ACF08C" w14:textId="77777777" w:rsidTr="007249A6">
        <w:tc>
          <w:tcPr>
            <w:tcW w:w="562" w:type="dxa"/>
          </w:tcPr>
          <w:p w14:paraId="74D7C671" w14:textId="2ED4A41E" w:rsidR="00563D13" w:rsidRDefault="00131FF8" w:rsidP="00563D13">
            <w:pPr>
              <w:pStyle w:val="TableText1"/>
              <w:jc w:val="center"/>
              <w:rPr>
                <w:rFonts w:cs="Arial"/>
                <w:sz w:val="20"/>
                <w:szCs w:val="20"/>
              </w:rPr>
            </w:pPr>
            <w:r>
              <w:rPr>
                <w:rFonts w:cs="Arial"/>
                <w:sz w:val="20"/>
                <w:szCs w:val="20"/>
              </w:rPr>
              <w:t>1</w:t>
            </w:r>
            <w:r w:rsidR="008679F3">
              <w:rPr>
                <w:rFonts w:cs="Arial"/>
                <w:sz w:val="20"/>
                <w:szCs w:val="20"/>
              </w:rPr>
              <w:t>9</w:t>
            </w:r>
          </w:p>
        </w:tc>
        <w:tc>
          <w:tcPr>
            <w:tcW w:w="1139" w:type="dxa"/>
          </w:tcPr>
          <w:p w14:paraId="14E4C98D" w14:textId="055EF13B" w:rsidR="00563D13" w:rsidRPr="00913C26" w:rsidRDefault="00563D13" w:rsidP="00563D13">
            <w:pPr>
              <w:pStyle w:val="TableText1"/>
              <w:rPr>
                <w:rFonts w:cs="Arial"/>
                <w:sz w:val="20"/>
                <w:szCs w:val="20"/>
              </w:rPr>
            </w:pPr>
            <w:r w:rsidRPr="00913C26">
              <w:rPr>
                <w:rFonts w:cs="Arial"/>
                <w:sz w:val="20"/>
                <w:szCs w:val="20"/>
              </w:rPr>
              <w:t>IND9</w:t>
            </w:r>
          </w:p>
        </w:tc>
        <w:tc>
          <w:tcPr>
            <w:tcW w:w="1985" w:type="dxa"/>
          </w:tcPr>
          <w:p w14:paraId="2814DA4D" w14:textId="0BED5D4C" w:rsidR="00563D13" w:rsidRPr="00913C26" w:rsidRDefault="00563D13" w:rsidP="00563D13">
            <w:pPr>
              <w:pStyle w:val="TableText1"/>
              <w:rPr>
                <w:rFonts w:cs="Arial"/>
                <w:sz w:val="20"/>
                <w:szCs w:val="20"/>
              </w:rPr>
            </w:pPr>
            <w:r w:rsidRPr="00913C26">
              <w:rPr>
                <w:rFonts w:cs="Arial"/>
                <w:sz w:val="20"/>
                <w:szCs w:val="20"/>
              </w:rPr>
              <w:t>British Medical Association</w:t>
            </w:r>
          </w:p>
        </w:tc>
        <w:tc>
          <w:tcPr>
            <w:tcW w:w="11198" w:type="dxa"/>
          </w:tcPr>
          <w:p w14:paraId="430778AA" w14:textId="51D12861" w:rsidR="00563D13" w:rsidRPr="00F53FCB" w:rsidRDefault="00563D13" w:rsidP="00563D13">
            <w:pPr>
              <w:rPr>
                <w:rFonts w:ascii="Arial" w:hAnsi="Arial" w:cs="Arial"/>
                <w:sz w:val="20"/>
                <w:szCs w:val="20"/>
              </w:rPr>
            </w:pPr>
            <w:r w:rsidRPr="0026129F">
              <w:rPr>
                <w:rFonts w:ascii="Arial" w:hAnsi="Arial" w:cs="Arial"/>
                <w:sz w:val="20"/>
                <w:szCs w:val="20"/>
              </w:rPr>
              <w:t>While agreeing that this represents best practice, we cannot support this as an indicator of quality as the numbers in each practice will be too low to provide an acceptable indication of standards of care.</w:t>
            </w:r>
          </w:p>
        </w:tc>
      </w:tr>
      <w:tr w:rsidR="00563D13" w:rsidRPr="005E75EE" w14:paraId="7B314DFD" w14:textId="77777777" w:rsidTr="007249A6">
        <w:tc>
          <w:tcPr>
            <w:tcW w:w="562" w:type="dxa"/>
          </w:tcPr>
          <w:p w14:paraId="1ECE3DED" w14:textId="095470A9" w:rsidR="00563D13" w:rsidRDefault="008679F3" w:rsidP="00563D13">
            <w:pPr>
              <w:pStyle w:val="TableText1"/>
              <w:jc w:val="center"/>
              <w:rPr>
                <w:rFonts w:cs="Arial"/>
                <w:sz w:val="20"/>
                <w:szCs w:val="20"/>
              </w:rPr>
            </w:pPr>
            <w:r>
              <w:rPr>
                <w:rFonts w:cs="Arial"/>
                <w:sz w:val="20"/>
                <w:szCs w:val="20"/>
              </w:rPr>
              <w:t>20</w:t>
            </w:r>
          </w:p>
        </w:tc>
        <w:tc>
          <w:tcPr>
            <w:tcW w:w="1139" w:type="dxa"/>
          </w:tcPr>
          <w:p w14:paraId="692A6943" w14:textId="1DC3A252" w:rsidR="00563D13" w:rsidRPr="00913C26" w:rsidRDefault="00563D13" w:rsidP="00563D13">
            <w:pPr>
              <w:pStyle w:val="TableText1"/>
              <w:rPr>
                <w:rFonts w:cs="Arial"/>
                <w:sz w:val="20"/>
                <w:szCs w:val="20"/>
              </w:rPr>
            </w:pPr>
            <w:r w:rsidRPr="00913C26">
              <w:rPr>
                <w:rFonts w:cs="Arial"/>
                <w:sz w:val="20"/>
                <w:szCs w:val="20"/>
              </w:rPr>
              <w:t>IND9</w:t>
            </w:r>
          </w:p>
        </w:tc>
        <w:tc>
          <w:tcPr>
            <w:tcW w:w="1985" w:type="dxa"/>
          </w:tcPr>
          <w:p w14:paraId="1B152A13" w14:textId="46F422D7" w:rsidR="00563D13" w:rsidRPr="00913C26" w:rsidRDefault="00563D13" w:rsidP="00563D13">
            <w:pPr>
              <w:pStyle w:val="TableText1"/>
              <w:rPr>
                <w:rFonts w:cs="Arial"/>
                <w:sz w:val="20"/>
                <w:szCs w:val="20"/>
              </w:rPr>
            </w:pPr>
            <w:r w:rsidRPr="00913C26">
              <w:rPr>
                <w:rFonts w:cs="Arial"/>
                <w:sz w:val="20"/>
                <w:szCs w:val="20"/>
              </w:rPr>
              <w:t>Royal College of General Practitioners</w:t>
            </w:r>
          </w:p>
        </w:tc>
        <w:tc>
          <w:tcPr>
            <w:tcW w:w="11198" w:type="dxa"/>
          </w:tcPr>
          <w:p w14:paraId="1AED0083" w14:textId="77777777" w:rsidR="00563D13" w:rsidRPr="0026129F" w:rsidRDefault="00563D13" w:rsidP="00563D13">
            <w:pPr>
              <w:rPr>
                <w:rFonts w:ascii="Arial" w:hAnsi="Arial" w:cs="Arial"/>
                <w:sz w:val="20"/>
                <w:szCs w:val="20"/>
              </w:rPr>
            </w:pPr>
            <w:bookmarkStart w:id="49" w:name="_Hlk9938831"/>
            <w:r w:rsidRPr="0026129F">
              <w:rPr>
                <w:rFonts w:ascii="Arial" w:hAnsi="Arial" w:cs="Arial"/>
                <w:sz w:val="20"/>
                <w:szCs w:val="20"/>
              </w:rPr>
              <w:t>We are concerned that the indicator to test lipids for patients aged 30 and over would add a substantial burden to primary care and question whether this is proportionate to the benefit to patients</w:t>
            </w:r>
            <w:bookmarkEnd w:id="49"/>
            <w:r w:rsidRPr="0026129F">
              <w:rPr>
                <w:rFonts w:ascii="Arial" w:hAnsi="Arial" w:cs="Arial"/>
                <w:sz w:val="20"/>
                <w:szCs w:val="20"/>
              </w:rPr>
              <w:t>. Screening for FH is not currently approved by the National Screening Committee and is likely to cause a large degree of extra work with limited clinical benefit</w:t>
            </w:r>
          </w:p>
          <w:p w14:paraId="1139640E" w14:textId="77777777" w:rsidR="00563D13" w:rsidRPr="0026129F" w:rsidRDefault="00563D13" w:rsidP="00563D13">
            <w:pPr>
              <w:rPr>
                <w:rFonts w:ascii="Arial" w:hAnsi="Arial" w:cs="Arial"/>
                <w:sz w:val="20"/>
                <w:szCs w:val="20"/>
              </w:rPr>
            </w:pPr>
          </w:p>
          <w:p w14:paraId="61C024FB" w14:textId="77777777" w:rsidR="00563D13" w:rsidRPr="0026129F" w:rsidRDefault="007249A6" w:rsidP="00563D13">
            <w:pPr>
              <w:rPr>
                <w:rFonts w:ascii="Arial" w:hAnsi="Arial" w:cs="Arial"/>
                <w:sz w:val="20"/>
                <w:szCs w:val="20"/>
              </w:rPr>
            </w:pPr>
            <w:hyperlink r:id="rId16" w:history="1">
              <w:r w:rsidR="00563D13" w:rsidRPr="0026129F">
                <w:rPr>
                  <w:rStyle w:val="Hyperlink"/>
                  <w:rFonts w:ascii="Arial" w:hAnsi="Arial" w:cs="Arial"/>
                  <w:sz w:val="20"/>
                  <w:szCs w:val="20"/>
                </w:rPr>
                <w:t>https://legacyscreening.phe.org.uk/screening-recommendations.php</w:t>
              </w:r>
            </w:hyperlink>
          </w:p>
          <w:p w14:paraId="23579E5B" w14:textId="77777777" w:rsidR="00563D13" w:rsidRPr="0026129F" w:rsidRDefault="00563D13" w:rsidP="00563D13">
            <w:pPr>
              <w:rPr>
                <w:rFonts w:ascii="Arial" w:hAnsi="Arial" w:cs="Arial"/>
                <w:sz w:val="20"/>
                <w:szCs w:val="20"/>
              </w:rPr>
            </w:pPr>
          </w:p>
          <w:p w14:paraId="15FBE29D" w14:textId="16E162CF" w:rsidR="00563D13" w:rsidRPr="0026129F" w:rsidRDefault="00563D13" w:rsidP="00563D13">
            <w:pPr>
              <w:rPr>
                <w:rFonts w:ascii="Arial" w:hAnsi="Arial" w:cs="Arial"/>
                <w:sz w:val="20"/>
                <w:szCs w:val="20"/>
              </w:rPr>
            </w:pPr>
            <w:r w:rsidRPr="0026129F">
              <w:rPr>
                <w:rFonts w:ascii="Arial" w:hAnsi="Arial" w:cs="Arial"/>
                <w:sz w:val="20"/>
                <w:szCs w:val="20"/>
              </w:rPr>
              <w:t>We suggest that the age range is reviewed</w:t>
            </w:r>
            <w:r>
              <w:rPr>
                <w:rFonts w:ascii="Arial" w:hAnsi="Arial" w:cs="Arial"/>
                <w:sz w:val="20"/>
                <w:szCs w:val="20"/>
              </w:rPr>
              <w:t>.</w:t>
            </w:r>
          </w:p>
        </w:tc>
      </w:tr>
      <w:tr w:rsidR="00563D13" w:rsidRPr="005E75EE" w14:paraId="607642CF" w14:textId="77777777" w:rsidTr="007249A6">
        <w:tc>
          <w:tcPr>
            <w:tcW w:w="562" w:type="dxa"/>
          </w:tcPr>
          <w:p w14:paraId="4C456578" w14:textId="55DE8631"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1</w:t>
            </w:r>
          </w:p>
        </w:tc>
        <w:tc>
          <w:tcPr>
            <w:tcW w:w="1139" w:type="dxa"/>
          </w:tcPr>
          <w:p w14:paraId="1D5297D2" w14:textId="48A59AFF" w:rsidR="00563D13" w:rsidRPr="00913C26" w:rsidRDefault="00563D13" w:rsidP="00563D13">
            <w:pPr>
              <w:pStyle w:val="TableText1"/>
              <w:rPr>
                <w:rFonts w:cs="Arial"/>
                <w:sz w:val="20"/>
                <w:szCs w:val="20"/>
              </w:rPr>
            </w:pPr>
            <w:r w:rsidRPr="00913C26">
              <w:rPr>
                <w:rFonts w:cs="Arial"/>
                <w:sz w:val="20"/>
                <w:szCs w:val="20"/>
              </w:rPr>
              <w:t>IND10</w:t>
            </w:r>
          </w:p>
        </w:tc>
        <w:tc>
          <w:tcPr>
            <w:tcW w:w="1985" w:type="dxa"/>
          </w:tcPr>
          <w:p w14:paraId="049703FF" w14:textId="53B2267F" w:rsidR="00563D13" w:rsidRPr="00913C26" w:rsidRDefault="00563D13" w:rsidP="00563D13">
            <w:pPr>
              <w:pStyle w:val="TableText1"/>
              <w:rPr>
                <w:rFonts w:cs="Arial"/>
                <w:sz w:val="20"/>
                <w:szCs w:val="20"/>
              </w:rPr>
            </w:pPr>
            <w:r w:rsidRPr="00913C26">
              <w:rPr>
                <w:rFonts w:cs="Arial"/>
                <w:sz w:val="20"/>
                <w:szCs w:val="20"/>
              </w:rPr>
              <w:t>AMGEN Ltd</w:t>
            </w:r>
          </w:p>
        </w:tc>
        <w:tc>
          <w:tcPr>
            <w:tcW w:w="11198" w:type="dxa"/>
          </w:tcPr>
          <w:p w14:paraId="747BC0D5" w14:textId="77777777" w:rsidR="00563D13" w:rsidRPr="0026129F" w:rsidRDefault="00563D13" w:rsidP="00563D13">
            <w:pPr>
              <w:rPr>
                <w:rFonts w:ascii="Arial" w:hAnsi="Arial" w:cs="Arial"/>
                <w:sz w:val="20"/>
                <w:szCs w:val="20"/>
              </w:rPr>
            </w:pPr>
            <w:bookmarkStart w:id="50" w:name="_Hlk9245963"/>
            <w:r w:rsidRPr="0026129F">
              <w:rPr>
                <w:rFonts w:ascii="Arial" w:hAnsi="Arial" w:cs="Arial"/>
                <w:sz w:val="20"/>
                <w:szCs w:val="20"/>
              </w:rPr>
              <w:t xml:space="preserve">Once patients have been identified through the Simon Broome criteria or the Dutch Lipid Clinic Network (DLCN) criteria as being suspected FH it may be that primary care healthcare professionals do not feel equipped to manage them appropriately. </w:t>
            </w:r>
          </w:p>
          <w:p w14:paraId="4AA19E65" w14:textId="77777777" w:rsidR="00563D13" w:rsidRPr="0026129F" w:rsidRDefault="00563D13" w:rsidP="00563D13">
            <w:pPr>
              <w:rPr>
                <w:rFonts w:ascii="Arial" w:hAnsi="Arial" w:cs="Arial"/>
                <w:sz w:val="20"/>
                <w:szCs w:val="20"/>
                <w:lang w:eastAsia="en-GB"/>
              </w:rPr>
            </w:pPr>
            <w:r w:rsidRPr="0026129F">
              <w:rPr>
                <w:rFonts w:ascii="Arial" w:hAnsi="Arial" w:cs="Arial"/>
                <w:sz w:val="20"/>
                <w:szCs w:val="20"/>
                <w:lang w:eastAsia="en-GB"/>
              </w:rPr>
              <w:br/>
              <w:t>Encouraging appropriate referral of all clinically diagnosed patients for specialist assessment is essential in ensuring that patients can receive appropriate, optimised therapy to prevent avoidable cardiovascular events.</w:t>
            </w:r>
          </w:p>
          <w:p w14:paraId="35465BA3" w14:textId="77777777" w:rsidR="00563D13" w:rsidRPr="0026129F" w:rsidRDefault="00563D13" w:rsidP="00563D13">
            <w:pPr>
              <w:rPr>
                <w:rFonts w:ascii="Arial" w:hAnsi="Arial" w:cs="Arial"/>
                <w:sz w:val="20"/>
                <w:szCs w:val="20"/>
                <w:lang w:eastAsia="en-GB"/>
              </w:rPr>
            </w:pPr>
          </w:p>
          <w:p w14:paraId="673658F9" w14:textId="77777777" w:rsidR="00563D13" w:rsidRPr="0026129F" w:rsidRDefault="00563D13" w:rsidP="00563D13">
            <w:pPr>
              <w:rPr>
                <w:rFonts w:ascii="Arial" w:hAnsi="Arial" w:cs="Arial"/>
                <w:b/>
                <w:sz w:val="20"/>
                <w:szCs w:val="20"/>
                <w:lang w:eastAsia="en-GB"/>
              </w:rPr>
            </w:pPr>
            <w:r w:rsidRPr="0026129F">
              <w:rPr>
                <w:rFonts w:ascii="Arial" w:hAnsi="Arial" w:cs="Arial"/>
                <w:b/>
                <w:sz w:val="20"/>
                <w:szCs w:val="20"/>
                <w:lang w:eastAsia="en-GB"/>
              </w:rPr>
              <w:lastRenderedPageBreak/>
              <w:t>We therefore fully support introduction of this indicator and strongly recommend that it is developed into a full QOF indicator with appropriate points for achievement to help drive activity in primary care to identify patients with suspected FH and ensure appropriate management.</w:t>
            </w:r>
          </w:p>
          <w:bookmarkEnd w:id="50"/>
          <w:p w14:paraId="308103A9" w14:textId="77777777" w:rsidR="00563D13" w:rsidRPr="0026129F" w:rsidRDefault="00563D13" w:rsidP="00563D13">
            <w:pPr>
              <w:rPr>
                <w:rFonts w:ascii="Arial" w:hAnsi="Arial" w:cs="Arial"/>
                <w:sz w:val="20"/>
                <w:szCs w:val="20"/>
              </w:rPr>
            </w:pPr>
          </w:p>
        </w:tc>
      </w:tr>
      <w:tr w:rsidR="00563D13" w:rsidRPr="005E75EE" w14:paraId="3835379F" w14:textId="77777777" w:rsidTr="007249A6">
        <w:tc>
          <w:tcPr>
            <w:tcW w:w="562" w:type="dxa"/>
          </w:tcPr>
          <w:p w14:paraId="0DDA3AD4" w14:textId="228E23E9" w:rsidR="00563D13" w:rsidRDefault="00131FF8" w:rsidP="00563D13">
            <w:pPr>
              <w:pStyle w:val="TableText1"/>
              <w:jc w:val="center"/>
              <w:rPr>
                <w:rFonts w:cs="Arial"/>
                <w:sz w:val="20"/>
                <w:szCs w:val="20"/>
              </w:rPr>
            </w:pPr>
            <w:r>
              <w:rPr>
                <w:rFonts w:cs="Arial"/>
                <w:sz w:val="20"/>
                <w:szCs w:val="20"/>
              </w:rPr>
              <w:lastRenderedPageBreak/>
              <w:t>2</w:t>
            </w:r>
            <w:r w:rsidR="008679F3">
              <w:rPr>
                <w:rFonts w:cs="Arial"/>
                <w:sz w:val="20"/>
                <w:szCs w:val="20"/>
              </w:rPr>
              <w:t>2</w:t>
            </w:r>
          </w:p>
        </w:tc>
        <w:tc>
          <w:tcPr>
            <w:tcW w:w="1139" w:type="dxa"/>
          </w:tcPr>
          <w:p w14:paraId="080F9F07" w14:textId="12570767" w:rsidR="00563D13" w:rsidRPr="00913C26" w:rsidRDefault="00563D13" w:rsidP="00563D13">
            <w:pPr>
              <w:pStyle w:val="TableText1"/>
              <w:rPr>
                <w:rFonts w:cs="Arial"/>
                <w:sz w:val="20"/>
                <w:szCs w:val="20"/>
              </w:rPr>
            </w:pPr>
            <w:r w:rsidRPr="00913C26">
              <w:rPr>
                <w:rFonts w:cs="Arial"/>
                <w:sz w:val="20"/>
                <w:szCs w:val="20"/>
              </w:rPr>
              <w:t>IND10</w:t>
            </w:r>
          </w:p>
        </w:tc>
        <w:tc>
          <w:tcPr>
            <w:tcW w:w="1985" w:type="dxa"/>
          </w:tcPr>
          <w:p w14:paraId="5A547202" w14:textId="65FF0411" w:rsidR="00563D13" w:rsidRPr="00913C26" w:rsidRDefault="00563D13" w:rsidP="00563D13">
            <w:pPr>
              <w:pStyle w:val="TableText1"/>
              <w:rPr>
                <w:rFonts w:cs="Arial"/>
                <w:sz w:val="20"/>
                <w:szCs w:val="20"/>
              </w:rPr>
            </w:pPr>
            <w:r w:rsidRPr="00913C26">
              <w:rPr>
                <w:rFonts w:cs="Arial"/>
                <w:sz w:val="20"/>
                <w:szCs w:val="20"/>
              </w:rPr>
              <w:t>British Medical Association</w:t>
            </w:r>
          </w:p>
        </w:tc>
        <w:tc>
          <w:tcPr>
            <w:tcW w:w="11198" w:type="dxa"/>
          </w:tcPr>
          <w:p w14:paraId="212F68D5" w14:textId="77777777" w:rsidR="00563D13" w:rsidRDefault="00563D13" w:rsidP="00563D13">
            <w:pPr>
              <w:rPr>
                <w:rFonts w:ascii="Arial" w:hAnsi="Arial" w:cs="Arial"/>
                <w:sz w:val="20"/>
                <w:szCs w:val="20"/>
                <w:lang w:eastAsia="en-GB"/>
              </w:rPr>
            </w:pPr>
            <w:r w:rsidRPr="00913C26">
              <w:rPr>
                <w:rFonts w:ascii="Arial" w:hAnsi="Arial" w:cs="Arial"/>
                <w:sz w:val="20"/>
                <w:szCs w:val="20"/>
                <w:lang w:eastAsia="en-GB"/>
              </w:rPr>
              <w:t>While agreeing that this represents best practice, we cannot support this as an indicator of quality as the numbers in each practice will be too low to provide an acceptable indication of standards of care.</w:t>
            </w:r>
          </w:p>
          <w:p w14:paraId="74A6A5D8" w14:textId="1FBC9867" w:rsidR="00563D13" w:rsidRPr="0026129F" w:rsidRDefault="00563D13" w:rsidP="00563D13">
            <w:pPr>
              <w:rPr>
                <w:rFonts w:ascii="Arial" w:hAnsi="Arial" w:cs="Arial"/>
                <w:sz w:val="20"/>
                <w:szCs w:val="20"/>
              </w:rPr>
            </w:pPr>
          </w:p>
        </w:tc>
      </w:tr>
      <w:tr w:rsidR="00563D13" w:rsidRPr="005E75EE" w14:paraId="1E7F3EEC" w14:textId="77777777" w:rsidTr="007249A6">
        <w:tc>
          <w:tcPr>
            <w:tcW w:w="562" w:type="dxa"/>
          </w:tcPr>
          <w:p w14:paraId="086C3AAC" w14:textId="77777777" w:rsidR="00563D13" w:rsidRDefault="00563D13" w:rsidP="00563D13">
            <w:pPr>
              <w:pStyle w:val="TableText1"/>
              <w:jc w:val="center"/>
              <w:rPr>
                <w:rFonts w:cs="Arial"/>
                <w:sz w:val="20"/>
                <w:szCs w:val="20"/>
              </w:rPr>
            </w:pPr>
          </w:p>
          <w:p w14:paraId="4F5C76F6" w14:textId="3FDFC2C8"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3</w:t>
            </w:r>
          </w:p>
          <w:p w14:paraId="63E5E39B" w14:textId="44536BD4" w:rsidR="00563D13" w:rsidRDefault="00563D13" w:rsidP="00563D13">
            <w:pPr>
              <w:pStyle w:val="TableText1"/>
              <w:jc w:val="center"/>
              <w:rPr>
                <w:rFonts w:cs="Arial"/>
                <w:sz w:val="20"/>
                <w:szCs w:val="20"/>
              </w:rPr>
            </w:pPr>
          </w:p>
        </w:tc>
        <w:tc>
          <w:tcPr>
            <w:tcW w:w="1139" w:type="dxa"/>
          </w:tcPr>
          <w:p w14:paraId="05599557" w14:textId="34A4E85F" w:rsidR="00563D13" w:rsidRPr="00913C26" w:rsidRDefault="00563D13" w:rsidP="00563D13">
            <w:pPr>
              <w:rPr>
                <w:rFonts w:ascii="Arial" w:hAnsi="Arial" w:cs="Arial"/>
                <w:sz w:val="20"/>
                <w:szCs w:val="20"/>
              </w:rPr>
            </w:pPr>
            <w:r w:rsidRPr="00913C26">
              <w:rPr>
                <w:rFonts w:ascii="Arial" w:hAnsi="Arial" w:cs="Arial"/>
                <w:sz w:val="20"/>
                <w:szCs w:val="20"/>
              </w:rPr>
              <w:t>IND10</w:t>
            </w:r>
          </w:p>
        </w:tc>
        <w:tc>
          <w:tcPr>
            <w:tcW w:w="1985" w:type="dxa"/>
          </w:tcPr>
          <w:p w14:paraId="58C2F0E3" w14:textId="35735EE0" w:rsidR="00563D13" w:rsidRPr="00913C26" w:rsidRDefault="00563D13" w:rsidP="00563D13">
            <w:pPr>
              <w:rPr>
                <w:rFonts w:ascii="Arial" w:hAnsi="Arial" w:cs="Arial"/>
                <w:sz w:val="20"/>
                <w:szCs w:val="20"/>
              </w:rPr>
            </w:pPr>
            <w:r w:rsidRPr="00913C26">
              <w:rPr>
                <w:rFonts w:ascii="Arial" w:hAnsi="Arial" w:cs="Arial"/>
                <w:sz w:val="20"/>
                <w:szCs w:val="20"/>
              </w:rPr>
              <w:t>Clinical Genetics Society</w:t>
            </w:r>
          </w:p>
        </w:tc>
        <w:tc>
          <w:tcPr>
            <w:tcW w:w="11198" w:type="dxa"/>
          </w:tcPr>
          <w:p w14:paraId="49A01CD7" w14:textId="260B9377" w:rsidR="00563D13" w:rsidRPr="00913C26" w:rsidRDefault="00563D13" w:rsidP="00563D13">
            <w:pPr>
              <w:rPr>
                <w:rFonts w:ascii="Arial" w:hAnsi="Arial" w:cs="Arial"/>
                <w:sz w:val="20"/>
                <w:szCs w:val="20"/>
              </w:rPr>
            </w:pPr>
            <w:bookmarkStart w:id="51" w:name="_Hlk9246683"/>
            <w:r w:rsidRPr="00913C26">
              <w:rPr>
                <w:rFonts w:ascii="Arial" w:hAnsi="Arial" w:cs="Arial"/>
                <w:sz w:val="20"/>
                <w:szCs w:val="20"/>
              </w:rPr>
              <w:t xml:space="preserve">The document states that patients with a diagnosis of familial hypercholesterolaemia should be referred for specialist assessment including DNA analysis. It should be explicit which service patients should be referred to, as currently many patients are referred into genetics services for genetic testing.  Genetics services are not commissioned to perform genetic testing for this group of </w:t>
            </w:r>
            <w:proofErr w:type="gramStart"/>
            <w:r w:rsidRPr="00913C26">
              <w:rPr>
                <w:rFonts w:ascii="Arial" w:hAnsi="Arial" w:cs="Arial"/>
                <w:sz w:val="20"/>
                <w:szCs w:val="20"/>
              </w:rPr>
              <w:t>patients</w:t>
            </w:r>
            <w:proofErr w:type="gramEnd"/>
            <w:r w:rsidRPr="00913C26">
              <w:rPr>
                <w:rFonts w:ascii="Arial" w:hAnsi="Arial" w:cs="Arial"/>
                <w:sz w:val="20"/>
                <w:szCs w:val="20"/>
              </w:rPr>
              <w:t xml:space="preserve"> and they should be referred directly to their local lipid clinic who can both request the DNA analysis if indicated and manage the patient.  Referral to the genetics service often leads to delays in the patient being seen, with the potential for detrimental health consequences.</w:t>
            </w:r>
            <w:bookmarkEnd w:id="51"/>
          </w:p>
        </w:tc>
      </w:tr>
      <w:tr w:rsidR="00563D13" w:rsidRPr="005E75EE" w14:paraId="305D57A4" w14:textId="77777777" w:rsidTr="007249A6">
        <w:tc>
          <w:tcPr>
            <w:tcW w:w="562" w:type="dxa"/>
          </w:tcPr>
          <w:p w14:paraId="39619A89" w14:textId="6AD4E08A"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4</w:t>
            </w:r>
          </w:p>
        </w:tc>
        <w:tc>
          <w:tcPr>
            <w:tcW w:w="1139" w:type="dxa"/>
          </w:tcPr>
          <w:p w14:paraId="7072515C" w14:textId="05096262" w:rsidR="00563D13" w:rsidRPr="00913C26" w:rsidRDefault="00563D13" w:rsidP="00563D13">
            <w:pPr>
              <w:rPr>
                <w:rFonts w:ascii="Arial" w:hAnsi="Arial" w:cs="Arial"/>
                <w:sz w:val="20"/>
                <w:szCs w:val="20"/>
              </w:rPr>
            </w:pPr>
            <w:r w:rsidRPr="00913C26">
              <w:rPr>
                <w:rFonts w:ascii="Arial" w:hAnsi="Arial" w:cs="Arial"/>
                <w:sz w:val="20"/>
                <w:szCs w:val="20"/>
              </w:rPr>
              <w:t>IND10</w:t>
            </w:r>
          </w:p>
        </w:tc>
        <w:tc>
          <w:tcPr>
            <w:tcW w:w="1985" w:type="dxa"/>
          </w:tcPr>
          <w:p w14:paraId="6CA81D39" w14:textId="54100804" w:rsidR="00563D13" w:rsidRPr="00913C26" w:rsidRDefault="00563D13" w:rsidP="00563D13">
            <w:pPr>
              <w:rPr>
                <w:rFonts w:ascii="Arial" w:hAnsi="Arial" w:cs="Arial"/>
                <w:sz w:val="20"/>
                <w:szCs w:val="20"/>
              </w:rPr>
            </w:pPr>
            <w:r w:rsidRPr="00913C26">
              <w:rPr>
                <w:rFonts w:ascii="Arial" w:hAnsi="Arial" w:cs="Arial"/>
                <w:sz w:val="20"/>
                <w:szCs w:val="20"/>
              </w:rPr>
              <w:t>Heart UK</w:t>
            </w:r>
          </w:p>
        </w:tc>
        <w:tc>
          <w:tcPr>
            <w:tcW w:w="11198" w:type="dxa"/>
          </w:tcPr>
          <w:p w14:paraId="0875F5A4" w14:textId="0610670F" w:rsidR="00563D13" w:rsidRPr="00913C26" w:rsidRDefault="00563D13" w:rsidP="00563D13">
            <w:pPr>
              <w:rPr>
                <w:rFonts w:ascii="Arial" w:hAnsi="Arial" w:cs="Arial"/>
                <w:sz w:val="20"/>
                <w:szCs w:val="20"/>
              </w:rPr>
            </w:pPr>
            <w:bookmarkStart w:id="52" w:name="_Hlk9248221"/>
            <w:r w:rsidRPr="00913C26">
              <w:rPr>
                <w:rFonts w:ascii="Arial" w:hAnsi="Arial" w:cs="Arial"/>
                <w:sz w:val="20"/>
                <w:szCs w:val="20"/>
              </w:rPr>
              <w:t xml:space="preserve">Important to reinforce use of correct coding for possible </w:t>
            </w:r>
            <w:proofErr w:type="spellStart"/>
            <w:r w:rsidRPr="00913C26">
              <w:rPr>
                <w:rFonts w:ascii="Arial" w:hAnsi="Arial" w:cs="Arial"/>
                <w:sz w:val="20"/>
                <w:szCs w:val="20"/>
              </w:rPr>
              <w:t>HeFH</w:t>
            </w:r>
            <w:proofErr w:type="spellEnd"/>
            <w:r w:rsidRPr="00913C26">
              <w:rPr>
                <w:rFonts w:ascii="Arial" w:hAnsi="Arial" w:cs="Arial"/>
                <w:sz w:val="20"/>
                <w:szCs w:val="20"/>
              </w:rPr>
              <w:t xml:space="preserve"> (</w:t>
            </w:r>
            <w:proofErr w:type="spellStart"/>
            <w:r w:rsidRPr="00913C26">
              <w:rPr>
                <w:rFonts w:ascii="Arial" w:hAnsi="Arial" w:cs="Arial"/>
                <w:sz w:val="20"/>
                <w:szCs w:val="20"/>
              </w:rPr>
              <w:t>ie</w:t>
            </w:r>
            <w:proofErr w:type="spellEnd"/>
            <w:r w:rsidRPr="00913C26">
              <w:rPr>
                <w:rFonts w:ascii="Arial" w:hAnsi="Arial" w:cs="Arial"/>
                <w:sz w:val="20"/>
                <w:szCs w:val="20"/>
              </w:rPr>
              <w:t xml:space="preserve"> clinical diagnosis). The separate code for definite (He)FH should only be used once diagnosis is confirmed.</w:t>
            </w:r>
            <w:bookmarkEnd w:id="52"/>
          </w:p>
        </w:tc>
      </w:tr>
      <w:tr w:rsidR="00563D13" w:rsidRPr="005E75EE" w14:paraId="751F0CC5" w14:textId="77777777" w:rsidTr="007249A6">
        <w:tc>
          <w:tcPr>
            <w:tcW w:w="562" w:type="dxa"/>
          </w:tcPr>
          <w:p w14:paraId="41AAE2FA" w14:textId="2020F167"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5</w:t>
            </w:r>
          </w:p>
        </w:tc>
        <w:tc>
          <w:tcPr>
            <w:tcW w:w="1139" w:type="dxa"/>
          </w:tcPr>
          <w:p w14:paraId="53D27200" w14:textId="30CA686A" w:rsidR="00563D13" w:rsidRPr="00913C26" w:rsidRDefault="00563D13" w:rsidP="00563D13">
            <w:pPr>
              <w:rPr>
                <w:rFonts w:ascii="Arial" w:hAnsi="Arial" w:cs="Arial"/>
                <w:sz w:val="20"/>
                <w:szCs w:val="20"/>
              </w:rPr>
            </w:pPr>
            <w:r w:rsidRPr="00913C26">
              <w:rPr>
                <w:rFonts w:ascii="Arial" w:hAnsi="Arial" w:cs="Arial"/>
                <w:sz w:val="20"/>
                <w:szCs w:val="20"/>
              </w:rPr>
              <w:t>IND10</w:t>
            </w:r>
          </w:p>
        </w:tc>
        <w:tc>
          <w:tcPr>
            <w:tcW w:w="1985" w:type="dxa"/>
          </w:tcPr>
          <w:p w14:paraId="4B6C5A64" w14:textId="60147D60" w:rsidR="00563D13" w:rsidRPr="00913C26" w:rsidRDefault="00563D13" w:rsidP="00563D13">
            <w:pPr>
              <w:rPr>
                <w:rFonts w:ascii="Arial" w:hAnsi="Arial" w:cs="Arial"/>
                <w:sz w:val="20"/>
                <w:szCs w:val="20"/>
              </w:rPr>
            </w:pPr>
            <w:r w:rsidRPr="00913C26">
              <w:rPr>
                <w:rFonts w:ascii="Arial" w:hAnsi="Arial" w:cs="Arial"/>
                <w:sz w:val="20"/>
                <w:szCs w:val="20"/>
              </w:rPr>
              <w:t>Heart UK</w:t>
            </w:r>
          </w:p>
        </w:tc>
        <w:tc>
          <w:tcPr>
            <w:tcW w:w="11198" w:type="dxa"/>
          </w:tcPr>
          <w:p w14:paraId="5778B3EC" w14:textId="77777777" w:rsidR="00563D13" w:rsidRPr="00F53FCB" w:rsidRDefault="00563D13" w:rsidP="00563D13">
            <w:pPr>
              <w:rPr>
                <w:rFonts w:ascii="Arial" w:hAnsi="Arial" w:cs="Arial"/>
                <w:sz w:val="20"/>
                <w:szCs w:val="20"/>
              </w:rPr>
            </w:pPr>
            <w:bookmarkStart w:id="53" w:name="_Hlk9248255"/>
            <w:r w:rsidRPr="00F53FCB">
              <w:rPr>
                <w:rFonts w:ascii="Arial" w:hAnsi="Arial" w:cs="Arial"/>
                <w:sz w:val="20"/>
                <w:szCs w:val="20"/>
              </w:rPr>
              <w:t xml:space="preserve">HEART UK supports a single, national registry for FH to register patients and families and manage their service provision, particularly cascade testing. In England, the licenses required by Trusts to use the PASS database are largely funded through HEART UK and has been a particularly useful tool in screening for FH. </w:t>
            </w:r>
          </w:p>
          <w:p w14:paraId="4C9B367B" w14:textId="77777777" w:rsidR="00563D13" w:rsidRPr="00F53FCB" w:rsidRDefault="00563D13" w:rsidP="00563D13">
            <w:pPr>
              <w:rPr>
                <w:rFonts w:ascii="Arial" w:hAnsi="Arial" w:cs="Arial"/>
                <w:sz w:val="20"/>
                <w:szCs w:val="20"/>
              </w:rPr>
            </w:pPr>
          </w:p>
          <w:p w14:paraId="557D49B6" w14:textId="73B6B4DE" w:rsidR="00563D13" w:rsidRDefault="00563D13" w:rsidP="00563D13">
            <w:pPr>
              <w:rPr>
                <w:rFonts w:ascii="Arial" w:hAnsi="Arial" w:cs="Arial"/>
                <w:sz w:val="20"/>
                <w:szCs w:val="20"/>
              </w:rPr>
            </w:pPr>
            <w:r w:rsidRPr="00913C26">
              <w:rPr>
                <w:rFonts w:ascii="Arial" w:hAnsi="Arial" w:cs="Arial"/>
                <w:sz w:val="20"/>
                <w:szCs w:val="20"/>
              </w:rPr>
              <w:t>“The percentage of people with a clinical diagnosis of FH referred for specialist assessment and included on the national FH registry.”</w:t>
            </w:r>
            <w:bookmarkEnd w:id="53"/>
          </w:p>
          <w:p w14:paraId="16D499DA" w14:textId="1DB8CC2B" w:rsidR="00563D13" w:rsidRPr="00913C26" w:rsidRDefault="00563D13" w:rsidP="00563D13">
            <w:pPr>
              <w:rPr>
                <w:rFonts w:ascii="Arial" w:hAnsi="Arial" w:cs="Arial"/>
                <w:sz w:val="20"/>
                <w:szCs w:val="20"/>
              </w:rPr>
            </w:pPr>
          </w:p>
        </w:tc>
      </w:tr>
      <w:tr w:rsidR="00563D13" w:rsidRPr="005E75EE" w14:paraId="167DD08F" w14:textId="77777777" w:rsidTr="007249A6">
        <w:tc>
          <w:tcPr>
            <w:tcW w:w="562" w:type="dxa"/>
          </w:tcPr>
          <w:p w14:paraId="1C0DA364" w14:textId="7FC72D1F"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6</w:t>
            </w:r>
          </w:p>
        </w:tc>
        <w:tc>
          <w:tcPr>
            <w:tcW w:w="1139" w:type="dxa"/>
          </w:tcPr>
          <w:p w14:paraId="52420573" w14:textId="139685BA" w:rsidR="00563D13" w:rsidRPr="00913C26" w:rsidRDefault="00563D13" w:rsidP="00563D13">
            <w:pPr>
              <w:rPr>
                <w:rFonts w:ascii="Arial" w:hAnsi="Arial" w:cs="Arial"/>
                <w:sz w:val="20"/>
                <w:szCs w:val="20"/>
              </w:rPr>
            </w:pPr>
            <w:r w:rsidRPr="00563D13">
              <w:rPr>
                <w:rFonts w:ascii="Arial" w:hAnsi="Arial" w:cs="Arial"/>
                <w:sz w:val="20"/>
                <w:szCs w:val="20"/>
              </w:rPr>
              <w:t>IND10</w:t>
            </w:r>
          </w:p>
        </w:tc>
        <w:tc>
          <w:tcPr>
            <w:tcW w:w="1985" w:type="dxa"/>
          </w:tcPr>
          <w:p w14:paraId="49D7E99D" w14:textId="1094E313" w:rsidR="00563D13" w:rsidRPr="00913C26" w:rsidRDefault="00563D13" w:rsidP="00563D13">
            <w:pPr>
              <w:rPr>
                <w:rFonts w:ascii="Arial" w:hAnsi="Arial" w:cs="Arial"/>
                <w:sz w:val="20"/>
                <w:szCs w:val="20"/>
              </w:rPr>
            </w:pPr>
            <w:r w:rsidRPr="00563D13">
              <w:rPr>
                <w:rFonts w:ascii="Arial" w:hAnsi="Arial" w:cs="Arial"/>
                <w:sz w:val="20"/>
                <w:szCs w:val="20"/>
              </w:rPr>
              <w:t>National Pharmaceutical Advisers Group (PAG)</w:t>
            </w:r>
          </w:p>
        </w:tc>
        <w:tc>
          <w:tcPr>
            <w:tcW w:w="11198" w:type="dxa"/>
          </w:tcPr>
          <w:p w14:paraId="7B2A07E5" w14:textId="3AD813B7" w:rsidR="00563D13" w:rsidRPr="00F53FCB" w:rsidRDefault="00563D13" w:rsidP="00563D13">
            <w:pPr>
              <w:rPr>
                <w:rFonts w:ascii="Arial" w:hAnsi="Arial" w:cs="Arial"/>
                <w:sz w:val="20"/>
                <w:szCs w:val="20"/>
              </w:rPr>
            </w:pPr>
            <w:bookmarkStart w:id="54" w:name="_Hlk9248575"/>
            <w:r w:rsidRPr="00563D13">
              <w:rPr>
                <w:rFonts w:ascii="Arial" w:hAnsi="Arial" w:cs="Arial"/>
                <w:sz w:val="20"/>
                <w:szCs w:val="20"/>
              </w:rPr>
              <w:t>Involvement of a specialist to treat FH makes sense given complexity of disease and importance of the condition to be managed well.</w:t>
            </w:r>
            <w:bookmarkEnd w:id="54"/>
          </w:p>
        </w:tc>
      </w:tr>
      <w:tr w:rsidR="00563D13" w:rsidRPr="005E75EE" w14:paraId="363AD037" w14:textId="77777777" w:rsidTr="007249A6">
        <w:tc>
          <w:tcPr>
            <w:tcW w:w="562" w:type="dxa"/>
          </w:tcPr>
          <w:p w14:paraId="7BB0B2C0" w14:textId="027E42F3"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7</w:t>
            </w:r>
          </w:p>
        </w:tc>
        <w:tc>
          <w:tcPr>
            <w:tcW w:w="1139" w:type="dxa"/>
          </w:tcPr>
          <w:p w14:paraId="44C66BD5" w14:textId="44253393" w:rsidR="00563D13" w:rsidRPr="00563D13" w:rsidRDefault="00563D13" w:rsidP="00563D13">
            <w:pPr>
              <w:rPr>
                <w:rFonts w:ascii="Arial" w:hAnsi="Arial" w:cs="Arial"/>
                <w:sz w:val="20"/>
                <w:szCs w:val="20"/>
              </w:rPr>
            </w:pPr>
            <w:r>
              <w:rPr>
                <w:rFonts w:ascii="Arial" w:hAnsi="Arial" w:cs="Arial"/>
                <w:sz w:val="20"/>
                <w:szCs w:val="20"/>
              </w:rPr>
              <w:t xml:space="preserve">IND10 </w:t>
            </w:r>
          </w:p>
        </w:tc>
        <w:tc>
          <w:tcPr>
            <w:tcW w:w="1985" w:type="dxa"/>
          </w:tcPr>
          <w:p w14:paraId="0B239C6E" w14:textId="2F7F557A" w:rsidR="00563D13" w:rsidRPr="00563D13" w:rsidRDefault="00563D13" w:rsidP="00563D13">
            <w:pPr>
              <w:rPr>
                <w:rFonts w:ascii="Arial" w:hAnsi="Arial" w:cs="Arial"/>
                <w:sz w:val="20"/>
                <w:szCs w:val="20"/>
              </w:rPr>
            </w:pPr>
            <w:r w:rsidRPr="00563D13">
              <w:rPr>
                <w:rFonts w:ascii="Arial" w:hAnsi="Arial" w:cs="Arial"/>
                <w:sz w:val="20"/>
                <w:szCs w:val="20"/>
              </w:rPr>
              <w:t>Royal College of General Practitioners</w:t>
            </w:r>
          </w:p>
        </w:tc>
        <w:tc>
          <w:tcPr>
            <w:tcW w:w="11198" w:type="dxa"/>
          </w:tcPr>
          <w:p w14:paraId="7034D776" w14:textId="738D9132" w:rsidR="00563D13" w:rsidRPr="00563D13" w:rsidRDefault="00563D13" w:rsidP="00563D13">
            <w:pPr>
              <w:rPr>
                <w:rFonts w:ascii="Arial" w:hAnsi="Arial" w:cs="Arial"/>
                <w:sz w:val="20"/>
                <w:szCs w:val="20"/>
              </w:rPr>
            </w:pPr>
            <w:r w:rsidRPr="00563D13">
              <w:rPr>
                <w:rFonts w:ascii="Arial" w:hAnsi="Arial" w:cs="Arial"/>
                <w:sz w:val="20"/>
                <w:szCs w:val="20"/>
              </w:rPr>
              <w:t>While agreeing that this represents best practice, we cannot support this as an indicator of quality as the numbers in each practice will be too low to provide an acceptable indication of standards of care.</w:t>
            </w:r>
          </w:p>
        </w:tc>
      </w:tr>
      <w:tr w:rsidR="00563D13" w:rsidRPr="005E75EE" w14:paraId="596B8405" w14:textId="77777777" w:rsidTr="007249A6">
        <w:tc>
          <w:tcPr>
            <w:tcW w:w="562" w:type="dxa"/>
          </w:tcPr>
          <w:p w14:paraId="4584F45C" w14:textId="0A4F8545" w:rsidR="00563D13" w:rsidRDefault="00131FF8" w:rsidP="00563D13">
            <w:pPr>
              <w:pStyle w:val="TableText1"/>
              <w:jc w:val="center"/>
              <w:rPr>
                <w:rFonts w:cs="Arial"/>
                <w:sz w:val="20"/>
                <w:szCs w:val="20"/>
              </w:rPr>
            </w:pPr>
            <w:r>
              <w:rPr>
                <w:rFonts w:cs="Arial"/>
                <w:sz w:val="20"/>
                <w:szCs w:val="20"/>
              </w:rPr>
              <w:t>2</w:t>
            </w:r>
            <w:r w:rsidR="008679F3">
              <w:rPr>
                <w:rFonts w:cs="Arial"/>
                <w:sz w:val="20"/>
                <w:szCs w:val="20"/>
              </w:rPr>
              <w:t>8</w:t>
            </w:r>
          </w:p>
        </w:tc>
        <w:tc>
          <w:tcPr>
            <w:tcW w:w="1139" w:type="dxa"/>
          </w:tcPr>
          <w:p w14:paraId="45885099" w14:textId="77777777" w:rsidR="00563D13" w:rsidRPr="00563D13" w:rsidRDefault="00563D13" w:rsidP="00563D13">
            <w:pPr>
              <w:rPr>
                <w:rFonts w:ascii="Arial" w:hAnsi="Arial" w:cs="Arial"/>
                <w:sz w:val="20"/>
                <w:szCs w:val="20"/>
              </w:rPr>
            </w:pPr>
            <w:r w:rsidRPr="00563D13">
              <w:rPr>
                <w:rFonts w:ascii="Arial" w:hAnsi="Arial" w:cs="Arial"/>
                <w:sz w:val="20"/>
                <w:szCs w:val="20"/>
              </w:rPr>
              <w:t>IND10</w:t>
            </w:r>
          </w:p>
          <w:p w14:paraId="189F3A00" w14:textId="77777777" w:rsidR="00563D13" w:rsidRDefault="00563D13" w:rsidP="00563D13">
            <w:pPr>
              <w:rPr>
                <w:rFonts w:ascii="Arial" w:hAnsi="Arial" w:cs="Arial"/>
                <w:sz w:val="20"/>
                <w:szCs w:val="20"/>
              </w:rPr>
            </w:pPr>
          </w:p>
        </w:tc>
        <w:tc>
          <w:tcPr>
            <w:tcW w:w="1985" w:type="dxa"/>
          </w:tcPr>
          <w:p w14:paraId="2F80DDE7" w14:textId="1988E5CF" w:rsidR="00563D13" w:rsidRPr="00563D13" w:rsidRDefault="00563D13" w:rsidP="00563D13">
            <w:pPr>
              <w:rPr>
                <w:rFonts w:ascii="Arial" w:hAnsi="Arial" w:cs="Arial"/>
                <w:sz w:val="20"/>
                <w:szCs w:val="20"/>
              </w:rPr>
            </w:pPr>
            <w:r w:rsidRPr="00563D13">
              <w:rPr>
                <w:rFonts w:ascii="Arial" w:hAnsi="Arial" w:cs="Arial"/>
                <w:sz w:val="20"/>
                <w:szCs w:val="20"/>
              </w:rPr>
              <w:t>NHS Medway CCG</w:t>
            </w:r>
          </w:p>
        </w:tc>
        <w:tc>
          <w:tcPr>
            <w:tcW w:w="11198" w:type="dxa"/>
          </w:tcPr>
          <w:p w14:paraId="33E50314" w14:textId="77777777" w:rsidR="00563D13" w:rsidRPr="00563D13" w:rsidRDefault="00563D13" w:rsidP="00563D13">
            <w:pPr>
              <w:rPr>
                <w:rFonts w:ascii="Arial" w:hAnsi="Arial" w:cs="Arial"/>
                <w:sz w:val="20"/>
                <w:szCs w:val="20"/>
              </w:rPr>
            </w:pPr>
            <w:bookmarkStart w:id="55" w:name="_Hlk9248780"/>
            <w:bookmarkStart w:id="56" w:name="_Hlk9940270"/>
            <w:r w:rsidRPr="00563D13">
              <w:rPr>
                <w:rFonts w:ascii="Arial" w:hAnsi="Arial" w:cs="Arial"/>
                <w:sz w:val="20"/>
                <w:szCs w:val="20"/>
              </w:rPr>
              <w:t xml:space="preserve">I’d propose that this indicator is changed from those referred to a lipid or endocrine clinic to those who have been genetically screened. I understand SNOMED codes exist to record this. The purpose of the referral to secondary care is to get diagnostic confirmation, which is by way of genetic testing, but we know that this is not happening in many parts of the country. As the genomic hubs come online, and will be by April 2020 if not before, this should be our end point. It could be argued that as GPs cannot as yet refer directly for genomic testing of FH patients the measure in QOF is restricted to what is in the gift of the GP, but what matters to patients, and importantly for their relatives if they are mutation positive for a FH gene, is that we know and manage their genomic risk. </w:t>
            </w:r>
          </w:p>
          <w:p w14:paraId="7DCDC0D4" w14:textId="73B3D7AD" w:rsidR="00563D13" w:rsidRPr="00563D13" w:rsidRDefault="00563D13" w:rsidP="00563D13">
            <w:pPr>
              <w:rPr>
                <w:rFonts w:ascii="Arial" w:hAnsi="Arial" w:cs="Arial"/>
                <w:sz w:val="20"/>
                <w:szCs w:val="20"/>
              </w:rPr>
            </w:pPr>
            <w:r w:rsidRPr="00563D13">
              <w:rPr>
                <w:rFonts w:ascii="Arial" w:hAnsi="Arial" w:cs="Arial"/>
                <w:sz w:val="20"/>
                <w:szCs w:val="20"/>
              </w:rPr>
              <w:t>Measuring referrals without measuring those having genetic testing may add great cost and little benefit.</w:t>
            </w:r>
            <w:bookmarkEnd w:id="55"/>
            <w:bookmarkEnd w:id="56"/>
          </w:p>
        </w:tc>
      </w:tr>
      <w:tr w:rsidR="00131FF8" w:rsidRPr="005E75EE" w14:paraId="5B49A47A" w14:textId="77777777" w:rsidTr="007249A6">
        <w:tc>
          <w:tcPr>
            <w:tcW w:w="562" w:type="dxa"/>
          </w:tcPr>
          <w:p w14:paraId="61ED245A" w14:textId="6668F77E" w:rsidR="00131FF8" w:rsidRDefault="00131FF8" w:rsidP="00563D13">
            <w:pPr>
              <w:pStyle w:val="TableText1"/>
              <w:jc w:val="center"/>
              <w:rPr>
                <w:rFonts w:cs="Arial"/>
                <w:sz w:val="20"/>
                <w:szCs w:val="20"/>
              </w:rPr>
            </w:pPr>
            <w:r>
              <w:rPr>
                <w:rFonts w:cs="Arial"/>
                <w:sz w:val="20"/>
                <w:szCs w:val="20"/>
              </w:rPr>
              <w:lastRenderedPageBreak/>
              <w:t>2</w:t>
            </w:r>
            <w:r w:rsidR="008679F3">
              <w:rPr>
                <w:rFonts w:cs="Arial"/>
                <w:sz w:val="20"/>
                <w:szCs w:val="20"/>
              </w:rPr>
              <w:t>9</w:t>
            </w:r>
          </w:p>
        </w:tc>
        <w:tc>
          <w:tcPr>
            <w:tcW w:w="1139" w:type="dxa"/>
          </w:tcPr>
          <w:p w14:paraId="7E800DFA" w14:textId="77777777" w:rsidR="00131FF8" w:rsidRPr="00131FF8" w:rsidRDefault="00131FF8" w:rsidP="00131FF8">
            <w:pPr>
              <w:rPr>
                <w:rFonts w:ascii="Arial" w:hAnsi="Arial" w:cs="Arial"/>
                <w:sz w:val="20"/>
                <w:szCs w:val="20"/>
              </w:rPr>
            </w:pPr>
            <w:r w:rsidRPr="00131FF8">
              <w:rPr>
                <w:rFonts w:ascii="Arial" w:hAnsi="Arial" w:cs="Arial"/>
                <w:sz w:val="20"/>
                <w:szCs w:val="20"/>
              </w:rPr>
              <w:t>IND10</w:t>
            </w:r>
          </w:p>
          <w:p w14:paraId="61987ADE" w14:textId="77777777" w:rsidR="00131FF8" w:rsidRPr="00563D13" w:rsidRDefault="00131FF8" w:rsidP="00563D13">
            <w:pPr>
              <w:rPr>
                <w:rFonts w:ascii="Arial" w:hAnsi="Arial" w:cs="Arial"/>
                <w:sz w:val="20"/>
                <w:szCs w:val="20"/>
              </w:rPr>
            </w:pPr>
          </w:p>
        </w:tc>
        <w:tc>
          <w:tcPr>
            <w:tcW w:w="1985" w:type="dxa"/>
          </w:tcPr>
          <w:p w14:paraId="31AE7F40" w14:textId="023568E1" w:rsidR="00131FF8" w:rsidRPr="00563D13" w:rsidRDefault="00131FF8" w:rsidP="00563D13">
            <w:pPr>
              <w:rPr>
                <w:rFonts w:ascii="Arial" w:hAnsi="Arial" w:cs="Arial"/>
                <w:sz w:val="20"/>
                <w:szCs w:val="20"/>
              </w:rPr>
            </w:pPr>
            <w:r>
              <w:rPr>
                <w:rFonts w:ascii="Arial" w:hAnsi="Arial" w:cs="Arial"/>
                <w:sz w:val="20"/>
                <w:szCs w:val="20"/>
              </w:rPr>
              <w:t>SANOFI</w:t>
            </w:r>
          </w:p>
        </w:tc>
        <w:tc>
          <w:tcPr>
            <w:tcW w:w="11198" w:type="dxa"/>
          </w:tcPr>
          <w:p w14:paraId="7EE62B70" w14:textId="77777777" w:rsidR="00131FF8" w:rsidRPr="00131FF8" w:rsidRDefault="00131FF8" w:rsidP="00131FF8">
            <w:pPr>
              <w:rPr>
                <w:rFonts w:ascii="Arial" w:hAnsi="Arial" w:cs="Arial"/>
                <w:sz w:val="20"/>
                <w:szCs w:val="20"/>
              </w:rPr>
            </w:pPr>
            <w:r w:rsidRPr="00131FF8">
              <w:rPr>
                <w:rFonts w:ascii="Arial" w:hAnsi="Arial" w:cs="Arial"/>
                <w:sz w:val="20"/>
                <w:szCs w:val="20"/>
              </w:rPr>
              <w:t xml:space="preserve">We assume ‘referred for specialist assessment’ includes phone call assessment, could this description be expanded to include face to face specialise assessment to increase the likelihood of diagnosing FH  </w:t>
            </w:r>
          </w:p>
          <w:p w14:paraId="0E54839C" w14:textId="77777777" w:rsidR="00131FF8" w:rsidRPr="00563D13" w:rsidRDefault="00131FF8" w:rsidP="00563D13">
            <w:pPr>
              <w:rPr>
                <w:rFonts w:ascii="Arial" w:hAnsi="Arial" w:cs="Arial"/>
                <w:sz w:val="20"/>
                <w:szCs w:val="20"/>
              </w:rPr>
            </w:pPr>
          </w:p>
        </w:tc>
      </w:tr>
    </w:tbl>
    <w:p w14:paraId="418C8A7A" w14:textId="77777777" w:rsidR="00E24E02" w:rsidRPr="006966FC" w:rsidRDefault="00E24E02" w:rsidP="009A3F7F">
      <w:pPr>
        <w:pStyle w:val="Heading1"/>
        <w:rPr>
          <w:rFonts w:cs="Arial"/>
          <w:sz w:val="22"/>
          <w:szCs w:val="22"/>
        </w:rPr>
      </w:pPr>
      <w:bookmarkStart w:id="57" w:name="_GoBack"/>
      <w:bookmarkEnd w:id="57"/>
    </w:p>
    <w:sectPr w:rsidR="00E24E02" w:rsidRPr="006966FC" w:rsidSect="0051147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A3B6" w14:textId="77777777" w:rsidR="00AB10B4" w:rsidRDefault="00AB10B4" w:rsidP="00446BEE">
      <w:r>
        <w:separator/>
      </w:r>
    </w:p>
  </w:endnote>
  <w:endnote w:type="continuationSeparator" w:id="0">
    <w:p w14:paraId="22EB9B1D" w14:textId="77777777" w:rsidR="00AB10B4" w:rsidRDefault="00AB10B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07A" w14:textId="3B143C03" w:rsidR="00AB10B4" w:rsidRPr="008C1C95" w:rsidRDefault="00AB10B4" w:rsidP="008C1C95">
    <w:pPr>
      <w:pStyle w:val="Footer"/>
      <w:jc w:val="right"/>
    </w:pP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57E4" w14:textId="77777777" w:rsidR="00AB10B4" w:rsidRDefault="00AB10B4" w:rsidP="00446BEE">
      <w:r>
        <w:separator/>
      </w:r>
    </w:p>
  </w:footnote>
  <w:footnote w:type="continuationSeparator" w:id="0">
    <w:p w14:paraId="1B316AC4" w14:textId="77777777" w:rsidR="00AB10B4" w:rsidRDefault="00AB10B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F22A" w14:textId="23BEAFB4" w:rsidR="00AB10B4" w:rsidRPr="00670FFB" w:rsidRDefault="00AB10B4" w:rsidP="00670FFB">
    <w:pPr>
      <w:pStyle w:val="Header"/>
      <w:jc w:val="right"/>
      <w:rPr>
        <w:b/>
        <w:bCs/>
        <w:sz w:val="22"/>
        <w:szCs w:val="22"/>
      </w:rPr>
    </w:pPr>
    <w:r w:rsidRPr="005927B3">
      <w:rPr>
        <w:b/>
        <w:bCs/>
        <w:sz w:val="22"/>
        <w:szCs w:val="22"/>
      </w:rPr>
      <w:t>ITEM 3c</w:t>
    </w:r>
    <w:r w:rsidR="000F694E">
      <w:rPr>
        <w:b/>
        <w:bCs/>
        <w:sz w:val="22"/>
        <w:szCs w:val="22"/>
      </w:rPr>
      <w:t>(</w:t>
    </w:r>
    <w:proofErr w:type="spellStart"/>
    <w:r w:rsidR="000F694E">
      <w:rPr>
        <w:b/>
        <w:bCs/>
        <w:sz w:val="22"/>
        <w:szCs w:val="22"/>
      </w:rPr>
      <w:t>i</w:t>
    </w:r>
    <w:proofErr w:type="spellEnd"/>
    <w:r w:rsidR="000F694E">
      <w:rPr>
        <w:b/>
        <w:bCs/>
        <w:sz w:val="22"/>
        <w:szCs w:val="22"/>
      </w:rPr>
      <w:t>)</w:t>
    </w:r>
    <w:r w:rsidRPr="005927B3">
      <w:rPr>
        <w:b/>
        <w:bCs/>
        <w:sz w:val="22"/>
        <w:szCs w:val="22"/>
      </w:rPr>
      <w:t xml:space="preserve"> – FH – consultation report</w:t>
    </w:r>
  </w:p>
  <w:p w14:paraId="1869F233" w14:textId="77777777" w:rsidR="00D87DD3" w:rsidRDefault="00D87DD3" w:rsidP="00670FFB">
    <w:pPr>
      <w:pStyle w:val="Header"/>
      <w:tabs>
        <w:tab w:val="left" w:pos="2768"/>
        <w:tab w:val="center" w:pos="4156"/>
      </w:tabs>
      <w:jc w:val="center"/>
      <w:rPr>
        <w:b/>
        <w:color w:val="FF0000"/>
        <w:sz w:val="22"/>
        <w:szCs w:val="22"/>
      </w:rPr>
    </w:pPr>
  </w:p>
  <w:p w14:paraId="686E1FB0" w14:textId="77777777" w:rsidR="00AB10B4" w:rsidRPr="00482C01" w:rsidRDefault="00AB10B4"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AC44979"/>
    <w:multiLevelType w:val="hybridMultilevel"/>
    <w:tmpl w:val="0F28D8BC"/>
    <w:lvl w:ilvl="0" w:tplc="ED7C43B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413D08"/>
    <w:multiLevelType w:val="hybridMultilevel"/>
    <w:tmpl w:val="93C0D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2"/>
  </w:num>
  <w:num w:numId="4">
    <w:abstractNumId w:val="10"/>
  </w:num>
  <w:num w:numId="5">
    <w:abstractNumId w:val="19"/>
  </w:num>
  <w:num w:numId="6">
    <w:abstractNumId w:val="1"/>
  </w:num>
  <w:num w:numId="7">
    <w:abstractNumId w:val="8"/>
  </w:num>
  <w:num w:numId="8">
    <w:abstractNumId w:val="17"/>
  </w:num>
  <w:num w:numId="9">
    <w:abstractNumId w:val="18"/>
  </w:num>
  <w:num w:numId="10">
    <w:abstractNumId w:val="4"/>
  </w:num>
  <w:num w:numId="11">
    <w:abstractNumId w:val="6"/>
  </w:num>
  <w:num w:numId="12">
    <w:abstractNumId w:val="2"/>
  </w:num>
  <w:num w:numId="13">
    <w:abstractNumId w:val="25"/>
  </w:num>
  <w:num w:numId="14">
    <w:abstractNumId w:val="11"/>
  </w:num>
  <w:num w:numId="15">
    <w:abstractNumId w:val="7"/>
  </w:num>
  <w:num w:numId="16">
    <w:abstractNumId w:val="15"/>
  </w:num>
  <w:num w:numId="17">
    <w:abstractNumId w:val="13"/>
  </w:num>
  <w:num w:numId="18">
    <w:abstractNumId w:val="16"/>
  </w:num>
  <w:num w:numId="19">
    <w:abstractNumId w:val="20"/>
  </w:num>
  <w:num w:numId="20">
    <w:abstractNumId w:val="5"/>
  </w:num>
  <w:num w:numId="21">
    <w:abstractNumId w:val="23"/>
  </w:num>
  <w:num w:numId="22">
    <w:abstractNumId w:val="0"/>
  </w:num>
  <w:num w:numId="23">
    <w:abstractNumId w:val="3"/>
  </w:num>
  <w:num w:numId="24">
    <w:abstractNumId w:val="21"/>
  </w:num>
  <w:num w:numId="25">
    <w:abstractNumId w:val="14"/>
  </w:num>
  <w:num w:numId="26">
    <w:abstractNumId w:val="24"/>
  </w:num>
  <w:num w:numId="27">
    <w:abstractNumId w:val="12"/>
  </w:num>
  <w:num w:numId="28">
    <w:abstractNumId w:val="4"/>
  </w:num>
  <w:num w:numId="2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76F"/>
    <w:rsid w:val="0002231A"/>
    <w:rsid w:val="00023CA5"/>
    <w:rsid w:val="00024D0A"/>
    <w:rsid w:val="00025A5C"/>
    <w:rsid w:val="0002655B"/>
    <w:rsid w:val="000300AE"/>
    <w:rsid w:val="00030385"/>
    <w:rsid w:val="00031509"/>
    <w:rsid w:val="0003213D"/>
    <w:rsid w:val="0003597A"/>
    <w:rsid w:val="00035D96"/>
    <w:rsid w:val="00036EE4"/>
    <w:rsid w:val="00037552"/>
    <w:rsid w:val="000414CD"/>
    <w:rsid w:val="00043AC4"/>
    <w:rsid w:val="000453F8"/>
    <w:rsid w:val="00050710"/>
    <w:rsid w:val="000524FA"/>
    <w:rsid w:val="00052A67"/>
    <w:rsid w:val="00052B85"/>
    <w:rsid w:val="00053145"/>
    <w:rsid w:val="00057A05"/>
    <w:rsid w:val="00060DA1"/>
    <w:rsid w:val="0006231E"/>
    <w:rsid w:val="00062405"/>
    <w:rsid w:val="00063213"/>
    <w:rsid w:val="00063B7C"/>
    <w:rsid w:val="00065B8F"/>
    <w:rsid w:val="000660D6"/>
    <w:rsid w:val="00066150"/>
    <w:rsid w:val="000675B4"/>
    <w:rsid w:val="00070065"/>
    <w:rsid w:val="0007042D"/>
    <w:rsid w:val="000710A1"/>
    <w:rsid w:val="000769BB"/>
    <w:rsid w:val="00077062"/>
    <w:rsid w:val="00077EEC"/>
    <w:rsid w:val="0008047F"/>
    <w:rsid w:val="00081BFA"/>
    <w:rsid w:val="00081C69"/>
    <w:rsid w:val="00084018"/>
    <w:rsid w:val="000853CB"/>
    <w:rsid w:val="00093F96"/>
    <w:rsid w:val="00094BC2"/>
    <w:rsid w:val="00094C1B"/>
    <w:rsid w:val="000963D1"/>
    <w:rsid w:val="000A16C2"/>
    <w:rsid w:val="000A5019"/>
    <w:rsid w:val="000A638C"/>
    <w:rsid w:val="000A7163"/>
    <w:rsid w:val="000B1301"/>
    <w:rsid w:val="000B1CBF"/>
    <w:rsid w:val="000B34B8"/>
    <w:rsid w:val="000B5939"/>
    <w:rsid w:val="000B5EBE"/>
    <w:rsid w:val="000C22B9"/>
    <w:rsid w:val="000C4EE8"/>
    <w:rsid w:val="000D04B0"/>
    <w:rsid w:val="000D1487"/>
    <w:rsid w:val="000D3776"/>
    <w:rsid w:val="000D4FCB"/>
    <w:rsid w:val="000E0E0D"/>
    <w:rsid w:val="000E4899"/>
    <w:rsid w:val="000E5617"/>
    <w:rsid w:val="000E7E3C"/>
    <w:rsid w:val="000F3B49"/>
    <w:rsid w:val="000F6502"/>
    <w:rsid w:val="000F694E"/>
    <w:rsid w:val="001043B0"/>
    <w:rsid w:val="00106104"/>
    <w:rsid w:val="00110A94"/>
    <w:rsid w:val="00110AD8"/>
    <w:rsid w:val="00112FAE"/>
    <w:rsid w:val="001131E2"/>
    <w:rsid w:val="001134E7"/>
    <w:rsid w:val="00121C0F"/>
    <w:rsid w:val="00124CBD"/>
    <w:rsid w:val="001252AE"/>
    <w:rsid w:val="00125557"/>
    <w:rsid w:val="001306F4"/>
    <w:rsid w:val="00130EC7"/>
    <w:rsid w:val="00131FF8"/>
    <w:rsid w:val="00134FDA"/>
    <w:rsid w:val="00135081"/>
    <w:rsid w:val="001352C4"/>
    <w:rsid w:val="00136466"/>
    <w:rsid w:val="001368F7"/>
    <w:rsid w:val="00140B46"/>
    <w:rsid w:val="001413FC"/>
    <w:rsid w:val="00145D3C"/>
    <w:rsid w:val="001503E8"/>
    <w:rsid w:val="00154516"/>
    <w:rsid w:val="00156264"/>
    <w:rsid w:val="00156529"/>
    <w:rsid w:val="001579DA"/>
    <w:rsid w:val="00161EBC"/>
    <w:rsid w:val="00165770"/>
    <w:rsid w:val="00165B01"/>
    <w:rsid w:val="00166C1A"/>
    <w:rsid w:val="0017169E"/>
    <w:rsid w:val="00171A87"/>
    <w:rsid w:val="00172413"/>
    <w:rsid w:val="0017396B"/>
    <w:rsid w:val="00175BE8"/>
    <w:rsid w:val="00175F5D"/>
    <w:rsid w:val="00177200"/>
    <w:rsid w:val="001779E5"/>
    <w:rsid w:val="00182263"/>
    <w:rsid w:val="0018281C"/>
    <w:rsid w:val="001836C4"/>
    <w:rsid w:val="00185F6B"/>
    <w:rsid w:val="00187570"/>
    <w:rsid w:val="00192188"/>
    <w:rsid w:val="001936A7"/>
    <w:rsid w:val="00193D4B"/>
    <w:rsid w:val="00194E6C"/>
    <w:rsid w:val="00196653"/>
    <w:rsid w:val="00196E29"/>
    <w:rsid w:val="001976DA"/>
    <w:rsid w:val="001A056C"/>
    <w:rsid w:val="001A23E4"/>
    <w:rsid w:val="001A281B"/>
    <w:rsid w:val="001A3011"/>
    <w:rsid w:val="001A3903"/>
    <w:rsid w:val="001A48E7"/>
    <w:rsid w:val="001A73CD"/>
    <w:rsid w:val="001A7483"/>
    <w:rsid w:val="001B06E1"/>
    <w:rsid w:val="001B1619"/>
    <w:rsid w:val="001B187B"/>
    <w:rsid w:val="001B3C11"/>
    <w:rsid w:val="001B3DA1"/>
    <w:rsid w:val="001B3FEC"/>
    <w:rsid w:val="001B5300"/>
    <w:rsid w:val="001B65B3"/>
    <w:rsid w:val="001B6878"/>
    <w:rsid w:val="001B6DC2"/>
    <w:rsid w:val="001C27F3"/>
    <w:rsid w:val="001C74F4"/>
    <w:rsid w:val="001D0D90"/>
    <w:rsid w:val="001D24D0"/>
    <w:rsid w:val="001D298F"/>
    <w:rsid w:val="001D3D36"/>
    <w:rsid w:val="001D6E16"/>
    <w:rsid w:val="001E08E9"/>
    <w:rsid w:val="001E0B63"/>
    <w:rsid w:val="001E0E8C"/>
    <w:rsid w:val="001E586B"/>
    <w:rsid w:val="001E6D12"/>
    <w:rsid w:val="001F1315"/>
    <w:rsid w:val="001F1D2D"/>
    <w:rsid w:val="001F3C47"/>
    <w:rsid w:val="001F6AB0"/>
    <w:rsid w:val="0020340C"/>
    <w:rsid w:val="00203B08"/>
    <w:rsid w:val="00204572"/>
    <w:rsid w:val="00205FBE"/>
    <w:rsid w:val="00207174"/>
    <w:rsid w:val="00210375"/>
    <w:rsid w:val="002128D3"/>
    <w:rsid w:val="002132AF"/>
    <w:rsid w:val="00214828"/>
    <w:rsid w:val="00214A72"/>
    <w:rsid w:val="00215444"/>
    <w:rsid w:val="00215C91"/>
    <w:rsid w:val="00220661"/>
    <w:rsid w:val="0022189B"/>
    <w:rsid w:val="002229AD"/>
    <w:rsid w:val="00224AEE"/>
    <w:rsid w:val="00225FF4"/>
    <w:rsid w:val="00230A13"/>
    <w:rsid w:val="002331C6"/>
    <w:rsid w:val="00236B76"/>
    <w:rsid w:val="00240506"/>
    <w:rsid w:val="002408EA"/>
    <w:rsid w:val="00241410"/>
    <w:rsid w:val="002549B2"/>
    <w:rsid w:val="00254B1A"/>
    <w:rsid w:val="002563DF"/>
    <w:rsid w:val="0026014A"/>
    <w:rsid w:val="0026108E"/>
    <w:rsid w:val="0026129F"/>
    <w:rsid w:val="002614ED"/>
    <w:rsid w:val="00265142"/>
    <w:rsid w:val="00266AA6"/>
    <w:rsid w:val="00266B50"/>
    <w:rsid w:val="00270605"/>
    <w:rsid w:val="00271804"/>
    <w:rsid w:val="00271857"/>
    <w:rsid w:val="00276AC9"/>
    <w:rsid w:val="00277ED2"/>
    <w:rsid w:val="00280F8A"/>
    <w:rsid w:val="00284C03"/>
    <w:rsid w:val="00286537"/>
    <w:rsid w:val="00286C3A"/>
    <w:rsid w:val="00287467"/>
    <w:rsid w:val="00291A5B"/>
    <w:rsid w:val="00291BD9"/>
    <w:rsid w:val="0029330E"/>
    <w:rsid w:val="00295231"/>
    <w:rsid w:val="002959D9"/>
    <w:rsid w:val="002A5503"/>
    <w:rsid w:val="002A6812"/>
    <w:rsid w:val="002A7339"/>
    <w:rsid w:val="002A7A24"/>
    <w:rsid w:val="002B0FDB"/>
    <w:rsid w:val="002B71D2"/>
    <w:rsid w:val="002C1A7E"/>
    <w:rsid w:val="002C2893"/>
    <w:rsid w:val="002C292E"/>
    <w:rsid w:val="002C3718"/>
    <w:rsid w:val="002C5955"/>
    <w:rsid w:val="002C5BFD"/>
    <w:rsid w:val="002C7316"/>
    <w:rsid w:val="002C73DF"/>
    <w:rsid w:val="002D028E"/>
    <w:rsid w:val="002D12BB"/>
    <w:rsid w:val="002D20E7"/>
    <w:rsid w:val="002D2C7E"/>
    <w:rsid w:val="002D2CC4"/>
    <w:rsid w:val="002D2D5C"/>
    <w:rsid w:val="002D2FD2"/>
    <w:rsid w:val="002D58EA"/>
    <w:rsid w:val="002D7242"/>
    <w:rsid w:val="002E13A4"/>
    <w:rsid w:val="002E26A9"/>
    <w:rsid w:val="002E3F91"/>
    <w:rsid w:val="002F13B0"/>
    <w:rsid w:val="002F2EEF"/>
    <w:rsid w:val="002F3E31"/>
    <w:rsid w:val="002F58D0"/>
    <w:rsid w:val="002F67D9"/>
    <w:rsid w:val="002F69F1"/>
    <w:rsid w:val="003015B5"/>
    <w:rsid w:val="0030244C"/>
    <w:rsid w:val="003030A7"/>
    <w:rsid w:val="003052E9"/>
    <w:rsid w:val="00310E3D"/>
    <w:rsid w:val="00311ED0"/>
    <w:rsid w:val="00311FE4"/>
    <w:rsid w:val="00314933"/>
    <w:rsid w:val="0031497D"/>
    <w:rsid w:val="00316D48"/>
    <w:rsid w:val="00316DE0"/>
    <w:rsid w:val="003236DA"/>
    <w:rsid w:val="00324C60"/>
    <w:rsid w:val="00326131"/>
    <w:rsid w:val="00326482"/>
    <w:rsid w:val="00330EED"/>
    <w:rsid w:val="003351B7"/>
    <w:rsid w:val="0033631A"/>
    <w:rsid w:val="00336946"/>
    <w:rsid w:val="00340D15"/>
    <w:rsid w:val="00343A77"/>
    <w:rsid w:val="00344166"/>
    <w:rsid w:val="00351FA4"/>
    <w:rsid w:val="00351FDE"/>
    <w:rsid w:val="003524BA"/>
    <w:rsid w:val="00352FD0"/>
    <w:rsid w:val="00353360"/>
    <w:rsid w:val="00355BED"/>
    <w:rsid w:val="0035645A"/>
    <w:rsid w:val="00357C1E"/>
    <w:rsid w:val="003604C3"/>
    <w:rsid w:val="00362EE3"/>
    <w:rsid w:val="00365698"/>
    <w:rsid w:val="00366B74"/>
    <w:rsid w:val="00367685"/>
    <w:rsid w:val="00367A82"/>
    <w:rsid w:val="00370ACD"/>
    <w:rsid w:val="00371E29"/>
    <w:rsid w:val="003722FA"/>
    <w:rsid w:val="003731E6"/>
    <w:rsid w:val="00373EA4"/>
    <w:rsid w:val="00374EB6"/>
    <w:rsid w:val="00375AE7"/>
    <w:rsid w:val="00376C2A"/>
    <w:rsid w:val="00377277"/>
    <w:rsid w:val="00377304"/>
    <w:rsid w:val="00381BEA"/>
    <w:rsid w:val="00381FB7"/>
    <w:rsid w:val="00384141"/>
    <w:rsid w:val="003861AC"/>
    <w:rsid w:val="003862A5"/>
    <w:rsid w:val="00390249"/>
    <w:rsid w:val="00391F56"/>
    <w:rsid w:val="003934B7"/>
    <w:rsid w:val="003953C7"/>
    <w:rsid w:val="003A03DC"/>
    <w:rsid w:val="003A39A0"/>
    <w:rsid w:val="003A3E2A"/>
    <w:rsid w:val="003B0286"/>
    <w:rsid w:val="003B091A"/>
    <w:rsid w:val="003B1C33"/>
    <w:rsid w:val="003B298F"/>
    <w:rsid w:val="003B42FA"/>
    <w:rsid w:val="003B69AA"/>
    <w:rsid w:val="003C3023"/>
    <w:rsid w:val="003C39D1"/>
    <w:rsid w:val="003C728B"/>
    <w:rsid w:val="003C7AAF"/>
    <w:rsid w:val="003D2D5E"/>
    <w:rsid w:val="003D52EA"/>
    <w:rsid w:val="003D58F7"/>
    <w:rsid w:val="003D5D5A"/>
    <w:rsid w:val="003D6018"/>
    <w:rsid w:val="003E0602"/>
    <w:rsid w:val="003E0BD4"/>
    <w:rsid w:val="003E12B1"/>
    <w:rsid w:val="003E1787"/>
    <w:rsid w:val="003E22FC"/>
    <w:rsid w:val="003F0EB9"/>
    <w:rsid w:val="003F2EC0"/>
    <w:rsid w:val="003F40D1"/>
    <w:rsid w:val="003F42F7"/>
    <w:rsid w:val="003F540E"/>
    <w:rsid w:val="003F694A"/>
    <w:rsid w:val="003F7CE6"/>
    <w:rsid w:val="003F7D78"/>
    <w:rsid w:val="00405B03"/>
    <w:rsid w:val="004068EA"/>
    <w:rsid w:val="004075B6"/>
    <w:rsid w:val="00410E4D"/>
    <w:rsid w:val="00411C38"/>
    <w:rsid w:val="0041238E"/>
    <w:rsid w:val="004150FB"/>
    <w:rsid w:val="00420952"/>
    <w:rsid w:val="00422E2D"/>
    <w:rsid w:val="00423C0E"/>
    <w:rsid w:val="00423DB4"/>
    <w:rsid w:val="0042425C"/>
    <w:rsid w:val="004271A0"/>
    <w:rsid w:val="004306C0"/>
    <w:rsid w:val="00431D47"/>
    <w:rsid w:val="00442D76"/>
    <w:rsid w:val="004440AF"/>
    <w:rsid w:val="00446BEE"/>
    <w:rsid w:val="0045044C"/>
    <w:rsid w:val="00450E6D"/>
    <w:rsid w:val="004518F7"/>
    <w:rsid w:val="0045334C"/>
    <w:rsid w:val="004539D9"/>
    <w:rsid w:val="00456B1D"/>
    <w:rsid w:val="00461C01"/>
    <w:rsid w:val="00462AFA"/>
    <w:rsid w:val="0046325E"/>
    <w:rsid w:val="0046445C"/>
    <w:rsid w:val="0046709A"/>
    <w:rsid w:val="00467CD8"/>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4891"/>
    <w:rsid w:val="00496B1E"/>
    <w:rsid w:val="00497AD3"/>
    <w:rsid w:val="004A13E2"/>
    <w:rsid w:val="004A237B"/>
    <w:rsid w:val="004A57EC"/>
    <w:rsid w:val="004A664D"/>
    <w:rsid w:val="004B1325"/>
    <w:rsid w:val="004B3D58"/>
    <w:rsid w:val="004B4360"/>
    <w:rsid w:val="004B5F89"/>
    <w:rsid w:val="004B686A"/>
    <w:rsid w:val="004B688D"/>
    <w:rsid w:val="004B7792"/>
    <w:rsid w:val="004C101D"/>
    <w:rsid w:val="004C3670"/>
    <w:rsid w:val="004C3BFD"/>
    <w:rsid w:val="004D1267"/>
    <w:rsid w:val="004D20DF"/>
    <w:rsid w:val="004D26AD"/>
    <w:rsid w:val="004D2897"/>
    <w:rsid w:val="004D39E2"/>
    <w:rsid w:val="004D756F"/>
    <w:rsid w:val="004E0E78"/>
    <w:rsid w:val="004E4C4B"/>
    <w:rsid w:val="004E543C"/>
    <w:rsid w:val="004E54B6"/>
    <w:rsid w:val="004F242D"/>
    <w:rsid w:val="004F3269"/>
    <w:rsid w:val="004F7D3A"/>
    <w:rsid w:val="005025A1"/>
    <w:rsid w:val="00502C4B"/>
    <w:rsid w:val="0050409D"/>
    <w:rsid w:val="00505407"/>
    <w:rsid w:val="00505DA4"/>
    <w:rsid w:val="00510FAD"/>
    <w:rsid w:val="00511471"/>
    <w:rsid w:val="00511887"/>
    <w:rsid w:val="005127C1"/>
    <w:rsid w:val="005138B7"/>
    <w:rsid w:val="005143BA"/>
    <w:rsid w:val="005243EC"/>
    <w:rsid w:val="005249CF"/>
    <w:rsid w:val="00525DD1"/>
    <w:rsid w:val="00526588"/>
    <w:rsid w:val="00527A29"/>
    <w:rsid w:val="005343E1"/>
    <w:rsid w:val="00544A12"/>
    <w:rsid w:val="00545970"/>
    <w:rsid w:val="00550783"/>
    <w:rsid w:val="00555CC8"/>
    <w:rsid w:val="00556B58"/>
    <w:rsid w:val="005577FA"/>
    <w:rsid w:val="00563D13"/>
    <w:rsid w:val="0056425E"/>
    <w:rsid w:val="00564EAE"/>
    <w:rsid w:val="00565745"/>
    <w:rsid w:val="0056705D"/>
    <w:rsid w:val="00571370"/>
    <w:rsid w:val="00575207"/>
    <w:rsid w:val="00580FF4"/>
    <w:rsid w:val="005829B9"/>
    <w:rsid w:val="00583913"/>
    <w:rsid w:val="005842A7"/>
    <w:rsid w:val="00584C95"/>
    <w:rsid w:val="00584CC9"/>
    <w:rsid w:val="00585FCF"/>
    <w:rsid w:val="00586210"/>
    <w:rsid w:val="00586316"/>
    <w:rsid w:val="00590665"/>
    <w:rsid w:val="00590E29"/>
    <w:rsid w:val="005927B3"/>
    <w:rsid w:val="005935C0"/>
    <w:rsid w:val="00596607"/>
    <w:rsid w:val="005A014D"/>
    <w:rsid w:val="005A188D"/>
    <w:rsid w:val="005A4AD8"/>
    <w:rsid w:val="005A50D3"/>
    <w:rsid w:val="005A576F"/>
    <w:rsid w:val="005A64F3"/>
    <w:rsid w:val="005A6AB3"/>
    <w:rsid w:val="005B0095"/>
    <w:rsid w:val="005B5C8B"/>
    <w:rsid w:val="005B73E7"/>
    <w:rsid w:val="005C05E1"/>
    <w:rsid w:val="005C3893"/>
    <w:rsid w:val="005C6F33"/>
    <w:rsid w:val="005C7DB5"/>
    <w:rsid w:val="005D15B9"/>
    <w:rsid w:val="005D1E0A"/>
    <w:rsid w:val="005D4C95"/>
    <w:rsid w:val="005E0AC1"/>
    <w:rsid w:val="005E3285"/>
    <w:rsid w:val="005E437F"/>
    <w:rsid w:val="005E58ED"/>
    <w:rsid w:val="005E6B30"/>
    <w:rsid w:val="005F25FD"/>
    <w:rsid w:val="005F3989"/>
    <w:rsid w:val="005F3C5C"/>
    <w:rsid w:val="005F5AFD"/>
    <w:rsid w:val="005F6BB8"/>
    <w:rsid w:val="005F6F0A"/>
    <w:rsid w:val="005F7681"/>
    <w:rsid w:val="005F7A8F"/>
    <w:rsid w:val="005F7E16"/>
    <w:rsid w:val="00601291"/>
    <w:rsid w:val="0060351B"/>
    <w:rsid w:val="00606956"/>
    <w:rsid w:val="00607959"/>
    <w:rsid w:val="0061221F"/>
    <w:rsid w:val="00614078"/>
    <w:rsid w:val="006150A0"/>
    <w:rsid w:val="0062228B"/>
    <w:rsid w:val="00624430"/>
    <w:rsid w:val="00625AEE"/>
    <w:rsid w:val="00627687"/>
    <w:rsid w:val="006276D1"/>
    <w:rsid w:val="006279C2"/>
    <w:rsid w:val="00630B9F"/>
    <w:rsid w:val="00637F2A"/>
    <w:rsid w:val="00640B47"/>
    <w:rsid w:val="00642C45"/>
    <w:rsid w:val="0064313B"/>
    <w:rsid w:val="006439B1"/>
    <w:rsid w:val="0064604F"/>
    <w:rsid w:val="00651D20"/>
    <w:rsid w:val="006523CB"/>
    <w:rsid w:val="0065348A"/>
    <w:rsid w:val="006556A2"/>
    <w:rsid w:val="006557A6"/>
    <w:rsid w:val="00657C65"/>
    <w:rsid w:val="006635D1"/>
    <w:rsid w:val="006639FD"/>
    <w:rsid w:val="00664F8F"/>
    <w:rsid w:val="00666A4E"/>
    <w:rsid w:val="00667C21"/>
    <w:rsid w:val="00670FFB"/>
    <w:rsid w:val="006802CA"/>
    <w:rsid w:val="006814B9"/>
    <w:rsid w:val="00683039"/>
    <w:rsid w:val="0068417E"/>
    <w:rsid w:val="00684913"/>
    <w:rsid w:val="00684E13"/>
    <w:rsid w:val="006862FD"/>
    <w:rsid w:val="00686D56"/>
    <w:rsid w:val="006921E1"/>
    <w:rsid w:val="00692F13"/>
    <w:rsid w:val="006937D0"/>
    <w:rsid w:val="00693996"/>
    <w:rsid w:val="006948AC"/>
    <w:rsid w:val="00696325"/>
    <w:rsid w:val="006966FC"/>
    <w:rsid w:val="006A2C36"/>
    <w:rsid w:val="006A5E06"/>
    <w:rsid w:val="006B17FD"/>
    <w:rsid w:val="006B35AF"/>
    <w:rsid w:val="006B44E2"/>
    <w:rsid w:val="006B5978"/>
    <w:rsid w:val="006D4325"/>
    <w:rsid w:val="006D55A6"/>
    <w:rsid w:val="006D6BD0"/>
    <w:rsid w:val="006D7D07"/>
    <w:rsid w:val="006E09CB"/>
    <w:rsid w:val="006E2124"/>
    <w:rsid w:val="006E23A2"/>
    <w:rsid w:val="006E303F"/>
    <w:rsid w:val="006E4E37"/>
    <w:rsid w:val="006E5D76"/>
    <w:rsid w:val="006F17D4"/>
    <w:rsid w:val="006F255A"/>
    <w:rsid w:val="006F6463"/>
    <w:rsid w:val="0070542C"/>
    <w:rsid w:val="007067D1"/>
    <w:rsid w:val="00713287"/>
    <w:rsid w:val="007136A7"/>
    <w:rsid w:val="007139DD"/>
    <w:rsid w:val="007143AC"/>
    <w:rsid w:val="00716007"/>
    <w:rsid w:val="00716835"/>
    <w:rsid w:val="00716ACF"/>
    <w:rsid w:val="007210C5"/>
    <w:rsid w:val="007249A6"/>
    <w:rsid w:val="00727230"/>
    <w:rsid w:val="00730AA4"/>
    <w:rsid w:val="00732C44"/>
    <w:rsid w:val="00734CC7"/>
    <w:rsid w:val="00736348"/>
    <w:rsid w:val="00736448"/>
    <w:rsid w:val="00736D41"/>
    <w:rsid w:val="00737F84"/>
    <w:rsid w:val="00740203"/>
    <w:rsid w:val="007434C4"/>
    <w:rsid w:val="00744C0E"/>
    <w:rsid w:val="007469C6"/>
    <w:rsid w:val="00746C13"/>
    <w:rsid w:val="00747C1C"/>
    <w:rsid w:val="00751D95"/>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5559"/>
    <w:rsid w:val="007825BE"/>
    <w:rsid w:val="007831FB"/>
    <w:rsid w:val="007839C3"/>
    <w:rsid w:val="00783E53"/>
    <w:rsid w:val="00785266"/>
    <w:rsid w:val="00785616"/>
    <w:rsid w:val="007910D0"/>
    <w:rsid w:val="00791BB8"/>
    <w:rsid w:val="00792D69"/>
    <w:rsid w:val="007969DF"/>
    <w:rsid w:val="00796B64"/>
    <w:rsid w:val="0079772A"/>
    <w:rsid w:val="007B5378"/>
    <w:rsid w:val="007C1642"/>
    <w:rsid w:val="007C33F3"/>
    <w:rsid w:val="007C4561"/>
    <w:rsid w:val="007C4577"/>
    <w:rsid w:val="007C4814"/>
    <w:rsid w:val="007C516A"/>
    <w:rsid w:val="007C6CFD"/>
    <w:rsid w:val="007D28D7"/>
    <w:rsid w:val="007D31FD"/>
    <w:rsid w:val="007D7382"/>
    <w:rsid w:val="007E1B11"/>
    <w:rsid w:val="007E2014"/>
    <w:rsid w:val="007E21F8"/>
    <w:rsid w:val="007E2696"/>
    <w:rsid w:val="007E2D0E"/>
    <w:rsid w:val="007E3374"/>
    <w:rsid w:val="007E6A87"/>
    <w:rsid w:val="007E78BD"/>
    <w:rsid w:val="007F14A6"/>
    <w:rsid w:val="007F3C30"/>
    <w:rsid w:val="007F71A5"/>
    <w:rsid w:val="007F744E"/>
    <w:rsid w:val="007F7F72"/>
    <w:rsid w:val="008010D5"/>
    <w:rsid w:val="0080217C"/>
    <w:rsid w:val="00802828"/>
    <w:rsid w:val="0080288C"/>
    <w:rsid w:val="0080417F"/>
    <w:rsid w:val="00804466"/>
    <w:rsid w:val="00806468"/>
    <w:rsid w:val="008071F1"/>
    <w:rsid w:val="00807FF1"/>
    <w:rsid w:val="008100D4"/>
    <w:rsid w:val="00810C89"/>
    <w:rsid w:val="008137AD"/>
    <w:rsid w:val="008138B2"/>
    <w:rsid w:val="00813C4A"/>
    <w:rsid w:val="00815862"/>
    <w:rsid w:val="00817C3D"/>
    <w:rsid w:val="00820118"/>
    <w:rsid w:val="00822301"/>
    <w:rsid w:val="00822F81"/>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1B3D"/>
    <w:rsid w:val="00865CE7"/>
    <w:rsid w:val="0086701C"/>
    <w:rsid w:val="0086702C"/>
    <w:rsid w:val="00867262"/>
    <w:rsid w:val="008679F3"/>
    <w:rsid w:val="00870BDD"/>
    <w:rsid w:val="008717F1"/>
    <w:rsid w:val="00876F5C"/>
    <w:rsid w:val="0088084E"/>
    <w:rsid w:val="00880ED3"/>
    <w:rsid w:val="00883721"/>
    <w:rsid w:val="0088409D"/>
    <w:rsid w:val="00890137"/>
    <w:rsid w:val="008904D0"/>
    <w:rsid w:val="008924E3"/>
    <w:rsid w:val="0089270D"/>
    <w:rsid w:val="008A1DAE"/>
    <w:rsid w:val="008A247E"/>
    <w:rsid w:val="008A2C2A"/>
    <w:rsid w:val="008A35A2"/>
    <w:rsid w:val="008A3D62"/>
    <w:rsid w:val="008A6605"/>
    <w:rsid w:val="008B183A"/>
    <w:rsid w:val="008B4B98"/>
    <w:rsid w:val="008C183F"/>
    <w:rsid w:val="008C1C95"/>
    <w:rsid w:val="008C3D9F"/>
    <w:rsid w:val="008C4122"/>
    <w:rsid w:val="008C669E"/>
    <w:rsid w:val="008D2A77"/>
    <w:rsid w:val="008D62F8"/>
    <w:rsid w:val="008D652E"/>
    <w:rsid w:val="008D6A3E"/>
    <w:rsid w:val="008E1B3C"/>
    <w:rsid w:val="008E3A04"/>
    <w:rsid w:val="008E4419"/>
    <w:rsid w:val="008E56A4"/>
    <w:rsid w:val="008E5BA8"/>
    <w:rsid w:val="008E664D"/>
    <w:rsid w:val="008E6FCA"/>
    <w:rsid w:val="008F2FAE"/>
    <w:rsid w:val="008F4B70"/>
    <w:rsid w:val="008F4E22"/>
    <w:rsid w:val="008F61C4"/>
    <w:rsid w:val="009019A9"/>
    <w:rsid w:val="0090239B"/>
    <w:rsid w:val="00904953"/>
    <w:rsid w:val="009052F5"/>
    <w:rsid w:val="009072F7"/>
    <w:rsid w:val="00907BFE"/>
    <w:rsid w:val="00907C13"/>
    <w:rsid w:val="00907DF5"/>
    <w:rsid w:val="00910C1F"/>
    <w:rsid w:val="00911263"/>
    <w:rsid w:val="0091321D"/>
    <w:rsid w:val="0091391C"/>
    <w:rsid w:val="00913C26"/>
    <w:rsid w:val="00916CED"/>
    <w:rsid w:val="00917909"/>
    <w:rsid w:val="00917D07"/>
    <w:rsid w:val="0092122F"/>
    <w:rsid w:val="009225D9"/>
    <w:rsid w:val="0092393F"/>
    <w:rsid w:val="00925F15"/>
    <w:rsid w:val="0092757A"/>
    <w:rsid w:val="009300DF"/>
    <w:rsid w:val="00930715"/>
    <w:rsid w:val="0093101C"/>
    <w:rsid w:val="0093543E"/>
    <w:rsid w:val="00937E8B"/>
    <w:rsid w:val="009460E7"/>
    <w:rsid w:val="00947FDB"/>
    <w:rsid w:val="00952219"/>
    <w:rsid w:val="009543A4"/>
    <w:rsid w:val="00955F17"/>
    <w:rsid w:val="009562D0"/>
    <w:rsid w:val="00957124"/>
    <w:rsid w:val="00960CC3"/>
    <w:rsid w:val="0096180D"/>
    <w:rsid w:val="00961E3B"/>
    <w:rsid w:val="00962360"/>
    <w:rsid w:val="00963008"/>
    <w:rsid w:val="009669AD"/>
    <w:rsid w:val="00966EB0"/>
    <w:rsid w:val="00970115"/>
    <w:rsid w:val="00972945"/>
    <w:rsid w:val="00973C64"/>
    <w:rsid w:val="00974384"/>
    <w:rsid w:val="00974D81"/>
    <w:rsid w:val="00976903"/>
    <w:rsid w:val="00977F9C"/>
    <w:rsid w:val="00983AF5"/>
    <w:rsid w:val="00984202"/>
    <w:rsid w:val="00986AA9"/>
    <w:rsid w:val="00987296"/>
    <w:rsid w:val="00987B83"/>
    <w:rsid w:val="00987E66"/>
    <w:rsid w:val="00990173"/>
    <w:rsid w:val="00992244"/>
    <w:rsid w:val="00993567"/>
    <w:rsid w:val="00995A38"/>
    <w:rsid w:val="009965E1"/>
    <w:rsid w:val="009A23F7"/>
    <w:rsid w:val="009A2B2A"/>
    <w:rsid w:val="009A38DA"/>
    <w:rsid w:val="009A3F7F"/>
    <w:rsid w:val="009A728E"/>
    <w:rsid w:val="009A75C4"/>
    <w:rsid w:val="009B0897"/>
    <w:rsid w:val="009B276A"/>
    <w:rsid w:val="009B3223"/>
    <w:rsid w:val="009B4063"/>
    <w:rsid w:val="009B52E5"/>
    <w:rsid w:val="009C1354"/>
    <w:rsid w:val="009C3C0C"/>
    <w:rsid w:val="009C3CDC"/>
    <w:rsid w:val="009C5ADA"/>
    <w:rsid w:val="009C6214"/>
    <w:rsid w:val="009C7355"/>
    <w:rsid w:val="009C77BF"/>
    <w:rsid w:val="009D02ED"/>
    <w:rsid w:val="009D1D56"/>
    <w:rsid w:val="009D1EB8"/>
    <w:rsid w:val="009D49AA"/>
    <w:rsid w:val="009D4FBB"/>
    <w:rsid w:val="009D7602"/>
    <w:rsid w:val="009E3151"/>
    <w:rsid w:val="009E680B"/>
    <w:rsid w:val="009F1902"/>
    <w:rsid w:val="009F35A4"/>
    <w:rsid w:val="009F4086"/>
    <w:rsid w:val="009F4F44"/>
    <w:rsid w:val="009F7239"/>
    <w:rsid w:val="00A0249B"/>
    <w:rsid w:val="00A0479E"/>
    <w:rsid w:val="00A05C88"/>
    <w:rsid w:val="00A07644"/>
    <w:rsid w:val="00A11761"/>
    <w:rsid w:val="00A11ECD"/>
    <w:rsid w:val="00A12BE0"/>
    <w:rsid w:val="00A144F8"/>
    <w:rsid w:val="00A1592C"/>
    <w:rsid w:val="00A15A1F"/>
    <w:rsid w:val="00A16F4B"/>
    <w:rsid w:val="00A17B57"/>
    <w:rsid w:val="00A240EE"/>
    <w:rsid w:val="00A264CE"/>
    <w:rsid w:val="00A3050E"/>
    <w:rsid w:val="00A32C40"/>
    <w:rsid w:val="00A3325A"/>
    <w:rsid w:val="00A4094A"/>
    <w:rsid w:val="00A426BE"/>
    <w:rsid w:val="00A447F9"/>
    <w:rsid w:val="00A526EF"/>
    <w:rsid w:val="00A53E97"/>
    <w:rsid w:val="00A60794"/>
    <w:rsid w:val="00A611CE"/>
    <w:rsid w:val="00A6691C"/>
    <w:rsid w:val="00A7018B"/>
    <w:rsid w:val="00A70A7A"/>
    <w:rsid w:val="00A74AE2"/>
    <w:rsid w:val="00A756BB"/>
    <w:rsid w:val="00A77A5E"/>
    <w:rsid w:val="00A77B63"/>
    <w:rsid w:val="00A80F87"/>
    <w:rsid w:val="00A8249A"/>
    <w:rsid w:val="00A85968"/>
    <w:rsid w:val="00A866E2"/>
    <w:rsid w:val="00A879B5"/>
    <w:rsid w:val="00A90FB2"/>
    <w:rsid w:val="00A922F5"/>
    <w:rsid w:val="00A96317"/>
    <w:rsid w:val="00A9690E"/>
    <w:rsid w:val="00A9749A"/>
    <w:rsid w:val="00A9779D"/>
    <w:rsid w:val="00AA276F"/>
    <w:rsid w:val="00AA32D3"/>
    <w:rsid w:val="00AA4327"/>
    <w:rsid w:val="00AA7A0F"/>
    <w:rsid w:val="00AB09A9"/>
    <w:rsid w:val="00AB10B4"/>
    <w:rsid w:val="00AB1BBA"/>
    <w:rsid w:val="00AB3D08"/>
    <w:rsid w:val="00AB487A"/>
    <w:rsid w:val="00AB5614"/>
    <w:rsid w:val="00AB744E"/>
    <w:rsid w:val="00AC0F89"/>
    <w:rsid w:val="00AC1812"/>
    <w:rsid w:val="00AC2019"/>
    <w:rsid w:val="00AC2382"/>
    <w:rsid w:val="00AC63A6"/>
    <w:rsid w:val="00AC7C93"/>
    <w:rsid w:val="00AD09F8"/>
    <w:rsid w:val="00AD23FF"/>
    <w:rsid w:val="00AD3BCE"/>
    <w:rsid w:val="00AD56B1"/>
    <w:rsid w:val="00AD7CB3"/>
    <w:rsid w:val="00AE0661"/>
    <w:rsid w:val="00AE0AC9"/>
    <w:rsid w:val="00AE22A6"/>
    <w:rsid w:val="00AE495F"/>
    <w:rsid w:val="00AE537D"/>
    <w:rsid w:val="00AE5576"/>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612A"/>
    <w:rsid w:val="00B17DE0"/>
    <w:rsid w:val="00B265EB"/>
    <w:rsid w:val="00B27031"/>
    <w:rsid w:val="00B307EC"/>
    <w:rsid w:val="00B32429"/>
    <w:rsid w:val="00B341DA"/>
    <w:rsid w:val="00B44CE2"/>
    <w:rsid w:val="00B453BB"/>
    <w:rsid w:val="00B53A23"/>
    <w:rsid w:val="00B54BE5"/>
    <w:rsid w:val="00B55D4E"/>
    <w:rsid w:val="00B570F4"/>
    <w:rsid w:val="00B57BE4"/>
    <w:rsid w:val="00B602C5"/>
    <w:rsid w:val="00B67460"/>
    <w:rsid w:val="00B67A85"/>
    <w:rsid w:val="00B70575"/>
    <w:rsid w:val="00B70FFB"/>
    <w:rsid w:val="00B712E5"/>
    <w:rsid w:val="00B72513"/>
    <w:rsid w:val="00B73B73"/>
    <w:rsid w:val="00B77084"/>
    <w:rsid w:val="00B80DC7"/>
    <w:rsid w:val="00B8205D"/>
    <w:rsid w:val="00B8239B"/>
    <w:rsid w:val="00B8344E"/>
    <w:rsid w:val="00B847E6"/>
    <w:rsid w:val="00B86D83"/>
    <w:rsid w:val="00B87486"/>
    <w:rsid w:val="00B909E1"/>
    <w:rsid w:val="00B90E20"/>
    <w:rsid w:val="00B91264"/>
    <w:rsid w:val="00B94316"/>
    <w:rsid w:val="00B956ED"/>
    <w:rsid w:val="00B95DC2"/>
    <w:rsid w:val="00B95E5A"/>
    <w:rsid w:val="00B96E71"/>
    <w:rsid w:val="00B97C95"/>
    <w:rsid w:val="00BA02F9"/>
    <w:rsid w:val="00BA164A"/>
    <w:rsid w:val="00BA31F9"/>
    <w:rsid w:val="00BA3317"/>
    <w:rsid w:val="00BA3FDA"/>
    <w:rsid w:val="00BA4313"/>
    <w:rsid w:val="00BA4784"/>
    <w:rsid w:val="00BA49EA"/>
    <w:rsid w:val="00BA4F42"/>
    <w:rsid w:val="00BA513C"/>
    <w:rsid w:val="00BA714E"/>
    <w:rsid w:val="00BA7AA3"/>
    <w:rsid w:val="00BB4FE5"/>
    <w:rsid w:val="00BB544C"/>
    <w:rsid w:val="00BB6334"/>
    <w:rsid w:val="00BB6352"/>
    <w:rsid w:val="00BB716A"/>
    <w:rsid w:val="00BC0422"/>
    <w:rsid w:val="00BC2765"/>
    <w:rsid w:val="00BC3D2A"/>
    <w:rsid w:val="00BC4575"/>
    <w:rsid w:val="00BC4CA0"/>
    <w:rsid w:val="00BC6FC8"/>
    <w:rsid w:val="00BC7ABB"/>
    <w:rsid w:val="00BD3051"/>
    <w:rsid w:val="00BD38BB"/>
    <w:rsid w:val="00BD4879"/>
    <w:rsid w:val="00BD50F7"/>
    <w:rsid w:val="00BD674E"/>
    <w:rsid w:val="00BE10A8"/>
    <w:rsid w:val="00BE1BD8"/>
    <w:rsid w:val="00BE2BC8"/>
    <w:rsid w:val="00BE387B"/>
    <w:rsid w:val="00BE5835"/>
    <w:rsid w:val="00BE5D71"/>
    <w:rsid w:val="00BE7D2D"/>
    <w:rsid w:val="00BF0116"/>
    <w:rsid w:val="00BF1474"/>
    <w:rsid w:val="00BF168E"/>
    <w:rsid w:val="00BF24FE"/>
    <w:rsid w:val="00BF28F7"/>
    <w:rsid w:val="00BF3B0A"/>
    <w:rsid w:val="00BF4B06"/>
    <w:rsid w:val="00BF54C1"/>
    <w:rsid w:val="00BF5BDB"/>
    <w:rsid w:val="00BF7FE0"/>
    <w:rsid w:val="00C0050E"/>
    <w:rsid w:val="00C0570D"/>
    <w:rsid w:val="00C11625"/>
    <w:rsid w:val="00C130C8"/>
    <w:rsid w:val="00C13168"/>
    <w:rsid w:val="00C13F60"/>
    <w:rsid w:val="00C14404"/>
    <w:rsid w:val="00C203C9"/>
    <w:rsid w:val="00C22E43"/>
    <w:rsid w:val="00C23238"/>
    <w:rsid w:val="00C235DF"/>
    <w:rsid w:val="00C2539E"/>
    <w:rsid w:val="00C278DE"/>
    <w:rsid w:val="00C3004B"/>
    <w:rsid w:val="00C31F4C"/>
    <w:rsid w:val="00C3209A"/>
    <w:rsid w:val="00C32ADC"/>
    <w:rsid w:val="00C35755"/>
    <w:rsid w:val="00C42E13"/>
    <w:rsid w:val="00C4427F"/>
    <w:rsid w:val="00C47DDE"/>
    <w:rsid w:val="00C50912"/>
    <w:rsid w:val="00C50FF0"/>
    <w:rsid w:val="00C56073"/>
    <w:rsid w:val="00C578C1"/>
    <w:rsid w:val="00C63347"/>
    <w:rsid w:val="00C64D23"/>
    <w:rsid w:val="00C67B74"/>
    <w:rsid w:val="00C7123A"/>
    <w:rsid w:val="00C7128F"/>
    <w:rsid w:val="00C71666"/>
    <w:rsid w:val="00C7331B"/>
    <w:rsid w:val="00C74667"/>
    <w:rsid w:val="00C74D07"/>
    <w:rsid w:val="00C77109"/>
    <w:rsid w:val="00C7735C"/>
    <w:rsid w:val="00C803FD"/>
    <w:rsid w:val="00C80EB4"/>
    <w:rsid w:val="00C8156F"/>
    <w:rsid w:val="00C86274"/>
    <w:rsid w:val="00C86682"/>
    <w:rsid w:val="00C90846"/>
    <w:rsid w:val="00C92700"/>
    <w:rsid w:val="00C92E3F"/>
    <w:rsid w:val="00C94681"/>
    <w:rsid w:val="00CA129E"/>
    <w:rsid w:val="00CA20B5"/>
    <w:rsid w:val="00CA3562"/>
    <w:rsid w:val="00CA371D"/>
    <w:rsid w:val="00CA77AE"/>
    <w:rsid w:val="00CB0A27"/>
    <w:rsid w:val="00CB35D9"/>
    <w:rsid w:val="00CB4A8A"/>
    <w:rsid w:val="00CB60DD"/>
    <w:rsid w:val="00CB7DAC"/>
    <w:rsid w:val="00CC04DE"/>
    <w:rsid w:val="00CC12E7"/>
    <w:rsid w:val="00CC3F84"/>
    <w:rsid w:val="00CC6E2D"/>
    <w:rsid w:val="00CD24A8"/>
    <w:rsid w:val="00CD29B4"/>
    <w:rsid w:val="00CD315A"/>
    <w:rsid w:val="00CD319A"/>
    <w:rsid w:val="00CD5502"/>
    <w:rsid w:val="00CE0526"/>
    <w:rsid w:val="00CE1ED9"/>
    <w:rsid w:val="00CE4F42"/>
    <w:rsid w:val="00CF0BB4"/>
    <w:rsid w:val="00CF1BB4"/>
    <w:rsid w:val="00CF2FF8"/>
    <w:rsid w:val="00CF3F6B"/>
    <w:rsid w:val="00CF4851"/>
    <w:rsid w:val="00CF58B7"/>
    <w:rsid w:val="00D0069F"/>
    <w:rsid w:val="00D02677"/>
    <w:rsid w:val="00D05493"/>
    <w:rsid w:val="00D1070A"/>
    <w:rsid w:val="00D11C27"/>
    <w:rsid w:val="00D1219A"/>
    <w:rsid w:val="00D13EFE"/>
    <w:rsid w:val="00D148D5"/>
    <w:rsid w:val="00D16E6A"/>
    <w:rsid w:val="00D1792B"/>
    <w:rsid w:val="00D224A1"/>
    <w:rsid w:val="00D2279D"/>
    <w:rsid w:val="00D2772A"/>
    <w:rsid w:val="00D349ED"/>
    <w:rsid w:val="00D351C1"/>
    <w:rsid w:val="00D35E64"/>
    <w:rsid w:val="00D36CA3"/>
    <w:rsid w:val="00D4249C"/>
    <w:rsid w:val="00D428BC"/>
    <w:rsid w:val="00D44776"/>
    <w:rsid w:val="00D44CE7"/>
    <w:rsid w:val="00D45804"/>
    <w:rsid w:val="00D46BC7"/>
    <w:rsid w:val="00D47082"/>
    <w:rsid w:val="00D51245"/>
    <w:rsid w:val="00D532B8"/>
    <w:rsid w:val="00D54B6F"/>
    <w:rsid w:val="00D54E73"/>
    <w:rsid w:val="00D56E00"/>
    <w:rsid w:val="00D575A3"/>
    <w:rsid w:val="00D613A6"/>
    <w:rsid w:val="00D617A6"/>
    <w:rsid w:val="00D650EA"/>
    <w:rsid w:val="00D737C5"/>
    <w:rsid w:val="00D73835"/>
    <w:rsid w:val="00D7722A"/>
    <w:rsid w:val="00D80B1B"/>
    <w:rsid w:val="00D82293"/>
    <w:rsid w:val="00D8405B"/>
    <w:rsid w:val="00D86BF0"/>
    <w:rsid w:val="00D86DCB"/>
    <w:rsid w:val="00D87DD3"/>
    <w:rsid w:val="00D939B7"/>
    <w:rsid w:val="00D93BB1"/>
    <w:rsid w:val="00D949CA"/>
    <w:rsid w:val="00D94BBE"/>
    <w:rsid w:val="00D950D8"/>
    <w:rsid w:val="00D95477"/>
    <w:rsid w:val="00D96430"/>
    <w:rsid w:val="00D97DFA"/>
    <w:rsid w:val="00DA777A"/>
    <w:rsid w:val="00DA7BE0"/>
    <w:rsid w:val="00DB0188"/>
    <w:rsid w:val="00DB26A8"/>
    <w:rsid w:val="00DB4F9F"/>
    <w:rsid w:val="00DB5728"/>
    <w:rsid w:val="00DB5AE0"/>
    <w:rsid w:val="00DB6161"/>
    <w:rsid w:val="00DB70FB"/>
    <w:rsid w:val="00DC334D"/>
    <w:rsid w:val="00DC6AAD"/>
    <w:rsid w:val="00DD2D60"/>
    <w:rsid w:val="00DE165D"/>
    <w:rsid w:val="00DE2FD7"/>
    <w:rsid w:val="00DE45A3"/>
    <w:rsid w:val="00DE5EE7"/>
    <w:rsid w:val="00DF1EC1"/>
    <w:rsid w:val="00DF343E"/>
    <w:rsid w:val="00DF67C3"/>
    <w:rsid w:val="00DF6CEB"/>
    <w:rsid w:val="00E009D9"/>
    <w:rsid w:val="00E03F71"/>
    <w:rsid w:val="00E045EE"/>
    <w:rsid w:val="00E06ED0"/>
    <w:rsid w:val="00E1082D"/>
    <w:rsid w:val="00E130CB"/>
    <w:rsid w:val="00E14934"/>
    <w:rsid w:val="00E172BE"/>
    <w:rsid w:val="00E2160E"/>
    <w:rsid w:val="00E24E02"/>
    <w:rsid w:val="00E25895"/>
    <w:rsid w:val="00E30CA9"/>
    <w:rsid w:val="00E408AB"/>
    <w:rsid w:val="00E41E68"/>
    <w:rsid w:val="00E43B2D"/>
    <w:rsid w:val="00E460A6"/>
    <w:rsid w:val="00E50CB6"/>
    <w:rsid w:val="00E51920"/>
    <w:rsid w:val="00E53A58"/>
    <w:rsid w:val="00E542FA"/>
    <w:rsid w:val="00E54D26"/>
    <w:rsid w:val="00E620CC"/>
    <w:rsid w:val="00E63ADD"/>
    <w:rsid w:val="00E64120"/>
    <w:rsid w:val="00E6539A"/>
    <w:rsid w:val="00E65FA3"/>
    <w:rsid w:val="00E674A2"/>
    <w:rsid w:val="00E678CB"/>
    <w:rsid w:val="00E67D1E"/>
    <w:rsid w:val="00E707FD"/>
    <w:rsid w:val="00E71348"/>
    <w:rsid w:val="00E71657"/>
    <w:rsid w:val="00E745BB"/>
    <w:rsid w:val="00E8010A"/>
    <w:rsid w:val="00E8229C"/>
    <w:rsid w:val="00E836E5"/>
    <w:rsid w:val="00E84601"/>
    <w:rsid w:val="00E85E09"/>
    <w:rsid w:val="00E8605D"/>
    <w:rsid w:val="00E90147"/>
    <w:rsid w:val="00E92CE2"/>
    <w:rsid w:val="00E93CDD"/>
    <w:rsid w:val="00E949AC"/>
    <w:rsid w:val="00E95A76"/>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4A1D"/>
    <w:rsid w:val="00EE5D34"/>
    <w:rsid w:val="00EE776F"/>
    <w:rsid w:val="00EF319C"/>
    <w:rsid w:val="00EF3A29"/>
    <w:rsid w:val="00EF7C4A"/>
    <w:rsid w:val="00F00846"/>
    <w:rsid w:val="00F02496"/>
    <w:rsid w:val="00F027E4"/>
    <w:rsid w:val="00F055F1"/>
    <w:rsid w:val="00F05A46"/>
    <w:rsid w:val="00F15458"/>
    <w:rsid w:val="00F158C7"/>
    <w:rsid w:val="00F22278"/>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1024"/>
    <w:rsid w:val="00F5122A"/>
    <w:rsid w:val="00F51940"/>
    <w:rsid w:val="00F51A84"/>
    <w:rsid w:val="00F523CD"/>
    <w:rsid w:val="00F53495"/>
    <w:rsid w:val="00F559F9"/>
    <w:rsid w:val="00F561EE"/>
    <w:rsid w:val="00F63D66"/>
    <w:rsid w:val="00F64504"/>
    <w:rsid w:val="00F6458C"/>
    <w:rsid w:val="00F6478A"/>
    <w:rsid w:val="00F6661C"/>
    <w:rsid w:val="00F6682D"/>
    <w:rsid w:val="00F701C7"/>
    <w:rsid w:val="00F7721E"/>
    <w:rsid w:val="00F77823"/>
    <w:rsid w:val="00F77FD4"/>
    <w:rsid w:val="00F81C15"/>
    <w:rsid w:val="00F82391"/>
    <w:rsid w:val="00F858CA"/>
    <w:rsid w:val="00F8747E"/>
    <w:rsid w:val="00F87E9D"/>
    <w:rsid w:val="00F9034E"/>
    <w:rsid w:val="00F916DC"/>
    <w:rsid w:val="00F94BD6"/>
    <w:rsid w:val="00F958CC"/>
    <w:rsid w:val="00FA464E"/>
    <w:rsid w:val="00FA60EE"/>
    <w:rsid w:val="00FB2379"/>
    <w:rsid w:val="00FB25E5"/>
    <w:rsid w:val="00FB3848"/>
    <w:rsid w:val="00FB46D2"/>
    <w:rsid w:val="00FB4C46"/>
    <w:rsid w:val="00FB5293"/>
    <w:rsid w:val="00FB5446"/>
    <w:rsid w:val="00FC0D46"/>
    <w:rsid w:val="00FC10ED"/>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058"/>
    <w:rsid w:val="00FE7F98"/>
    <w:rsid w:val="00FF065B"/>
    <w:rsid w:val="00FF49E7"/>
    <w:rsid w:val="00FF4A09"/>
    <w:rsid w:val="00FF61E7"/>
    <w:rsid w:val="00FF6E0C"/>
    <w:rsid w:val="00FF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0327BEC1"/>
  <w15:docId w15:val="{CA0667E6-99B1-4C44-B71A-3329F4E4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E5A"/>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character" w:customStyle="1" w:styleId="A3">
    <w:name w:val="A3"/>
    <w:uiPriority w:val="99"/>
    <w:rsid w:val="00590665"/>
    <w:rPr>
      <w:rFonts w:ascii="Frutiger 45 Light" w:hAnsi="Frutiger 45 Light" w:cs="Frutiger 45 Light"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6/5/e0117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ngtermplan.nhs.uk/publication/nhs-long-term-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acyscreening.phe.org.uk/screening-recommendation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41" TargetMode="External"/><Relationship Id="rId5" Type="http://schemas.openxmlformats.org/officeDocument/2006/relationships/webSettings" Target="webSettings.xml"/><Relationship Id="rId15" Type="http://schemas.openxmlformats.org/officeDocument/2006/relationships/hyperlink" Target="https://legacyscreening.phe.org.uk/screening-recommendations.php" TargetMode="External"/><Relationship Id="rId10" Type="http://schemas.openxmlformats.org/officeDocument/2006/relationships/hyperlink" Target="https://www.nice.org.uk/guidance/qs41" TargetMode="External"/><Relationship Id="rId4" Type="http://schemas.openxmlformats.org/officeDocument/2006/relationships/settings" Target="settings.xml"/><Relationship Id="rId9" Type="http://schemas.openxmlformats.org/officeDocument/2006/relationships/hyperlink" Target="https://www.nice.org.uk/guidance/qs4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60ED-FDDF-4EE5-B927-63B3C1D3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DAB5232D</Template>
  <TotalTime>16</TotalTime>
  <Pages>17</Pages>
  <Words>4204</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Lacey</dc:creator>
  <cp:keywords/>
  <cp:lastModifiedBy>Esther Clifford</cp:lastModifiedBy>
  <cp:revision>8</cp:revision>
  <cp:lastPrinted>2019-05-23T14:57:00Z</cp:lastPrinted>
  <dcterms:created xsi:type="dcterms:W3CDTF">2019-05-28T12:50:00Z</dcterms:created>
  <dcterms:modified xsi:type="dcterms:W3CDTF">2019-08-27T15:29:00Z</dcterms:modified>
</cp:coreProperties>
</file>