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7DF1D" w14:textId="77777777" w:rsidR="00E63AB3" w:rsidRPr="00B8476F" w:rsidRDefault="00E63AB3" w:rsidP="00E63AB3">
      <w:pPr>
        <w:pStyle w:val="Heading1"/>
        <w:spacing w:before="0"/>
        <w:jc w:val="center"/>
      </w:pPr>
      <w:r w:rsidRPr="00B8476F">
        <w:t xml:space="preserve">NORTH EAST QUALITY OBSERVATORY SERVICE (NATIONAL COLLABORATING CENTRE </w:t>
      </w:r>
    </w:p>
    <w:p w14:paraId="212746FC" w14:textId="77777777" w:rsidR="00E63AB3" w:rsidRPr="00B8476F" w:rsidRDefault="00E63AB3" w:rsidP="00E63AB3">
      <w:pPr>
        <w:pStyle w:val="Heading1"/>
        <w:spacing w:before="0"/>
        <w:jc w:val="center"/>
      </w:pPr>
      <w:r w:rsidRPr="00B8476F">
        <w:t>FOR INDICATOR DEVELOPMENT)</w:t>
      </w:r>
    </w:p>
    <w:p w14:paraId="7ADAF74D" w14:textId="77777777" w:rsidR="00E63AB3" w:rsidRPr="00B8476F" w:rsidRDefault="00E63AB3" w:rsidP="00E63AB3"/>
    <w:p w14:paraId="3D4E494C" w14:textId="77777777" w:rsidR="00E63AB3" w:rsidRPr="00B8476F" w:rsidRDefault="00E63AB3" w:rsidP="00E63AB3">
      <w:pPr>
        <w:jc w:val="center"/>
        <w:rPr>
          <w:b/>
          <w:sz w:val="32"/>
          <w:szCs w:val="32"/>
        </w:rPr>
      </w:pPr>
      <w:r w:rsidRPr="00B8476F">
        <w:rPr>
          <w:b/>
          <w:sz w:val="32"/>
          <w:szCs w:val="32"/>
        </w:rPr>
        <w:t>FOR</w:t>
      </w:r>
      <w:bookmarkStart w:id="0" w:name="_GoBack"/>
      <w:bookmarkEnd w:id="0"/>
    </w:p>
    <w:p w14:paraId="2B992C21" w14:textId="77777777" w:rsidR="00AC4951" w:rsidRPr="00B8476F" w:rsidRDefault="00AC4951" w:rsidP="00461419">
      <w:pPr>
        <w:pStyle w:val="Heading1"/>
        <w:jc w:val="center"/>
      </w:pPr>
      <w:r w:rsidRPr="00B8476F">
        <w:t>NATIONAL INSTITUTE FOR HEALTH AND CARE EXCELLENCE</w:t>
      </w:r>
    </w:p>
    <w:p w14:paraId="2E3ECB0D" w14:textId="77777777" w:rsidR="00AC4951" w:rsidRPr="00B8476F" w:rsidRDefault="00AC4951" w:rsidP="00461419">
      <w:pPr>
        <w:pStyle w:val="Heading1"/>
        <w:jc w:val="center"/>
      </w:pPr>
      <w:r w:rsidRPr="00B8476F">
        <w:t>INDICATOR DEVELOPMENT PROGRAMME</w:t>
      </w:r>
    </w:p>
    <w:p w14:paraId="3A007C21" w14:textId="77777777" w:rsidR="00461419" w:rsidRPr="00B8476F" w:rsidRDefault="00461419" w:rsidP="00461419">
      <w:pPr>
        <w:pStyle w:val="Heading2"/>
      </w:pPr>
    </w:p>
    <w:p w14:paraId="777B2AA1" w14:textId="61BA4C56" w:rsidR="00F31A16" w:rsidRPr="00B8476F" w:rsidRDefault="00F31A16" w:rsidP="00F31A16">
      <w:pPr>
        <w:pStyle w:val="Heading1"/>
        <w:jc w:val="center"/>
      </w:pPr>
      <w:r w:rsidRPr="00B8476F">
        <w:t>Feedback report on piloted indicators</w:t>
      </w:r>
    </w:p>
    <w:p w14:paraId="05178E08" w14:textId="77777777" w:rsidR="004037BA" w:rsidRPr="00B8476F" w:rsidRDefault="004037BA" w:rsidP="004037BA"/>
    <w:p w14:paraId="057FEBA6" w14:textId="49B8AA5A" w:rsidR="00AC4951" w:rsidRPr="00B8476F" w:rsidRDefault="00AC4951" w:rsidP="005D2833">
      <w:pPr>
        <w:pStyle w:val="Heading2"/>
        <w:spacing w:after="120"/>
        <w:jc w:val="center"/>
        <w:rPr>
          <w:b w:val="0"/>
          <w:sz w:val="32"/>
        </w:rPr>
      </w:pPr>
      <w:r w:rsidRPr="00B8476F">
        <w:rPr>
          <w:sz w:val="32"/>
        </w:rPr>
        <w:t xml:space="preserve">Topic area: </w:t>
      </w:r>
      <w:r w:rsidR="001D16EA">
        <w:rPr>
          <w:sz w:val="32"/>
        </w:rPr>
        <w:t>Familial hypercholesterolaemia</w:t>
      </w:r>
    </w:p>
    <w:p w14:paraId="15713DD8" w14:textId="77777777" w:rsidR="005D2833" w:rsidRPr="00B8476F" w:rsidRDefault="005D2833" w:rsidP="005D2833"/>
    <w:p w14:paraId="345E4942" w14:textId="77777777" w:rsidR="005D2833" w:rsidRPr="00B8476F" w:rsidRDefault="005D2833" w:rsidP="005D2833"/>
    <w:p w14:paraId="791D6623" w14:textId="01D7F2A4" w:rsidR="00E07FE4" w:rsidRPr="00B8476F" w:rsidRDefault="00E07FE4" w:rsidP="009361B2">
      <w:pPr>
        <w:spacing w:before="240" w:after="0"/>
        <w:rPr>
          <w:rFonts w:eastAsiaTheme="majorEastAsia" w:cstheme="majorBidi"/>
          <w:b/>
          <w:sz w:val="28"/>
          <w:szCs w:val="26"/>
        </w:rPr>
      </w:pPr>
      <w:r w:rsidRPr="00B8476F">
        <w:rPr>
          <w:rFonts w:eastAsiaTheme="majorEastAsia" w:cstheme="majorBidi"/>
          <w:b/>
          <w:sz w:val="28"/>
          <w:szCs w:val="26"/>
        </w:rPr>
        <w:t xml:space="preserve">Pilot period: </w:t>
      </w:r>
      <w:r w:rsidR="00442C52" w:rsidRPr="00B8476F">
        <w:rPr>
          <w:rFonts w:eastAsiaTheme="majorEastAsia" w:cstheme="majorBidi"/>
          <w:sz w:val="28"/>
          <w:szCs w:val="26"/>
        </w:rPr>
        <w:t>13th</w:t>
      </w:r>
      <w:r w:rsidRPr="00B8476F">
        <w:rPr>
          <w:rFonts w:eastAsiaTheme="majorEastAsia" w:cstheme="majorBidi"/>
          <w:sz w:val="28"/>
          <w:szCs w:val="26"/>
        </w:rPr>
        <w:t xml:space="preserve"> December 2018 – 31st March 2019</w:t>
      </w:r>
    </w:p>
    <w:p w14:paraId="177FE166" w14:textId="1F3B0EB9" w:rsidR="00AC4951" w:rsidRPr="00B8476F" w:rsidRDefault="00AC4951" w:rsidP="00F61D1B">
      <w:pPr>
        <w:pStyle w:val="Heading2"/>
      </w:pPr>
      <w:r w:rsidRPr="00B8476F">
        <w:t xml:space="preserve">IAC meeting date: </w:t>
      </w:r>
      <w:r w:rsidR="00C64296">
        <w:rPr>
          <w:b w:val="0"/>
        </w:rPr>
        <w:t>5</w:t>
      </w:r>
      <w:r w:rsidR="00E07FE4" w:rsidRPr="00B8476F">
        <w:rPr>
          <w:b w:val="0"/>
          <w:vertAlign w:val="superscript"/>
        </w:rPr>
        <w:t>th</w:t>
      </w:r>
      <w:r w:rsidR="00E07FE4" w:rsidRPr="00B8476F">
        <w:rPr>
          <w:b w:val="0"/>
        </w:rPr>
        <w:t xml:space="preserve"> </w:t>
      </w:r>
      <w:r w:rsidR="009B299F" w:rsidRPr="00B8476F">
        <w:rPr>
          <w:b w:val="0"/>
        </w:rPr>
        <w:t>June 2019</w:t>
      </w:r>
    </w:p>
    <w:p w14:paraId="331AB91A" w14:textId="65DACE7C" w:rsidR="009E5FFB" w:rsidRPr="00B8476F" w:rsidRDefault="00AC4951" w:rsidP="00550B9E">
      <w:pPr>
        <w:pStyle w:val="Heading2"/>
        <w:spacing w:after="240"/>
      </w:pPr>
      <w:r w:rsidRPr="00B8476F">
        <w:t xml:space="preserve">Output: </w:t>
      </w:r>
      <w:r w:rsidR="00E07FE4" w:rsidRPr="00B8476F">
        <w:rPr>
          <w:b w:val="0"/>
        </w:rPr>
        <w:t xml:space="preserve">Recommendations for NICE </w:t>
      </w:r>
      <w:r w:rsidR="005D2833" w:rsidRPr="00B8476F">
        <w:rPr>
          <w:b w:val="0"/>
        </w:rPr>
        <w:t xml:space="preserve">indicator </w:t>
      </w:r>
      <w:r w:rsidR="00E07FE4" w:rsidRPr="00B8476F">
        <w:rPr>
          <w:b w:val="0"/>
        </w:rPr>
        <w:t>menu</w:t>
      </w:r>
      <w:r w:rsidR="009E5FFB" w:rsidRPr="00B8476F">
        <w:t xml:space="preserve"> </w:t>
      </w:r>
    </w:p>
    <w:p w14:paraId="3E1B002D" w14:textId="77777777" w:rsidR="008A651E" w:rsidRPr="00B8476F" w:rsidRDefault="008A651E">
      <w:pPr>
        <w:spacing w:after="160" w:line="259" w:lineRule="auto"/>
        <w:jc w:val="left"/>
        <w:rPr>
          <w:rFonts w:eastAsiaTheme="majorEastAsia" w:cstheme="majorBidi"/>
          <w:b/>
          <w:sz w:val="32"/>
          <w:szCs w:val="32"/>
        </w:rPr>
      </w:pPr>
      <w:r w:rsidRPr="00B8476F">
        <w:br w:type="page"/>
      </w:r>
    </w:p>
    <w:p w14:paraId="07BE2524" w14:textId="4316953D" w:rsidR="00D06527" w:rsidRPr="00B8476F" w:rsidRDefault="006D6FE1" w:rsidP="007F7578">
      <w:pPr>
        <w:pStyle w:val="Heading1"/>
      </w:pPr>
      <w:r w:rsidRPr="00B8476F">
        <w:lastRenderedPageBreak/>
        <w:t>Contents</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2"/>
        <w:gridCol w:w="794"/>
      </w:tblGrid>
      <w:tr w:rsidR="00FB43E9" w:rsidRPr="00B8476F" w14:paraId="414223E8" w14:textId="77777777" w:rsidTr="004953B6">
        <w:tc>
          <w:tcPr>
            <w:tcW w:w="8222" w:type="dxa"/>
          </w:tcPr>
          <w:p w14:paraId="408FD3B7" w14:textId="60431954" w:rsidR="00FB43E9" w:rsidRPr="00B8476F" w:rsidRDefault="00687F32" w:rsidP="001F43BE">
            <w:pPr>
              <w:spacing w:before="60" w:after="60" w:line="259" w:lineRule="auto"/>
              <w:jc w:val="left"/>
              <w:rPr>
                <w:b/>
              </w:rPr>
            </w:pPr>
            <w:r w:rsidRPr="00B8476F">
              <w:rPr>
                <w:b/>
              </w:rPr>
              <w:t>Summary of recommendations</w:t>
            </w:r>
          </w:p>
        </w:tc>
        <w:tc>
          <w:tcPr>
            <w:tcW w:w="794" w:type="dxa"/>
          </w:tcPr>
          <w:p w14:paraId="68B9F6E8" w14:textId="77777777" w:rsidR="00FB43E9" w:rsidRPr="00B8476F" w:rsidRDefault="00FB43E9" w:rsidP="001F43BE">
            <w:pPr>
              <w:spacing w:before="60" w:after="60" w:line="259" w:lineRule="auto"/>
              <w:jc w:val="right"/>
            </w:pPr>
            <w:r w:rsidRPr="00B8476F">
              <w:t>3</w:t>
            </w:r>
          </w:p>
        </w:tc>
      </w:tr>
      <w:tr w:rsidR="001B4DAD" w:rsidRPr="00B8476F" w14:paraId="5BC59F9E" w14:textId="77777777" w:rsidTr="004953B6">
        <w:tc>
          <w:tcPr>
            <w:tcW w:w="8222" w:type="dxa"/>
          </w:tcPr>
          <w:p w14:paraId="5EAED134" w14:textId="44EC9085" w:rsidR="001B4DAD" w:rsidRPr="001B4DAD" w:rsidRDefault="001B4DAD" w:rsidP="00652CE0">
            <w:pPr>
              <w:spacing w:before="60" w:after="60" w:line="259" w:lineRule="auto"/>
              <w:ind w:left="743"/>
              <w:jc w:val="left"/>
            </w:pPr>
            <w:r>
              <w:t>Indi</w:t>
            </w:r>
            <w:r w:rsidR="00A43322">
              <w:t xml:space="preserve">cator 1  </w:t>
            </w:r>
            <w:r w:rsidR="00652CE0">
              <w:t>Assessment of patients aged 29 years and under with a high total cholesterol</w:t>
            </w:r>
          </w:p>
        </w:tc>
        <w:tc>
          <w:tcPr>
            <w:tcW w:w="794" w:type="dxa"/>
          </w:tcPr>
          <w:p w14:paraId="739CA728" w14:textId="2298BEF5" w:rsidR="001B4DAD" w:rsidRPr="00B8476F" w:rsidRDefault="00652CE0" w:rsidP="001F43BE">
            <w:pPr>
              <w:spacing w:before="60" w:after="60" w:line="259" w:lineRule="auto"/>
              <w:jc w:val="right"/>
            </w:pPr>
            <w:r>
              <w:t>3</w:t>
            </w:r>
          </w:p>
        </w:tc>
      </w:tr>
      <w:tr w:rsidR="001B4DAD" w:rsidRPr="00B8476F" w14:paraId="05519785" w14:textId="77777777" w:rsidTr="004953B6">
        <w:tc>
          <w:tcPr>
            <w:tcW w:w="8222" w:type="dxa"/>
          </w:tcPr>
          <w:p w14:paraId="2FADD9F5" w14:textId="3D252F30" w:rsidR="001B4DAD" w:rsidRPr="001B4DAD" w:rsidRDefault="00A43322" w:rsidP="00652CE0">
            <w:pPr>
              <w:spacing w:before="60" w:after="60" w:line="259" w:lineRule="auto"/>
              <w:ind w:left="743"/>
              <w:jc w:val="left"/>
            </w:pPr>
            <w:r>
              <w:t xml:space="preserve">Indicator 2  </w:t>
            </w:r>
            <w:r w:rsidR="00652CE0">
              <w:t>Assessment of</w:t>
            </w:r>
            <w:r w:rsidR="00B60915">
              <w:t xml:space="preserve"> patients aged 30 years and older</w:t>
            </w:r>
            <w:r w:rsidR="00652CE0">
              <w:t xml:space="preserve"> with a high total cholesterol</w:t>
            </w:r>
          </w:p>
        </w:tc>
        <w:tc>
          <w:tcPr>
            <w:tcW w:w="794" w:type="dxa"/>
          </w:tcPr>
          <w:p w14:paraId="3B8F58E2" w14:textId="035DC0B6" w:rsidR="001B4DAD" w:rsidRPr="00B8476F" w:rsidRDefault="00652CE0" w:rsidP="001F43BE">
            <w:pPr>
              <w:spacing w:before="60" w:after="60" w:line="259" w:lineRule="auto"/>
              <w:jc w:val="right"/>
            </w:pPr>
            <w:r>
              <w:t>4</w:t>
            </w:r>
          </w:p>
        </w:tc>
      </w:tr>
      <w:tr w:rsidR="001B4DAD" w:rsidRPr="00B8476F" w14:paraId="3E844D36" w14:textId="77777777" w:rsidTr="004953B6">
        <w:tc>
          <w:tcPr>
            <w:tcW w:w="8222" w:type="dxa"/>
          </w:tcPr>
          <w:p w14:paraId="16635C0F" w14:textId="1197F90D" w:rsidR="001B4DAD" w:rsidRPr="001B4DAD" w:rsidRDefault="001B4DAD" w:rsidP="00652CE0">
            <w:pPr>
              <w:spacing w:before="60" w:after="60" w:line="259" w:lineRule="auto"/>
              <w:ind w:left="743"/>
              <w:jc w:val="left"/>
            </w:pPr>
            <w:r>
              <w:t xml:space="preserve">Indicator 3  </w:t>
            </w:r>
            <w:r w:rsidR="00652CE0">
              <w:t xml:space="preserve">Referral of patients with a </w:t>
            </w:r>
            <w:r w:rsidR="00700071">
              <w:t xml:space="preserve">clinical </w:t>
            </w:r>
            <w:r w:rsidR="00652CE0" w:rsidRPr="00700071">
              <w:t>diagnosis</w:t>
            </w:r>
            <w:r w:rsidR="00652CE0">
              <w:t xml:space="preserve"> of familial hypercholesterolaemia</w:t>
            </w:r>
          </w:p>
        </w:tc>
        <w:tc>
          <w:tcPr>
            <w:tcW w:w="794" w:type="dxa"/>
          </w:tcPr>
          <w:p w14:paraId="7CCF79E5" w14:textId="3303792D" w:rsidR="001B4DAD" w:rsidRPr="00B8476F" w:rsidRDefault="002E2134" w:rsidP="001F43BE">
            <w:pPr>
              <w:spacing w:before="60" w:after="60" w:line="259" w:lineRule="auto"/>
              <w:jc w:val="right"/>
            </w:pPr>
            <w:r>
              <w:t>6</w:t>
            </w:r>
          </w:p>
        </w:tc>
      </w:tr>
      <w:tr w:rsidR="00A43322" w:rsidRPr="00B8476F" w14:paraId="4246BBE0" w14:textId="77777777" w:rsidTr="004953B6">
        <w:tc>
          <w:tcPr>
            <w:tcW w:w="8222" w:type="dxa"/>
          </w:tcPr>
          <w:p w14:paraId="21685E44" w14:textId="01212E75" w:rsidR="00A43322" w:rsidRPr="00B8476F" w:rsidRDefault="00A43322" w:rsidP="00A43322">
            <w:pPr>
              <w:spacing w:before="60" w:after="60" w:line="259" w:lineRule="auto"/>
              <w:jc w:val="left"/>
              <w:rPr>
                <w:b/>
              </w:rPr>
            </w:pPr>
            <w:r w:rsidRPr="00B8476F">
              <w:rPr>
                <w:b/>
              </w:rPr>
              <w:t>Background</w:t>
            </w:r>
          </w:p>
        </w:tc>
        <w:tc>
          <w:tcPr>
            <w:tcW w:w="794" w:type="dxa"/>
          </w:tcPr>
          <w:p w14:paraId="3BF50828" w14:textId="3BA0E0D7" w:rsidR="00A43322" w:rsidRPr="00B8476F" w:rsidRDefault="002E2134" w:rsidP="00A43322">
            <w:pPr>
              <w:spacing w:before="60" w:after="60" w:line="259" w:lineRule="auto"/>
              <w:jc w:val="right"/>
            </w:pPr>
            <w:r>
              <w:t>7</w:t>
            </w:r>
          </w:p>
        </w:tc>
      </w:tr>
      <w:tr w:rsidR="00A43322" w:rsidRPr="00B8476F" w14:paraId="707817B3" w14:textId="77777777" w:rsidTr="004953B6">
        <w:tc>
          <w:tcPr>
            <w:tcW w:w="8222" w:type="dxa"/>
          </w:tcPr>
          <w:p w14:paraId="65CFE524" w14:textId="70EB6876" w:rsidR="00A43322" w:rsidRPr="001B4DAD" w:rsidRDefault="00A43322" w:rsidP="00A43322">
            <w:pPr>
              <w:spacing w:before="60" w:after="60" w:line="259" w:lineRule="auto"/>
              <w:ind w:left="720"/>
              <w:jc w:val="left"/>
            </w:pPr>
            <w:r w:rsidRPr="001B4DAD">
              <w:t>Practice recruitment</w:t>
            </w:r>
          </w:p>
        </w:tc>
        <w:tc>
          <w:tcPr>
            <w:tcW w:w="794" w:type="dxa"/>
          </w:tcPr>
          <w:p w14:paraId="739684F8" w14:textId="5EE083F3" w:rsidR="00A43322" w:rsidRPr="00B8476F" w:rsidRDefault="002E2134" w:rsidP="00A43322">
            <w:pPr>
              <w:spacing w:before="60" w:after="60" w:line="259" w:lineRule="auto"/>
              <w:jc w:val="right"/>
            </w:pPr>
            <w:r>
              <w:t>7</w:t>
            </w:r>
          </w:p>
        </w:tc>
      </w:tr>
      <w:tr w:rsidR="00A43322" w:rsidRPr="00B8476F" w14:paraId="72011259" w14:textId="77777777" w:rsidTr="004953B6">
        <w:tc>
          <w:tcPr>
            <w:tcW w:w="8222" w:type="dxa"/>
          </w:tcPr>
          <w:p w14:paraId="3FFBBE91" w14:textId="1C319757" w:rsidR="00A43322" w:rsidRPr="001B4DAD" w:rsidRDefault="00A43322" w:rsidP="00A43322">
            <w:pPr>
              <w:spacing w:before="60" w:after="60" w:line="259" w:lineRule="auto"/>
              <w:jc w:val="left"/>
              <w:rPr>
                <w:b/>
              </w:rPr>
            </w:pPr>
            <w:r w:rsidRPr="001B4DAD">
              <w:rPr>
                <w:b/>
              </w:rPr>
              <w:t>Assessment of feasibility, relia</w:t>
            </w:r>
            <w:r w:rsidR="00867883">
              <w:rPr>
                <w:b/>
              </w:rPr>
              <w:t>bility and acceptability</w:t>
            </w:r>
          </w:p>
        </w:tc>
        <w:tc>
          <w:tcPr>
            <w:tcW w:w="794" w:type="dxa"/>
          </w:tcPr>
          <w:p w14:paraId="37CA969F" w14:textId="4C17B103" w:rsidR="00A43322" w:rsidRPr="00B8476F" w:rsidRDefault="002E2134" w:rsidP="00A43322">
            <w:pPr>
              <w:spacing w:before="60" w:after="60" w:line="259" w:lineRule="auto"/>
              <w:jc w:val="right"/>
            </w:pPr>
            <w:r>
              <w:t>8</w:t>
            </w:r>
          </w:p>
        </w:tc>
      </w:tr>
      <w:tr w:rsidR="00A43322" w:rsidRPr="00B8476F" w14:paraId="0279CF48" w14:textId="77777777" w:rsidTr="004953B6">
        <w:tc>
          <w:tcPr>
            <w:tcW w:w="8222" w:type="dxa"/>
          </w:tcPr>
          <w:p w14:paraId="48D79360" w14:textId="4785A0BD" w:rsidR="00A43322" w:rsidRPr="001B4DAD" w:rsidRDefault="00A43322" w:rsidP="00A43322">
            <w:pPr>
              <w:spacing w:before="60" w:after="60" w:line="259" w:lineRule="auto"/>
              <w:ind w:left="743"/>
              <w:jc w:val="left"/>
            </w:pPr>
            <w:r w:rsidRPr="001B4DAD">
              <w:t>Feasibility and reliability</w:t>
            </w:r>
          </w:p>
        </w:tc>
        <w:tc>
          <w:tcPr>
            <w:tcW w:w="794" w:type="dxa"/>
          </w:tcPr>
          <w:p w14:paraId="113D9495" w14:textId="3565BC2F" w:rsidR="00A43322" w:rsidRPr="00B8476F" w:rsidRDefault="002E2134" w:rsidP="00A43322">
            <w:pPr>
              <w:spacing w:before="60" w:after="60" w:line="259" w:lineRule="auto"/>
              <w:jc w:val="right"/>
            </w:pPr>
            <w:r>
              <w:t>8</w:t>
            </w:r>
          </w:p>
        </w:tc>
      </w:tr>
      <w:tr w:rsidR="00A43322" w:rsidRPr="00B8476F" w14:paraId="4BDC152C" w14:textId="77777777" w:rsidTr="004953B6">
        <w:tc>
          <w:tcPr>
            <w:tcW w:w="8222" w:type="dxa"/>
          </w:tcPr>
          <w:p w14:paraId="475E8676" w14:textId="1325BDBB" w:rsidR="00A43322" w:rsidRPr="001B4DAD" w:rsidRDefault="00A43322" w:rsidP="00A43322">
            <w:pPr>
              <w:spacing w:before="60" w:after="60" w:line="259" w:lineRule="auto"/>
              <w:ind w:left="743"/>
              <w:jc w:val="left"/>
            </w:pPr>
            <w:r w:rsidRPr="001B4DAD">
              <w:t>Acceptability</w:t>
            </w:r>
          </w:p>
        </w:tc>
        <w:tc>
          <w:tcPr>
            <w:tcW w:w="794" w:type="dxa"/>
          </w:tcPr>
          <w:p w14:paraId="105945EB" w14:textId="2F8CEE19" w:rsidR="00A43322" w:rsidRPr="00B8476F" w:rsidRDefault="002E2134" w:rsidP="00A43322">
            <w:pPr>
              <w:spacing w:before="60" w:after="60" w:line="259" w:lineRule="auto"/>
              <w:jc w:val="right"/>
            </w:pPr>
            <w:r>
              <w:t>8</w:t>
            </w:r>
          </w:p>
        </w:tc>
      </w:tr>
      <w:tr w:rsidR="00867883" w:rsidRPr="00B8476F" w14:paraId="30670A0B" w14:textId="77777777" w:rsidTr="004953B6">
        <w:tc>
          <w:tcPr>
            <w:tcW w:w="8222" w:type="dxa"/>
          </w:tcPr>
          <w:p w14:paraId="3354B4A6" w14:textId="20E5EDFB" w:rsidR="00867883" w:rsidRPr="001B4DAD" w:rsidRDefault="00652CE0" w:rsidP="00867883">
            <w:pPr>
              <w:spacing w:before="60" w:after="60" w:line="259" w:lineRule="auto"/>
              <w:ind w:left="1593"/>
              <w:jc w:val="left"/>
            </w:pPr>
            <w:r>
              <w:t>Topic feedback</w:t>
            </w:r>
          </w:p>
        </w:tc>
        <w:tc>
          <w:tcPr>
            <w:tcW w:w="794" w:type="dxa"/>
          </w:tcPr>
          <w:p w14:paraId="53A30797" w14:textId="58C5952F" w:rsidR="00867883" w:rsidRDefault="002E2134" w:rsidP="00A43322">
            <w:pPr>
              <w:spacing w:before="60" w:after="60" w:line="259" w:lineRule="auto"/>
              <w:jc w:val="right"/>
            </w:pPr>
            <w:r>
              <w:t>8</w:t>
            </w:r>
          </w:p>
        </w:tc>
      </w:tr>
      <w:tr w:rsidR="00867883" w:rsidRPr="00B8476F" w14:paraId="5600F54A" w14:textId="77777777" w:rsidTr="004953B6">
        <w:tc>
          <w:tcPr>
            <w:tcW w:w="8222" w:type="dxa"/>
          </w:tcPr>
          <w:p w14:paraId="6B1138F2" w14:textId="2653351F" w:rsidR="00867883" w:rsidRPr="001B4DAD" w:rsidRDefault="00652CE0" w:rsidP="00867883">
            <w:pPr>
              <w:spacing w:before="60" w:after="60" w:line="259" w:lineRule="auto"/>
              <w:ind w:left="1593"/>
              <w:jc w:val="left"/>
            </w:pPr>
            <w:r>
              <w:t>Indicator-level feedback</w:t>
            </w:r>
          </w:p>
        </w:tc>
        <w:tc>
          <w:tcPr>
            <w:tcW w:w="794" w:type="dxa"/>
          </w:tcPr>
          <w:p w14:paraId="0EC27B4D" w14:textId="22EEAD79" w:rsidR="00867883" w:rsidRDefault="002E2134" w:rsidP="00A43322">
            <w:pPr>
              <w:spacing w:before="60" w:after="60" w:line="259" w:lineRule="auto"/>
              <w:jc w:val="right"/>
            </w:pPr>
            <w:r>
              <w:t>10</w:t>
            </w:r>
          </w:p>
        </w:tc>
      </w:tr>
      <w:tr w:rsidR="00A43322" w:rsidRPr="00B8476F" w14:paraId="7F569B6D" w14:textId="77777777" w:rsidTr="004953B6">
        <w:trPr>
          <w:trHeight w:val="379"/>
        </w:trPr>
        <w:tc>
          <w:tcPr>
            <w:tcW w:w="8222" w:type="dxa"/>
          </w:tcPr>
          <w:p w14:paraId="05FA0ADB" w14:textId="0C924B5D" w:rsidR="00A43322" w:rsidRPr="001B4DAD" w:rsidRDefault="00A43322" w:rsidP="00A43322">
            <w:pPr>
              <w:tabs>
                <w:tab w:val="left" w:pos="2920"/>
              </w:tabs>
              <w:spacing w:before="60" w:after="60" w:line="259" w:lineRule="auto"/>
              <w:ind w:left="34"/>
              <w:jc w:val="left"/>
              <w:rPr>
                <w:b/>
              </w:rPr>
            </w:pPr>
            <w:r w:rsidRPr="001B4DAD">
              <w:rPr>
                <w:b/>
              </w:rPr>
              <w:t>Assessment of implementation</w:t>
            </w:r>
          </w:p>
        </w:tc>
        <w:tc>
          <w:tcPr>
            <w:tcW w:w="794" w:type="dxa"/>
          </w:tcPr>
          <w:p w14:paraId="647F3665" w14:textId="43D632E7" w:rsidR="00A43322" w:rsidRPr="00B8476F" w:rsidRDefault="00652CE0" w:rsidP="00E427A4">
            <w:pPr>
              <w:spacing w:before="60" w:after="60" w:line="259" w:lineRule="auto"/>
              <w:jc w:val="right"/>
            </w:pPr>
            <w:r>
              <w:t>1</w:t>
            </w:r>
            <w:r w:rsidR="002E2134">
              <w:t>2</w:t>
            </w:r>
          </w:p>
        </w:tc>
      </w:tr>
      <w:tr w:rsidR="00A43322" w:rsidRPr="00B8476F" w14:paraId="614A026E" w14:textId="77777777" w:rsidTr="004953B6">
        <w:tc>
          <w:tcPr>
            <w:tcW w:w="8222" w:type="dxa"/>
          </w:tcPr>
          <w:p w14:paraId="3895A387" w14:textId="3BA267FD" w:rsidR="00A43322" w:rsidRPr="00B8476F" w:rsidRDefault="00A43322" w:rsidP="00A43322">
            <w:pPr>
              <w:tabs>
                <w:tab w:val="left" w:pos="2920"/>
              </w:tabs>
              <w:spacing w:before="60" w:after="60" w:line="259" w:lineRule="auto"/>
              <w:ind w:left="720"/>
              <w:jc w:val="left"/>
            </w:pPr>
            <w:r>
              <w:t>Assessment of piloting achievement</w:t>
            </w:r>
          </w:p>
        </w:tc>
        <w:tc>
          <w:tcPr>
            <w:tcW w:w="794" w:type="dxa"/>
          </w:tcPr>
          <w:p w14:paraId="5FAF407E" w14:textId="3C76D226" w:rsidR="00A43322" w:rsidRPr="00B8476F" w:rsidRDefault="00652CE0" w:rsidP="00A43322">
            <w:pPr>
              <w:spacing w:before="60" w:after="60" w:line="259" w:lineRule="auto"/>
              <w:jc w:val="right"/>
            </w:pPr>
            <w:r>
              <w:t>1</w:t>
            </w:r>
            <w:r w:rsidR="002E2134">
              <w:t>2</w:t>
            </w:r>
          </w:p>
        </w:tc>
      </w:tr>
      <w:tr w:rsidR="00A43322" w:rsidRPr="00B8476F" w14:paraId="73B9501E" w14:textId="77777777" w:rsidTr="004953B6">
        <w:tc>
          <w:tcPr>
            <w:tcW w:w="8222" w:type="dxa"/>
          </w:tcPr>
          <w:p w14:paraId="6F4C1BF0" w14:textId="56901489" w:rsidR="00A43322" w:rsidRPr="00C47DEE" w:rsidRDefault="00C47DEE" w:rsidP="00C47DEE">
            <w:pPr>
              <w:tabs>
                <w:tab w:val="left" w:pos="2920"/>
              </w:tabs>
              <w:spacing w:before="60" w:after="60" w:line="259" w:lineRule="auto"/>
              <w:ind w:left="34"/>
              <w:jc w:val="left"/>
              <w:rPr>
                <w:b/>
              </w:rPr>
            </w:pPr>
            <w:r w:rsidRPr="00C47DEE">
              <w:rPr>
                <w:b/>
              </w:rPr>
              <w:t>Practices’ views on implementation</w:t>
            </w:r>
            <w:r w:rsidR="00B60915">
              <w:rPr>
                <w:b/>
              </w:rPr>
              <w:t xml:space="preserve"> issues</w:t>
            </w:r>
            <w:r w:rsidRPr="00C47DEE">
              <w:rPr>
                <w:b/>
              </w:rPr>
              <w:t xml:space="preserve"> and impact</w:t>
            </w:r>
          </w:p>
        </w:tc>
        <w:tc>
          <w:tcPr>
            <w:tcW w:w="794" w:type="dxa"/>
          </w:tcPr>
          <w:p w14:paraId="55D8A831" w14:textId="75309980" w:rsidR="00A43322" w:rsidRPr="00B8476F" w:rsidRDefault="00E427A4" w:rsidP="00A43322">
            <w:pPr>
              <w:spacing w:before="60" w:after="60" w:line="259" w:lineRule="auto"/>
              <w:jc w:val="right"/>
            </w:pPr>
            <w:r>
              <w:t>13</w:t>
            </w:r>
          </w:p>
        </w:tc>
      </w:tr>
      <w:tr w:rsidR="00C47DEE" w:rsidRPr="00B8476F" w14:paraId="09EF13E1" w14:textId="77777777" w:rsidTr="004953B6">
        <w:trPr>
          <w:trHeight w:val="355"/>
        </w:trPr>
        <w:tc>
          <w:tcPr>
            <w:tcW w:w="8222" w:type="dxa"/>
          </w:tcPr>
          <w:p w14:paraId="6BEFE9F4" w14:textId="33DA50B7" w:rsidR="00C47DEE" w:rsidRDefault="00C47DEE" w:rsidP="00A05E49">
            <w:pPr>
              <w:tabs>
                <w:tab w:val="left" w:pos="2920"/>
              </w:tabs>
              <w:spacing w:before="60" w:after="60" w:line="259" w:lineRule="auto"/>
              <w:ind w:left="720"/>
              <w:jc w:val="left"/>
            </w:pPr>
            <w:r>
              <w:t>Training requirements</w:t>
            </w:r>
          </w:p>
        </w:tc>
        <w:tc>
          <w:tcPr>
            <w:tcW w:w="794" w:type="dxa"/>
          </w:tcPr>
          <w:p w14:paraId="6DEF21C2" w14:textId="45DE182D" w:rsidR="00C47DEE" w:rsidRDefault="00E427A4" w:rsidP="00A05E49">
            <w:pPr>
              <w:spacing w:before="60" w:after="60" w:line="259" w:lineRule="auto"/>
              <w:jc w:val="right"/>
            </w:pPr>
            <w:r>
              <w:t>13</w:t>
            </w:r>
          </w:p>
        </w:tc>
      </w:tr>
      <w:tr w:rsidR="00A43322" w:rsidRPr="00B8476F" w14:paraId="5D733860" w14:textId="77777777" w:rsidTr="004953B6">
        <w:trPr>
          <w:trHeight w:val="355"/>
        </w:trPr>
        <w:tc>
          <w:tcPr>
            <w:tcW w:w="8222" w:type="dxa"/>
          </w:tcPr>
          <w:p w14:paraId="27437374" w14:textId="5274BB38" w:rsidR="00A43322" w:rsidRPr="00B8476F" w:rsidRDefault="00C47DEE" w:rsidP="00A05E49">
            <w:pPr>
              <w:tabs>
                <w:tab w:val="left" w:pos="2920"/>
              </w:tabs>
              <w:spacing w:before="60" w:after="60" w:line="259" w:lineRule="auto"/>
              <w:ind w:left="720"/>
              <w:jc w:val="left"/>
            </w:pPr>
            <w:r>
              <w:t>Workload, r</w:t>
            </w:r>
            <w:r w:rsidR="00A43322">
              <w:t>esource utilisation and costs</w:t>
            </w:r>
          </w:p>
        </w:tc>
        <w:tc>
          <w:tcPr>
            <w:tcW w:w="794" w:type="dxa"/>
          </w:tcPr>
          <w:p w14:paraId="61B0F9FD" w14:textId="23F4861C" w:rsidR="00A43322" w:rsidRPr="00B8476F" w:rsidRDefault="00210B69" w:rsidP="00A05E49">
            <w:pPr>
              <w:spacing w:before="60" w:after="60" w:line="259" w:lineRule="auto"/>
              <w:jc w:val="right"/>
            </w:pPr>
            <w:r>
              <w:t>14</w:t>
            </w:r>
          </w:p>
        </w:tc>
      </w:tr>
      <w:tr w:rsidR="00A43322" w:rsidRPr="00B8476F" w14:paraId="1A8F68F0" w14:textId="77777777" w:rsidTr="004953B6">
        <w:trPr>
          <w:trHeight w:val="417"/>
        </w:trPr>
        <w:tc>
          <w:tcPr>
            <w:tcW w:w="8222" w:type="dxa"/>
          </w:tcPr>
          <w:p w14:paraId="310A914F" w14:textId="4A9AFF64" w:rsidR="00A43322" w:rsidRDefault="00C47DEE" w:rsidP="00A05E49">
            <w:pPr>
              <w:tabs>
                <w:tab w:val="left" w:pos="2920"/>
              </w:tabs>
              <w:spacing w:before="60" w:after="60" w:line="259" w:lineRule="auto"/>
              <w:ind w:left="720"/>
              <w:jc w:val="left"/>
            </w:pPr>
            <w:r>
              <w:t>Changes in practice organisation</w:t>
            </w:r>
            <w:r w:rsidR="00A43322">
              <w:t xml:space="preserve"> </w:t>
            </w:r>
          </w:p>
        </w:tc>
        <w:tc>
          <w:tcPr>
            <w:tcW w:w="794" w:type="dxa"/>
          </w:tcPr>
          <w:p w14:paraId="7D755D76" w14:textId="31C42FDA" w:rsidR="00A43322" w:rsidRDefault="00143504" w:rsidP="00A05E49">
            <w:pPr>
              <w:spacing w:before="60" w:after="60" w:line="259" w:lineRule="auto"/>
              <w:jc w:val="right"/>
            </w:pPr>
            <w:r>
              <w:t>1</w:t>
            </w:r>
            <w:r w:rsidR="00210B69">
              <w:t>4</w:t>
            </w:r>
          </w:p>
        </w:tc>
      </w:tr>
      <w:tr w:rsidR="00A05E49" w:rsidRPr="00B8476F" w14:paraId="083D0E61" w14:textId="77777777" w:rsidTr="004953B6">
        <w:tc>
          <w:tcPr>
            <w:tcW w:w="8222" w:type="dxa"/>
          </w:tcPr>
          <w:p w14:paraId="4BB8F8CF" w14:textId="5FBCD2D5" w:rsidR="00A05E49" w:rsidRDefault="00A05E49" w:rsidP="00A05E49">
            <w:pPr>
              <w:tabs>
                <w:tab w:val="left" w:pos="2920"/>
              </w:tabs>
              <w:spacing w:before="60" w:after="60" w:line="259" w:lineRule="auto"/>
              <w:ind w:left="743"/>
              <w:jc w:val="left"/>
            </w:pPr>
            <w:r>
              <w:t>Other feedback on implementation issues</w:t>
            </w:r>
          </w:p>
        </w:tc>
        <w:tc>
          <w:tcPr>
            <w:tcW w:w="794" w:type="dxa"/>
          </w:tcPr>
          <w:p w14:paraId="122DF5D8" w14:textId="5D99FF2D" w:rsidR="00A05E49" w:rsidRDefault="00E427A4" w:rsidP="00A05E49">
            <w:pPr>
              <w:spacing w:before="60" w:after="60" w:line="259" w:lineRule="auto"/>
              <w:jc w:val="right"/>
            </w:pPr>
            <w:r>
              <w:t>15</w:t>
            </w:r>
          </w:p>
        </w:tc>
      </w:tr>
      <w:tr w:rsidR="00C47DEE" w:rsidRPr="00B8476F" w14:paraId="53752A54" w14:textId="77777777" w:rsidTr="004953B6">
        <w:tc>
          <w:tcPr>
            <w:tcW w:w="8222" w:type="dxa"/>
          </w:tcPr>
          <w:p w14:paraId="6658D9CE" w14:textId="50E5B38E" w:rsidR="00C47DEE" w:rsidRPr="002A7FDE" w:rsidRDefault="00C47DEE" w:rsidP="00A05E49">
            <w:pPr>
              <w:tabs>
                <w:tab w:val="left" w:pos="2920"/>
              </w:tabs>
              <w:spacing w:before="60" w:after="60" w:line="259" w:lineRule="auto"/>
              <w:ind w:left="743"/>
              <w:jc w:val="left"/>
            </w:pPr>
            <w:r>
              <w:t>Barriers to implementation</w:t>
            </w:r>
          </w:p>
        </w:tc>
        <w:tc>
          <w:tcPr>
            <w:tcW w:w="794" w:type="dxa"/>
          </w:tcPr>
          <w:p w14:paraId="79A89550" w14:textId="39DD5C92" w:rsidR="00C47DEE" w:rsidRDefault="00E427A4" w:rsidP="00A05E49">
            <w:pPr>
              <w:spacing w:before="60" w:after="60" w:line="259" w:lineRule="auto"/>
              <w:jc w:val="right"/>
            </w:pPr>
            <w:r>
              <w:t>16</w:t>
            </w:r>
          </w:p>
        </w:tc>
      </w:tr>
      <w:tr w:rsidR="00A43322" w:rsidRPr="00B8476F" w14:paraId="6385C656" w14:textId="77777777" w:rsidTr="004953B6">
        <w:tc>
          <w:tcPr>
            <w:tcW w:w="8222" w:type="dxa"/>
          </w:tcPr>
          <w:p w14:paraId="28469012" w14:textId="637BAEFE" w:rsidR="00A43322" w:rsidRPr="002A7FDE" w:rsidRDefault="00A43322" w:rsidP="00A05E49">
            <w:pPr>
              <w:tabs>
                <w:tab w:val="left" w:pos="2920"/>
              </w:tabs>
              <w:spacing w:before="60" w:after="60" w:line="259" w:lineRule="auto"/>
              <w:ind w:left="743"/>
              <w:jc w:val="left"/>
            </w:pPr>
            <w:r w:rsidRPr="002A7FDE">
              <w:t>Assessment of exception reporting</w:t>
            </w:r>
            <w:r w:rsidR="00587575">
              <w:t xml:space="preserve"> (or future Personalised Care Adjustment)</w:t>
            </w:r>
          </w:p>
        </w:tc>
        <w:tc>
          <w:tcPr>
            <w:tcW w:w="794" w:type="dxa"/>
          </w:tcPr>
          <w:p w14:paraId="3611CA2C" w14:textId="0209DE56" w:rsidR="00A43322" w:rsidRPr="00B8476F" w:rsidRDefault="00E427A4" w:rsidP="00A05E49">
            <w:pPr>
              <w:spacing w:before="60" w:after="60" w:line="259" w:lineRule="auto"/>
              <w:jc w:val="right"/>
            </w:pPr>
            <w:r>
              <w:t>18</w:t>
            </w:r>
          </w:p>
        </w:tc>
      </w:tr>
      <w:tr w:rsidR="00A43322" w:rsidRPr="00B8476F" w14:paraId="7E87D238" w14:textId="77777777" w:rsidTr="004953B6">
        <w:trPr>
          <w:trHeight w:val="708"/>
        </w:trPr>
        <w:tc>
          <w:tcPr>
            <w:tcW w:w="8222" w:type="dxa"/>
          </w:tcPr>
          <w:p w14:paraId="1E16AE9B" w14:textId="35FBF4D3" w:rsidR="00C47DEE" w:rsidRPr="002A7FDE" w:rsidRDefault="00C47DEE" w:rsidP="00A05E49">
            <w:pPr>
              <w:spacing w:before="60" w:after="60" w:line="259" w:lineRule="auto"/>
              <w:ind w:left="743"/>
            </w:pPr>
            <w:r>
              <w:t xml:space="preserve">Assessment of overlap with and/or impact on existing QOF indicators or local schemes </w:t>
            </w:r>
          </w:p>
        </w:tc>
        <w:tc>
          <w:tcPr>
            <w:tcW w:w="794" w:type="dxa"/>
          </w:tcPr>
          <w:p w14:paraId="67353038" w14:textId="1D805EA8" w:rsidR="00A43322" w:rsidRPr="00B8476F" w:rsidRDefault="00E427A4" w:rsidP="00A05E49">
            <w:pPr>
              <w:spacing w:before="60" w:after="60" w:line="259" w:lineRule="auto"/>
              <w:jc w:val="right"/>
            </w:pPr>
            <w:r>
              <w:t>18</w:t>
            </w:r>
          </w:p>
        </w:tc>
      </w:tr>
      <w:tr w:rsidR="00C47DEE" w:rsidRPr="00B8476F" w14:paraId="328FABF1" w14:textId="77777777" w:rsidTr="004953B6">
        <w:tc>
          <w:tcPr>
            <w:tcW w:w="8222" w:type="dxa"/>
          </w:tcPr>
          <w:p w14:paraId="45CF7668" w14:textId="4264F446" w:rsidR="00C47DEE" w:rsidRPr="002A7FDE" w:rsidRDefault="00C47DEE" w:rsidP="00A05E49">
            <w:pPr>
              <w:spacing w:before="60" w:after="60" w:line="259" w:lineRule="auto"/>
              <w:ind w:left="743"/>
            </w:pPr>
            <w:r>
              <w:t>Other overall views on implementation of the indicators (including unintended consequences)</w:t>
            </w:r>
          </w:p>
        </w:tc>
        <w:tc>
          <w:tcPr>
            <w:tcW w:w="794" w:type="dxa"/>
          </w:tcPr>
          <w:p w14:paraId="42FE5856" w14:textId="08C1652C" w:rsidR="00C47DEE" w:rsidRDefault="00E427A4" w:rsidP="00E43A92">
            <w:pPr>
              <w:spacing w:before="60" w:after="60" w:line="259" w:lineRule="auto"/>
              <w:jc w:val="right"/>
            </w:pPr>
            <w:r>
              <w:t>1</w:t>
            </w:r>
            <w:r w:rsidR="00E43A92">
              <w:t>8</w:t>
            </w:r>
          </w:p>
        </w:tc>
      </w:tr>
      <w:tr w:rsidR="00A43322" w:rsidRPr="00B8476F" w14:paraId="713BA7D7" w14:textId="77777777" w:rsidTr="004953B6">
        <w:tc>
          <w:tcPr>
            <w:tcW w:w="8222" w:type="dxa"/>
          </w:tcPr>
          <w:p w14:paraId="751F9A12" w14:textId="6EEA4DD6" w:rsidR="00A43322" w:rsidRPr="002A7FDE" w:rsidRDefault="00A43322" w:rsidP="00A05E49">
            <w:pPr>
              <w:spacing w:before="60" w:after="60" w:line="259" w:lineRule="auto"/>
              <w:ind w:left="743"/>
            </w:pPr>
            <w:r w:rsidRPr="00700071">
              <w:t>Suggested amendments to indicator wording</w:t>
            </w:r>
          </w:p>
        </w:tc>
        <w:tc>
          <w:tcPr>
            <w:tcW w:w="794" w:type="dxa"/>
          </w:tcPr>
          <w:p w14:paraId="58668CFD" w14:textId="21462CF4" w:rsidR="00A43322" w:rsidRPr="00B8476F" w:rsidRDefault="00E427A4" w:rsidP="00A05E49">
            <w:pPr>
              <w:spacing w:before="60" w:after="60" w:line="259" w:lineRule="auto"/>
              <w:jc w:val="right"/>
            </w:pPr>
            <w:r>
              <w:t>19</w:t>
            </w:r>
          </w:p>
        </w:tc>
      </w:tr>
      <w:tr w:rsidR="00A43322" w:rsidRPr="00B8476F" w14:paraId="5C2EF047" w14:textId="77777777" w:rsidTr="004953B6">
        <w:trPr>
          <w:trHeight w:val="423"/>
        </w:trPr>
        <w:tc>
          <w:tcPr>
            <w:tcW w:w="8222" w:type="dxa"/>
          </w:tcPr>
          <w:p w14:paraId="2C097E99" w14:textId="30F323F8" w:rsidR="00A43322" w:rsidRPr="00B8476F" w:rsidRDefault="00A43322" w:rsidP="00595314">
            <w:pPr>
              <w:tabs>
                <w:tab w:val="left" w:pos="2920"/>
              </w:tabs>
              <w:spacing w:before="120" w:line="259" w:lineRule="auto"/>
              <w:jc w:val="left"/>
              <w:rPr>
                <w:b/>
              </w:rPr>
            </w:pPr>
            <w:r>
              <w:rPr>
                <w:b/>
              </w:rPr>
              <w:t>Appendix A: Practice recruitment</w:t>
            </w:r>
          </w:p>
        </w:tc>
        <w:tc>
          <w:tcPr>
            <w:tcW w:w="794" w:type="dxa"/>
          </w:tcPr>
          <w:p w14:paraId="034A8076" w14:textId="102A7EFC" w:rsidR="00A43322" w:rsidRPr="00B8476F" w:rsidRDefault="00652CE0" w:rsidP="00E427A4">
            <w:pPr>
              <w:spacing w:before="120" w:after="60" w:line="259" w:lineRule="auto"/>
              <w:jc w:val="right"/>
            </w:pPr>
            <w:r>
              <w:t>2</w:t>
            </w:r>
            <w:r w:rsidR="00E427A4">
              <w:t>0</w:t>
            </w:r>
          </w:p>
        </w:tc>
      </w:tr>
      <w:tr w:rsidR="00A43322" w:rsidRPr="00B8476F" w14:paraId="5B592554" w14:textId="77777777" w:rsidTr="004953B6">
        <w:trPr>
          <w:trHeight w:val="515"/>
        </w:trPr>
        <w:tc>
          <w:tcPr>
            <w:tcW w:w="8222" w:type="dxa"/>
          </w:tcPr>
          <w:p w14:paraId="0FC4C397" w14:textId="7AB7A787" w:rsidR="00A43322" w:rsidRPr="00B8476F" w:rsidRDefault="00A43322" w:rsidP="00A43322">
            <w:pPr>
              <w:spacing w:before="60" w:after="60" w:line="259" w:lineRule="auto"/>
              <w:jc w:val="left"/>
              <w:rPr>
                <w:b/>
              </w:rPr>
            </w:pPr>
            <w:r>
              <w:rPr>
                <w:b/>
              </w:rPr>
              <w:t>Appendix B: Indicator development</w:t>
            </w:r>
          </w:p>
        </w:tc>
        <w:tc>
          <w:tcPr>
            <w:tcW w:w="794" w:type="dxa"/>
          </w:tcPr>
          <w:p w14:paraId="0A9042A3" w14:textId="0E9D87C4" w:rsidR="00A43322" w:rsidRPr="00B8476F" w:rsidRDefault="00652CE0" w:rsidP="00A43322">
            <w:pPr>
              <w:spacing w:before="60" w:after="60" w:line="259" w:lineRule="auto"/>
              <w:jc w:val="right"/>
            </w:pPr>
            <w:r>
              <w:t>2</w:t>
            </w:r>
            <w:r w:rsidR="00E427A4">
              <w:t>1</w:t>
            </w:r>
          </w:p>
        </w:tc>
      </w:tr>
      <w:tr w:rsidR="00A43322" w:rsidRPr="00B8476F" w14:paraId="4C79283A" w14:textId="77777777" w:rsidTr="004953B6">
        <w:tc>
          <w:tcPr>
            <w:tcW w:w="8222" w:type="dxa"/>
          </w:tcPr>
          <w:p w14:paraId="750D3200" w14:textId="5F090C8A" w:rsidR="00A43322" w:rsidRDefault="00A43322" w:rsidP="00A43322">
            <w:pPr>
              <w:spacing w:before="60" w:after="60" w:line="259" w:lineRule="auto"/>
              <w:jc w:val="left"/>
              <w:rPr>
                <w:b/>
              </w:rPr>
            </w:pPr>
            <w:r>
              <w:rPr>
                <w:b/>
              </w:rPr>
              <w:t>Appendix C: Acceptability and implementation recommendations</w:t>
            </w:r>
          </w:p>
        </w:tc>
        <w:tc>
          <w:tcPr>
            <w:tcW w:w="794" w:type="dxa"/>
          </w:tcPr>
          <w:p w14:paraId="16441227" w14:textId="384FE40E" w:rsidR="00A43322" w:rsidRPr="00B8476F" w:rsidRDefault="00652CE0" w:rsidP="00652CE0">
            <w:pPr>
              <w:spacing w:before="60" w:after="60" w:line="259" w:lineRule="auto"/>
              <w:jc w:val="right"/>
            </w:pPr>
            <w:r>
              <w:t>2</w:t>
            </w:r>
            <w:r w:rsidR="00E427A4">
              <w:t>2</w:t>
            </w:r>
          </w:p>
        </w:tc>
      </w:tr>
    </w:tbl>
    <w:p w14:paraId="2DBCAB34" w14:textId="35DC2703" w:rsidR="00A519BA" w:rsidRPr="00B8476F" w:rsidRDefault="00A519BA" w:rsidP="004037BA">
      <w:pPr>
        <w:pStyle w:val="Heading1"/>
      </w:pPr>
      <w:r w:rsidRPr="00B8476F">
        <w:lastRenderedPageBreak/>
        <w:t xml:space="preserve">Summary of </w:t>
      </w:r>
      <w:r w:rsidRPr="002E2134">
        <w:t>recommendations</w:t>
      </w:r>
    </w:p>
    <w:p w14:paraId="75E6F933" w14:textId="6BB95D23" w:rsidR="00A43322" w:rsidRPr="00CB4152" w:rsidRDefault="00A43322" w:rsidP="00A43322">
      <w:pPr>
        <w:pStyle w:val="Heading4"/>
      </w:pPr>
      <w:r w:rsidRPr="00CB4152">
        <w:t xml:space="preserve">Indicator 1: </w:t>
      </w:r>
      <w:r w:rsidR="001D16EA">
        <w:t>Assessment of patients aged 29 years and under with a high total cholesterol</w:t>
      </w:r>
    </w:p>
    <w:p w14:paraId="10AEBA8D" w14:textId="77777777" w:rsidR="00CD1325" w:rsidRDefault="00A43322" w:rsidP="00CD1325">
      <w:r w:rsidRPr="00CB4152">
        <w:t>The percentage of p</w:t>
      </w:r>
      <w:r w:rsidR="001D16EA">
        <w:t>eople aged 29 years and under, with a total cholesterol concentration greater than 7.5 mmol/l that are assessed against the Simon Broome or Dutch Lipid Clinic Network (DLCN) criteria</w:t>
      </w:r>
    </w:p>
    <w:p w14:paraId="33A92393" w14:textId="77777777" w:rsidR="00BC5F87" w:rsidRPr="00BC5F87" w:rsidRDefault="00BC5F87" w:rsidP="00BC5F87">
      <w:pPr>
        <w:pStyle w:val="Heading5"/>
        <w:ind w:firstLine="720"/>
        <w:rPr>
          <w:b w:val="0"/>
          <w:i/>
          <w:sz w:val="24"/>
        </w:rPr>
      </w:pPr>
      <w:r w:rsidRPr="00BC5F87">
        <w:rPr>
          <w:b w:val="0"/>
          <w:i/>
          <w:sz w:val="24"/>
        </w:rPr>
        <w:t>Acceptability assessment</w:t>
      </w:r>
    </w:p>
    <w:p w14:paraId="5C529944" w14:textId="0605A5B5" w:rsidR="00700071" w:rsidRPr="00B8476F" w:rsidRDefault="00372B76" w:rsidP="00CD1325">
      <w:pPr>
        <w:ind w:left="720"/>
      </w:pPr>
      <w:r>
        <w:t xml:space="preserve">The findings from the survey and the interviews were not consistent for this indicator. </w:t>
      </w:r>
      <w:r w:rsidR="00700071" w:rsidRPr="00700071">
        <w:t>78%</w:t>
      </w:r>
      <w:r w:rsidR="00700071">
        <w:t xml:space="preserve"> of survey respondents</w:t>
      </w:r>
      <w:r w:rsidR="00700071" w:rsidRPr="00700071">
        <w:t xml:space="preserve"> agreed that </w:t>
      </w:r>
      <w:r w:rsidR="00700071">
        <w:t>this indicator</w:t>
      </w:r>
      <w:r w:rsidR="00700071" w:rsidRPr="00700071">
        <w:t xml:space="preserve"> would </w:t>
      </w:r>
      <w:r w:rsidR="00700071">
        <w:t>improve</w:t>
      </w:r>
      <w:r w:rsidR="00700071" w:rsidRPr="00700071">
        <w:t xml:space="preserve"> the quality of care</w:t>
      </w:r>
      <w:r w:rsidR="00700071">
        <w:t xml:space="preserve">. However, the </w:t>
      </w:r>
      <w:r w:rsidR="00021262">
        <w:t xml:space="preserve">views from the </w:t>
      </w:r>
      <w:r w:rsidR="00700071">
        <w:t xml:space="preserve">majority of </w:t>
      </w:r>
      <w:r w:rsidR="00021262">
        <w:t>inter</w:t>
      </w:r>
      <w:r w:rsidR="00700071">
        <w:t>view</w:t>
      </w:r>
      <w:r w:rsidR="00021262">
        <w:t>ee</w:t>
      </w:r>
      <w:r w:rsidR="00700071">
        <w:t xml:space="preserve">s were not supportive of inclusion, mainly due to </w:t>
      </w:r>
      <w:r w:rsidR="0097280E">
        <w:t xml:space="preserve">their perception of the suitability of an indicator that would only yield </w:t>
      </w:r>
      <w:r w:rsidR="00700071">
        <w:t xml:space="preserve">small </w:t>
      </w:r>
      <w:r w:rsidR="003F14B8">
        <w:t xml:space="preserve">patient </w:t>
      </w:r>
      <w:r w:rsidR="00700071">
        <w:t>numbers.</w:t>
      </w:r>
    </w:p>
    <w:p w14:paraId="4C8247B5" w14:textId="483B5F76" w:rsidR="00A519BA" w:rsidRPr="00BC5F87" w:rsidRDefault="0059573D" w:rsidP="00CD1325">
      <w:pPr>
        <w:pStyle w:val="Heading5"/>
        <w:rPr>
          <w:b w:val="0"/>
          <w:i/>
        </w:rPr>
      </w:pPr>
      <w:r w:rsidRPr="00B8476F">
        <w:tab/>
      </w:r>
      <w:r w:rsidR="00A519BA" w:rsidRPr="00BC5F87">
        <w:rPr>
          <w:b w:val="0"/>
          <w:i/>
          <w:sz w:val="24"/>
        </w:rPr>
        <w:t xml:space="preserve">Implementation </w:t>
      </w:r>
      <w:r w:rsidR="00BC5F87" w:rsidRPr="00BC5F87">
        <w:rPr>
          <w:b w:val="0"/>
          <w:i/>
          <w:sz w:val="24"/>
        </w:rPr>
        <w:t>assessment</w:t>
      </w:r>
    </w:p>
    <w:p w14:paraId="6D27FB7F" w14:textId="77777777" w:rsidR="002E2134" w:rsidRDefault="00700071" w:rsidP="002E2134">
      <w:r>
        <w:tab/>
        <w:t>Minor problems with implementation</w:t>
      </w:r>
      <w:r w:rsidR="00BC5F87">
        <w:t>.</w:t>
      </w:r>
    </w:p>
    <w:p w14:paraId="71E44B70" w14:textId="31E826DB" w:rsidR="00A519BA" w:rsidRPr="002E2134" w:rsidRDefault="00A519BA" w:rsidP="002E2134">
      <w:pPr>
        <w:rPr>
          <w:u w:val="single"/>
        </w:rPr>
      </w:pPr>
      <w:r w:rsidRPr="002E2134">
        <w:rPr>
          <w:u w:val="single"/>
        </w:rPr>
        <w:t xml:space="preserve">Issues to </w:t>
      </w:r>
      <w:r w:rsidR="009063A1" w:rsidRPr="002E2134">
        <w:rPr>
          <w:u w:val="single"/>
        </w:rPr>
        <w:t>be resolved prior to implementation</w:t>
      </w:r>
    </w:p>
    <w:tbl>
      <w:tblPr>
        <w:tblStyle w:val="TableGrid"/>
        <w:tblW w:w="0" w:type="auto"/>
        <w:tblLook w:val="04A0" w:firstRow="1" w:lastRow="0" w:firstColumn="1" w:lastColumn="0" w:noHBand="0" w:noVBand="1"/>
      </w:tblPr>
      <w:tblGrid>
        <w:gridCol w:w="2405"/>
        <w:gridCol w:w="3544"/>
        <w:gridCol w:w="3067"/>
      </w:tblGrid>
      <w:tr w:rsidR="009063A1" w:rsidRPr="00B8476F" w14:paraId="3098667E" w14:textId="77777777" w:rsidTr="00282064">
        <w:tc>
          <w:tcPr>
            <w:tcW w:w="2405" w:type="dxa"/>
          </w:tcPr>
          <w:p w14:paraId="5E3ABB3D" w14:textId="7F89C2E7" w:rsidR="009063A1" w:rsidRPr="00B8476F" w:rsidRDefault="009063A1" w:rsidP="009063A1">
            <w:pPr>
              <w:spacing w:line="240" w:lineRule="auto"/>
              <w:rPr>
                <w:b/>
              </w:rPr>
            </w:pPr>
            <w:r w:rsidRPr="00B8476F">
              <w:rPr>
                <w:b/>
              </w:rPr>
              <w:t>Issue</w:t>
            </w:r>
          </w:p>
        </w:tc>
        <w:tc>
          <w:tcPr>
            <w:tcW w:w="3544" w:type="dxa"/>
          </w:tcPr>
          <w:p w14:paraId="0E2DF8EB" w14:textId="63071280" w:rsidR="009063A1" w:rsidRPr="00B8476F" w:rsidRDefault="009063A1" w:rsidP="009063A1">
            <w:pPr>
              <w:spacing w:line="240" w:lineRule="auto"/>
              <w:rPr>
                <w:b/>
              </w:rPr>
            </w:pPr>
            <w:r w:rsidRPr="00B8476F">
              <w:rPr>
                <w:b/>
              </w:rPr>
              <w:t>Detail</w:t>
            </w:r>
          </w:p>
        </w:tc>
        <w:tc>
          <w:tcPr>
            <w:tcW w:w="3067" w:type="dxa"/>
          </w:tcPr>
          <w:p w14:paraId="14B2F61D" w14:textId="215D98A3" w:rsidR="009063A1" w:rsidRPr="00B8476F" w:rsidRDefault="009063A1" w:rsidP="009063A1">
            <w:pPr>
              <w:spacing w:line="240" w:lineRule="auto"/>
              <w:rPr>
                <w:b/>
              </w:rPr>
            </w:pPr>
            <w:r w:rsidRPr="00B8476F">
              <w:rPr>
                <w:b/>
              </w:rPr>
              <w:t>Mitigating activity</w:t>
            </w:r>
          </w:p>
        </w:tc>
      </w:tr>
      <w:tr w:rsidR="0042224C" w:rsidRPr="00B8476F" w14:paraId="7E625510" w14:textId="77777777" w:rsidTr="00282064">
        <w:tc>
          <w:tcPr>
            <w:tcW w:w="2405" w:type="dxa"/>
          </w:tcPr>
          <w:p w14:paraId="7ED0D338" w14:textId="6EB1B965" w:rsidR="0042224C" w:rsidRPr="001A5443" w:rsidRDefault="00EC5731" w:rsidP="00586CB5">
            <w:pPr>
              <w:spacing w:line="240" w:lineRule="auto"/>
              <w:jc w:val="left"/>
              <w:rPr>
                <w:color w:val="7030A0"/>
              </w:rPr>
            </w:pPr>
            <w:r w:rsidRPr="00CD1325">
              <w:t xml:space="preserve">Workload </w:t>
            </w:r>
            <w:r w:rsidR="008D425B">
              <w:t xml:space="preserve">in identifying people with raised cholesterol </w:t>
            </w:r>
            <w:r w:rsidRPr="00CD1325">
              <w:t>was heavy (small n</w:t>
            </w:r>
            <w:r w:rsidR="00586CB5">
              <w:t>umber of</w:t>
            </w:r>
            <w:r w:rsidRPr="00CD1325">
              <w:t xml:space="preserve"> practices)</w:t>
            </w:r>
          </w:p>
        </w:tc>
        <w:tc>
          <w:tcPr>
            <w:tcW w:w="3544" w:type="dxa"/>
          </w:tcPr>
          <w:p w14:paraId="2C43FB83" w14:textId="3322471C" w:rsidR="0042224C" w:rsidRPr="00B8476F" w:rsidRDefault="00EC5731" w:rsidP="00771C26">
            <w:pPr>
              <w:spacing w:line="240" w:lineRule="auto"/>
              <w:jc w:val="left"/>
            </w:pPr>
            <w:r>
              <w:t xml:space="preserve">Reviewing searches </w:t>
            </w:r>
            <w:r w:rsidR="008D425B">
              <w:t xml:space="preserve">of cholesterol levels </w:t>
            </w:r>
            <w:r>
              <w:t>to find patients</w:t>
            </w:r>
          </w:p>
        </w:tc>
        <w:tc>
          <w:tcPr>
            <w:tcW w:w="3067" w:type="dxa"/>
          </w:tcPr>
          <w:p w14:paraId="4714A748" w14:textId="462BAB66" w:rsidR="0042224C" w:rsidRPr="00B8476F" w:rsidRDefault="00EC5731" w:rsidP="00771C26">
            <w:pPr>
              <w:spacing w:line="240" w:lineRule="auto"/>
              <w:jc w:val="left"/>
            </w:pPr>
            <w:r>
              <w:t xml:space="preserve">Automatic searches </w:t>
            </w:r>
            <w:r w:rsidR="00916AE0">
              <w:t xml:space="preserve">/ protocols / flags </w:t>
            </w:r>
            <w:r w:rsidR="00C42CBD">
              <w:t>could be set up in the systems</w:t>
            </w:r>
          </w:p>
        </w:tc>
      </w:tr>
      <w:tr w:rsidR="0042224C" w:rsidRPr="00B8476F" w14:paraId="6549DF68" w14:textId="77777777" w:rsidTr="00282064">
        <w:tc>
          <w:tcPr>
            <w:tcW w:w="2405" w:type="dxa"/>
          </w:tcPr>
          <w:p w14:paraId="005C07F7" w14:textId="45B64448" w:rsidR="0042224C" w:rsidRPr="00A05E49" w:rsidRDefault="00C42CBD" w:rsidP="00282064">
            <w:pPr>
              <w:spacing w:line="240" w:lineRule="auto"/>
              <w:jc w:val="left"/>
            </w:pPr>
            <w:r>
              <w:t>Data quality issues relating to existing clinical system coding</w:t>
            </w:r>
          </w:p>
        </w:tc>
        <w:tc>
          <w:tcPr>
            <w:tcW w:w="3544" w:type="dxa"/>
          </w:tcPr>
          <w:p w14:paraId="09D5834D" w14:textId="0D940C5A" w:rsidR="0042224C" w:rsidRDefault="00C42CBD" w:rsidP="00932E9E">
            <w:pPr>
              <w:spacing w:line="240" w:lineRule="auto"/>
              <w:jc w:val="left"/>
            </w:pPr>
            <w:r>
              <w:t>Patient identification is reliant</w:t>
            </w:r>
            <w:r w:rsidRPr="00A05E49">
              <w:t xml:space="preserve"> on correct coding by practices of existing cholesterol levels (and pre-diagnosed familial hypercholesterolaemia)</w:t>
            </w:r>
          </w:p>
          <w:p w14:paraId="65AA4ABF" w14:textId="741740D1" w:rsidR="00932E9E" w:rsidRPr="00A05E49" w:rsidRDefault="00932E9E" w:rsidP="00932E9E">
            <w:pPr>
              <w:spacing w:line="240" w:lineRule="auto"/>
              <w:jc w:val="left"/>
            </w:pPr>
            <w:r>
              <w:t xml:space="preserve">Recording of </w:t>
            </w:r>
            <w:r w:rsidRPr="00A05E49">
              <w:t xml:space="preserve">family history </w:t>
            </w:r>
            <w:r>
              <w:t>is also a useful prompt for cholesterol measurement but may be poorly coded</w:t>
            </w:r>
          </w:p>
        </w:tc>
        <w:tc>
          <w:tcPr>
            <w:tcW w:w="3067" w:type="dxa"/>
          </w:tcPr>
          <w:p w14:paraId="51026E2F" w14:textId="42F7ACE5" w:rsidR="0042224C" w:rsidRPr="00A05E49" w:rsidRDefault="00F60EA6" w:rsidP="00771C26">
            <w:pPr>
              <w:spacing w:line="240" w:lineRule="auto"/>
              <w:jc w:val="left"/>
            </w:pPr>
            <w:r w:rsidRPr="00A05E49">
              <w:t>Prompts to ask about family history at registration of new patients and other opportunities</w:t>
            </w:r>
          </w:p>
        </w:tc>
      </w:tr>
      <w:tr w:rsidR="0042224C" w:rsidRPr="00B8476F" w14:paraId="64A5AFCB" w14:textId="77777777" w:rsidTr="00282064">
        <w:tc>
          <w:tcPr>
            <w:tcW w:w="2405" w:type="dxa"/>
          </w:tcPr>
          <w:p w14:paraId="08BA408D" w14:textId="6FB73D8F" w:rsidR="0042224C" w:rsidRPr="00B8476F" w:rsidRDefault="00282064" w:rsidP="00282064">
            <w:pPr>
              <w:spacing w:line="240" w:lineRule="auto"/>
              <w:jc w:val="left"/>
            </w:pPr>
            <w:r>
              <w:t>Completion of diagnostic tools</w:t>
            </w:r>
          </w:p>
        </w:tc>
        <w:tc>
          <w:tcPr>
            <w:tcW w:w="3544" w:type="dxa"/>
          </w:tcPr>
          <w:p w14:paraId="6C4B2182" w14:textId="1412D11B" w:rsidR="0042224C" w:rsidRPr="00B8476F" w:rsidRDefault="00282064" w:rsidP="00771C26">
            <w:pPr>
              <w:spacing w:line="240" w:lineRule="auto"/>
              <w:jc w:val="left"/>
            </w:pPr>
            <w:r>
              <w:t xml:space="preserve">Two practices reported that they were unable to fully complete the tools due to a lack of </w:t>
            </w:r>
            <w:r w:rsidR="00E77AAC">
              <w:t>knowledge from the patient</w:t>
            </w:r>
          </w:p>
        </w:tc>
        <w:tc>
          <w:tcPr>
            <w:tcW w:w="3067" w:type="dxa"/>
          </w:tcPr>
          <w:p w14:paraId="19517296" w14:textId="70F35573" w:rsidR="0042224C" w:rsidRPr="00B8476F" w:rsidRDefault="00E77AAC" w:rsidP="00372B76">
            <w:pPr>
              <w:spacing w:line="240" w:lineRule="auto"/>
              <w:jc w:val="left"/>
            </w:pPr>
            <w:r>
              <w:t>A</w:t>
            </w:r>
            <w:r w:rsidR="00372B76">
              <w:t>dvance information for</w:t>
            </w:r>
            <w:r>
              <w:t xml:space="preserve"> patient</w:t>
            </w:r>
            <w:r w:rsidR="00372B76">
              <w:t>s</w:t>
            </w:r>
            <w:r w:rsidR="004F6CA9">
              <w:t xml:space="preserve"> prior to a consultation to discuss a high cholesterol level</w:t>
            </w:r>
          </w:p>
        </w:tc>
      </w:tr>
      <w:tr w:rsidR="002E2134" w:rsidRPr="00B8476F" w14:paraId="2F2CB59E" w14:textId="77777777" w:rsidTr="00282064">
        <w:tc>
          <w:tcPr>
            <w:tcW w:w="2405" w:type="dxa"/>
          </w:tcPr>
          <w:p w14:paraId="5CA0B8BF" w14:textId="11BB2EC4" w:rsidR="002E2134" w:rsidRDefault="002E2134" w:rsidP="002E2134">
            <w:pPr>
              <w:spacing w:line="240" w:lineRule="auto"/>
              <w:jc w:val="left"/>
            </w:pPr>
            <w:r w:rsidRPr="00B8476F">
              <w:rPr>
                <w:b/>
              </w:rPr>
              <w:lastRenderedPageBreak/>
              <w:t>Issue</w:t>
            </w:r>
          </w:p>
        </w:tc>
        <w:tc>
          <w:tcPr>
            <w:tcW w:w="3544" w:type="dxa"/>
          </w:tcPr>
          <w:p w14:paraId="1CDC6C81" w14:textId="54FDBE0A" w:rsidR="002E2134" w:rsidRDefault="002E2134" w:rsidP="002E2134">
            <w:pPr>
              <w:spacing w:line="240" w:lineRule="auto"/>
              <w:jc w:val="left"/>
            </w:pPr>
            <w:r w:rsidRPr="00B8476F">
              <w:rPr>
                <w:b/>
              </w:rPr>
              <w:t>Detail</w:t>
            </w:r>
          </w:p>
        </w:tc>
        <w:tc>
          <w:tcPr>
            <w:tcW w:w="3067" w:type="dxa"/>
          </w:tcPr>
          <w:p w14:paraId="4F3B40AB" w14:textId="25705F40" w:rsidR="002E2134" w:rsidRDefault="002E2134" w:rsidP="002E2134">
            <w:pPr>
              <w:spacing w:line="240" w:lineRule="auto"/>
              <w:jc w:val="left"/>
            </w:pPr>
            <w:r w:rsidRPr="00B8476F">
              <w:rPr>
                <w:b/>
              </w:rPr>
              <w:t>Mitigating activity</w:t>
            </w:r>
          </w:p>
        </w:tc>
      </w:tr>
      <w:tr w:rsidR="00282064" w:rsidRPr="00B8476F" w14:paraId="0243DC50" w14:textId="77777777" w:rsidTr="00282064">
        <w:tc>
          <w:tcPr>
            <w:tcW w:w="2405" w:type="dxa"/>
          </w:tcPr>
          <w:p w14:paraId="6F2BD234" w14:textId="6C042EEE" w:rsidR="00282064" w:rsidRPr="00916AE0" w:rsidRDefault="00282064" w:rsidP="00282064">
            <w:pPr>
              <w:spacing w:line="240" w:lineRule="auto"/>
              <w:jc w:val="left"/>
              <w:rPr>
                <w:color w:val="7030A0"/>
              </w:rPr>
            </w:pPr>
            <w:r>
              <w:t>The two</w:t>
            </w:r>
            <w:r w:rsidRPr="00A05E49">
              <w:t xml:space="preserve"> tools produced different results</w:t>
            </w:r>
          </w:p>
        </w:tc>
        <w:tc>
          <w:tcPr>
            <w:tcW w:w="3544" w:type="dxa"/>
          </w:tcPr>
          <w:p w14:paraId="7F2BFCAA" w14:textId="77894F34" w:rsidR="00282064" w:rsidRPr="00B8476F" w:rsidRDefault="00282064" w:rsidP="00282064">
            <w:pPr>
              <w:spacing w:line="240" w:lineRule="auto"/>
              <w:jc w:val="left"/>
            </w:pPr>
            <w:r>
              <w:t>One practice reported different results from the two tools for the same patient</w:t>
            </w:r>
          </w:p>
        </w:tc>
        <w:tc>
          <w:tcPr>
            <w:tcW w:w="3067" w:type="dxa"/>
          </w:tcPr>
          <w:p w14:paraId="487932D6" w14:textId="03AA838F" w:rsidR="00282064" w:rsidRDefault="00866102" w:rsidP="00282064">
            <w:pPr>
              <w:spacing w:line="240" w:lineRule="auto"/>
              <w:jc w:val="left"/>
            </w:pPr>
            <w:r>
              <w:t xml:space="preserve"> </w:t>
            </w:r>
            <w:r w:rsidR="004F6CA9">
              <w:t>As the Dutch Lipid Clinic Network criteria are harder to apply in practice, to consider promoting the Simon Broome criteria</w:t>
            </w:r>
            <w:r>
              <w:t>?</w:t>
            </w:r>
          </w:p>
          <w:p w14:paraId="5588F5A0" w14:textId="43005124" w:rsidR="00CD2334" w:rsidRDefault="00CD2334" w:rsidP="00282064">
            <w:pPr>
              <w:spacing w:line="240" w:lineRule="auto"/>
              <w:jc w:val="left"/>
            </w:pPr>
            <w:r>
              <w:t>Practice training for the chosen tool(s)</w:t>
            </w:r>
            <w:r w:rsidR="002E2134">
              <w:t>.</w:t>
            </w:r>
          </w:p>
        </w:tc>
      </w:tr>
      <w:tr w:rsidR="00282064" w:rsidRPr="00B8476F" w14:paraId="3BCE0158" w14:textId="77777777" w:rsidTr="00282064">
        <w:tc>
          <w:tcPr>
            <w:tcW w:w="2405" w:type="dxa"/>
          </w:tcPr>
          <w:p w14:paraId="172BB9D5" w14:textId="6EA19B2C" w:rsidR="00282064" w:rsidRPr="00A05E49" w:rsidRDefault="00282064" w:rsidP="00282064">
            <w:pPr>
              <w:spacing w:line="240" w:lineRule="auto"/>
              <w:jc w:val="left"/>
            </w:pPr>
            <w:r w:rsidRPr="00A05E49">
              <w:t>Awareness of reasons for early diagnosis of FH</w:t>
            </w:r>
          </w:p>
        </w:tc>
        <w:tc>
          <w:tcPr>
            <w:tcW w:w="3544" w:type="dxa"/>
          </w:tcPr>
          <w:p w14:paraId="0384DBBA" w14:textId="01DEC6E2" w:rsidR="00282064" w:rsidRDefault="00282064" w:rsidP="00282064">
            <w:pPr>
              <w:spacing w:line="240" w:lineRule="auto"/>
              <w:jc w:val="left"/>
            </w:pPr>
            <w:r>
              <w:t>Some views suggested a lower awareness of importance of high cholesterol in younger people</w:t>
            </w:r>
            <w:r w:rsidR="007A0A5A">
              <w:t>, and the potential impact on years of life saved for individuals</w:t>
            </w:r>
            <w:r w:rsidR="00CB4523">
              <w:t xml:space="preserve"> if FH detected and treated</w:t>
            </w:r>
          </w:p>
        </w:tc>
        <w:tc>
          <w:tcPr>
            <w:tcW w:w="3067" w:type="dxa"/>
          </w:tcPr>
          <w:p w14:paraId="1AEE1CA7" w14:textId="2687C2A3" w:rsidR="00282064" w:rsidRDefault="00282064" w:rsidP="00282064">
            <w:pPr>
              <w:spacing w:line="240" w:lineRule="auto"/>
              <w:jc w:val="left"/>
            </w:pPr>
            <w:r>
              <w:t>Awareness raising</w:t>
            </w:r>
          </w:p>
        </w:tc>
      </w:tr>
    </w:tbl>
    <w:p w14:paraId="6302D704" w14:textId="77777777" w:rsidR="002E2134" w:rsidRDefault="002E2134" w:rsidP="00A43322">
      <w:pPr>
        <w:pStyle w:val="Heading4"/>
      </w:pPr>
    </w:p>
    <w:p w14:paraId="7EFF9A34" w14:textId="77777777" w:rsidR="002E2134" w:rsidRDefault="002E2134" w:rsidP="00A43322">
      <w:pPr>
        <w:pStyle w:val="Heading4"/>
      </w:pPr>
    </w:p>
    <w:p w14:paraId="047C64D0" w14:textId="59B8DF10" w:rsidR="00A43322" w:rsidRPr="00CB4152" w:rsidRDefault="00A43322" w:rsidP="00A43322">
      <w:pPr>
        <w:pStyle w:val="Heading4"/>
      </w:pPr>
      <w:r w:rsidRPr="00CB4152">
        <w:t xml:space="preserve">Indicator 2: </w:t>
      </w:r>
      <w:r w:rsidR="001D16EA">
        <w:t>Assessment of patients aged 30 years and older with a high total cholesterol</w:t>
      </w:r>
    </w:p>
    <w:p w14:paraId="33342E05" w14:textId="0204DBA8" w:rsidR="00A43322" w:rsidRDefault="00A43322" w:rsidP="00A43322">
      <w:r w:rsidRPr="00CB4152">
        <w:t xml:space="preserve">The percentage of </w:t>
      </w:r>
      <w:r w:rsidR="001D16EA">
        <w:t>people aged 30 years and older with a total cholesterol concentration greater than 9.0 mmol/l that are assessed against the Simon Broome or Dutch Lipid Clinic Network (DLCN) criteria.</w:t>
      </w:r>
    </w:p>
    <w:p w14:paraId="7AC67F96" w14:textId="77777777" w:rsidR="00BC5F87" w:rsidRPr="00BC5F87" w:rsidRDefault="00BC5F87" w:rsidP="00BC5F87">
      <w:pPr>
        <w:pStyle w:val="Heading5"/>
        <w:ind w:firstLine="720"/>
        <w:rPr>
          <w:b w:val="0"/>
          <w:i/>
          <w:sz w:val="24"/>
        </w:rPr>
      </w:pPr>
      <w:r w:rsidRPr="00BC5F87">
        <w:rPr>
          <w:b w:val="0"/>
          <w:i/>
          <w:sz w:val="24"/>
        </w:rPr>
        <w:t>Acceptability assessment</w:t>
      </w:r>
    </w:p>
    <w:p w14:paraId="0ADBD12F" w14:textId="2B32BA4B" w:rsidR="00021262" w:rsidRPr="00B8476F" w:rsidRDefault="00021262" w:rsidP="00A05E49">
      <w:pPr>
        <w:ind w:left="720"/>
      </w:pPr>
      <w:r>
        <w:t>84</w:t>
      </w:r>
      <w:r w:rsidRPr="00700071">
        <w:t>%</w:t>
      </w:r>
      <w:r>
        <w:t xml:space="preserve"> of survey respondents</w:t>
      </w:r>
      <w:r w:rsidRPr="00700071">
        <w:t xml:space="preserve"> agreed that </w:t>
      </w:r>
      <w:r>
        <w:t>this indicator</w:t>
      </w:r>
      <w:r w:rsidRPr="00700071">
        <w:t xml:space="preserve"> would </w:t>
      </w:r>
      <w:r>
        <w:t>improve</w:t>
      </w:r>
      <w:r w:rsidRPr="00700071">
        <w:t xml:space="preserve"> the quality of care</w:t>
      </w:r>
      <w:r>
        <w:t>. The views from the majority of interviewees were supportive of inclusion.</w:t>
      </w:r>
    </w:p>
    <w:p w14:paraId="3899CAC1" w14:textId="1376D3B3" w:rsidR="00A519BA" w:rsidRPr="00BC5F87" w:rsidRDefault="0059573D" w:rsidP="00A05E49">
      <w:pPr>
        <w:pStyle w:val="Heading5"/>
        <w:rPr>
          <w:b w:val="0"/>
          <w:i/>
        </w:rPr>
      </w:pPr>
      <w:r w:rsidRPr="00B8476F">
        <w:tab/>
      </w:r>
      <w:r w:rsidR="00A519BA" w:rsidRPr="00BC5F87">
        <w:rPr>
          <w:b w:val="0"/>
          <w:i/>
          <w:sz w:val="24"/>
        </w:rPr>
        <w:t xml:space="preserve">Implementation </w:t>
      </w:r>
      <w:r w:rsidR="00BC5F87">
        <w:rPr>
          <w:b w:val="0"/>
          <w:i/>
          <w:sz w:val="24"/>
        </w:rPr>
        <w:t>assessment</w:t>
      </w:r>
    </w:p>
    <w:p w14:paraId="5421A257" w14:textId="440B7C73" w:rsidR="00021262" w:rsidRDefault="00021262" w:rsidP="00A05E49">
      <w:pPr>
        <w:ind w:firstLine="720"/>
      </w:pPr>
      <w:r>
        <w:t>Minor problems with implementation.</w:t>
      </w:r>
    </w:p>
    <w:p w14:paraId="6A516855" w14:textId="77777777" w:rsidR="00A05E49" w:rsidRDefault="00A05E49" w:rsidP="00A05E49">
      <w:pPr>
        <w:ind w:firstLine="720"/>
      </w:pPr>
    </w:p>
    <w:p w14:paraId="116F1C2F" w14:textId="77777777" w:rsidR="00866102" w:rsidRDefault="00866102" w:rsidP="00A05E49">
      <w:pPr>
        <w:ind w:firstLine="720"/>
      </w:pPr>
    </w:p>
    <w:p w14:paraId="6E98ED18" w14:textId="77777777" w:rsidR="00866102" w:rsidRDefault="00866102" w:rsidP="00A05E49">
      <w:pPr>
        <w:ind w:firstLine="720"/>
      </w:pPr>
    </w:p>
    <w:p w14:paraId="7BCCB07E" w14:textId="77777777" w:rsidR="00866102" w:rsidRDefault="00866102" w:rsidP="00A05E49">
      <w:pPr>
        <w:ind w:firstLine="720"/>
      </w:pPr>
    </w:p>
    <w:p w14:paraId="769BDEDC" w14:textId="77777777" w:rsidR="00866102" w:rsidRDefault="00866102" w:rsidP="00A05E49">
      <w:pPr>
        <w:ind w:firstLine="720"/>
      </w:pPr>
    </w:p>
    <w:p w14:paraId="7F041B10" w14:textId="0295F211" w:rsidR="00A519BA" w:rsidRPr="00B8476F" w:rsidRDefault="009063A1" w:rsidP="004E0E76">
      <w:pPr>
        <w:pStyle w:val="Heading4"/>
      </w:pPr>
      <w:r w:rsidRPr="00B8476F">
        <w:lastRenderedPageBreak/>
        <w:t>Issues to be resolved prior to implementation</w:t>
      </w:r>
    </w:p>
    <w:tbl>
      <w:tblPr>
        <w:tblStyle w:val="TableGrid"/>
        <w:tblW w:w="0" w:type="auto"/>
        <w:tblLook w:val="04A0" w:firstRow="1" w:lastRow="0" w:firstColumn="1" w:lastColumn="0" w:noHBand="0" w:noVBand="1"/>
      </w:tblPr>
      <w:tblGrid>
        <w:gridCol w:w="3005"/>
        <w:gridCol w:w="3005"/>
        <w:gridCol w:w="3006"/>
      </w:tblGrid>
      <w:tr w:rsidR="009063A1" w:rsidRPr="00B8476F" w14:paraId="18B4C63C" w14:textId="77777777" w:rsidTr="007102A6">
        <w:tc>
          <w:tcPr>
            <w:tcW w:w="3005" w:type="dxa"/>
          </w:tcPr>
          <w:p w14:paraId="35CE8917" w14:textId="77777777" w:rsidR="009063A1" w:rsidRPr="00B8476F" w:rsidRDefault="009063A1" w:rsidP="007102A6">
            <w:pPr>
              <w:spacing w:line="240" w:lineRule="auto"/>
              <w:rPr>
                <w:b/>
              </w:rPr>
            </w:pPr>
            <w:r w:rsidRPr="00B8476F">
              <w:rPr>
                <w:b/>
              </w:rPr>
              <w:t>Issue</w:t>
            </w:r>
          </w:p>
        </w:tc>
        <w:tc>
          <w:tcPr>
            <w:tcW w:w="3005" w:type="dxa"/>
          </w:tcPr>
          <w:p w14:paraId="4F6E1A09" w14:textId="77777777" w:rsidR="009063A1" w:rsidRPr="00B8476F" w:rsidRDefault="009063A1" w:rsidP="007102A6">
            <w:pPr>
              <w:spacing w:line="240" w:lineRule="auto"/>
              <w:rPr>
                <w:b/>
              </w:rPr>
            </w:pPr>
            <w:r w:rsidRPr="00B8476F">
              <w:rPr>
                <w:b/>
              </w:rPr>
              <w:t>Detail</w:t>
            </w:r>
          </w:p>
        </w:tc>
        <w:tc>
          <w:tcPr>
            <w:tcW w:w="3006" w:type="dxa"/>
          </w:tcPr>
          <w:p w14:paraId="4DE9AD93" w14:textId="77777777" w:rsidR="009063A1" w:rsidRPr="00B8476F" w:rsidRDefault="009063A1" w:rsidP="007102A6">
            <w:pPr>
              <w:spacing w:line="240" w:lineRule="auto"/>
              <w:rPr>
                <w:b/>
              </w:rPr>
            </w:pPr>
            <w:r w:rsidRPr="00B8476F">
              <w:rPr>
                <w:b/>
              </w:rPr>
              <w:t>Mitigating activity</w:t>
            </w:r>
          </w:p>
        </w:tc>
      </w:tr>
      <w:tr w:rsidR="00916AE0" w:rsidRPr="00B8476F" w14:paraId="5E15E85A" w14:textId="77777777" w:rsidTr="007102A6">
        <w:tc>
          <w:tcPr>
            <w:tcW w:w="3005" w:type="dxa"/>
          </w:tcPr>
          <w:p w14:paraId="6A259980" w14:textId="4D4CFD3A" w:rsidR="00916AE0" w:rsidRPr="00A05E49" w:rsidRDefault="0006201D" w:rsidP="00916AE0">
            <w:pPr>
              <w:spacing w:line="240" w:lineRule="auto"/>
              <w:jc w:val="left"/>
            </w:pPr>
            <w:r>
              <w:t xml:space="preserve">Workload </w:t>
            </w:r>
            <w:r w:rsidR="00866102">
              <w:t xml:space="preserve">in identifying people with raised cholesterol </w:t>
            </w:r>
            <w:r>
              <w:t>was heavy (small number of</w:t>
            </w:r>
            <w:r w:rsidR="00916AE0" w:rsidRPr="00A05E49">
              <w:t xml:space="preserve"> practices)</w:t>
            </w:r>
          </w:p>
        </w:tc>
        <w:tc>
          <w:tcPr>
            <w:tcW w:w="3005" w:type="dxa"/>
          </w:tcPr>
          <w:p w14:paraId="3F7EBC0F" w14:textId="46A4D207" w:rsidR="00916AE0" w:rsidRPr="00655F77" w:rsidRDefault="00916AE0" w:rsidP="00916AE0">
            <w:pPr>
              <w:spacing w:line="240" w:lineRule="auto"/>
              <w:jc w:val="left"/>
              <w:rPr>
                <w:color w:val="7030A0"/>
              </w:rPr>
            </w:pPr>
            <w:r>
              <w:t xml:space="preserve">Reviewing searches </w:t>
            </w:r>
            <w:r w:rsidR="00866102" w:rsidRPr="00866102">
              <w:t xml:space="preserve">of cholesterol levels </w:t>
            </w:r>
            <w:r>
              <w:t>to find patients</w:t>
            </w:r>
          </w:p>
        </w:tc>
        <w:tc>
          <w:tcPr>
            <w:tcW w:w="3006" w:type="dxa"/>
          </w:tcPr>
          <w:p w14:paraId="7C016F40" w14:textId="60670000" w:rsidR="00916AE0" w:rsidRPr="00655F77" w:rsidRDefault="00916AE0" w:rsidP="00916AE0">
            <w:pPr>
              <w:spacing w:line="240" w:lineRule="auto"/>
              <w:jc w:val="left"/>
              <w:rPr>
                <w:color w:val="7030A0"/>
              </w:rPr>
            </w:pPr>
            <w:r>
              <w:t>Automatic searches / protocols / flags</w:t>
            </w:r>
            <w:r w:rsidR="00BC5F87">
              <w:t xml:space="preserve"> could be set up in the systems</w:t>
            </w:r>
          </w:p>
        </w:tc>
      </w:tr>
      <w:tr w:rsidR="00BC5F87" w:rsidRPr="00B8476F" w14:paraId="39404EC5" w14:textId="77777777" w:rsidTr="007102A6">
        <w:tc>
          <w:tcPr>
            <w:tcW w:w="3005" w:type="dxa"/>
          </w:tcPr>
          <w:p w14:paraId="2F955B0E" w14:textId="1825DD48" w:rsidR="00BC5F87" w:rsidRPr="00A05E49" w:rsidRDefault="00BC5F87" w:rsidP="00BC5F87">
            <w:pPr>
              <w:spacing w:line="240" w:lineRule="auto"/>
              <w:jc w:val="left"/>
            </w:pPr>
            <w:r>
              <w:t>Data quality issues relating to existing clinical system coding</w:t>
            </w:r>
          </w:p>
        </w:tc>
        <w:tc>
          <w:tcPr>
            <w:tcW w:w="3005" w:type="dxa"/>
          </w:tcPr>
          <w:p w14:paraId="4BE92BEE" w14:textId="2ECBB05B" w:rsidR="00BC5F87" w:rsidRDefault="00BC5F87" w:rsidP="00866102">
            <w:pPr>
              <w:spacing w:line="240" w:lineRule="auto"/>
              <w:jc w:val="left"/>
            </w:pPr>
            <w:r>
              <w:t>Patient identification is reliant</w:t>
            </w:r>
            <w:r w:rsidRPr="00A05E49">
              <w:t xml:space="preserve"> on correct coding by practices of existing cholesterol levels (and pre-diagnosed familial hypercholesterolaemia)</w:t>
            </w:r>
          </w:p>
          <w:p w14:paraId="0FD3036D" w14:textId="78BD4E3B" w:rsidR="00866102" w:rsidRPr="00655F77" w:rsidRDefault="00866102" w:rsidP="00866102">
            <w:pPr>
              <w:spacing w:line="240" w:lineRule="auto"/>
              <w:jc w:val="left"/>
              <w:rPr>
                <w:color w:val="7030A0"/>
              </w:rPr>
            </w:pPr>
            <w:r>
              <w:t xml:space="preserve">Recording of </w:t>
            </w:r>
            <w:r w:rsidRPr="00A05E49">
              <w:t xml:space="preserve">family history </w:t>
            </w:r>
            <w:r>
              <w:t>is also a useful prompt for cholesterol measurement but may be poorly coded</w:t>
            </w:r>
          </w:p>
        </w:tc>
        <w:tc>
          <w:tcPr>
            <w:tcW w:w="3006" w:type="dxa"/>
          </w:tcPr>
          <w:p w14:paraId="2D37302F" w14:textId="6773975B" w:rsidR="00BC5F87" w:rsidRPr="00655F77" w:rsidRDefault="00BC5F87" w:rsidP="00BC5F87">
            <w:pPr>
              <w:spacing w:line="240" w:lineRule="auto"/>
              <w:jc w:val="left"/>
              <w:rPr>
                <w:color w:val="7030A0"/>
              </w:rPr>
            </w:pPr>
            <w:r w:rsidRPr="00A05E49">
              <w:t>Prompts to ask about family history at registration of new patients and other opportunities</w:t>
            </w:r>
          </w:p>
        </w:tc>
      </w:tr>
      <w:tr w:rsidR="00E77AAC" w:rsidRPr="00B8476F" w14:paraId="4A8BD61B" w14:textId="77777777" w:rsidTr="007102A6">
        <w:tc>
          <w:tcPr>
            <w:tcW w:w="3005" w:type="dxa"/>
          </w:tcPr>
          <w:p w14:paraId="088C0738" w14:textId="17C9EA66" w:rsidR="00E77AAC" w:rsidRDefault="00E77AAC" w:rsidP="00E77AAC">
            <w:pPr>
              <w:spacing w:line="240" w:lineRule="auto"/>
              <w:jc w:val="left"/>
            </w:pPr>
            <w:r>
              <w:t>Completion of diagnostic tools</w:t>
            </w:r>
          </w:p>
        </w:tc>
        <w:tc>
          <w:tcPr>
            <w:tcW w:w="3005" w:type="dxa"/>
          </w:tcPr>
          <w:p w14:paraId="7EFDB327" w14:textId="75820516" w:rsidR="00E77AAC" w:rsidRDefault="00E77AAC" w:rsidP="00E77AAC">
            <w:pPr>
              <w:spacing w:line="240" w:lineRule="auto"/>
              <w:jc w:val="left"/>
            </w:pPr>
            <w:r>
              <w:t>Two practices reported that they were unable to fully complete the tools due to a lack of knowledge from the patient</w:t>
            </w:r>
          </w:p>
        </w:tc>
        <w:tc>
          <w:tcPr>
            <w:tcW w:w="3006" w:type="dxa"/>
          </w:tcPr>
          <w:p w14:paraId="65CED344" w14:textId="26D2FB76" w:rsidR="00E77AAC" w:rsidRPr="00A05E49" w:rsidRDefault="00E77AAC" w:rsidP="00372B76">
            <w:pPr>
              <w:spacing w:line="240" w:lineRule="auto"/>
              <w:jc w:val="left"/>
            </w:pPr>
            <w:r>
              <w:t>A</w:t>
            </w:r>
            <w:r w:rsidR="00372B76">
              <w:t>dvance information for</w:t>
            </w:r>
            <w:r>
              <w:t xml:space="preserve"> patient</w:t>
            </w:r>
            <w:r w:rsidR="00372B76">
              <w:t>s</w:t>
            </w:r>
            <w:r w:rsidR="00866102">
              <w:t xml:space="preserve"> </w:t>
            </w:r>
            <w:r w:rsidR="00866102" w:rsidRPr="00866102">
              <w:t>prior to a consultation to discuss a high cholesterol level</w:t>
            </w:r>
          </w:p>
        </w:tc>
      </w:tr>
      <w:tr w:rsidR="00E77AAC" w:rsidRPr="00B8476F" w14:paraId="5106CE46" w14:textId="77777777" w:rsidTr="007102A6">
        <w:tc>
          <w:tcPr>
            <w:tcW w:w="3005" w:type="dxa"/>
          </w:tcPr>
          <w:p w14:paraId="22C1AB5A" w14:textId="26B9EA06" w:rsidR="00E77AAC" w:rsidRPr="00A05E49" w:rsidRDefault="00E77AAC" w:rsidP="00E77AAC">
            <w:pPr>
              <w:spacing w:line="240" w:lineRule="auto"/>
              <w:jc w:val="left"/>
            </w:pPr>
            <w:r>
              <w:t>The two</w:t>
            </w:r>
            <w:r w:rsidRPr="00A05E49">
              <w:t xml:space="preserve"> tools produced different results</w:t>
            </w:r>
          </w:p>
        </w:tc>
        <w:tc>
          <w:tcPr>
            <w:tcW w:w="3005" w:type="dxa"/>
          </w:tcPr>
          <w:p w14:paraId="7AD76532" w14:textId="4553BF52" w:rsidR="00E77AAC" w:rsidRPr="00655F77" w:rsidRDefault="00E77AAC" w:rsidP="00E77AAC">
            <w:pPr>
              <w:spacing w:line="240" w:lineRule="auto"/>
              <w:jc w:val="left"/>
              <w:rPr>
                <w:color w:val="7030A0"/>
              </w:rPr>
            </w:pPr>
            <w:r>
              <w:t>One practice reported different results from the two tools for the same patient</w:t>
            </w:r>
          </w:p>
        </w:tc>
        <w:tc>
          <w:tcPr>
            <w:tcW w:w="3006" w:type="dxa"/>
          </w:tcPr>
          <w:p w14:paraId="0C167ED3" w14:textId="57396973" w:rsidR="00E77AAC" w:rsidRDefault="00866102" w:rsidP="00E77AAC">
            <w:pPr>
              <w:spacing w:line="240" w:lineRule="auto"/>
              <w:jc w:val="left"/>
            </w:pPr>
            <w:r>
              <w:t xml:space="preserve"> As the Dutch Lipid Clinic Network criteria are harder to apply in practice, to consider promoting the Simon Broome criteria?</w:t>
            </w:r>
          </w:p>
          <w:p w14:paraId="345236A3" w14:textId="508F4B2D" w:rsidR="00CD2334" w:rsidRPr="00655F77" w:rsidRDefault="00CD2334" w:rsidP="00E77AAC">
            <w:pPr>
              <w:spacing w:line="240" w:lineRule="auto"/>
              <w:jc w:val="left"/>
              <w:rPr>
                <w:color w:val="7030A0"/>
              </w:rPr>
            </w:pPr>
            <w:r>
              <w:t>Practice training for the chosen tool(s)</w:t>
            </w:r>
            <w:r w:rsidR="002E2134">
              <w:t>.</w:t>
            </w:r>
          </w:p>
        </w:tc>
      </w:tr>
    </w:tbl>
    <w:p w14:paraId="49F47CFA" w14:textId="77777777" w:rsidR="00866102" w:rsidRPr="00B8476F" w:rsidRDefault="00866102" w:rsidP="00A519BA"/>
    <w:p w14:paraId="593BA2C4" w14:textId="77777777" w:rsidR="002E2134" w:rsidRDefault="002E2134">
      <w:pPr>
        <w:spacing w:after="160" w:line="259" w:lineRule="auto"/>
        <w:jc w:val="left"/>
        <w:rPr>
          <w:rFonts w:ascii="Frutiger-BoldItalic" w:eastAsiaTheme="majorEastAsia" w:cs="Frutiger-BoldItalic"/>
          <w:bCs/>
          <w:iCs/>
          <w:color w:val="000000" w:themeColor="text1"/>
          <w:u w:val="single"/>
        </w:rPr>
      </w:pPr>
      <w:r>
        <w:rPr>
          <w:rFonts w:ascii="Frutiger-BoldItalic" w:cs="Frutiger-BoldItalic"/>
          <w:bCs/>
        </w:rPr>
        <w:br w:type="page"/>
      </w:r>
    </w:p>
    <w:p w14:paraId="120A6E9F" w14:textId="2443D47E" w:rsidR="00A43322" w:rsidRDefault="00A43322" w:rsidP="00E77AAC">
      <w:pPr>
        <w:pStyle w:val="Heading4"/>
      </w:pPr>
      <w:r w:rsidRPr="005228B2">
        <w:rPr>
          <w:rFonts w:ascii="Frutiger-BoldItalic" w:cs="Frutiger-BoldItalic"/>
          <w:bCs/>
        </w:rPr>
        <w:lastRenderedPageBreak/>
        <w:t xml:space="preserve">Indicator 3: </w:t>
      </w:r>
      <w:r w:rsidR="001D16EA">
        <w:t xml:space="preserve">Referral of patients with a </w:t>
      </w:r>
      <w:r w:rsidR="00CF5E4E">
        <w:t xml:space="preserve">clinical </w:t>
      </w:r>
      <w:r w:rsidR="001D16EA" w:rsidRPr="00CF5E4E">
        <w:t>diagnosis</w:t>
      </w:r>
      <w:r w:rsidR="001D16EA">
        <w:t xml:space="preserve"> of familial hypercholesterolaemia</w:t>
      </w:r>
    </w:p>
    <w:p w14:paraId="354279CB" w14:textId="0819C245" w:rsidR="00A43322" w:rsidRDefault="001D16EA" w:rsidP="00A43322">
      <w:r>
        <w:t>The proportion of people with a clinical diagnosis of familial hypercholesterolaemia (FH) referred for specialist assessment.</w:t>
      </w:r>
    </w:p>
    <w:p w14:paraId="2C199EBF" w14:textId="77777777" w:rsidR="00BC5F87" w:rsidRPr="00BC5F87" w:rsidRDefault="00BC5F87" w:rsidP="00BC5F87">
      <w:pPr>
        <w:pStyle w:val="Heading5"/>
        <w:ind w:firstLine="720"/>
        <w:rPr>
          <w:b w:val="0"/>
          <w:i/>
          <w:sz w:val="24"/>
        </w:rPr>
      </w:pPr>
      <w:r w:rsidRPr="00BC5F87">
        <w:rPr>
          <w:b w:val="0"/>
          <w:i/>
          <w:sz w:val="24"/>
        </w:rPr>
        <w:t>Acceptability assessment</w:t>
      </w:r>
    </w:p>
    <w:p w14:paraId="0FFD3E95" w14:textId="77777777" w:rsidR="00A05E49" w:rsidRDefault="00D70906" w:rsidP="00A05E49">
      <w:pPr>
        <w:ind w:left="720"/>
      </w:pPr>
      <w:r>
        <w:t>72</w:t>
      </w:r>
      <w:r w:rsidRPr="00700071">
        <w:t>%</w:t>
      </w:r>
      <w:r>
        <w:t xml:space="preserve"> of survey respondents</w:t>
      </w:r>
      <w:r w:rsidRPr="00700071">
        <w:t xml:space="preserve"> agreed that </w:t>
      </w:r>
      <w:r>
        <w:t>this indicator</w:t>
      </w:r>
      <w:r w:rsidRPr="00700071">
        <w:t xml:space="preserve"> would </w:t>
      </w:r>
      <w:r>
        <w:t>improve</w:t>
      </w:r>
      <w:r w:rsidRPr="00700071">
        <w:t xml:space="preserve"> the quality of care</w:t>
      </w:r>
      <w:r>
        <w:t>. The views from the majority of interviewees were supportive of inclusion.</w:t>
      </w:r>
    </w:p>
    <w:p w14:paraId="24092CCF" w14:textId="77777777" w:rsidR="00BC5F87" w:rsidRDefault="00BC5F87" w:rsidP="00BC5F87">
      <w:pPr>
        <w:spacing w:before="40" w:after="0"/>
        <w:ind w:firstLine="720"/>
        <w:rPr>
          <w:i/>
        </w:rPr>
      </w:pPr>
      <w:r>
        <w:rPr>
          <w:i/>
        </w:rPr>
        <w:t>Implementation assessment</w:t>
      </w:r>
    </w:p>
    <w:p w14:paraId="49E7B864" w14:textId="0F08C264" w:rsidR="00D70906" w:rsidRDefault="00D70906" w:rsidP="0059573D">
      <w:r>
        <w:tab/>
        <w:t>Minor problems with implementation</w:t>
      </w:r>
      <w:r w:rsidR="00BC5F87">
        <w:t>.</w:t>
      </w:r>
    </w:p>
    <w:p w14:paraId="06ADBF84" w14:textId="77777777" w:rsidR="00A05E49" w:rsidRPr="00B8476F" w:rsidRDefault="00A05E49" w:rsidP="0059573D"/>
    <w:p w14:paraId="60FE4DDE" w14:textId="4D7437E3" w:rsidR="0059573D" w:rsidRPr="00B8476F" w:rsidRDefault="009063A1" w:rsidP="004E0E76">
      <w:pPr>
        <w:pStyle w:val="Heading4"/>
      </w:pPr>
      <w:r w:rsidRPr="00B8476F">
        <w:t>Issues to be resolved prior to implementation</w:t>
      </w:r>
    </w:p>
    <w:tbl>
      <w:tblPr>
        <w:tblStyle w:val="TableGrid"/>
        <w:tblW w:w="0" w:type="auto"/>
        <w:tblLook w:val="04A0" w:firstRow="1" w:lastRow="0" w:firstColumn="1" w:lastColumn="0" w:noHBand="0" w:noVBand="1"/>
      </w:tblPr>
      <w:tblGrid>
        <w:gridCol w:w="3005"/>
        <w:gridCol w:w="3005"/>
        <w:gridCol w:w="3006"/>
      </w:tblGrid>
      <w:tr w:rsidR="009063A1" w:rsidRPr="00B8476F" w14:paraId="6876EB2C" w14:textId="77777777" w:rsidTr="007102A6">
        <w:tc>
          <w:tcPr>
            <w:tcW w:w="3005" w:type="dxa"/>
          </w:tcPr>
          <w:p w14:paraId="73C22545" w14:textId="77777777" w:rsidR="009063A1" w:rsidRPr="00B8476F" w:rsidRDefault="009063A1" w:rsidP="007102A6">
            <w:pPr>
              <w:spacing w:line="240" w:lineRule="auto"/>
              <w:rPr>
                <w:b/>
              </w:rPr>
            </w:pPr>
            <w:r w:rsidRPr="00B8476F">
              <w:rPr>
                <w:b/>
              </w:rPr>
              <w:t>Issue</w:t>
            </w:r>
          </w:p>
        </w:tc>
        <w:tc>
          <w:tcPr>
            <w:tcW w:w="3005" w:type="dxa"/>
          </w:tcPr>
          <w:p w14:paraId="7A1CB861" w14:textId="77777777" w:rsidR="009063A1" w:rsidRPr="00B8476F" w:rsidRDefault="009063A1" w:rsidP="007102A6">
            <w:pPr>
              <w:spacing w:line="240" w:lineRule="auto"/>
              <w:rPr>
                <w:b/>
              </w:rPr>
            </w:pPr>
            <w:r w:rsidRPr="00B8476F">
              <w:rPr>
                <w:b/>
              </w:rPr>
              <w:t>Detail</w:t>
            </w:r>
          </w:p>
        </w:tc>
        <w:tc>
          <w:tcPr>
            <w:tcW w:w="3006" w:type="dxa"/>
          </w:tcPr>
          <w:p w14:paraId="3ADA6C3B" w14:textId="77777777" w:rsidR="009063A1" w:rsidRPr="00B8476F" w:rsidRDefault="009063A1" w:rsidP="007102A6">
            <w:pPr>
              <w:spacing w:line="240" w:lineRule="auto"/>
              <w:rPr>
                <w:b/>
              </w:rPr>
            </w:pPr>
            <w:r w:rsidRPr="00B8476F">
              <w:rPr>
                <w:b/>
              </w:rPr>
              <w:t>Mitigating activity</w:t>
            </w:r>
          </w:p>
        </w:tc>
      </w:tr>
      <w:tr w:rsidR="009063A1" w:rsidRPr="00B8476F" w14:paraId="650BA083" w14:textId="77777777" w:rsidTr="007102A6">
        <w:tc>
          <w:tcPr>
            <w:tcW w:w="3005" w:type="dxa"/>
          </w:tcPr>
          <w:p w14:paraId="3528EBB9" w14:textId="26A9D6C5" w:rsidR="009063A1" w:rsidRPr="00A05E49" w:rsidRDefault="00EC5731" w:rsidP="00D82410">
            <w:pPr>
              <w:spacing w:line="240" w:lineRule="auto"/>
              <w:jc w:val="left"/>
            </w:pPr>
            <w:r w:rsidRPr="00A05E49">
              <w:t>Onward referral to services – capacity</w:t>
            </w:r>
          </w:p>
        </w:tc>
        <w:tc>
          <w:tcPr>
            <w:tcW w:w="3005" w:type="dxa"/>
          </w:tcPr>
          <w:p w14:paraId="7DE7F1E5" w14:textId="5298E8EB" w:rsidR="009063A1" w:rsidRPr="00A05E49" w:rsidRDefault="00D70906" w:rsidP="00D70906">
            <w:pPr>
              <w:spacing w:line="240" w:lineRule="auto"/>
              <w:jc w:val="left"/>
            </w:pPr>
            <w:r w:rsidRPr="00A05E49">
              <w:t>Some c</w:t>
            </w:r>
            <w:r w:rsidR="00EC5731" w:rsidRPr="00A05E49">
              <w:t xml:space="preserve">oncerns that services may be overwhelmed </w:t>
            </w:r>
            <w:r w:rsidRPr="00A05E49">
              <w:t>(although also noted that numbers were small)</w:t>
            </w:r>
          </w:p>
        </w:tc>
        <w:tc>
          <w:tcPr>
            <w:tcW w:w="3006" w:type="dxa"/>
          </w:tcPr>
          <w:p w14:paraId="4637C84A" w14:textId="6AB1262A" w:rsidR="009063A1" w:rsidRPr="00A05E49" w:rsidRDefault="0006201D" w:rsidP="00D82410">
            <w:pPr>
              <w:spacing w:line="240" w:lineRule="auto"/>
              <w:jc w:val="left"/>
            </w:pPr>
            <w:r>
              <w:t>Commissioners to resolve.</w:t>
            </w:r>
          </w:p>
        </w:tc>
      </w:tr>
    </w:tbl>
    <w:p w14:paraId="0B4F1415" w14:textId="77777777" w:rsidR="009063A1" w:rsidRPr="00B8476F" w:rsidRDefault="009063A1" w:rsidP="0059573D"/>
    <w:p w14:paraId="68CEF656" w14:textId="77777777" w:rsidR="005E493C" w:rsidRDefault="005E493C">
      <w:pPr>
        <w:spacing w:after="160" w:line="259" w:lineRule="auto"/>
        <w:jc w:val="left"/>
        <w:rPr>
          <w:u w:val="single"/>
        </w:rPr>
      </w:pPr>
      <w:r>
        <w:rPr>
          <w:u w:val="single"/>
        </w:rPr>
        <w:br w:type="page"/>
      </w:r>
    </w:p>
    <w:p w14:paraId="3642BC5C" w14:textId="7C478444" w:rsidR="00A519BA" w:rsidRPr="00B8476F" w:rsidRDefault="00FA454F" w:rsidP="00FA454F">
      <w:pPr>
        <w:pStyle w:val="Heading1"/>
      </w:pPr>
      <w:r w:rsidRPr="00B8476F">
        <w:lastRenderedPageBreak/>
        <w:t>Background</w:t>
      </w:r>
    </w:p>
    <w:p w14:paraId="183A07FF" w14:textId="494B3948" w:rsidR="00FA454F" w:rsidRPr="00B8476F" w:rsidRDefault="00FA454F" w:rsidP="00FA454F">
      <w:r w:rsidRPr="00B8476F">
        <w:t xml:space="preserve">As part of the NICE indicator development process, all clinical and health improvement indicators </w:t>
      </w:r>
      <w:r w:rsidR="00442C52" w:rsidRPr="00B8476F">
        <w:t xml:space="preserve">for general practice </w:t>
      </w:r>
      <w:r w:rsidRPr="00B8476F">
        <w:t>proposed for inclusion in the NICE Indicator Menu are piloted, using an agreed methodology, in a representative sample of GP practices across England.</w:t>
      </w:r>
    </w:p>
    <w:p w14:paraId="22D57663" w14:textId="77777777" w:rsidR="00FA454F" w:rsidRDefault="00FA454F" w:rsidP="00FA454F">
      <w:r w:rsidRPr="00B8476F">
        <w:t>The aim of piloting is to test whether indicators work in practice, have any unintended consequences and are fit for purpose.</w:t>
      </w:r>
    </w:p>
    <w:p w14:paraId="10D144D4" w14:textId="474A3A47" w:rsidR="00282064" w:rsidRPr="00B8476F" w:rsidRDefault="00282064" w:rsidP="00FA454F">
      <w:r>
        <w:t>A list of piloted indicators for this topic is shown in Appendix B.</w:t>
      </w:r>
    </w:p>
    <w:p w14:paraId="4D0E9748" w14:textId="77777777" w:rsidR="00FA454F" w:rsidRPr="00B8476F" w:rsidRDefault="00FA454F" w:rsidP="00FA454F">
      <w:pPr>
        <w:pStyle w:val="Heading2"/>
      </w:pPr>
      <w:r w:rsidRPr="00B8476F">
        <w:t>Practice recruitment</w:t>
      </w:r>
    </w:p>
    <w:p w14:paraId="43CE94E0" w14:textId="7CE12EEE" w:rsidR="00FA454F" w:rsidRPr="00B8476F" w:rsidRDefault="00FA454F" w:rsidP="00163DD1">
      <w:pPr>
        <w:spacing w:after="0"/>
      </w:pPr>
      <w:r w:rsidRPr="00B8476F">
        <w:t>Number of practices recruited</w:t>
      </w:r>
      <w:r w:rsidRPr="00B8476F">
        <w:tab/>
      </w:r>
      <w:r w:rsidRPr="00B8476F">
        <w:tab/>
      </w:r>
      <w:r w:rsidRPr="00B8476F">
        <w:tab/>
      </w:r>
      <w:r w:rsidR="009063A1" w:rsidRPr="00B8476F">
        <w:tab/>
      </w:r>
      <w:r w:rsidRPr="00B8476F">
        <w:t>30</w:t>
      </w:r>
      <w:r w:rsidRPr="00B8476F">
        <w:tab/>
      </w:r>
    </w:p>
    <w:p w14:paraId="6732288B" w14:textId="65D25A4B" w:rsidR="00FA454F" w:rsidRPr="00B8476F" w:rsidRDefault="00FA454F" w:rsidP="00163DD1">
      <w:pPr>
        <w:spacing w:after="0"/>
      </w:pPr>
      <w:r w:rsidRPr="00B8476F">
        <w:t>Numbe</w:t>
      </w:r>
      <w:r w:rsidR="00783B71" w:rsidRPr="00B8476F">
        <w:t>r of practices withdrawing</w:t>
      </w:r>
      <w:r w:rsidR="00783B71" w:rsidRPr="00B8476F">
        <w:tab/>
      </w:r>
      <w:r w:rsidR="00783B71" w:rsidRPr="00B8476F">
        <w:tab/>
      </w:r>
      <w:r w:rsidR="00783B71" w:rsidRPr="00B8476F">
        <w:tab/>
      </w:r>
      <w:r w:rsidR="009063A1" w:rsidRPr="00B8476F">
        <w:tab/>
      </w:r>
      <w:r w:rsidR="00783B71" w:rsidRPr="00B8476F">
        <w:t xml:space="preserve">  4</w:t>
      </w:r>
      <w:r w:rsidRPr="00B8476F">
        <w:t xml:space="preserve"> </w:t>
      </w:r>
    </w:p>
    <w:p w14:paraId="5FA569C9" w14:textId="51DED692" w:rsidR="00FA454F" w:rsidRPr="00B8476F" w:rsidRDefault="00FA454F" w:rsidP="00163DD1">
      <w:pPr>
        <w:spacing w:after="0"/>
        <w:rPr>
          <w:b/>
        </w:rPr>
      </w:pPr>
      <w:r w:rsidRPr="00B8476F">
        <w:rPr>
          <w:b/>
        </w:rPr>
        <w:t>Final numb</w:t>
      </w:r>
      <w:r w:rsidR="00783B71" w:rsidRPr="00B8476F">
        <w:rPr>
          <w:b/>
        </w:rPr>
        <w:t>er of practices in the pilot</w:t>
      </w:r>
      <w:r w:rsidR="00783B71" w:rsidRPr="00B8476F">
        <w:rPr>
          <w:b/>
        </w:rPr>
        <w:tab/>
      </w:r>
      <w:r w:rsidR="00783B71" w:rsidRPr="00B8476F">
        <w:rPr>
          <w:b/>
        </w:rPr>
        <w:tab/>
      </w:r>
      <w:r w:rsidR="009063A1" w:rsidRPr="00B8476F">
        <w:rPr>
          <w:b/>
        </w:rPr>
        <w:tab/>
      </w:r>
      <w:r w:rsidR="00783B71" w:rsidRPr="00B8476F">
        <w:rPr>
          <w:b/>
        </w:rPr>
        <w:t>26</w:t>
      </w:r>
    </w:p>
    <w:p w14:paraId="04FCF201" w14:textId="76DCBD9E" w:rsidR="006B167D" w:rsidRPr="00B8476F" w:rsidRDefault="006B167D" w:rsidP="00163DD1">
      <w:pPr>
        <w:spacing w:after="0"/>
        <w:rPr>
          <w:b/>
        </w:rPr>
      </w:pPr>
      <w:r w:rsidRPr="00B8476F">
        <w:rPr>
          <w:b/>
        </w:rPr>
        <w:t>Number of practices participating in feedback</w:t>
      </w:r>
      <w:r w:rsidRPr="00B8476F">
        <w:rPr>
          <w:b/>
        </w:rPr>
        <w:tab/>
        <w:t>25</w:t>
      </w:r>
    </w:p>
    <w:p w14:paraId="65E152B3" w14:textId="77777777" w:rsidR="00442C52" w:rsidRPr="00B8476F" w:rsidRDefault="00442C52" w:rsidP="00163DD1">
      <w:pPr>
        <w:spacing w:after="0"/>
        <w:rPr>
          <w:b/>
        </w:rPr>
      </w:pPr>
    </w:p>
    <w:p w14:paraId="649DF145" w14:textId="797ECED2" w:rsidR="00442C52" w:rsidRPr="00B8476F" w:rsidRDefault="0014107E" w:rsidP="00163DD1">
      <w:pPr>
        <w:spacing w:after="0"/>
      </w:pPr>
      <w:r w:rsidRPr="00B8476F">
        <w:t>F</w:t>
      </w:r>
      <w:r w:rsidR="00442C52" w:rsidRPr="00B8476F">
        <w:t>eedback was obtained via interview</w:t>
      </w:r>
      <w:r w:rsidR="00F77A38">
        <w:t>s and</w:t>
      </w:r>
      <w:r w:rsidR="00442C52" w:rsidRPr="00B8476F">
        <w:t xml:space="preserve"> survey</w:t>
      </w:r>
      <w:r w:rsidR="006B167D" w:rsidRPr="00B8476F">
        <w:t>, and it was possible for individuals to participate in both the survey and the interviews.</w:t>
      </w:r>
      <w:r w:rsidR="00BC5F87">
        <w:t xml:space="preserve"> The table below indicates the participation for the pilot overall and </w:t>
      </w:r>
      <w:r w:rsidR="00282064">
        <w:t>also shows the number of practices taking part in interviews for this topic in particular.</w:t>
      </w:r>
    </w:p>
    <w:p w14:paraId="78C1BC50" w14:textId="00E4FBE4" w:rsidR="0014107E" w:rsidRPr="00B8476F" w:rsidRDefault="0014107E" w:rsidP="006B167D">
      <w:pPr>
        <w:pStyle w:val="Heading4"/>
      </w:pPr>
      <w:bookmarkStart w:id="1" w:name="_Hlk17794339"/>
      <w:r w:rsidRPr="00B8476F">
        <w:t>Feedback participation by role and method</w:t>
      </w:r>
    </w:p>
    <w:tbl>
      <w:tblPr>
        <w:tblStyle w:val="TableGrid"/>
        <w:tblW w:w="0" w:type="auto"/>
        <w:tblLook w:val="04A0" w:firstRow="1" w:lastRow="0" w:firstColumn="1" w:lastColumn="0" w:noHBand="0" w:noVBand="1"/>
      </w:tblPr>
      <w:tblGrid>
        <w:gridCol w:w="3114"/>
        <w:gridCol w:w="1843"/>
        <w:gridCol w:w="1842"/>
        <w:gridCol w:w="2217"/>
      </w:tblGrid>
      <w:tr w:rsidR="006B167D" w:rsidRPr="00B8476F" w14:paraId="1C25ABF1" w14:textId="7A02893B" w:rsidTr="005E493C">
        <w:tc>
          <w:tcPr>
            <w:tcW w:w="3114" w:type="dxa"/>
          </w:tcPr>
          <w:p w14:paraId="3BE93A51" w14:textId="2331A893" w:rsidR="006B167D" w:rsidRPr="00B8476F" w:rsidRDefault="006B167D" w:rsidP="00A23218">
            <w:pPr>
              <w:spacing w:before="60" w:after="60" w:line="240" w:lineRule="auto"/>
              <w:jc w:val="left"/>
              <w:rPr>
                <w:b/>
              </w:rPr>
            </w:pPr>
            <w:r w:rsidRPr="00B8476F">
              <w:rPr>
                <w:b/>
              </w:rPr>
              <w:t>Staff role</w:t>
            </w:r>
          </w:p>
        </w:tc>
        <w:tc>
          <w:tcPr>
            <w:tcW w:w="1843" w:type="dxa"/>
          </w:tcPr>
          <w:p w14:paraId="7D6EFE67" w14:textId="47B057F0" w:rsidR="006B167D" w:rsidRPr="00B8476F" w:rsidRDefault="006B167D" w:rsidP="0014107E">
            <w:pPr>
              <w:spacing w:before="60" w:after="60" w:line="240" w:lineRule="auto"/>
              <w:jc w:val="center"/>
              <w:rPr>
                <w:b/>
              </w:rPr>
            </w:pPr>
            <w:r w:rsidRPr="00B8476F">
              <w:rPr>
                <w:b/>
              </w:rPr>
              <w:t>Survey</w:t>
            </w:r>
          </w:p>
        </w:tc>
        <w:tc>
          <w:tcPr>
            <w:tcW w:w="1842" w:type="dxa"/>
          </w:tcPr>
          <w:p w14:paraId="2622B27A" w14:textId="532A6E6C" w:rsidR="006B167D" w:rsidRPr="00B8476F" w:rsidRDefault="006B167D" w:rsidP="0014107E">
            <w:pPr>
              <w:spacing w:before="60" w:after="60" w:line="240" w:lineRule="auto"/>
              <w:jc w:val="center"/>
              <w:rPr>
                <w:b/>
              </w:rPr>
            </w:pPr>
            <w:r w:rsidRPr="00B8476F">
              <w:rPr>
                <w:b/>
              </w:rPr>
              <w:t>Interview</w:t>
            </w:r>
          </w:p>
        </w:tc>
        <w:tc>
          <w:tcPr>
            <w:tcW w:w="2217" w:type="dxa"/>
          </w:tcPr>
          <w:p w14:paraId="4E579D3C" w14:textId="349B258A" w:rsidR="006B167D" w:rsidRPr="00B8476F" w:rsidRDefault="006B167D" w:rsidP="00A84E63">
            <w:pPr>
              <w:spacing w:before="60" w:after="60" w:line="240" w:lineRule="auto"/>
              <w:jc w:val="center"/>
              <w:rPr>
                <w:b/>
              </w:rPr>
            </w:pPr>
            <w:r w:rsidRPr="00B8476F">
              <w:rPr>
                <w:b/>
              </w:rPr>
              <w:t xml:space="preserve">Interviews for </w:t>
            </w:r>
            <w:r w:rsidR="00A84E63">
              <w:rPr>
                <w:b/>
              </w:rPr>
              <w:t>FH</w:t>
            </w:r>
            <w:r w:rsidRPr="00B8476F">
              <w:rPr>
                <w:b/>
              </w:rPr>
              <w:t xml:space="preserve"> topic</w:t>
            </w:r>
          </w:p>
        </w:tc>
      </w:tr>
      <w:tr w:rsidR="006B167D" w:rsidRPr="00B8476F" w14:paraId="1FCD9A60" w14:textId="1237E9EE" w:rsidTr="005E493C">
        <w:tc>
          <w:tcPr>
            <w:tcW w:w="3114" w:type="dxa"/>
          </w:tcPr>
          <w:p w14:paraId="6C420A2D" w14:textId="0CF07115" w:rsidR="006B167D" w:rsidRPr="00B8476F" w:rsidRDefault="006B167D" w:rsidP="00A23218">
            <w:pPr>
              <w:spacing w:before="60" w:after="60" w:line="240" w:lineRule="auto"/>
              <w:jc w:val="left"/>
            </w:pPr>
            <w:r w:rsidRPr="00B8476F">
              <w:t xml:space="preserve">GP </w:t>
            </w:r>
          </w:p>
        </w:tc>
        <w:tc>
          <w:tcPr>
            <w:tcW w:w="1843" w:type="dxa"/>
          </w:tcPr>
          <w:p w14:paraId="3C8D4115" w14:textId="1DDB1614" w:rsidR="006B167D" w:rsidRPr="00B8476F" w:rsidRDefault="006B167D" w:rsidP="00A23218">
            <w:pPr>
              <w:spacing w:before="60" w:after="60" w:line="240" w:lineRule="auto"/>
              <w:jc w:val="center"/>
            </w:pPr>
            <w:r w:rsidRPr="00B8476F">
              <w:t>14</w:t>
            </w:r>
          </w:p>
        </w:tc>
        <w:tc>
          <w:tcPr>
            <w:tcW w:w="1842" w:type="dxa"/>
          </w:tcPr>
          <w:p w14:paraId="1206894A" w14:textId="3A3C4578" w:rsidR="006B167D" w:rsidRPr="00B8476F" w:rsidRDefault="006B167D" w:rsidP="00A23218">
            <w:pPr>
              <w:spacing w:before="60" w:after="60" w:line="240" w:lineRule="auto"/>
              <w:jc w:val="center"/>
            </w:pPr>
            <w:r w:rsidRPr="00B8476F">
              <w:t>18</w:t>
            </w:r>
          </w:p>
        </w:tc>
        <w:tc>
          <w:tcPr>
            <w:tcW w:w="2217" w:type="dxa"/>
          </w:tcPr>
          <w:p w14:paraId="06160EDB" w14:textId="5F87B632" w:rsidR="006B167D" w:rsidRPr="00FC4D8C" w:rsidRDefault="00FD57C8" w:rsidP="00A23218">
            <w:pPr>
              <w:spacing w:before="60" w:after="60" w:line="240" w:lineRule="auto"/>
              <w:jc w:val="center"/>
            </w:pPr>
            <w:r>
              <w:t>10</w:t>
            </w:r>
          </w:p>
        </w:tc>
      </w:tr>
      <w:tr w:rsidR="006B167D" w:rsidRPr="00B8476F" w14:paraId="53B0080C" w14:textId="17448E4D" w:rsidTr="005E493C">
        <w:tc>
          <w:tcPr>
            <w:tcW w:w="3114" w:type="dxa"/>
          </w:tcPr>
          <w:p w14:paraId="2DA81B16" w14:textId="7F2EFD07" w:rsidR="006B167D" w:rsidRPr="00B8476F" w:rsidRDefault="006B167D" w:rsidP="00A23218">
            <w:pPr>
              <w:spacing w:before="60" w:after="60" w:line="240" w:lineRule="auto"/>
              <w:jc w:val="left"/>
            </w:pPr>
            <w:r w:rsidRPr="00B8476F">
              <w:t>Practice Manager</w:t>
            </w:r>
          </w:p>
        </w:tc>
        <w:tc>
          <w:tcPr>
            <w:tcW w:w="1843" w:type="dxa"/>
          </w:tcPr>
          <w:p w14:paraId="2523D60A" w14:textId="78EAC5DE" w:rsidR="006B167D" w:rsidRPr="00B8476F" w:rsidRDefault="006B167D" w:rsidP="00A23218">
            <w:pPr>
              <w:spacing w:before="60" w:after="60" w:line="240" w:lineRule="auto"/>
              <w:jc w:val="center"/>
            </w:pPr>
            <w:r w:rsidRPr="00B8476F">
              <w:t>13</w:t>
            </w:r>
          </w:p>
        </w:tc>
        <w:tc>
          <w:tcPr>
            <w:tcW w:w="1842" w:type="dxa"/>
          </w:tcPr>
          <w:p w14:paraId="6AD6F634" w14:textId="3541DA4C" w:rsidR="006B167D" w:rsidRPr="00B8476F" w:rsidRDefault="006B167D" w:rsidP="00A23218">
            <w:pPr>
              <w:spacing w:before="60" w:after="60" w:line="240" w:lineRule="auto"/>
              <w:jc w:val="center"/>
            </w:pPr>
            <w:r w:rsidRPr="00B8476F">
              <w:t>15</w:t>
            </w:r>
          </w:p>
        </w:tc>
        <w:tc>
          <w:tcPr>
            <w:tcW w:w="2217" w:type="dxa"/>
          </w:tcPr>
          <w:p w14:paraId="3C13CFED" w14:textId="716B43BD" w:rsidR="006B167D" w:rsidRPr="00FC4D8C" w:rsidRDefault="00A84E63" w:rsidP="00A23218">
            <w:pPr>
              <w:spacing w:before="60" w:after="60" w:line="240" w:lineRule="auto"/>
              <w:jc w:val="center"/>
            </w:pPr>
            <w:r>
              <w:t>8</w:t>
            </w:r>
          </w:p>
        </w:tc>
      </w:tr>
      <w:tr w:rsidR="006B167D" w:rsidRPr="00B8476F" w14:paraId="26EF2FF1" w14:textId="5F1C9A87" w:rsidTr="004953B6">
        <w:tc>
          <w:tcPr>
            <w:tcW w:w="3114" w:type="dxa"/>
          </w:tcPr>
          <w:p w14:paraId="4FBCE9B1" w14:textId="48AE03E8" w:rsidR="006B167D" w:rsidRPr="00B8476F" w:rsidRDefault="006B167D" w:rsidP="00A23218">
            <w:pPr>
              <w:spacing w:before="60" w:after="60" w:line="240" w:lineRule="auto"/>
              <w:jc w:val="left"/>
            </w:pPr>
            <w:r w:rsidRPr="00B8476F">
              <w:t>Other senior management</w:t>
            </w:r>
          </w:p>
        </w:tc>
        <w:tc>
          <w:tcPr>
            <w:tcW w:w="1843" w:type="dxa"/>
          </w:tcPr>
          <w:p w14:paraId="1D5E0AC3" w14:textId="61B5D639" w:rsidR="006B167D" w:rsidRPr="00B8476F" w:rsidRDefault="006B167D" w:rsidP="00A23218">
            <w:pPr>
              <w:spacing w:before="60" w:after="60" w:line="240" w:lineRule="auto"/>
              <w:jc w:val="center"/>
            </w:pPr>
            <w:r w:rsidRPr="00B8476F">
              <w:t>3</w:t>
            </w:r>
          </w:p>
        </w:tc>
        <w:tc>
          <w:tcPr>
            <w:tcW w:w="1842" w:type="dxa"/>
            <w:tcBorders>
              <w:bottom w:val="single" w:sz="4" w:space="0" w:color="FFFFFF" w:themeColor="background1"/>
            </w:tcBorders>
          </w:tcPr>
          <w:p w14:paraId="3BCF9E0D" w14:textId="4B2AE0B3" w:rsidR="006B167D" w:rsidRPr="00B8476F" w:rsidRDefault="006B167D" w:rsidP="004953B6">
            <w:pPr>
              <w:spacing w:before="360" w:after="60" w:line="240" w:lineRule="auto"/>
              <w:jc w:val="center"/>
            </w:pPr>
            <w:r w:rsidRPr="00B8476F">
              <w:t>4</w:t>
            </w:r>
          </w:p>
        </w:tc>
        <w:tc>
          <w:tcPr>
            <w:tcW w:w="2217" w:type="dxa"/>
            <w:tcBorders>
              <w:bottom w:val="single" w:sz="4" w:space="0" w:color="FFFFFF" w:themeColor="background1"/>
            </w:tcBorders>
          </w:tcPr>
          <w:p w14:paraId="6761084E" w14:textId="36282EDA" w:rsidR="006B167D" w:rsidRPr="00FC4D8C" w:rsidRDefault="001F23E5" w:rsidP="004953B6">
            <w:pPr>
              <w:spacing w:before="360" w:after="60" w:line="240" w:lineRule="auto"/>
              <w:jc w:val="center"/>
            </w:pPr>
            <w:r w:rsidRPr="00FC4D8C">
              <w:t>1</w:t>
            </w:r>
          </w:p>
        </w:tc>
      </w:tr>
      <w:tr w:rsidR="006B167D" w:rsidRPr="00B8476F" w14:paraId="58F7146B" w14:textId="10887B52" w:rsidTr="004953B6">
        <w:tc>
          <w:tcPr>
            <w:tcW w:w="3114" w:type="dxa"/>
          </w:tcPr>
          <w:p w14:paraId="410EF483" w14:textId="5251960B" w:rsidR="006B167D" w:rsidRPr="00B8476F" w:rsidRDefault="005E493C" w:rsidP="005E493C">
            <w:pPr>
              <w:spacing w:before="60" w:after="60" w:line="240" w:lineRule="auto"/>
              <w:jc w:val="left"/>
            </w:pPr>
            <w:r>
              <w:t>A</w:t>
            </w:r>
            <w:r w:rsidR="006B167D" w:rsidRPr="00B8476F">
              <w:t>dmin staff (including finance, IT, performance)</w:t>
            </w:r>
          </w:p>
        </w:tc>
        <w:tc>
          <w:tcPr>
            <w:tcW w:w="1843" w:type="dxa"/>
          </w:tcPr>
          <w:p w14:paraId="75C715C3" w14:textId="17E83D39" w:rsidR="006B167D" w:rsidRPr="00B8476F" w:rsidRDefault="006B167D" w:rsidP="00A23218">
            <w:pPr>
              <w:spacing w:before="60" w:after="60" w:line="240" w:lineRule="auto"/>
              <w:jc w:val="center"/>
            </w:pPr>
            <w:r w:rsidRPr="00B8476F">
              <w:t>2</w:t>
            </w:r>
          </w:p>
        </w:tc>
        <w:tc>
          <w:tcPr>
            <w:tcW w:w="1842" w:type="dxa"/>
            <w:tcBorders>
              <w:top w:val="single" w:sz="4" w:space="0" w:color="FFFFFF" w:themeColor="background1"/>
            </w:tcBorders>
          </w:tcPr>
          <w:p w14:paraId="719AC150" w14:textId="77777777" w:rsidR="006B167D" w:rsidRPr="00B8476F" w:rsidRDefault="006B167D" w:rsidP="00A23218">
            <w:pPr>
              <w:spacing w:before="60" w:after="60" w:line="240" w:lineRule="auto"/>
              <w:jc w:val="center"/>
            </w:pPr>
          </w:p>
        </w:tc>
        <w:tc>
          <w:tcPr>
            <w:tcW w:w="2217" w:type="dxa"/>
            <w:tcBorders>
              <w:top w:val="single" w:sz="4" w:space="0" w:color="FFFFFF" w:themeColor="background1"/>
            </w:tcBorders>
          </w:tcPr>
          <w:p w14:paraId="5EEFAA3D" w14:textId="77777777" w:rsidR="006B167D" w:rsidRPr="00FC4D8C" w:rsidRDefault="006B167D" w:rsidP="00A23218">
            <w:pPr>
              <w:spacing w:before="60" w:after="60" w:line="240" w:lineRule="auto"/>
              <w:jc w:val="center"/>
            </w:pPr>
          </w:p>
        </w:tc>
      </w:tr>
      <w:tr w:rsidR="006B167D" w:rsidRPr="00B8476F" w14:paraId="2EB21059" w14:textId="2B62E1DE" w:rsidTr="005E493C">
        <w:tc>
          <w:tcPr>
            <w:tcW w:w="3114" w:type="dxa"/>
          </w:tcPr>
          <w:p w14:paraId="08970249" w14:textId="22D776FE" w:rsidR="006B167D" w:rsidRPr="00B8476F" w:rsidRDefault="006B167D" w:rsidP="0014107E">
            <w:pPr>
              <w:spacing w:before="60" w:after="60" w:line="240" w:lineRule="auto"/>
              <w:jc w:val="left"/>
              <w:rPr>
                <w:b/>
              </w:rPr>
            </w:pPr>
            <w:r w:rsidRPr="00B8476F">
              <w:rPr>
                <w:b/>
              </w:rPr>
              <w:t>Number of participants</w:t>
            </w:r>
          </w:p>
        </w:tc>
        <w:tc>
          <w:tcPr>
            <w:tcW w:w="1843" w:type="dxa"/>
          </w:tcPr>
          <w:p w14:paraId="4B2D4227" w14:textId="77777777" w:rsidR="006B167D" w:rsidRPr="00B8476F" w:rsidRDefault="006B167D" w:rsidP="001F5F2F">
            <w:pPr>
              <w:spacing w:before="60" w:after="60" w:line="240" w:lineRule="auto"/>
              <w:jc w:val="center"/>
              <w:rPr>
                <w:b/>
              </w:rPr>
            </w:pPr>
            <w:r w:rsidRPr="00B8476F">
              <w:rPr>
                <w:b/>
              </w:rPr>
              <w:t>32</w:t>
            </w:r>
          </w:p>
          <w:p w14:paraId="243F4CB0" w14:textId="038F02C3" w:rsidR="001F5F2F" w:rsidRPr="005E493C" w:rsidRDefault="005E493C" w:rsidP="005E493C">
            <w:pPr>
              <w:spacing w:before="60" w:after="60" w:line="240" w:lineRule="auto"/>
              <w:rPr>
                <w:b/>
              </w:rPr>
            </w:pPr>
            <w:r>
              <w:rPr>
                <w:b/>
              </w:rPr>
              <w:t>(25</w:t>
            </w:r>
            <w:r w:rsidRPr="005E493C">
              <w:rPr>
                <w:b/>
              </w:rPr>
              <w:t xml:space="preserve"> </w:t>
            </w:r>
            <w:r w:rsidR="001F5F2F" w:rsidRPr="005E493C">
              <w:rPr>
                <w:b/>
              </w:rPr>
              <w:t>practices)</w:t>
            </w:r>
          </w:p>
        </w:tc>
        <w:tc>
          <w:tcPr>
            <w:tcW w:w="1842" w:type="dxa"/>
          </w:tcPr>
          <w:p w14:paraId="3D6CC7A2" w14:textId="77777777" w:rsidR="006B167D" w:rsidRPr="00B8476F" w:rsidRDefault="006B167D" w:rsidP="00A23218">
            <w:pPr>
              <w:spacing w:before="60" w:after="60" w:line="240" w:lineRule="auto"/>
              <w:jc w:val="center"/>
              <w:rPr>
                <w:b/>
              </w:rPr>
            </w:pPr>
            <w:r w:rsidRPr="00B8476F">
              <w:rPr>
                <w:b/>
              </w:rPr>
              <w:t>37</w:t>
            </w:r>
          </w:p>
          <w:p w14:paraId="2B6DCF2F" w14:textId="1C745C7F" w:rsidR="001F5F2F" w:rsidRPr="005E493C" w:rsidRDefault="00C44B59" w:rsidP="005E493C">
            <w:pPr>
              <w:pStyle w:val="ListParagraph"/>
              <w:spacing w:before="60" w:after="60" w:line="240" w:lineRule="auto"/>
              <w:ind w:left="0"/>
              <w:rPr>
                <w:b/>
              </w:rPr>
            </w:pPr>
            <w:r>
              <w:rPr>
                <w:b/>
              </w:rPr>
              <w:t>(25</w:t>
            </w:r>
            <w:r w:rsidR="005E493C">
              <w:rPr>
                <w:b/>
              </w:rPr>
              <w:t xml:space="preserve"> practices)</w:t>
            </w:r>
          </w:p>
        </w:tc>
        <w:tc>
          <w:tcPr>
            <w:tcW w:w="2217" w:type="dxa"/>
          </w:tcPr>
          <w:p w14:paraId="40FBB8F2" w14:textId="312931EF" w:rsidR="005E493C" w:rsidRPr="00FC4D8C" w:rsidRDefault="001F23E5" w:rsidP="005E493C">
            <w:pPr>
              <w:spacing w:before="60" w:after="60" w:line="240" w:lineRule="auto"/>
              <w:jc w:val="center"/>
              <w:rPr>
                <w:b/>
              </w:rPr>
            </w:pPr>
            <w:r w:rsidRPr="00FC4D8C">
              <w:rPr>
                <w:b/>
              </w:rPr>
              <w:t>1</w:t>
            </w:r>
            <w:r w:rsidR="0006201D">
              <w:rPr>
                <w:b/>
              </w:rPr>
              <w:t>9</w:t>
            </w:r>
            <w:r w:rsidR="006B167D" w:rsidRPr="00FC4D8C">
              <w:rPr>
                <w:b/>
              </w:rPr>
              <w:t xml:space="preserve"> </w:t>
            </w:r>
          </w:p>
          <w:p w14:paraId="0B7FD738" w14:textId="336CC415" w:rsidR="006B167D" w:rsidRPr="00FC4D8C" w:rsidRDefault="001F23E5" w:rsidP="00A84E63">
            <w:pPr>
              <w:spacing w:before="60" w:after="60" w:line="240" w:lineRule="auto"/>
              <w:jc w:val="center"/>
              <w:rPr>
                <w:b/>
              </w:rPr>
            </w:pPr>
            <w:r w:rsidRPr="00FC4D8C">
              <w:rPr>
                <w:b/>
              </w:rPr>
              <w:t>(1</w:t>
            </w:r>
            <w:r w:rsidR="00A84E63">
              <w:rPr>
                <w:b/>
              </w:rPr>
              <w:t>4</w:t>
            </w:r>
            <w:r w:rsidR="005E493C" w:rsidRPr="00FC4D8C">
              <w:rPr>
                <w:b/>
              </w:rPr>
              <w:t xml:space="preserve"> p</w:t>
            </w:r>
            <w:r w:rsidR="006B167D" w:rsidRPr="00FC4D8C">
              <w:rPr>
                <w:b/>
              </w:rPr>
              <w:t>ractices)</w:t>
            </w:r>
          </w:p>
        </w:tc>
      </w:tr>
    </w:tbl>
    <w:p w14:paraId="3B711C67" w14:textId="0EEBDBF9" w:rsidR="00FA454F" w:rsidRPr="00B8476F" w:rsidRDefault="00FA454F">
      <w:pPr>
        <w:spacing w:after="160" w:line="259" w:lineRule="auto"/>
        <w:jc w:val="left"/>
      </w:pPr>
      <w:r w:rsidRPr="00B8476F">
        <w:br w:type="page"/>
      </w:r>
    </w:p>
    <w:bookmarkEnd w:id="1"/>
    <w:p w14:paraId="1C23E650" w14:textId="6F1D6517" w:rsidR="005E493C" w:rsidRDefault="002C6D43" w:rsidP="005E493C">
      <w:pPr>
        <w:pStyle w:val="Heading1"/>
      </w:pPr>
      <w:r w:rsidRPr="00B8476F">
        <w:lastRenderedPageBreak/>
        <w:t xml:space="preserve">Assessment of feasibility, reliability and </w:t>
      </w:r>
      <w:r w:rsidR="00451580" w:rsidRPr="00B8476F">
        <w:t>acceptability</w:t>
      </w:r>
      <w:r w:rsidR="000B159D" w:rsidRPr="00B8476F">
        <w:t xml:space="preserve"> </w:t>
      </w:r>
    </w:p>
    <w:p w14:paraId="5526C915" w14:textId="28475EE9" w:rsidR="008642CD" w:rsidRPr="005E493C" w:rsidRDefault="009063A1" w:rsidP="005E493C">
      <w:pPr>
        <w:pStyle w:val="Heading2"/>
        <w:rPr>
          <w:i/>
          <w:color w:val="7030A0"/>
        </w:rPr>
      </w:pPr>
      <w:r w:rsidRPr="00B8476F">
        <w:t>Feasibility and</w:t>
      </w:r>
      <w:r w:rsidR="008642CD" w:rsidRPr="00B8476F">
        <w:t xml:space="preserve"> reliability </w:t>
      </w:r>
    </w:p>
    <w:p w14:paraId="54F20A09" w14:textId="0AE8662C" w:rsidR="008C5BC6" w:rsidRDefault="0059573D" w:rsidP="00D4520D">
      <w:r w:rsidRPr="00B8476F">
        <w:t>It was possible to develop B</w:t>
      </w:r>
      <w:r w:rsidR="008C5BC6" w:rsidRPr="00B8476F">
        <w:t xml:space="preserve">usiness </w:t>
      </w:r>
      <w:r w:rsidRPr="00B8476F">
        <w:t>R</w:t>
      </w:r>
      <w:r w:rsidR="001E4773" w:rsidRPr="00B8476F">
        <w:t>ules to support this</w:t>
      </w:r>
      <w:r w:rsidRPr="00B8476F">
        <w:t xml:space="preserve"> topi</w:t>
      </w:r>
      <w:r w:rsidR="00AC5AEE">
        <w:t>c and all indicators within it.</w:t>
      </w:r>
    </w:p>
    <w:p w14:paraId="7B4BBCA5" w14:textId="13BFAC29" w:rsidR="007311A6" w:rsidRDefault="007311A6" w:rsidP="00D4520D">
      <w:r>
        <w:rPr>
          <w:color w:val="000000" w:themeColor="text1"/>
        </w:rPr>
        <w:t>Practices also noted in their responses that clinical system protocols could be developed or flags used to identify patients, but that this relied on the correct clinical codes being used, or the information being recorded in the first place (particularly about family history).</w:t>
      </w:r>
    </w:p>
    <w:p w14:paraId="402198F9" w14:textId="0934CB2A" w:rsidR="00985F0C" w:rsidRPr="00B8476F" w:rsidRDefault="004E0E76" w:rsidP="005E493C">
      <w:pPr>
        <w:pStyle w:val="Heading2"/>
      </w:pPr>
      <w:r w:rsidRPr="00B8476F">
        <w:t>Acceptability</w:t>
      </w:r>
    </w:p>
    <w:p w14:paraId="0BEB8CAD" w14:textId="77777777" w:rsidR="007C3A9A" w:rsidRDefault="007C3A9A" w:rsidP="007C3A9A">
      <w:pPr>
        <w:pStyle w:val="Heading3"/>
      </w:pPr>
      <w:r>
        <w:t>Topic feedback</w:t>
      </w:r>
    </w:p>
    <w:p w14:paraId="2DD0BA18" w14:textId="5FE00D7F" w:rsidR="001F53E7" w:rsidRDefault="001F53E7" w:rsidP="00D4520D">
      <w:r>
        <w:t xml:space="preserve">There was </w:t>
      </w:r>
      <w:r w:rsidR="00FF4239">
        <w:t>reasonable</w:t>
      </w:r>
      <w:r>
        <w:t xml:space="preserve"> agreement from the </w:t>
      </w:r>
      <w:r w:rsidRPr="00B8476F">
        <w:t xml:space="preserve">survey respondents </w:t>
      </w:r>
      <w:r w:rsidR="00FF4239">
        <w:t>(69%, 22</w:t>
      </w:r>
      <w:r w:rsidRPr="00B8476F">
        <w:t xml:space="preserve">/32) </w:t>
      </w:r>
      <w:r>
        <w:t>that</w:t>
      </w:r>
      <w:r w:rsidRPr="00B8476F">
        <w:t xml:space="preserve"> the topic of</w:t>
      </w:r>
      <w:r w:rsidR="00710C73">
        <w:t xml:space="preserve"> familial hypercholesterolaemia</w:t>
      </w:r>
      <w:r>
        <w:t xml:space="preserve"> </w:t>
      </w:r>
      <w:r w:rsidR="00F60EA6">
        <w:t xml:space="preserve">(FH) </w:t>
      </w:r>
      <w:r>
        <w:t>represents what is important to patients, families and carers</w:t>
      </w:r>
      <w:r w:rsidR="00FF4239">
        <w:t>, with 2 respondents disagreeing.</w:t>
      </w:r>
      <w:r>
        <w:t xml:space="preserve"> </w:t>
      </w:r>
      <w:r w:rsidR="00C30212" w:rsidRPr="00B8476F">
        <w:t xml:space="preserve">There was </w:t>
      </w:r>
      <w:r w:rsidR="00C30212">
        <w:t>also a common view</w:t>
      </w:r>
      <w:r w:rsidR="00C30212" w:rsidRPr="00B8476F">
        <w:t xml:space="preserve"> that </w:t>
      </w:r>
      <w:r w:rsidR="00C30212">
        <w:t>this</w:t>
      </w:r>
      <w:r w:rsidR="00C30212" w:rsidRPr="00B8476F">
        <w:t xml:space="preserve"> represents what is i</w:t>
      </w:r>
      <w:r w:rsidR="00FF4239">
        <w:t>mportant to clinical staff (66%, 21</w:t>
      </w:r>
      <w:r w:rsidR="00C30212">
        <w:t xml:space="preserve">), with </w:t>
      </w:r>
      <w:r w:rsidR="00FF4239">
        <w:t>8</w:t>
      </w:r>
      <w:r w:rsidR="00C30212" w:rsidRPr="00B8476F">
        <w:t xml:space="preserve"> people </w:t>
      </w:r>
      <w:r w:rsidR="00F60EA6">
        <w:t xml:space="preserve">(25%) </w:t>
      </w:r>
      <w:r w:rsidR="00FF4239">
        <w:t>being unsure and the remaining 3</w:t>
      </w:r>
      <w:r w:rsidR="00C30212" w:rsidRPr="00C30212">
        <w:t xml:space="preserve"> </w:t>
      </w:r>
      <w:r w:rsidR="00C30212" w:rsidRPr="007311A6">
        <w:t>disagreeing</w:t>
      </w:r>
      <w:r w:rsidR="007311A6">
        <w:t xml:space="preserve"> (mainly linked to the later points about small numbers of patients)</w:t>
      </w:r>
      <w:r w:rsidR="00C30212" w:rsidRPr="00B8476F">
        <w:t>.</w:t>
      </w:r>
    </w:p>
    <w:p w14:paraId="23B3A670" w14:textId="33075C35" w:rsidR="00FF4239" w:rsidRPr="00AA1662" w:rsidRDefault="00710C73" w:rsidP="00D4520D">
      <w:pPr>
        <w:rPr>
          <w:i/>
          <w:sz w:val="22"/>
        </w:rPr>
      </w:pPr>
      <w:r w:rsidRPr="00AA1662">
        <w:rPr>
          <w:i/>
          <w:sz w:val="22"/>
        </w:rPr>
        <w:t>“</w:t>
      </w:r>
      <w:r w:rsidR="00FF4239" w:rsidRPr="00AA1662">
        <w:rPr>
          <w:i/>
          <w:sz w:val="22"/>
        </w:rPr>
        <w:t>Patients with family history</w:t>
      </w:r>
      <w:r w:rsidRPr="00AA1662">
        <w:rPr>
          <w:i/>
          <w:sz w:val="22"/>
        </w:rPr>
        <w:t xml:space="preserve"> of</w:t>
      </w:r>
      <w:r w:rsidR="00FF4239" w:rsidRPr="00AA1662">
        <w:rPr>
          <w:i/>
          <w:sz w:val="22"/>
        </w:rPr>
        <w:t xml:space="preserve"> high cholesterol are definitely keen to know what their own results are</w:t>
      </w:r>
      <w:r w:rsidRPr="00AA1662">
        <w:rPr>
          <w:i/>
          <w:sz w:val="22"/>
        </w:rPr>
        <w:t>”</w:t>
      </w:r>
      <w:r w:rsidR="00FF4239" w:rsidRPr="00AA1662">
        <w:rPr>
          <w:i/>
          <w:sz w:val="22"/>
        </w:rPr>
        <w:t>. (GP, survey)</w:t>
      </w:r>
    </w:p>
    <w:p w14:paraId="61E6BCFF" w14:textId="1E14D3E4" w:rsidR="00FF4239" w:rsidRPr="00AA1662" w:rsidRDefault="00710C73" w:rsidP="00D4520D">
      <w:pPr>
        <w:rPr>
          <w:i/>
          <w:sz w:val="22"/>
        </w:rPr>
      </w:pPr>
      <w:r w:rsidRPr="00AA1662">
        <w:rPr>
          <w:i/>
          <w:sz w:val="22"/>
        </w:rPr>
        <w:t>“</w:t>
      </w:r>
      <w:r w:rsidR="00FF4239" w:rsidRPr="00AA1662">
        <w:rPr>
          <w:i/>
          <w:sz w:val="22"/>
        </w:rPr>
        <w:t xml:space="preserve">The familial </w:t>
      </w:r>
      <w:r w:rsidRPr="00AA1662">
        <w:rPr>
          <w:i/>
          <w:sz w:val="22"/>
        </w:rPr>
        <w:t>hyperlipidaemia</w:t>
      </w:r>
      <w:r w:rsidR="00FF4239" w:rsidRPr="00AA1662">
        <w:rPr>
          <w:i/>
          <w:sz w:val="22"/>
        </w:rPr>
        <w:t xml:space="preserve"> is something that is significant at a single loci in time for the family</w:t>
      </w:r>
      <w:r w:rsidRPr="00AA1662">
        <w:rPr>
          <w:i/>
          <w:sz w:val="22"/>
        </w:rPr>
        <w:t>”</w:t>
      </w:r>
      <w:r w:rsidR="00FF4239" w:rsidRPr="00AA1662">
        <w:rPr>
          <w:i/>
          <w:sz w:val="22"/>
        </w:rPr>
        <w:t>. (GP, survey)</w:t>
      </w:r>
    </w:p>
    <w:p w14:paraId="13708C01" w14:textId="32C1B64B" w:rsidR="00FF4239" w:rsidRPr="00AA1662" w:rsidRDefault="00710C73" w:rsidP="00D4520D">
      <w:pPr>
        <w:rPr>
          <w:i/>
          <w:sz w:val="22"/>
        </w:rPr>
      </w:pPr>
      <w:r w:rsidRPr="00AA1662">
        <w:rPr>
          <w:i/>
          <w:sz w:val="22"/>
        </w:rPr>
        <w:t>“</w:t>
      </w:r>
      <w:r w:rsidR="00FF4239" w:rsidRPr="00AA1662">
        <w:rPr>
          <w:i/>
          <w:sz w:val="22"/>
        </w:rPr>
        <w:t>FHC</w:t>
      </w:r>
      <w:r w:rsidRPr="00AA1662">
        <w:rPr>
          <w:i/>
          <w:sz w:val="22"/>
        </w:rPr>
        <w:t xml:space="preserve"> (familial hypercholesterolaemia) - not enough patients”.</w:t>
      </w:r>
      <w:r w:rsidR="00FF4239" w:rsidRPr="00AA1662">
        <w:rPr>
          <w:i/>
          <w:sz w:val="22"/>
        </w:rPr>
        <w:t xml:space="preserve"> (GP, survey)</w:t>
      </w:r>
    </w:p>
    <w:p w14:paraId="2F801105" w14:textId="77777777" w:rsidR="00FF4239" w:rsidRDefault="00FF4239" w:rsidP="00D4520D"/>
    <w:p w14:paraId="7DC948E6" w14:textId="4E8656F6" w:rsidR="001B42EF" w:rsidRDefault="006B6630" w:rsidP="00FA23EA">
      <w:r>
        <w:t xml:space="preserve">Just over half of the </w:t>
      </w:r>
      <w:r w:rsidR="007F3837">
        <w:t>survey respondents</w:t>
      </w:r>
      <w:r w:rsidR="007F3837" w:rsidRPr="00B8476F">
        <w:t xml:space="preserve"> were supportive of the indicators bein</w:t>
      </w:r>
      <w:r>
        <w:t>g financially incentivised (56%, 18</w:t>
      </w:r>
      <w:r w:rsidR="007F3837" w:rsidRPr="006B6630">
        <w:t>)</w:t>
      </w:r>
      <w:r w:rsidR="00363181">
        <w:t>;</w:t>
      </w:r>
      <w:r w:rsidR="007F3837" w:rsidRPr="006B6630">
        <w:t xml:space="preserve"> </w:t>
      </w:r>
      <w:r w:rsidRPr="006B6630">
        <w:t xml:space="preserve">however </w:t>
      </w:r>
      <w:r w:rsidR="007F3837" w:rsidRPr="006B6630">
        <w:t>a</w:t>
      </w:r>
      <w:r w:rsidRPr="006B6630">
        <w:t xml:space="preserve"> more positive</w:t>
      </w:r>
      <w:r w:rsidR="007F3837" w:rsidRPr="006B6630">
        <w:t xml:space="preserve"> view </w:t>
      </w:r>
      <w:r w:rsidRPr="006B6630">
        <w:t>was obtained from the interviews</w:t>
      </w:r>
      <w:r w:rsidR="007311A6">
        <w:t>,</w:t>
      </w:r>
      <w:r w:rsidRPr="006B6630">
        <w:t xml:space="preserve"> </w:t>
      </w:r>
      <w:r w:rsidR="007311A6">
        <w:t xml:space="preserve">with </w:t>
      </w:r>
      <w:r w:rsidR="007F3837" w:rsidRPr="006B6630">
        <w:t>1</w:t>
      </w:r>
      <w:r w:rsidRPr="006B6630">
        <w:t>1 of the 14 practices (79</w:t>
      </w:r>
      <w:r w:rsidR="007F3837" w:rsidRPr="006B6630">
        <w:t>%)</w:t>
      </w:r>
      <w:r w:rsidR="007311A6">
        <w:t xml:space="preserve"> </w:t>
      </w:r>
      <w:r w:rsidR="008A06B3">
        <w:t>being in favour of this.</w:t>
      </w:r>
      <w:r w:rsidR="007F3837" w:rsidRPr="006B6630">
        <w:t xml:space="preserve"> </w:t>
      </w:r>
    </w:p>
    <w:p w14:paraId="28C105E3" w14:textId="11BBC40A" w:rsidR="00FA23EA" w:rsidRDefault="007F3837" w:rsidP="00FA23EA">
      <w:r w:rsidRPr="006B6630">
        <w:t xml:space="preserve">There </w:t>
      </w:r>
      <w:r w:rsidRPr="00B8476F">
        <w:t xml:space="preserve">were mixed opinions in terms of the indicators being suitable for quality improvement (without incentivisation). Only </w:t>
      </w:r>
      <w:r w:rsidR="006B6630">
        <w:t>41</w:t>
      </w:r>
      <w:r>
        <w:t>%</w:t>
      </w:r>
      <w:r w:rsidR="003A6998">
        <w:t xml:space="preserve"> of those </w:t>
      </w:r>
      <w:r w:rsidR="00AA7396">
        <w:t>responding to the survey</w:t>
      </w:r>
      <w:r w:rsidR="006B6630">
        <w:t xml:space="preserve"> (13</w:t>
      </w:r>
      <w:r w:rsidRPr="00B8476F">
        <w:t xml:space="preserve"> participants) were in favour of this, with </w:t>
      </w:r>
      <w:r>
        <w:t>1</w:t>
      </w:r>
      <w:r w:rsidR="006B6630">
        <w:t>0</w:t>
      </w:r>
      <w:r w:rsidRPr="00B8476F">
        <w:t xml:space="preserve"> people </w:t>
      </w:r>
      <w:r w:rsidR="007311A6">
        <w:t xml:space="preserve">(31%) </w:t>
      </w:r>
      <w:r w:rsidRPr="00B8476F">
        <w:t>not supportive and</w:t>
      </w:r>
      <w:r>
        <w:t xml:space="preserve"> the remaining 9</w:t>
      </w:r>
      <w:r w:rsidRPr="00B8476F">
        <w:t xml:space="preserve"> being unsure.</w:t>
      </w:r>
    </w:p>
    <w:p w14:paraId="4953AD1A" w14:textId="18661F60" w:rsidR="00FE3593" w:rsidRDefault="00F66ABB" w:rsidP="00FE3593">
      <w:r>
        <w:lastRenderedPageBreak/>
        <w:t xml:space="preserve">A range of comments were provided during the interviews with regard to this topic, with </w:t>
      </w:r>
      <w:r w:rsidR="00665068">
        <w:t>three</w:t>
      </w:r>
      <w:r>
        <w:t xml:space="preserve"> practices stating that it was </w:t>
      </w:r>
      <w:r w:rsidR="00370878">
        <w:t xml:space="preserve">useful </w:t>
      </w:r>
      <w:r w:rsidR="00F60EA6">
        <w:t xml:space="preserve">to have a </w:t>
      </w:r>
      <w:r w:rsidR="00370878">
        <w:t>prompt</w:t>
      </w:r>
      <w:r>
        <w:t xml:space="preserve"> </w:t>
      </w:r>
      <w:r w:rsidR="00FE3593">
        <w:t xml:space="preserve">on the topic </w:t>
      </w:r>
      <w:r w:rsidR="00665068">
        <w:t>as</w:t>
      </w:r>
      <w:r>
        <w:t xml:space="preserve"> they may not have specifically looked at it in practice before and could see the benefits for some patients. </w:t>
      </w:r>
      <w:r w:rsidR="00BC4863">
        <w:t>Two</w:t>
      </w:r>
      <w:r w:rsidR="006E5168">
        <w:t xml:space="preserve"> practice</w:t>
      </w:r>
      <w:r w:rsidR="00BC4863">
        <w:t>s</w:t>
      </w:r>
      <w:r w:rsidR="006E5168">
        <w:t xml:space="preserve"> </w:t>
      </w:r>
      <w:r w:rsidR="00F60EA6">
        <w:t xml:space="preserve">(2/14, 14%) </w:t>
      </w:r>
      <w:r w:rsidR="006E5168">
        <w:t xml:space="preserve">thought the patients should be picked up through </w:t>
      </w:r>
      <w:r w:rsidR="00F60EA6">
        <w:t>‘</w:t>
      </w:r>
      <w:r w:rsidR="006E5168">
        <w:t>good medical practice</w:t>
      </w:r>
      <w:r w:rsidR="00F60EA6">
        <w:t>’</w:t>
      </w:r>
      <w:r w:rsidR="006E5168">
        <w:t xml:space="preserve"> without the need for an indicator.</w:t>
      </w:r>
    </w:p>
    <w:p w14:paraId="02914E64" w14:textId="03014646" w:rsidR="00FE3593" w:rsidRPr="00AA1662" w:rsidRDefault="00FE3593" w:rsidP="00FE3593">
      <w:pPr>
        <w:rPr>
          <w:i/>
          <w:sz w:val="22"/>
        </w:rPr>
      </w:pPr>
      <w:r w:rsidRPr="00AA1662">
        <w:rPr>
          <w:i/>
          <w:sz w:val="22"/>
        </w:rPr>
        <w:t>“I think it's a really good prompt for the GPs to actually do something because I think they are so busy that actually it's those sorts of patients that sometimes fall through the net to be quite honest”. (Practice manager, interview)</w:t>
      </w:r>
    </w:p>
    <w:p w14:paraId="48377F73" w14:textId="10CA8CBD" w:rsidR="006E5168" w:rsidRPr="00AA1662" w:rsidRDefault="006E5168" w:rsidP="006E5168">
      <w:pPr>
        <w:rPr>
          <w:i/>
          <w:sz w:val="22"/>
        </w:rPr>
      </w:pPr>
      <w:r w:rsidRPr="00AA1662">
        <w:rPr>
          <w:i/>
          <w:sz w:val="22"/>
        </w:rPr>
        <w:t>“I think from the hypercholesterolaemia point of view if anyone wasn’t doing it they would be in trouble in the sense that they aren’t giving patients justice”. (GP, interview).</w:t>
      </w:r>
    </w:p>
    <w:p w14:paraId="3C6F317E" w14:textId="77777777" w:rsidR="006E5168" w:rsidRDefault="006E5168" w:rsidP="006E5168"/>
    <w:p w14:paraId="16FBBFF0" w14:textId="4D72274C" w:rsidR="00FE3593" w:rsidRDefault="00665068" w:rsidP="00FE3593">
      <w:r>
        <w:t>Three</w:t>
      </w:r>
      <w:r w:rsidR="00F66ABB">
        <w:t xml:space="preserve"> practices currently identified patients through NHS Health Checks or via cholesterol screening of patients with conditions included in QOF</w:t>
      </w:r>
      <w:r w:rsidR="00363181">
        <w:t>,</w:t>
      </w:r>
      <w:r w:rsidR="00F66ABB">
        <w:t xml:space="preserve"> such as diabetes or coronary heart disease</w:t>
      </w:r>
      <w:r w:rsidR="00363181">
        <w:t>,</w:t>
      </w:r>
      <w:r w:rsidR="00E16D93">
        <w:t xml:space="preserve"> and </w:t>
      </w:r>
      <w:r>
        <w:t xml:space="preserve">a further two practices </w:t>
      </w:r>
      <w:r w:rsidR="00EC5731">
        <w:t xml:space="preserve">thought </w:t>
      </w:r>
      <w:r w:rsidR="00E16D93">
        <w:t xml:space="preserve">that large scale screening for high cholesterol in the </w:t>
      </w:r>
      <w:r w:rsidR="00370878">
        <w:t>under 40 years old</w:t>
      </w:r>
      <w:r w:rsidR="00E16D93">
        <w:t xml:space="preserve"> population would be challenging</w:t>
      </w:r>
      <w:r w:rsidR="00DE69C7">
        <w:t xml:space="preserve"> (if this was required to increase the numbers identified with high cholesterol)</w:t>
      </w:r>
      <w:r w:rsidR="00E16D93">
        <w:t xml:space="preserve">. </w:t>
      </w:r>
      <w:r w:rsidR="00FE3593">
        <w:t xml:space="preserve">Another GP did not think the indicators </w:t>
      </w:r>
      <w:r w:rsidR="00F60EA6">
        <w:t>would improve</w:t>
      </w:r>
      <w:r w:rsidR="00FE3593">
        <w:t xml:space="preserve"> quality of care, suggesting that a standardised questionnaire would be useful to pick up on relevant risk factors as screening through blood tests was impractical.</w:t>
      </w:r>
    </w:p>
    <w:p w14:paraId="33F424FE" w14:textId="65D83236" w:rsidR="00F47711" w:rsidRDefault="00E16D93" w:rsidP="009B50F6">
      <w:r>
        <w:t>One practice noted that</w:t>
      </w:r>
      <w:r w:rsidR="00370878">
        <w:t xml:space="preserve"> there were</w:t>
      </w:r>
      <w:r>
        <w:t xml:space="preserve"> few patients </w:t>
      </w:r>
      <w:r w:rsidR="00370878">
        <w:t>aged under 40 years with</w:t>
      </w:r>
      <w:r>
        <w:t xml:space="preserve"> a cholesterol already recorded </w:t>
      </w:r>
      <w:r w:rsidR="00734358">
        <w:t xml:space="preserve">but that they would capture information about family history with new patient registrations, </w:t>
      </w:r>
      <w:r w:rsidR="00370878">
        <w:t xml:space="preserve">and another practice said that patients would self-present for a cholesterol check if they had a family history of </w:t>
      </w:r>
      <w:r w:rsidR="00370878" w:rsidRPr="00255415">
        <w:t>FH</w:t>
      </w:r>
      <w:r w:rsidR="00370878">
        <w:t xml:space="preserve">. </w:t>
      </w:r>
    </w:p>
    <w:p w14:paraId="48558933" w14:textId="3605B22D" w:rsidR="00370878" w:rsidRPr="00AA1662" w:rsidRDefault="00370878" w:rsidP="00370878">
      <w:pPr>
        <w:rPr>
          <w:i/>
          <w:sz w:val="22"/>
        </w:rPr>
      </w:pPr>
      <w:r w:rsidRPr="00AA1662">
        <w:rPr>
          <w:i/>
          <w:sz w:val="22"/>
        </w:rPr>
        <w:t>“I think we already have that as part of our diabetes and coronary heart disease screening on QOF anyway. They do look at cholesterol levels. I think that one is quite significant because it does make a difference to people’s outcomes at the end of the day. I would agree that it would be a significant thing to do”. (GP, interview)</w:t>
      </w:r>
    </w:p>
    <w:p w14:paraId="4DDD2299" w14:textId="77777777" w:rsidR="00337C88" w:rsidRPr="00370878" w:rsidRDefault="00337C88" w:rsidP="00370878">
      <w:pPr>
        <w:rPr>
          <w:i/>
        </w:rPr>
      </w:pPr>
    </w:p>
    <w:p w14:paraId="7039D32E" w14:textId="2F5A69F3" w:rsidR="007F3837" w:rsidRDefault="003C3540" w:rsidP="000A67C7">
      <w:r>
        <w:t>Four</w:t>
      </w:r>
      <w:r w:rsidR="00766783">
        <w:t xml:space="preserve"> survey respondents</w:t>
      </w:r>
      <w:r>
        <w:t xml:space="preserve"> (</w:t>
      </w:r>
      <w:r w:rsidR="00FF25F9">
        <w:t xml:space="preserve">4/32, </w:t>
      </w:r>
      <w:r>
        <w:t>12.5</w:t>
      </w:r>
      <w:r w:rsidR="00766783">
        <w:t xml:space="preserve">%) stated that there were existing </w:t>
      </w:r>
      <w:r w:rsidR="00766783" w:rsidRPr="00B8476F">
        <w:t>schemes</w:t>
      </w:r>
      <w:r w:rsidR="00FD0CB9">
        <w:t xml:space="preserve"> relating to FH</w:t>
      </w:r>
      <w:r w:rsidR="00766783" w:rsidRPr="00B8476F">
        <w:t xml:space="preserve"> in their local area</w:t>
      </w:r>
      <w:r>
        <w:t>, with one</w:t>
      </w:r>
      <w:r w:rsidR="00766783">
        <w:t xml:space="preserve"> of these </w:t>
      </w:r>
      <w:r w:rsidR="00766783" w:rsidRPr="00B8476F">
        <w:t xml:space="preserve">declaring </w:t>
      </w:r>
      <w:r w:rsidR="00766783">
        <w:t xml:space="preserve">that the pilot had had </w:t>
      </w:r>
      <w:r w:rsidR="00766783" w:rsidRPr="00B8476F">
        <w:t>a positive impact</w:t>
      </w:r>
      <w:r>
        <w:t xml:space="preserve"> </w:t>
      </w:r>
      <w:r w:rsidR="00DE69C7">
        <w:t xml:space="preserve">(described below) </w:t>
      </w:r>
      <w:r>
        <w:t xml:space="preserve">and the remaining three </w:t>
      </w:r>
      <w:r w:rsidR="00255415">
        <w:t xml:space="preserve">(9%) </w:t>
      </w:r>
      <w:r w:rsidR="00766783">
        <w:t>stating no impact</w:t>
      </w:r>
      <w:r>
        <w:t>.</w:t>
      </w:r>
      <w:r w:rsidR="00766783">
        <w:t xml:space="preserve"> </w:t>
      </w:r>
    </w:p>
    <w:p w14:paraId="29364D60" w14:textId="45E2AE91" w:rsidR="00EF5144" w:rsidRDefault="00FD0CB9" w:rsidP="000A67C7">
      <w:r>
        <w:lastRenderedPageBreak/>
        <w:t xml:space="preserve">Seven </w:t>
      </w:r>
      <w:r w:rsidR="00695615">
        <w:t xml:space="preserve">of the </w:t>
      </w:r>
      <w:r w:rsidR="00F47711">
        <w:t>14</w:t>
      </w:r>
      <w:r w:rsidR="00695615">
        <w:t xml:space="preserve"> practices interviewed </w:t>
      </w:r>
      <w:r w:rsidR="00F47711">
        <w:t>(50</w:t>
      </w:r>
      <w:r w:rsidR="003A6998">
        <w:t xml:space="preserve">%) </w:t>
      </w:r>
      <w:r w:rsidR="00695615">
        <w:t xml:space="preserve">were undertaking specific work relating to </w:t>
      </w:r>
      <w:r w:rsidR="00F47711">
        <w:t>FH</w:t>
      </w:r>
      <w:r w:rsidR="00C11BA8">
        <w:t>, with</w:t>
      </w:r>
      <w:r w:rsidR="00695615">
        <w:t xml:space="preserve"> </w:t>
      </w:r>
      <w:r w:rsidR="00C11BA8">
        <w:t>one practice</w:t>
      </w:r>
      <w:r w:rsidR="00695615">
        <w:t xml:space="preserve"> </w:t>
      </w:r>
      <w:r w:rsidR="00C11BA8">
        <w:t xml:space="preserve">providing further details relating to their </w:t>
      </w:r>
      <w:r w:rsidR="00F47711">
        <w:t>local incentive scheme</w:t>
      </w:r>
      <w:r w:rsidR="00C11BA8">
        <w:t>. They</w:t>
      </w:r>
      <w:r w:rsidR="00F47711">
        <w:t xml:space="preserve"> described their FH clinic which was set up specifically to actively look for people with potential FH, mainly </w:t>
      </w:r>
      <w:r w:rsidR="00C11BA8">
        <w:t xml:space="preserve">relating to </w:t>
      </w:r>
      <w:r w:rsidR="00F47711">
        <w:t xml:space="preserve">those aged 30 years and over </w:t>
      </w:r>
      <w:r w:rsidR="00C11BA8">
        <w:t>but also those who were younger than this</w:t>
      </w:r>
      <w:r w:rsidR="00F47711">
        <w:t xml:space="preserve"> on an opportunistic basis.</w:t>
      </w:r>
      <w:r w:rsidR="00C11BA8">
        <w:t xml:space="preserve"> </w:t>
      </w:r>
      <w:r w:rsidR="005C3E98">
        <w:t>Six</w:t>
      </w:r>
      <w:r w:rsidR="00C11BA8">
        <w:t xml:space="preserve"> practices</w:t>
      </w:r>
      <w:r w:rsidR="004A3D9A">
        <w:t xml:space="preserve"> (6/14, 43%)</w:t>
      </w:r>
      <w:r w:rsidR="00C11BA8">
        <w:t xml:space="preserve"> were already aware of the clinical diagnosis and onward referral recommendations as set out in the NICE clinical guideline </w:t>
      </w:r>
      <w:r w:rsidR="00EF5144">
        <w:t>(CG71) relating to identification and management of FH</w:t>
      </w:r>
      <w:r w:rsidR="00C11BA8">
        <w:rPr>
          <w:rStyle w:val="FootnoteReference"/>
        </w:rPr>
        <w:footnoteReference w:id="1"/>
      </w:r>
      <w:r w:rsidR="00EF5144">
        <w:t>, which were mainly applicable to newly registered patients</w:t>
      </w:r>
      <w:r w:rsidR="00C11BA8">
        <w:t xml:space="preserve">. </w:t>
      </w:r>
    </w:p>
    <w:p w14:paraId="31081196" w14:textId="77777777" w:rsidR="005C3E98" w:rsidRDefault="005C3E98" w:rsidP="00DF5244">
      <w:pPr>
        <w:pStyle w:val="Heading3"/>
      </w:pPr>
    </w:p>
    <w:p w14:paraId="4F98ECF4" w14:textId="071C3352" w:rsidR="0030580E" w:rsidRDefault="00DF5244" w:rsidP="00DF5244">
      <w:pPr>
        <w:pStyle w:val="Heading3"/>
      </w:pPr>
      <w:r>
        <w:t>Indicator-</w:t>
      </w:r>
      <w:r w:rsidR="007C3A9A">
        <w:t>level</w:t>
      </w:r>
      <w:r>
        <w:t xml:space="preserve"> feedback</w:t>
      </w:r>
    </w:p>
    <w:p w14:paraId="40FF72CB" w14:textId="6A4FEE18" w:rsidR="00180750" w:rsidRDefault="00180750" w:rsidP="007C3A9A">
      <w:r w:rsidRPr="00D3093B">
        <w:t xml:space="preserve">The views of survey respondents in terms of the impact on quality of care for patients were obtained for each of the </w:t>
      </w:r>
      <w:r>
        <w:t>three familial hypercholesterolaemia</w:t>
      </w:r>
      <w:r w:rsidRPr="00D3093B">
        <w:t xml:space="preserve"> indicators</w:t>
      </w:r>
      <w:r>
        <w:t xml:space="preserve">. </w:t>
      </w:r>
    </w:p>
    <w:p w14:paraId="22E3B98D" w14:textId="71D231F6" w:rsidR="00180750" w:rsidRDefault="00180750" w:rsidP="007C3A9A">
      <w:r>
        <w:t>The majority of respondents (78%, 25) agreed that the assessment of patients aged 29 years and under with a high total cholesterol would make the quality of care for patients better, and this was the view of 84% of respondents with regard to the second FH indicator (relating to assessment of patients aged 30 years and over).</w:t>
      </w:r>
    </w:p>
    <w:p w14:paraId="330FA53F" w14:textId="0F4E91B9" w:rsidR="00180750" w:rsidRPr="00AA1662" w:rsidRDefault="00086E1A" w:rsidP="007C3A9A">
      <w:pPr>
        <w:rPr>
          <w:i/>
          <w:sz w:val="22"/>
        </w:rPr>
      </w:pPr>
      <w:r w:rsidRPr="00AA1662">
        <w:rPr>
          <w:i/>
          <w:sz w:val="22"/>
        </w:rPr>
        <w:t>“Easy to get accurate levels with blood tests and patients tend to be well motivated to get advice and help for this - even it means simply taking a tablet”. (GP, survey)</w:t>
      </w:r>
    </w:p>
    <w:p w14:paraId="0279A37B" w14:textId="77777777" w:rsidR="004D1328" w:rsidRDefault="004413DA" w:rsidP="00EE3DCC">
      <w:r>
        <w:t>However, t</w:t>
      </w:r>
      <w:r w:rsidR="006E5168">
        <w:t>he general view from practices was that it was difficult</w:t>
      </w:r>
      <w:r w:rsidR="00086E1A" w:rsidRPr="007C3A9A">
        <w:t xml:space="preserve"> </w:t>
      </w:r>
      <w:r w:rsidR="006E5168">
        <w:t xml:space="preserve">to </w:t>
      </w:r>
      <w:r w:rsidR="00BC4863">
        <w:t xml:space="preserve">find patients with a high total cholesterol in either of the two age groups </w:t>
      </w:r>
      <w:r w:rsidR="00423D70">
        <w:t>includ</w:t>
      </w:r>
      <w:r w:rsidR="00BC4863">
        <w:t>ed</w:t>
      </w:r>
      <w:r w:rsidR="00423D70">
        <w:t xml:space="preserve"> in</w:t>
      </w:r>
      <w:r w:rsidR="00BC4863">
        <w:t xml:space="preserve"> the indicators who had</w:t>
      </w:r>
      <w:r>
        <w:t xml:space="preserve"> not</w:t>
      </w:r>
      <w:r w:rsidR="00BC4863">
        <w:t xml:space="preserve"> already been identified through their family history, but </w:t>
      </w:r>
      <w:r w:rsidR="00423D70">
        <w:t xml:space="preserve">this was </w:t>
      </w:r>
      <w:r>
        <w:t xml:space="preserve">particularly </w:t>
      </w:r>
      <w:r w:rsidR="00423D70">
        <w:t xml:space="preserve">the case </w:t>
      </w:r>
      <w:r w:rsidR="00BC4863">
        <w:t xml:space="preserve">with those aged 29 years or under. </w:t>
      </w:r>
    </w:p>
    <w:p w14:paraId="22328AEE" w14:textId="0F814DD9" w:rsidR="00EE3DCC" w:rsidRPr="00AA1662" w:rsidRDefault="00EE3DCC" w:rsidP="00EE3DCC">
      <w:pPr>
        <w:rPr>
          <w:i/>
          <w:sz w:val="22"/>
        </w:rPr>
      </w:pPr>
      <w:r w:rsidRPr="00AA1662">
        <w:rPr>
          <w:i/>
          <w:sz w:val="22"/>
        </w:rPr>
        <w:t>“We've actually got quite a young population but we don't tend to do regular blood tests unless they request them”. (GP, interview)</w:t>
      </w:r>
    </w:p>
    <w:p w14:paraId="690E7604" w14:textId="6F828023" w:rsidR="00EE3DCC" w:rsidRDefault="004A3D9A" w:rsidP="00255415">
      <w:r>
        <w:t xml:space="preserve">To note that the indicators being piloted only require application of the diagnostic criteria to patients who have already been identified with a high cholesterol, and are not </w:t>
      </w:r>
      <w:r w:rsidR="00F96044">
        <w:t>aimed at promoting population screening with cholesterol testing.</w:t>
      </w:r>
    </w:p>
    <w:p w14:paraId="05D18210" w14:textId="3172A83D" w:rsidR="00255415" w:rsidRDefault="00EE3DCC" w:rsidP="00255415">
      <w:r>
        <w:lastRenderedPageBreak/>
        <w:t xml:space="preserve">For those aged 29 years or under, most practices thought </w:t>
      </w:r>
      <w:r w:rsidR="00255415" w:rsidRPr="00255415">
        <w:t xml:space="preserve">that a very high cholesterol value was very rare </w:t>
      </w:r>
      <w:r w:rsidR="00255415">
        <w:t>and that the relatively small patient numbers relating to this clinical topic could mean that practices either received payment for a relatively limited amount of work or possibly would</w:t>
      </w:r>
      <w:r w:rsidR="004A3D9A">
        <w:t xml:space="preserve"> not</w:t>
      </w:r>
      <w:r w:rsidR="00255415">
        <w:t xml:space="preserve"> remember to implement it.</w:t>
      </w:r>
    </w:p>
    <w:p w14:paraId="67CC557A" w14:textId="42943907" w:rsidR="00255415" w:rsidRPr="00AA1662" w:rsidRDefault="004D1328" w:rsidP="00255415">
      <w:pPr>
        <w:rPr>
          <w:i/>
          <w:sz w:val="22"/>
        </w:rPr>
      </w:pPr>
      <w:r w:rsidRPr="00AA1662">
        <w:rPr>
          <w:i/>
          <w:sz w:val="22"/>
        </w:rPr>
        <w:t>“</w:t>
      </w:r>
      <w:r w:rsidR="00255415" w:rsidRPr="00AA1662">
        <w:rPr>
          <w:i/>
          <w:sz w:val="22"/>
        </w:rPr>
        <w:t>If they're 22 (years old) you might not bother, saying, “Oh, don’t worry about it, we’ll worry when they're 40.” But if it came back enormous, like, you know, formal, “This is hyperlipidaemia 9”</w:t>
      </w:r>
      <w:r w:rsidRPr="00AA1662">
        <w:rPr>
          <w:i/>
          <w:sz w:val="22"/>
        </w:rPr>
        <w:t>,</w:t>
      </w:r>
      <w:r w:rsidR="00255415" w:rsidRPr="00AA1662">
        <w:rPr>
          <w:i/>
          <w:sz w:val="22"/>
        </w:rPr>
        <w:t xml:space="preserve"> around 9 or something ridiculous, then it makes sense”. (GP, interview)</w:t>
      </w:r>
    </w:p>
    <w:p w14:paraId="24F821E2" w14:textId="77777777" w:rsidR="00255415" w:rsidRPr="00AA1662" w:rsidRDefault="00255415" w:rsidP="00255415">
      <w:pPr>
        <w:rPr>
          <w:i/>
          <w:sz w:val="22"/>
        </w:rPr>
      </w:pPr>
      <w:r w:rsidRPr="00AA1662">
        <w:rPr>
          <w:i/>
          <w:sz w:val="22"/>
        </w:rPr>
        <w:t>“Hypercholesterolaemia searches did not produce a high population. New patients were screened at new patient health check opportunistically. We will be discussing in a clinical meeting to establish if the Partners would like to continue to offer checks and referral if positive for quality of patient care”. (Practice senior manager, survey)</w:t>
      </w:r>
    </w:p>
    <w:p w14:paraId="5E38988B" w14:textId="06E936FA" w:rsidR="00255415" w:rsidRPr="00AA1662" w:rsidRDefault="00255415" w:rsidP="00255415">
      <w:pPr>
        <w:rPr>
          <w:i/>
          <w:sz w:val="22"/>
        </w:rPr>
      </w:pPr>
      <w:r w:rsidRPr="00AA1662">
        <w:rPr>
          <w:i/>
          <w:sz w:val="22"/>
        </w:rPr>
        <w:t>“…In terms of indicator development, it's a good indicator but there's not much work to do so I'd agree with that. Overall, in terms of effectiveness, you probably find other areas that will probably be more fruitful</w:t>
      </w:r>
      <w:proofErr w:type="gramStart"/>
      <w:r w:rsidRPr="00AA1662">
        <w:rPr>
          <w:i/>
          <w:sz w:val="22"/>
        </w:rPr>
        <w:t>…..</w:t>
      </w:r>
      <w:proofErr w:type="gramEnd"/>
      <w:r w:rsidRPr="00AA1662">
        <w:rPr>
          <w:i/>
          <w:sz w:val="22"/>
        </w:rPr>
        <w:t>You could potentially say everyone under 29 have your cholesterol checked but then you're scre</w:t>
      </w:r>
      <w:r w:rsidR="00595314" w:rsidRPr="00AA1662">
        <w:rPr>
          <w:i/>
          <w:sz w:val="22"/>
        </w:rPr>
        <w:t>ening everybody, aren't you?...</w:t>
      </w:r>
      <w:r w:rsidRPr="00AA1662">
        <w:rPr>
          <w:i/>
          <w:sz w:val="22"/>
        </w:rPr>
        <w:t xml:space="preserve"> So if there is a family history and there's risk, we know those patients, we screen them anyway”. (GP, interview)</w:t>
      </w:r>
    </w:p>
    <w:p w14:paraId="3C40E43D" w14:textId="77777777" w:rsidR="00255415" w:rsidRPr="00AA1662" w:rsidRDefault="00255415" w:rsidP="00255415">
      <w:pPr>
        <w:rPr>
          <w:i/>
          <w:sz w:val="22"/>
        </w:rPr>
      </w:pPr>
      <w:r w:rsidRPr="00AA1662">
        <w:rPr>
          <w:i/>
          <w:sz w:val="22"/>
        </w:rPr>
        <w:t>“I think it would only affect a very small number, wouldn't it? I mean we're in quite an educated area and people do tend to present themselves, ’There's a strong family history of cholesterol. I'd like mine checking’”. (Practice manager, interview)</w:t>
      </w:r>
    </w:p>
    <w:p w14:paraId="2080C68A" w14:textId="6102B801" w:rsidR="00255415" w:rsidRPr="00AA1662" w:rsidRDefault="00337C88" w:rsidP="00255415">
      <w:pPr>
        <w:rPr>
          <w:i/>
          <w:sz w:val="22"/>
        </w:rPr>
      </w:pPr>
      <w:r w:rsidRPr="00AA1662">
        <w:rPr>
          <w:i/>
          <w:sz w:val="22"/>
        </w:rPr>
        <w:t>“</w:t>
      </w:r>
      <w:r w:rsidR="00255415" w:rsidRPr="00AA1662">
        <w:rPr>
          <w:i/>
          <w:sz w:val="22"/>
        </w:rPr>
        <w:t>…It would be great for a GP to be paid to do that but I think if I'm taking my provider hat off, I think it's going to be payment for not doing a lot”. (</w:t>
      </w:r>
      <w:r w:rsidR="005C3E98" w:rsidRPr="00AA1662">
        <w:rPr>
          <w:i/>
          <w:sz w:val="22"/>
        </w:rPr>
        <w:t>GP</w:t>
      </w:r>
      <w:r w:rsidR="00255415" w:rsidRPr="00AA1662">
        <w:rPr>
          <w:i/>
          <w:sz w:val="22"/>
        </w:rPr>
        <w:t>, interview)</w:t>
      </w:r>
    </w:p>
    <w:p w14:paraId="0E477E7E" w14:textId="77777777" w:rsidR="00255415" w:rsidRPr="00BC4863" w:rsidRDefault="00255415" w:rsidP="00BC4863">
      <w:pPr>
        <w:rPr>
          <w:i/>
        </w:rPr>
      </w:pPr>
    </w:p>
    <w:p w14:paraId="075EDFB4" w14:textId="4A37C6E3" w:rsidR="00086E1A" w:rsidRDefault="00086E1A" w:rsidP="007C3A9A">
      <w:r>
        <w:t>Almost 72% of respondents (23</w:t>
      </w:r>
      <w:r w:rsidR="00EE3DCC">
        <w:t>/32</w:t>
      </w:r>
      <w:r>
        <w:t xml:space="preserve">) agreed that referral of patients with a clinical diagnosis of FH for specialist assessment could make the quality of care for patients better. </w:t>
      </w:r>
      <w:r w:rsidR="004C08C2">
        <w:t xml:space="preserve">However, some interview comments </w:t>
      </w:r>
      <w:r w:rsidR="009D2014">
        <w:t>suggested that any</w:t>
      </w:r>
      <w:r w:rsidR="004C08C2">
        <w:t xml:space="preserve"> patients with a clinical diagnosis would already have been referred.</w:t>
      </w:r>
    </w:p>
    <w:p w14:paraId="470CB8CE" w14:textId="77777777" w:rsidR="00086E1A" w:rsidRPr="00AA1662" w:rsidRDefault="00086E1A" w:rsidP="00086E1A">
      <w:pPr>
        <w:rPr>
          <w:i/>
          <w:sz w:val="22"/>
        </w:rPr>
      </w:pPr>
      <w:r w:rsidRPr="00AA1662">
        <w:rPr>
          <w:i/>
          <w:sz w:val="22"/>
        </w:rPr>
        <w:t>“However, most patients have already been recognised and referred appropriately already without prompt”. (GP, survey)</w:t>
      </w:r>
    </w:p>
    <w:p w14:paraId="09EFFEF3" w14:textId="77777777" w:rsidR="00423D70" w:rsidRPr="00086E1A" w:rsidRDefault="00423D70" w:rsidP="00086E1A">
      <w:pPr>
        <w:rPr>
          <w:i/>
        </w:rPr>
      </w:pPr>
    </w:p>
    <w:p w14:paraId="2A36768A" w14:textId="44581996" w:rsidR="00D359FB" w:rsidRDefault="00D359FB" w:rsidP="00AD4796"/>
    <w:p w14:paraId="3D852D3A" w14:textId="77777777" w:rsidR="00AA1662" w:rsidRDefault="00AA1662" w:rsidP="00AD4796"/>
    <w:p w14:paraId="7C2E6FFE" w14:textId="691F97F4" w:rsidR="00D4520D" w:rsidRPr="00B8476F" w:rsidRDefault="008642CD" w:rsidP="00391E51">
      <w:pPr>
        <w:spacing w:after="160" w:line="259" w:lineRule="auto"/>
        <w:jc w:val="left"/>
      </w:pPr>
      <w:r w:rsidRPr="00B8476F">
        <w:rPr>
          <w:rStyle w:val="Heading2Char"/>
        </w:rPr>
        <w:lastRenderedPageBreak/>
        <w:t>Assessment of implementation</w:t>
      </w:r>
      <w:r w:rsidRPr="00B8476F">
        <w:t xml:space="preserve">: </w:t>
      </w:r>
    </w:p>
    <w:p w14:paraId="6C514491" w14:textId="1B103B6D" w:rsidR="008642CD" w:rsidRDefault="008642CD" w:rsidP="008642CD">
      <w:pPr>
        <w:rPr>
          <w:b/>
        </w:rPr>
      </w:pPr>
      <w:r w:rsidRPr="00B8476F">
        <w:rPr>
          <w:rStyle w:val="Heading3Char"/>
        </w:rPr>
        <w:t>Assessment of piloting achievement</w:t>
      </w:r>
      <w:r w:rsidR="00985F0C" w:rsidRPr="00B8476F">
        <w:rPr>
          <w:b/>
        </w:rPr>
        <w:t xml:space="preserve"> </w:t>
      </w:r>
    </w:p>
    <w:p w14:paraId="041C0410" w14:textId="41D48A37" w:rsidR="0098234E" w:rsidRPr="0098234E" w:rsidRDefault="0098234E" w:rsidP="008642CD">
      <w:r w:rsidRPr="0098234E">
        <w:t>The baseline extraction covers a 12 month time period and the final extraction a 4 month time period.</w:t>
      </w:r>
    </w:p>
    <w:p w14:paraId="1C363E2A" w14:textId="77777777" w:rsidR="00D359FB" w:rsidRPr="00CB4152" w:rsidRDefault="00D359FB" w:rsidP="00D359FB">
      <w:pPr>
        <w:pStyle w:val="Heading4"/>
      </w:pPr>
      <w:r w:rsidRPr="00CB4152">
        <w:t xml:space="preserve">Indicator 1: </w:t>
      </w:r>
      <w:r>
        <w:t>Assessment of patients aged 29 years and under with a high total cholesterol</w:t>
      </w:r>
    </w:p>
    <w:tbl>
      <w:tblPr>
        <w:tblStyle w:val="TableGrid"/>
        <w:tblW w:w="0" w:type="auto"/>
        <w:tblLook w:val="04A0" w:firstRow="1" w:lastRow="0" w:firstColumn="1" w:lastColumn="0" w:noHBand="0" w:noVBand="1"/>
      </w:tblPr>
      <w:tblGrid>
        <w:gridCol w:w="6232"/>
        <w:gridCol w:w="1276"/>
        <w:gridCol w:w="1508"/>
      </w:tblGrid>
      <w:tr w:rsidR="00F148F2" w:rsidRPr="00B8476F" w14:paraId="10F1FCC5" w14:textId="77777777" w:rsidTr="00F148F2">
        <w:tc>
          <w:tcPr>
            <w:tcW w:w="6232" w:type="dxa"/>
          </w:tcPr>
          <w:p w14:paraId="4446D42E" w14:textId="387D7770" w:rsidR="00F148F2" w:rsidRPr="000C0098" w:rsidRDefault="00F148F2" w:rsidP="00BB7D8F">
            <w:pPr>
              <w:spacing w:before="40" w:after="40" w:line="240" w:lineRule="auto"/>
              <w:rPr>
                <w:b/>
              </w:rPr>
            </w:pPr>
            <w:r w:rsidRPr="000C0098">
              <w:rPr>
                <w:b/>
              </w:rPr>
              <w:t xml:space="preserve">% </w:t>
            </w:r>
            <w:r w:rsidR="00BB7D8F">
              <w:rPr>
                <w:b/>
              </w:rPr>
              <w:t>patients aged 29 or under with a high total cholesterol assessed for FH</w:t>
            </w:r>
          </w:p>
        </w:tc>
        <w:tc>
          <w:tcPr>
            <w:tcW w:w="1276" w:type="dxa"/>
          </w:tcPr>
          <w:p w14:paraId="6C46C279" w14:textId="77777777" w:rsidR="00F148F2" w:rsidRPr="000C0098" w:rsidRDefault="00F148F2" w:rsidP="001F53E7">
            <w:pPr>
              <w:spacing w:before="40" w:after="40" w:line="240" w:lineRule="auto"/>
              <w:jc w:val="center"/>
              <w:rPr>
                <w:b/>
              </w:rPr>
            </w:pPr>
            <w:r w:rsidRPr="000C0098">
              <w:rPr>
                <w:b/>
              </w:rPr>
              <w:t>Baseline</w:t>
            </w:r>
          </w:p>
        </w:tc>
        <w:tc>
          <w:tcPr>
            <w:tcW w:w="1508" w:type="dxa"/>
          </w:tcPr>
          <w:p w14:paraId="719F8D05" w14:textId="77777777" w:rsidR="00F148F2" w:rsidRPr="000C0098" w:rsidRDefault="00F148F2" w:rsidP="001F53E7">
            <w:pPr>
              <w:spacing w:before="40" w:after="40" w:line="240" w:lineRule="auto"/>
              <w:jc w:val="center"/>
              <w:rPr>
                <w:b/>
              </w:rPr>
            </w:pPr>
            <w:r w:rsidRPr="000C0098">
              <w:rPr>
                <w:b/>
              </w:rPr>
              <w:t>Final</w:t>
            </w:r>
          </w:p>
        </w:tc>
      </w:tr>
      <w:tr w:rsidR="00BB7D8F" w:rsidRPr="00B8476F" w14:paraId="3AE7FF6F" w14:textId="77777777" w:rsidTr="00190011">
        <w:tc>
          <w:tcPr>
            <w:tcW w:w="6232" w:type="dxa"/>
            <w:vAlign w:val="bottom"/>
          </w:tcPr>
          <w:p w14:paraId="2E7AC019" w14:textId="7181F048" w:rsidR="00BB7D8F" w:rsidRPr="00BB7D8F" w:rsidRDefault="00BB7D8F" w:rsidP="00BB7D8F">
            <w:pPr>
              <w:spacing w:before="40" w:after="40" w:line="240" w:lineRule="auto"/>
              <w:rPr>
                <w:rFonts w:cs="Arial"/>
                <w:b/>
              </w:rPr>
            </w:pPr>
            <w:r w:rsidRPr="00BB7D8F">
              <w:rPr>
                <w:rFonts w:cs="Arial"/>
                <w:b/>
                <w:color w:val="000000"/>
                <w:sz w:val="22"/>
              </w:rPr>
              <w:t>Practices</w:t>
            </w:r>
          </w:p>
        </w:tc>
        <w:tc>
          <w:tcPr>
            <w:tcW w:w="1276" w:type="dxa"/>
            <w:vAlign w:val="bottom"/>
          </w:tcPr>
          <w:p w14:paraId="36285134" w14:textId="20EBE83A" w:rsidR="00BB7D8F" w:rsidRPr="00BB7D8F" w:rsidRDefault="00BB7D8F" w:rsidP="00BB7D8F">
            <w:pPr>
              <w:spacing w:before="40" w:after="40" w:line="240" w:lineRule="auto"/>
              <w:jc w:val="center"/>
              <w:rPr>
                <w:rFonts w:cs="Arial"/>
                <w:b/>
              </w:rPr>
            </w:pPr>
            <w:r w:rsidRPr="00BB7D8F">
              <w:rPr>
                <w:rFonts w:cs="Arial"/>
                <w:b/>
                <w:color w:val="000000"/>
                <w:sz w:val="22"/>
              </w:rPr>
              <w:t>26</w:t>
            </w:r>
          </w:p>
        </w:tc>
        <w:tc>
          <w:tcPr>
            <w:tcW w:w="1508" w:type="dxa"/>
            <w:vAlign w:val="bottom"/>
          </w:tcPr>
          <w:p w14:paraId="43C014BA" w14:textId="1538CC78" w:rsidR="00BB7D8F" w:rsidRPr="00BB7D8F" w:rsidRDefault="00BB7D8F" w:rsidP="00BB7D8F">
            <w:pPr>
              <w:spacing w:before="40" w:after="40" w:line="240" w:lineRule="auto"/>
              <w:jc w:val="center"/>
              <w:rPr>
                <w:rFonts w:cs="Arial"/>
                <w:b/>
              </w:rPr>
            </w:pPr>
            <w:r w:rsidRPr="00BB7D8F">
              <w:rPr>
                <w:rFonts w:cs="Arial"/>
                <w:b/>
                <w:color w:val="000000"/>
                <w:sz w:val="22"/>
              </w:rPr>
              <w:t>26</w:t>
            </w:r>
          </w:p>
        </w:tc>
      </w:tr>
      <w:tr w:rsidR="00BB7D8F" w:rsidRPr="00B8476F" w14:paraId="7B462761" w14:textId="77777777" w:rsidTr="00190011">
        <w:tc>
          <w:tcPr>
            <w:tcW w:w="6232" w:type="dxa"/>
            <w:vAlign w:val="bottom"/>
          </w:tcPr>
          <w:p w14:paraId="713F1352" w14:textId="50579838" w:rsidR="00BB7D8F" w:rsidRPr="00BB7D8F" w:rsidRDefault="00BB7D8F" w:rsidP="00BB7D8F">
            <w:pPr>
              <w:spacing w:before="40" w:after="40" w:line="240" w:lineRule="auto"/>
              <w:rPr>
                <w:rFonts w:cs="Arial"/>
                <w:b/>
              </w:rPr>
            </w:pPr>
            <w:r w:rsidRPr="00BB7D8F">
              <w:rPr>
                <w:rFonts w:cs="Arial"/>
                <w:b/>
                <w:color w:val="000000"/>
                <w:sz w:val="22"/>
              </w:rPr>
              <w:t xml:space="preserve">Practice population </w:t>
            </w:r>
          </w:p>
        </w:tc>
        <w:tc>
          <w:tcPr>
            <w:tcW w:w="1276" w:type="dxa"/>
            <w:vAlign w:val="bottom"/>
          </w:tcPr>
          <w:p w14:paraId="1BD5345E" w14:textId="5518F116" w:rsidR="00BB7D8F" w:rsidRPr="00BB7D8F" w:rsidRDefault="00BB7D8F" w:rsidP="00BB7D8F">
            <w:pPr>
              <w:spacing w:before="40" w:after="40" w:line="240" w:lineRule="auto"/>
              <w:jc w:val="center"/>
              <w:rPr>
                <w:rFonts w:cs="Arial"/>
                <w:b/>
              </w:rPr>
            </w:pPr>
            <w:r w:rsidRPr="00BB7D8F">
              <w:rPr>
                <w:rFonts w:cs="Arial"/>
                <w:b/>
                <w:color w:val="000000"/>
                <w:sz w:val="22"/>
              </w:rPr>
              <w:t>321</w:t>
            </w:r>
            <w:r>
              <w:rPr>
                <w:rFonts w:cs="Arial"/>
                <w:b/>
                <w:color w:val="000000"/>
                <w:sz w:val="22"/>
              </w:rPr>
              <w:t>,</w:t>
            </w:r>
            <w:r w:rsidRPr="00BB7D8F">
              <w:rPr>
                <w:rFonts w:cs="Arial"/>
                <w:b/>
                <w:color w:val="000000"/>
                <w:sz w:val="22"/>
              </w:rPr>
              <w:t>651</w:t>
            </w:r>
          </w:p>
        </w:tc>
        <w:tc>
          <w:tcPr>
            <w:tcW w:w="1508" w:type="dxa"/>
            <w:vAlign w:val="bottom"/>
          </w:tcPr>
          <w:p w14:paraId="5D46AC20" w14:textId="38E5CC62" w:rsidR="00BB7D8F" w:rsidRPr="00BB7D8F" w:rsidRDefault="00BB7D8F" w:rsidP="00BB7D8F">
            <w:pPr>
              <w:spacing w:before="40" w:after="40" w:line="240" w:lineRule="auto"/>
              <w:jc w:val="center"/>
              <w:rPr>
                <w:rFonts w:cs="Arial"/>
                <w:b/>
              </w:rPr>
            </w:pPr>
            <w:r w:rsidRPr="00BB7D8F">
              <w:rPr>
                <w:rFonts w:cs="Arial"/>
                <w:b/>
                <w:color w:val="000000"/>
                <w:sz w:val="22"/>
              </w:rPr>
              <w:t>321</w:t>
            </w:r>
            <w:r>
              <w:rPr>
                <w:rFonts w:cs="Arial"/>
                <w:b/>
                <w:color w:val="000000"/>
                <w:sz w:val="22"/>
              </w:rPr>
              <w:t>,</w:t>
            </w:r>
            <w:r w:rsidRPr="00BB7D8F">
              <w:rPr>
                <w:rFonts w:cs="Arial"/>
                <w:b/>
                <w:color w:val="000000"/>
                <w:sz w:val="22"/>
              </w:rPr>
              <w:t>815</w:t>
            </w:r>
          </w:p>
        </w:tc>
      </w:tr>
      <w:tr w:rsidR="00BB7D8F" w:rsidRPr="00B8476F" w14:paraId="085561E5" w14:textId="77777777" w:rsidTr="00190011">
        <w:tc>
          <w:tcPr>
            <w:tcW w:w="6232" w:type="dxa"/>
            <w:vAlign w:val="bottom"/>
          </w:tcPr>
          <w:p w14:paraId="4D61B9AF" w14:textId="6EDDD8C1" w:rsidR="00BB7D8F" w:rsidRPr="00BB7D8F" w:rsidRDefault="00BB7D8F" w:rsidP="00BB7D8F">
            <w:pPr>
              <w:spacing w:before="40" w:after="40" w:line="240" w:lineRule="auto"/>
              <w:rPr>
                <w:rFonts w:cs="Arial"/>
              </w:rPr>
            </w:pPr>
            <w:r w:rsidRPr="00BB7D8F">
              <w:rPr>
                <w:rFonts w:cs="Arial"/>
                <w:color w:val="000000"/>
                <w:sz w:val="22"/>
              </w:rPr>
              <w:t>Generated (&lt;=29 + 7.5+)</w:t>
            </w:r>
          </w:p>
        </w:tc>
        <w:tc>
          <w:tcPr>
            <w:tcW w:w="1276" w:type="dxa"/>
            <w:vAlign w:val="bottom"/>
          </w:tcPr>
          <w:p w14:paraId="391D5BBF" w14:textId="4FD163B7" w:rsidR="00BB7D8F" w:rsidRPr="00BB7D8F" w:rsidRDefault="00BB7D8F" w:rsidP="00BB7D8F">
            <w:pPr>
              <w:spacing w:before="40" w:after="40" w:line="240" w:lineRule="auto"/>
              <w:jc w:val="center"/>
              <w:rPr>
                <w:rFonts w:cs="Arial"/>
              </w:rPr>
            </w:pPr>
            <w:r w:rsidRPr="00BB7D8F">
              <w:rPr>
                <w:rFonts w:cs="Arial"/>
                <w:color w:val="000000"/>
                <w:sz w:val="22"/>
              </w:rPr>
              <w:t>25</w:t>
            </w:r>
          </w:p>
        </w:tc>
        <w:tc>
          <w:tcPr>
            <w:tcW w:w="1508" w:type="dxa"/>
            <w:vAlign w:val="bottom"/>
          </w:tcPr>
          <w:p w14:paraId="36557AD1" w14:textId="2EEB4A35" w:rsidR="00BB7D8F" w:rsidRPr="00BB7D8F" w:rsidRDefault="00BB7D8F" w:rsidP="00BB7D8F">
            <w:pPr>
              <w:spacing w:before="40" w:after="40" w:line="240" w:lineRule="auto"/>
              <w:jc w:val="center"/>
              <w:rPr>
                <w:rFonts w:cs="Arial"/>
              </w:rPr>
            </w:pPr>
            <w:r w:rsidRPr="00BB7D8F">
              <w:rPr>
                <w:rFonts w:cs="Arial"/>
                <w:color w:val="000000"/>
                <w:sz w:val="22"/>
              </w:rPr>
              <w:t>68</w:t>
            </w:r>
          </w:p>
        </w:tc>
      </w:tr>
      <w:tr w:rsidR="00BB7D8F" w:rsidRPr="00B8476F" w14:paraId="2C80E273" w14:textId="77777777" w:rsidTr="00190011">
        <w:tc>
          <w:tcPr>
            <w:tcW w:w="6232" w:type="dxa"/>
            <w:vAlign w:val="bottom"/>
          </w:tcPr>
          <w:p w14:paraId="4E9949FC" w14:textId="4A4A6173" w:rsidR="00BB7D8F" w:rsidRPr="00BB7D8F" w:rsidRDefault="00BB7D8F" w:rsidP="00BB7D8F">
            <w:pPr>
              <w:spacing w:before="40" w:after="40" w:line="240" w:lineRule="auto"/>
              <w:rPr>
                <w:rFonts w:cs="Arial"/>
              </w:rPr>
            </w:pPr>
            <w:r w:rsidRPr="00BB7D8F">
              <w:rPr>
                <w:rFonts w:cs="Arial"/>
                <w:color w:val="000000"/>
                <w:sz w:val="22"/>
              </w:rPr>
              <w:t>Excluded: existing FH diagnosis before cholesterol</w:t>
            </w:r>
          </w:p>
        </w:tc>
        <w:tc>
          <w:tcPr>
            <w:tcW w:w="1276" w:type="dxa"/>
            <w:vAlign w:val="bottom"/>
          </w:tcPr>
          <w:p w14:paraId="69B8206F" w14:textId="22896114" w:rsidR="00BB7D8F" w:rsidRPr="00BB7D8F" w:rsidRDefault="00BB7D8F" w:rsidP="00BB7D8F">
            <w:pPr>
              <w:spacing w:before="40" w:after="40" w:line="240" w:lineRule="auto"/>
              <w:jc w:val="center"/>
              <w:rPr>
                <w:rFonts w:cs="Arial"/>
              </w:rPr>
            </w:pPr>
            <w:r w:rsidRPr="00BB7D8F">
              <w:rPr>
                <w:rFonts w:cs="Arial"/>
                <w:color w:val="000000"/>
                <w:sz w:val="22"/>
              </w:rPr>
              <w:t>0</w:t>
            </w:r>
          </w:p>
        </w:tc>
        <w:tc>
          <w:tcPr>
            <w:tcW w:w="1508" w:type="dxa"/>
            <w:vAlign w:val="bottom"/>
          </w:tcPr>
          <w:p w14:paraId="57C144FF" w14:textId="0B5E101D" w:rsidR="00BB7D8F" w:rsidRPr="00BB7D8F" w:rsidRDefault="00BB7D8F" w:rsidP="00BB7D8F">
            <w:pPr>
              <w:spacing w:before="40" w:after="40" w:line="240" w:lineRule="auto"/>
              <w:jc w:val="center"/>
              <w:rPr>
                <w:rFonts w:cs="Arial"/>
              </w:rPr>
            </w:pPr>
            <w:r w:rsidRPr="00BB7D8F">
              <w:rPr>
                <w:rFonts w:cs="Arial"/>
                <w:color w:val="000000"/>
                <w:sz w:val="22"/>
              </w:rPr>
              <w:t>0</w:t>
            </w:r>
          </w:p>
        </w:tc>
      </w:tr>
      <w:tr w:rsidR="00BB7D8F" w:rsidRPr="00B8476F" w14:paraId="5C124FE5" w14:textId="77777777" w:rsidTr="00190011">
        <w:tc>
          <w:tcPr>
            <w:tcW w:w="6232" w:type="dxa"/>
            <w:vAlign w:val="bottom"/>
          </w:tcPr>
          <w:p w14:paraId="677C1A42" w14:textId="4829BFD2" w:rsidR="00BB7D8F" w:rsidRPr="00BB7D8F" w:rsidRDefault="00BB7D8F" w:rsidP="00BB7D8F">
            <w:pPr>
              <w:spacing w:before="40" w:after="40" w:line="240" w:lineRule="auto"/>
              <w:rPr>
                <w:rFonts w:cs="Arial"/>
              </w:rPr>
            </w:pPr>
            <w:r w:rsidRPr="00BB7D8F">
              <w:rPr>
                <w:rFonts w:cs="Arial"/>
                <w:color w:val="000000"/>
                <w:sz w:val="22"/>
              </w:rPr>
              <w:t xml:space="preserve">Excluded: previous referral </w:t>
            </w:r>
          </w:p>
        </w:tc>
        <w:tc>
          <w:tcPr>
            <w:tcW w:w="1276" w:type="dxa"/>
            <w:vAlign w:val="bottom"/>
          </w:tcPr>
          <w:p w14:paraId="1F0856EE" w14:textId="04B0B1E9" w:rsidR="00BB7D8F" w:rsidRPr="00BB7D8F" w:rsidRDefault="00BB7D8F" w:rsidP="00BB7D8F">
            <w:pPr>
              <w:spacing w:before="40" w:after="40" w:line="240" w:lineRule="auto"/>
              <w:jc w:val="center"/>
              <w:rPr>
                <w:rFonts w:cs="Arial"/>
              </w:rPr>
            </w:pPr>
            <w:r w:rsidRPr="00BB7D8F">
              <w:rPr>
                <w:rFonts w:cs="Arial"/>
                <w:color w:val="000000"/>
                <w:sz w:val="22"/>
              </w:rPr>
              <w:t>1</w:t>
            </w:r>
          </w:p>
        </w:tc>
        <w:tc>
          <w:tcPr>
            <w:tcW w:w="1508" w:type="dxa"/>
            <w:vAlign w:val="bottom"/>
          </w:tcPr>
          <w:p w14:paraId="1DFBB318" w14:textId="09A5EA3A" w:rsidR="00BB7D8F" w:rsidRPr="00BB7D8F" w:rsidRDefault="00BB7D8F" w:rsidP="00BB7D8F">
            <w:pPr>
              <w:spacing w:before="40" w:after="40" w:line="240" w:lineRule="auto"/>
              <w:jc w:val="center"/>
              <w:rPr>
                <w:rFonts w:cs="Arial"/>
              </w:rPr>
            </w:pPr>
            <w:r w:rsidRPr="00BB7D8F">
              <w:rPr>
                <w:rFonts w:cs="Arial"/>
                <w:color w:val="000000"/>
                <w:sz w:val="22"/>
              </w:rPr>
              <w:t>0</w:t>
            </w:r>
          </w:p>
        </w:tc>
      </w:tr>
      <w:tr w:rsidR="00BB7D8F" w:rsidRPr="00B8476F" w14:paraId="72B4EA94" w14:textId="77777777" w:rsidTr="00190011">
        <w:tc>
          <w:tcPr>
            <w:tcW w:w="6232" w:type="dxa"/>
            <w:vAlign w:val="bottom"/>
          </w:tcPr>
          <w:p w14:paraId="75557F2B" w14:textId="3D17577C" w:rsidR="00BB7D8F" w:rsidRPr="00BB7D8F" w:rsidRDefault="00BB7D8F" w:rsidP="00BB7D8F">
            <w:pPr>
              <w:spacing w:before="40" w:after="40" w:line="240" w:lineRule="auto"/>
              <w:rPr>
                <w:rFonts w:cs="Arial"/>
              </w:rPr>
            </w:pPr>
            <w:r w:rsidRPr="00BB7D8F">
              <w:rPr>
                <w:rFonts w:cs="Arial"/>
                <w:color w:val="000000"/>
                <w:sz w:val="22"/>
              </w:rPr>
              <w:t>Excluded: diagnosed without assessment</w:t>
            </w:r>
          </w:p>
        </w:tc>
        <w:tc>
          <w:tcPr>
            <w:tcW w:w="1276" w:type="dxa"/>
            <w:vAlign w:val="bottom"/>
          </w:tcPr>
          <w:p w14:paraId="6BFC9412" w14:textId="43841487" w:rsidR="00BB7D8F" w:rsidRPr="00BB7D8F" w:rsidRDefault="00BB7D8F" w:rsidP="00BB7D8F">
            <w:pPr>
              <w:spacing w:before="40" w:after="40" w:line="240" w:lineRule="auto"/>
              <w:jc w:val="center"/>
              <w:rPr>
                <w:rFonts w:cs="Arial"/>
              </w:rPr>
            </w:pPr>
            <w:r w:rsidRPr="00BB7D8F">
              <w:rPr>
                <w:rFonts w:cs="Arial"/>
                <w:color w:val="000000"/>
                <w:sz w:val="22"/>
              </w:rPr>
              <w:t>0</w:t>
            </w:r>
          </w:p>
        </w:tc>
        <w:tc>
          <w:tcPr>
            <w:tcW w:w="1508" w:type="dxa"/>
            <w:vAlign w:val="bottom"/>
          </w:tcPr>
          <w:p w14:paraId="53C975B1" w14:textId="3D1448C6" w:rsidR="00BB7D8F" w:rsidRPr="00BB7D8F" w:rsidRDefault="00BB7D8F" w:rsidP="00BB7D8F">
            <w:pPr>
              <w:spacing w:before="40" w:after="40" w:line="240" w:lineRule="auto"/>
              <w:jc w:val="center"/>
              <w:rPr>
                <w:rFonts w:cs="Arial"/>
              </w:rPr>
            </w:pPr>
            <w:r w:rsidRPr="00BB7D8F">
              <w:rPr>
                <w:rFonts w:cs="Arial"/>
                <w:color w:val="000000"/>
                <w:sz w:val="22"/>
              </w:rPr>
              <w:t>0</w:t>
            </w:r>
          </w:p>
        </w:tc>
      </w:tr>
      <w:tr w:rsidR="00BB7D8F" w:rsidRPr="00B8476F" w14:paraId="663F9994" w14:textId="77777777" w:rsidTr="00190011">
        <w:tc>
          <w:tcPr>
            <w:tcW w:w="6232" w:type="dxa"/>
            <w:vAlign w:val="bottom"/>
          </w:tcPr>
          <w:p w14:paraId="21982375" w14:textId="6DE841D3" w:rsidR="00BB7D8F" w:rsidRPr="00BB7D8F" w:rsidRDefault="00BB7D8F" w:rsidP="00BB7D8F">
            <w:pPr>
              <w:spacing w:before="40" w:after="40" w:line="240" w:lineRule="auto"/>
              <w:rPr>
                <w:rFonts w:cs="Arial"/>
                <w:b/>
              </w:rPr>
            </w:pPr>
            <w:r w:rsidRPr="00BB7D8F">
              <w:rPr>
                <w:rFonts w:cs="Arial"/>
                <w:b/>
                <w:color w:val="000000"/>
                <w:sz w:val="22"/>
              </w:rPr>
              <w:t xml:space="preserve">Denominator </w:t>
            </w:r>
          </w:p>
        </w:tc>
        <w:tc>
          <w:tcPr>
            <w:tcW w:w="1276" w:type="dxa"/>
            <w:vAlign w:val="bottom"/>
          </w:tcPr>
          <w:p w14:paraId="6495045C" w14:textId="02322C6C" w:rsidR="00BB7D8F" w:rsidRPr="00BB7D8F" w:rsidRDefault="00BB7D8F" w:rsidP="00BB7D8F">
            <w:pPr>
              <w:spacing w:before="40" w:after="40" w:line="240" w:lineRule="auto"/>
              <w:jc w:val="center"/>
              <w:rPr>
                <w:rFonts w:cs="Arial"/>
                <w:b/>
              </w:rPr>
            </w:pPr>
            <w:r w:rsidRPr="00BB7D8F">
              <w:rPr>
                <w:rFonts w:cs="Arial"/>
                <w:b/>
                <w:color w:val="000000"/>
                <w:sz w:val="22"/>
              </w:rPr>
              <w:t>24</w:t>
            </w:r>
          </w:p>
        </w:tc>
        <w:tc>
          <w:tcPr>
            <w:tcW w:w="1508" w:type="dxa"/>
            <w:vAlign w:val="bottom"/>
          </w:tcPr>
          <w:p w14:paraId="43D53ADA" w14:textId="59DEECF2" w:rsidR="00BB7D8F" w:rsidRPr="00BB7D8F" w:rsidRDefault="00BB7D8F" w:rsidP="00BB7D8F">
            <w:pPr>
              <w:spacing w:before="40" w:after="40" w:line="240" w:lineRule="auto"/>
              <w:jc w:val="center"/>
              <w:rPr>
                <w:rFonts w:cs="Arial"/>
                <w:b/>
              </w:rPr>
            </w:pPr>
            <w:r w:rsidRPr="00BB7D8F">
              <w:rPr>
                <w:rFonts w:cs="Arial"/>
                <w:b/>
                <w:color w:val="000000"/>
                <w:sz w:val="22"/>
              </w:rPr>
              <w:t>68</w:t>
            </w:r>
          </w:p>
        </w:tc>
      </w:tr>
      <w:tr w:rsidR="00BB7D8F" w:rsidRPr="00B8476F" w14:paraId="4EFFD697" w14:textId="77777777" w:rsidTr="00190011">
        <w:tc>
          <w:tcPr>
            <w:tcW w:w="6232" w:type="dxa"/>
            <w:vAlign w:val="bottom"/>
          </w:tcPr>
          <w:p w14:paraId="30F3C18C" w14:textId="004A7601" w:rsidR="00BB7D8F" w:rsidRPr="00BB7D8F" w:rsidRDefault="00BB7D8F" w:rsidP="00BB7D8F">
            <w:pPr>
              <w:spacing w:before="40" w:after="40" w:line="240" w:lineRule="auto"/>
              <w:rPr>
                <w:rFonts w:cs="Arial"/>
                <w:b/>
              </w:rPr>
            </w:pPr>
            <w:r w:rsidRPr="00BB7D8F">
              <w:rPr>
                <w:rFonts w:cs="Arial"/>
                <w:b/>
                <w:color w:val="000000"/>
                <w:sz w:val="22"/>
              </w:rPr>
              <w:t>Numerator</w:t>
            </w:r>
          </w:p>
        </w:tc>
        <w:tc>
          <w:tcPr>
            <w:tcW w:w="1276" w:type="dxa"/>
            <w:vAlign w:val="bottom"/>
          </w:tcPr>
          <w:p w14:paraId="1254D83A" w14:textId="439DC3FA" w:rsidR="00BB7D8F" w:rsidRPr="00BB7D8F" w:rsidRDefault="00BB7D8F" w:rsidP="00BB7D8F">
            <w:pPr>
              <w:spacing w:before="40" w:after="40" w:line="240" w:lineRule="auto"/>
              <w:jc w:val="center"/>
              <w:rPr>
                <w:rFonts w:cs="Arial"/>
                <w:b/>
              </w:rPr>
            </w:pPr>
            <w:r w:rsidRPr="00BB7D8F">
              <w:rPr>
                <w:rFonts w:cs="Arial"/>
                <w:b/>
                <w:color w:val="000000"/>
                <w:sz w:val="22"/>
              </w:rPr>
              <w:t>0</w:t>
            </w:r>
          </w:p>
        </w:tc>
        <w:tc>
          <w:tcPr>
            <w:tcW w:w="1508" w:type="dxa"/>
            <w:vAlign w:val="bottom"/>
          </w:tcPr>
          <w:p w14:paraId="5BF7DDAB" w14:textId="16742FD5" w:rsidR="00BB7D8F" w:rsidRPr="00BB7D8F" w:rsidRDefault="00BB7D8F" w:rsidP="00BB7D8F">
            <w:pPr>
              <w:spacing w:before="40" w:after="40" w:line="240" w:lineRule="auto"/>
              <w:jc w:val="center"/>
              <w:rPr>
                <w:rFonts w:cs="Arial"/>
                <w:b/>
              </w:rPr>
            </w:pPr>
            <w:r w:rsidRPr="00BB7D8F">
              <w:rPr>
                <w:rFonts w:cs="Arial"/>
                <w:b/>
                <w:color w:val="000000"/>
                <w:sz w:val="22"/>
              </w:rPr>
              <w:t>0</w:t>
            </w:r>
          </w:p>
        </w:tc>
      </w:tr>
      <w:tr w:rsidR="00BB7D8F" w:rsidRPr="00B8476F" w14:paraId="38EFDE36" w14:textId="77777777" w:rsidTr="00190011">
        <w:tc>
          <w:tcPr>
            <w:tcW w:w="6232" w:type="dxa"/>
            <w:vAlign w:val="bottom"/>
          </w:tcPr>
          <w:p w14:paraId="47D84728" w14:textId="128972D2" w:rsidR="00BB7D8F" w:rsidRPr="00BB7D8F" w:rsidRDefault="00BB7D8F" w:rsidP="00BB7D8F">
            <w:pPr>
              <w:spacing w:before="40" w:after="40" w:line="240" w:lineRule="auto"/>
              <w:rPr>
                <w:rFonts w:cs="Arial"/>
                <w:b/>
              </w:rPr>
            </w:pPr>
            <w:r w:rsidRPr="00BB7D8F">
              <w:rPr>
                <w:rFonts w:cs="Arial"/>
                <w:b/>
                <w:color w:val="000000"/>
                <w:sz w:val="22"/>
              </w:rPr>
              <w:t xml:space="preserve">Percentage </w:t>
            </w:r>
          </w:p>
        </w:tc>
        <w:tc>
          <w:tcPr>
            <w:tcW w:w="1276" w:type="dxa"/>
            <w:vAlign w:val="bottom"/>
          </w:tcPr>
          <w:p w14:paraId="4F2E9D60" w14:textId="3E069B03" w:rsidR="00BB7D8F" w:rsidRPr="00BB7D8F" w:rsidRDefault="00BB7D8F" w:rsidP="00BB7D8F">
            <w:pPr>
              <w:spacing w:before="40" w:after="40" w:line="240" w:lineRule="auto"/>
              <w:jc w:val="center"/>
              <w:rPr>
                <w:rFonts w:cs="Arial"/>
                <w:b/>
              </w:rPr>
            </w:pPr>
            <w:r w:rsidRPr="00BB7D8F">
              <w:rPr>
                <w:rFonts w:cs="Arial"/>
                <w:b/>
                <w:color w:val="000000"/>
                <w:sz w:val="22"/>
              </w:rPr>
              <w:t>0.00%</w:t>
            </w:r>
          </w:p>
        </w:tc>
        <w:tc>
          <w:tcPr>
            <w:tcW w:w="1508" w:type="dxa"/>
            <w:vAlign w:val="bottom"/>
          </w:tcPr>
          <w:p w14:paraId="4A584F88" w14:textId="1E759FD4" w:rsidR="00BB7D8F" w:rsidRPr="00BB7D8F" w:rsidRDefault="00BB7D8F" w:rsidP="00BB7D8F">
            <w:pPr>
              <w:spacing w:before="40" w:after="40" w:line="240" w:lineRule="auto"/>
              <w:jc w:val="center"/>
              <w:rPr>
                <w:rFonts w:cs="Arial"/>
                <w:b/>
              </w:rPr>
            </w:pPr>
            <w:r w:rsidRPr="00BB7D8F">
              <w:rPr>
                <w:rFonts w:cs="Arial"/>
                <w:b/>
                <w:color w:val="000000"/>
                <w:sz w:val="22"/>
              </w:rPr>
              <w:t>0.00%</w:t>
            </w:r>
          </w:p>
        </w:tc>
      </w:tr>
    </w:tbl>
    <w:p w14:paraId="2FCB0A27" w14:textId="77777777" w:rsidR="00BB7D8F" w:rsidRDefault="00BB7D8F" w:rsidP="00D359FB">
      <w:pPr>
        <w:pStyle w:val="Heading4"/>
      </w:pPr>
    </w:p>
    <w:p w14:paraId="11462A69" w14:textId="77777777" w:rsidR="00D359FB" w:rsidRPr="00CB4152" w:rsidRDefault="00D359FB" w:rsidP="00D359FB">
      <w:pPr>
        <w:pStyle w:val="Heading4"/>
      </w:pPr>
      <w:r w:rsidRPr="00CB4152">
        <w:t xml:space="preserve">Indicator 2: </w:t>
      </w:r>
      <w:r>
        <w:t>Assessment of patients aged 30 years and older with a high total cholesterol</w:t>
      </w:r>
    </w:p>
    <w:tbl>
      <w:tblPr>
        <w:tblStyle w:val="TableGrid"/>
        <w:tblW w:w="0" w:type="auto"/>
        <w:tblLook w:val="04A0" w:firstRow="1" w:lastRow="0" w:firstColumn="1" w:lastColumn="0" w:noHBand="0" w:noVBand="1"/>
      </w:tblPr>
      <w:tblGrid>
        <w:gridCol w:w="6232"/>
        <w:gridCol w:w="1276"/>
        <w:gridCol w:w="1508"/>
      </w:tblGrid>
      <w:tr w:rsidR="00F148F2" w:rsidRPr="00B8476F" w14:paraId="3E7B0EE0" w14:textId="77777777" w:rsidTr="001F53E7">
        <w:tc>
          <w:tcPr>
            <w:tcW w:w="6232" w:type="dxa"/>
          </w:tcPr>
          <w:p w14:paraId="08A7943C" w14:textId="7F9870D1" w:rsidR="00F148F2" w:rsidRPr="000C0098" w:rsidRDefault="00BB7D8F" w:rsidP="00BB7D8F">
            <w:pPr>
              <w:spacing w:before="40" w:after="40" w:line="240" w:lineRule="auto"/>
              <w:rPr>
                <w:b/>
              </w:rPr>
            </w:pPr>
            <w:r w:rsidRPr="000C0098">
              <w:rPr>
                <w:b/>
              </w:rPr>
              <w:t xml:space="preserve">% </w:t>
            </w:r>
            <w:r>
              <w:rPr>
                <w:b/>
              </w:rPr>
              <w:t>patients aged 30 years and older with a high total cholesterol assessed for FH</w:t>
            </w:r>
          </w:p>
        </w:tc>
        <w:tc>
          <w:tcPr>
            <w:tcW w:w="1276" w:type="dxa"/>
          </w:tcPr>
          <w:p w14:paraId="1FEE68E9" w14:textId="77777777" w:rsidR="00F148F2" w:rsidRPr="000C0098" w:rsidRDefault="00F148F2" w:rsidP="001F53E7">
            <w:pPr>
              <w:spacing w:before="40" w:after="40" w:line="240" w:lineRule="auto"/>
              <w:jc w:val="center"/>
              <w:rPr>
                <w:b/>
              </w:rPr>
            </w:pPr>
            <w:r w:rsidRPr="000C0098">
              <w:rPr>
                <w:b/>
              </w:rPr>
              <w:t>Baseline</w:t>
            </w:r>
          </w:p>
        </w:tc>
        <w:tc>
          <w:tcPr>
            <w:tcW w:w="1508" w:type="dxa"/>
          </w:tcPr>
          <w:p w14:paraId="183B8571" w14:textId="77777777" w:rsidR="00F148F2" w:rsidRPr="000C0098" w:rsidRDefault="00F148F2" w:rsidP="001F53E7">
            <w:pPr>
              <w:spacing w:before="40" w:after="40" w:line="240" w:lineRule="auto"/>
              <w:jc w:val="center"/>
              <w:rPr>
                <w:b/>
              </w:rPr>
            </w:pPr>
            <w:r w:rsidRPr="000C0098">
              <w:rPr>
                <w:b/>
              </w:rPr>
              <w:t>Final</w:t>
            </w:r>
          </w:p>
        </w:tc>
      </w:tr>
      <w:tr w:rsidR="00BB7D8F" w:rsidRPr="00B8476F" w14:paraId="6A638298" w14:textId="77777777" w:rsidTr="00190011">
        <w:tc>
          <w:tcPr>
            <w:tcW w:w="6232" w:type="dxa"/>
            <w:vAlign w:val="bottom"/>
          </w:tcPr>
          <w:p w14:paraId="11F68484" w14:textId="0A364ED0" w:rsidR="00BB7D8F" w:rsidRPr="00950B08" w:rsidRDefault="00BB7D8F" w:rsidP="00BB7D8F">
            <w:pPr>
              <w:spacing w:before="40" w:after="40" w:line="240" w:lineRule="auto"/>
              <w:rPr>
                <w:rFonts w:cs="Arial"/>
                <w:b/>
              </w:rPr>
            </w:pPr>
            <w:r w:rsidRPr="00950B08">
              <w:rPr>
                <w:rFonts w:cs="Arial"/>
                <w:b/>
                <w:color w:val="000000"/>
                <w:sz w:val="22"/>
              </w:rPr>
              <w:t>Practices</w:t>
            </w:r>
          </w:p>
        </w:tc>
        <w:tc>
          <w:tcPr>
            <w:tcW w:w="1276" w:type="dxa"/>
            <w:vAlign w:val="bottom"/>
          </w:tcPr>
          <w:p w14:paraId="394666F6" w14:textId="607A3DBA" w:rsidR="00BB7D8F" w:rsidRPr="00950B08" w:rsidRDefault="00BB7D8F" w:rsidP="00BB7D8F">
            <w:pPr>
              <w:spacing w:before="40" w:after="40" w:line="240" w:lineRule="auto"/>
              <w:jc w:val="center"/>
              <w:rPr>
                <w:rFonts w:cs="Arial"/>
                <w:b/>
              </w:rPr>
            </w:pPr>
            <w:r w:rsidRPr="00950B08">
              <w:rPr>
                <w:rFonts w:cs="Arial"/>
                <w:b/>
                <w:color w:val="000000"/>
                <w:sz w:val="22"/>
              </w:rPr>
              <w:t>26</w:t>
            </w:r>
          </w:p>
        </w:tc>
        <w:tc>
          <w:tcPr>
            <w:tcW w:w="1508" w:type="dxa"/>
            <w:vAlign w:val="bottom"/>
          </w:tcPr>
          <w:p w14:paraId="5CE8CF3F" w14:textId="4C9F034D" w:rsidR="00BB7D8F" w:rsidRPr="00950B08" w:rsidRDefault="00BB7D8F" w:rsidP="00BB7D8F">
            <w:pPr>
              <w:spacing w:before="40" w:after="40" w:line="240" w:lineRule="auto"/>
              <w:jc w:val="center"/>
              <w:rPr>
                <w:rFonts w:cs="Arial"/>
                <w:b/>
              </w:rPr>
            </w:pPr>
            <w:r w:rsidRPr="00950B08">
              <w:rPr>
                <w:rFonts w:cs="Arial"/>
                <w:b/>
                <w:color w:val="000000"/>
                <w:sz w:val="22"/>
              </w:rPr>
              <w:t>26</w:t>
            </w:r>
          </w:p>
        </w:tc>
      </w:tr>
      <w:tr w:rsidR="00BB7D8F" w:rsidRPr="00B8476F" w14:paraId="363A7889" w14:textId="77777777" w:rsidTr="00190011">
        <w:tc>
          <w:tcPr>
            <w:tcW w:w="6232" w:type="dxa"/>
            <w:vAlign w:val="bottom"/>
          </w:tcPr>
          <w:p w14:paraId="0695F1D7" w14:textId="5FD26C51" w:rsidR="00BB7D8F" w:rsidRPr="00950B08" w:rsidRDefault="00BB7D8F" w:rsidP="00BB7D8F">
            <w:pPr>
              <w:spacing w:before="40" w:after="40" w:line="240" w:lineRule="auto"/>
              <w:rPr>
                <w:rFonts w:cs="Arial"/>
                <w:b/>
              </w:rPr>
            </w:pPr>
            <w:r w:rsidRPr="00950B08">
              <w:rPr>
                <w:rFonts w:cs="Arial"/>
                <w:b/>
                <w:color w:val="000000"/>
                <w:sz w:val="22"/>
              </w:rPr>
              <w:t xml:space="preserve">Practice population </w:t>
            </w:r>
          </w:p>
        </w:tc>
        <w:tc>
          <w:tcPr>
            <w:tcW w:w="1276" w:type="dxa"/>
            <w:vAlign w:val="bottom"/>
          </w:tcPr>
          <w:p w14:paraId="416B78CE" w14:textId="1B5137C3" w:rsidR="00BB7D8F" w:rsidRPr="00950B08" w:rsidRDefault="00BB7D8F" w:rsidP="00BB7D8F">
            <w:pPr>
              <w:spacing w:before="40" w:after="40" w:line="240" w:lineRule="auto"/>
              <w:jc w:val="center"/>
              <w:rPr>
                <w:rFonts w:cs="Arial"/>
                <w:b/>
              </w:rPr>
            </w:pPr>
            <w:r w:rsidRPr="00950B08">
              <w:rPr>
                <w:rFonts w:cs="Arial"/>
                <w:b/>
                <w:color w:val="000000"/>
                <w:sz w:val="22"/>
              </w:rPr>
              <w:t>321,651</w:t>
            </w:r>
          </w:p>
        </w:tc>
        <w:tc>
          <w:tcPr>
            <w:tcW w:w="1508" w:type="dxa"/>
            <w:vAlign w:val="bottom"/>
          </w:tcPr>
          <w:p w14:paraId="53065D69" w14:textId="15D4F328" w:rsidR="00BB7D8F" w:rsidRPr="00950B08" w:rsidRDefault="00BB7D8F" w:rsidP="00BB7D8F">
            <w:pPr>
              <w:spacing w:before="40" w:after="40" w:line="240" w:lineRule="auto"/>
              <w:jc w:val="center"/>
              <w:rPr>
                <w:rFonts w:cs="Arial"/>
                <w:b/>
              </w:rPr>
            </w:pPr>
            <w:r w:rsidRPr="00950B08">
              <w:rPr>
                <w:rFonts w:cs="Arial"/>
                <w:b/>
                <w:color w:val="000000"/>
                <w:sz w:val="22"/>
              </w:rPr>
              <w:t>321,815</w:t>
            </w:r>
          </w:p>
        </w:tc>
      </w:tr>
      <w:tr w:rsidR="00BB7D8F" w:rsidRPr="00B8476F" w14:paraId="33F7DF01" w14:textId="77777777" w:rsidTr="00190011">
        <w:tc>
          <w:tcPr>
            <w:tcW w:w="6232" w:type="dxa"/>
            <w:vAlign w:val="bottom"/>
          </w:tcPr>
          <w:p w14:paraId="7C2EEF1E" w14:textId="2E736824" w:rsidR="00BB7D8F" w:rsidRPr="00BB7D8F" w:rsidRDefault="00BB7D8F" w:rsidP="00BB7D8F">
            <w:pPr>
              <w:spacing w:before="40" w:after="40" w:line="240" w:lineRule="auto"/>
              <w:rPr>
                <w:rFonts w:cs="Arial"/>
              </w:rPr>
            </w:pPr>
            <w:r w:rsidRPr="00BB7D8F">
              <w:rPr>
                <w:rFonts w:cs="Arial"/>
                <w:color w:val="000000"/>
                <w:sz w:val="22"/>
              </w:rPr>
              <w:t>Generated (&gt;30 + 9+)</w:t>
            </w:r>
          </w:p>
        </w:tc>
        <w:tc>
          <w:tcPr>
            <w:tcW w:w="1276" w:type="dxa"/>
            <w:vAlign w:val="bottom"/>
          </w:tcPr>
          <w:p w14:paraId="2F983973" w14:textId="1C6EF84F" w:rsidR="00BB7D8F" w:rsidRPr="00BB7D8F" w:rsidRDefault="00BB7D8F" w:rsidP="00BB7D8F">
            <w:pPr>
              <w:spacing w:before="40" w:after="40" w:line="240" w:lineRule="auto"/>
              <w:jc w:val="center"/>
              <w:rPr>
                <w:rFonts w:cs="Arial"/>
              </w:rPr>
            </w:pPr>
            <w:r w:rsidRPr="00BB7D8F">
              <w:rPr>
                <w:rFonts w:cs="Arial"/>
                <w:color w:val="000000"/>
                <w:sz w:val="22"/>
              </w:rPr>
              <w:t>888</w:t>
            </w:r>
          </w:p>
        </w:tc>
        <w:tc>
          <w:tcPr>
            <w:tcW w:w="1508" w:type="dxa"/>
            <w:vAlign w:val="bottom"/>
          </w:tcPr>
          <w:p w14:paraId="7DE0CBD0" w14:textId="6838B042" w:rsidR="00BB7D8F" w:rsidRPr="00BB7D8F" w:rsidRDefault="00BB7D8F" w:rsidP="00BB7D8F">
            <w:pPr>
              <w:spacing w:before="40" w:after="40" w:line="240" w:lineRule="auto"/>
              <w:jc w:val="center"/>
              <w:rPr>
                <w:rFonts w:cs="Arial"/>
              </w:rPr>
            </w:pPr>
            <w:r w:rsidRPr="00BB7D8F">
              <w:rPr>
                <w:rFonts w:cs="Arial"/>
                <w:color w:val="000000"/>
                <w:sz w:val="22"/>
              </w:rPr>
              <w:t>833</w:t>
            </w:r>
          </w:p>
        </w:tc>
      </w:tr>
      <w:tr w:rsidR="00BB7D8F" w:rsidRPr="00B8476F" w14:paraId="5DA4602F" w14:textId="77777777" w:rsidTr="00190011">
        <w:tc>
          <w:tcPr>
            <w:tcW w:w="6232" w:type="dxa"/>
            <w:vAlign w:val="bottom"/>
          </w:tcPr>
          <w:p w14:paraId="4732E754" w14:textId="564FDEA6" w:rsidR="00BB7D8F" w:rsidRPr="00BB7D8F" w:rsidRDefault="00BB7D8F" w:rsidP="00BB7D8F">
            <w:pPr>
              <w:spacing w:before="40" w:after="40" w:line="240" w:lineRule="auto"/>
              <w:rPr>
                <w:rFonts w:cs="Arial"/>
              </w:rPr>
            </w:pPr>
            <w:r w:rsidRPr="00BB7D8F">
              <w:rPr>
                <w:rFonts w:cs="Arial"/>
                <w:color w:val="000000"/>
                <w:sz w:val="22"/>
              </w:rPr>
              <w:t>Excluded: existing FH diagnosis before cholesterol</w:t>
            </w:r>
          </w:p>
        </w:tc>
        <w:tc>
          <w:tcPr>
            <w:tcW w:w="1276" w:type="dxa"/>
            <w:vAlign w:val="bottom"/>
          </w:tcPr>
          <w:p w14:paraId="06E163AD" w14:textId="511D7499" w:rsidR="00BB7D8F" w:rsidRPr="00BB7D8F" w:rsidRDefault="00BB7D8F" w:rsidP="00BB7D8F">
            <w:pPr>
              <w:spacing w:before="40" w:after="40" w:line="240" w:lineRule="auto"/>
              <w:jc w:val="center"/>
              <w:rPr>
                <w:rFonts w:cs="Arial"/>
              </w:rPr>
            </w:pPr>
            <w:r w:rsidRPr="00BB7D8F">
              <w:rPr>
                <w:rFonts w:cs="Arial"/>
                <w:color w:val="000000"/>
                <w:sz w:val="22"/>
              </w:rPr>
              <w:t>3</w:t>
            </w:r>
          </w:p>
        </w:tc>
        <w:tc>
          <w:tcPr>
            <w:tcW w:w="1508" w:type="dxa"/>
            <w:vAlign w:val="bottom"/>
          </w:tcPr>
          <w:p w14:paraId="0FB99561" w14:textId="720EF9CE" w:rsidR="00BB7D8F" w:rsidRPr="00BB7D8F" w:rsidRDefault="00BB7D8F" w:rsidP="00BB7D8F">
            <w:pPr>
              <w:spacing w:before="40" w:after="40" w:line="240" w:lineRule="auto"/>
              <w:jc w:val="center"/>
              <w:rPr>
                <w:rFonts w:cs="Arial"/>
              </w:rPr>
            </w:pPr>
            <w:r w:rsidRPr="00BB7D8F">
              <w:rPr>
                <w:rFonts w:cs="Arial"/>
                <w:color w:val="000000"/>
                <w:sz w:val="22"/>
              </w:rPr>
              <w:t>1</w:t>
            </w:r>
          </w:p>
        </w:tc>
      </w:tr>
      <w:tr w:rsidR="00BB7D8F" w:rsidRPr="00B8476F" w14:paraId="4A553547" w14:textId="77777777" w:rsidTr="00190011">
        <w:tc>
          <w:tcPr>
            <w:tcW w:w="6232" w:type="dxa"/>
            <w:vAlign w:val="bottom"/>
          </w:tcPr>
          <w:p w14:paraId="060AE2E3" w14:textId="5DBD8BD4" w:rsidR="00BB7D8F" w:rsidRPr="00BB7D8F" w:rsidRDefault="00BB7D8F" w:rsidP="00BB7D8F">
            <w:pPr>
              <w:spacing w:before="40" w:after="40" w:line="240" w:lineRule="auto"/>
              <w:rPr>
                <w:rFonts w:cs="Arial"/>
              </w:rPr>
            </w:pPr>
            <w:r w:rsidRPr="00BB7D8F">
              <w:rPr>
                <w:rFonts w:cs="Arial"/>
                <w:color w:val="000000"/>
                <w:sz w:val="22"/>
              </w:rPr>
              <w:t xml:space="preserve">Excluded: previous referral </w:t>
            </w:r>
          </w:p>
        </w:tc>
        <w:tc>
          <w:tcPr>
            <w:tcW w:w="1276" w:type="dxa"/>
            <w:vAlign w:val="bottom"/>
          </w:tcPr>
          <w:p w14:paraId="6AAEE2F2" w14:textId="4BAA1B62" w:rsidR="00BB7D8F" w:rsidRPr="00BB7D8F" w:rsidRDefault="00BB7D8F" w:rsidP="00BB7D8F">
            <w:pPr>
              <w:spacing w:before="40" w:after="40" w:line="240" w:lineRule="auto"/>
              <w:jc w:val="center"/>
              <w:rPr>
                <w:rFonts w:cs="Arial"/>
              </w:rPr>
            </w:pPr>
            <w:r w:rsidRPr="00BB7D8F">
              <w:rPr>
                <w:rFonts w:cs="Arial"/>
                <w:color w:val="000000"/>
                <w:sz w:val="22"/>
              </w:rPr>
              <w:t>8</w:t>
            </w:r>
          </w:p>
        </w:tc>
        <w:tc>
          <w:tcPr>
            <w:tcW w:w="1508" w:type="dxa"/>
            <w:vAlign w:val="bottom"/>
          </w:tcPr>
          <w:p w14:paraId="52455EDD" w14:textId="57E9507F" w:rsidR="00BB7D8F" w:rsidRPr="00BB7D8F" w:rsidRDefault="00BB7D8F" w:rsidP="00BB7D8F">
            <w:pPr>
              <w:spacing w:before="40" w:after="40" w:line="240" w:lineRule="auto"/>
              <w:jc w:val="center"/>
              <w:rPr>
                <w:rFonts w:cs="Arial"/>
              </w:rPr>
            </w:pPr>
            <w:r w:rsidRPr="00BB7D8F">
              <w:rPr>
                <w:rFonts w:cs="Arial"/>
                <w:color w:val="000000"/>
                <w:sz w:val="22"/>
              </w:rPr>
              <w:t>4</w:t>
            </w:r>
          </w:p>
        </w:tc>
      </w:tr>
      <w:tr w:rsidR="00BB7D8F" w:rsidRPr="00B8476F" w14:paraId="4E239613" w14:textId="77777777" w:rsidTr="00190011">
        <w:tc>
          <w:tcPr>
            <w:tcW w:w="6232" w:type="dxa"/>
            <w:vAlign w:val="bottom"/>
          </w:tcPr>
          <w:p w14:paraId="4F3ED934" w14:textId="2CC2066F" w:rsidR="00BB7D8F" w:rsidRPr="00BB7D8F" w:rsidRDefault="00BB7D8F" w:rsidP="00BB7D8F">
            <w:pPr>
              <w:spacing w:before="40" w:after="40" w:line="240" w:lineRule="auto"/>
              <w:rPr>
                <w:rFonts w:cs="Arial"/>
              </w:rPr>
            </w:pPr>
            <w:r w:rsidRPr="00BB7D8F">
              <w:rPr>
                <w:rFonts w:cs="Arial"/>
                <w:color w:val="000000"/>
                <w:sz w:val="22"/>
              </w:rPr>
              <w:t>Excluded: diagnosed without assessment</w:t>
            </w:r>
          </w:p>
        </w:tc>
        <w:tc>
          <w:tcPr>
            <w:tcW w:w="1276" w:type="dxa"/>
            <w:vAlign w:val="bottom"/>
          </w:tcPr>
          <w:p w14:paraId="391F8053" w14:textId="2A7D9230" w:rsidR="00BB7D8F" w:rsidRPr="00BB7D8F" w:rsidRDefault="00BB7D8F" w:rsidP="00BB7D8F">
            <w:pPr>
              <w:spacing w:before="40" w:after="40" w:line="240" w:lineRule="auto"/>
              <w:jc w:val="center"/>
              <w:rPr>
                <w:rFonts w:cs="Arial"/>
              </w:rPr>
            </w:pPr>
            <w:r w:rsidRPr="00BB7D8F">
              <w:rPr>
                <w:rFonts w:cs="Arial"/>
                <w:color w:val="000000"/>
                <w:sz w:val="22"/>
              </w:rPr>
              <w:t>8</w:t>
            </w:r>
          </w:p>
        </w:tc>
        <w:tc>
          <w:tcPr>
            <w:tcW w:w="1508" w:type="dxa"/>
            <w:vAlign w:val="bottom"/>
          </w:tcPr>
          <w:p w14:paraId="088AC13A" w14:textId="2E5E0851" w:rsidR="00BB7D8F" w:rsidRPr="00BB7D8F" w:rsidRDefault="00BB7D8F" w:rsidP="00BB7D8F">
            <w:pPr>
              <w:spacing w:before="40" w:after="40" w:line="240" w:lineRule="auto"/>
              <w:jc w:val="center"/>
              <w:rPr>
                <w:rFonts w:cs="Arial"/>
              </w:rPr>
            </w:pPr>
            <w:r w:rsidRPr="00BB7D8F">
              <w:rPr>
                <w:rFonts w:cs="Arial"/>
                <w:color w:val="000000"/>
                <w:sz w:val="22"/>
              </w:rPr>
              <w:t>3</w:t>
            </w:r>
          </w:p>
        </w:tc>
      </w:tr>
      <w:tr w:rsidR="00BB7D8F" w:rsidRPr="00B8476F" w14:paraId="6416E919" w14:textId="77777777" w:rsidTr="00190011">
        <w:tc>
          <w:tcPr>
            <w:tcW w:w="6232" w:type="dxa"/>
            <w:vAlign w:val="bottom"/>
          </w:tcPr>
          <w:p w14:paraId="46414619" w14:textId="70CC1D88" w:rsidR="00BB7D8F" w:rsidRPr="00950B08" w:rsidRDefault="00BB7D8F" w:rsidP="00BB7D8F">
            <w:pPr>
              <w:spacing w:before="40" w:after="40" w:line="240" w:lineRule="auto"/>
              <w:rPr>
                <w:rFonts w:cs="Arial"/>
                <w:b/>
              </w:rPr>
            </w:pPr>
            <w:r w:rsidRPr="00950B08">
              <w:rPr>
                <w:rFonts w:cs="Arial"/>
                <w:b/>
                <w:color w:val="000000"/>
                <w:sz w:val="22"/>
              </w:rPr>
              <w:t xml:space="preserve">Denominator </w:t>
            </w:r>
          </w:p>
        </w:tc>
        <w:tc>
          <w:tcPr>
            <w:tcW w:w="1276" w:type="dxa"/>
            <w:vAlign w:val="bottom"/>
          </w:tcPr>
          <w:p w14:paraId="512AF5D6" w14:textId="6195EAE8" w:rsidR="00BB7D8F" w:rsidRPr="00950B08" w:rsidRDefault="00BB7D8F" w:rsidP="00BB7D8F">
            <w:pPr>
              <w:spacing w:before="40" w:after="40" w:line="240" w:lineRule="auto"/>
              <w:jc w:val="center"/>
              <w:rPr>
                <w:rFonts w:cs="Arial"/>
                <w:b/>
              </w:rPr>
            </w:pPr>
            <w:r w:rsidRPr="00950B08">
              <w:rPr>
                <w:rFonts w:cs="Arial"/>
                <w:b/>
                <w:color w:val="000000"/>
                <w:sz w:val="22"/>
              </w:rPr>
              <w:t>869</w:t>
            </w:r>
          </w:p>
        </w:tc>
        <w:tc>
          <w:tcPr>
            <w:tcW w:w="1508" w:type="dxa"/>
            <w:vAlign w:val="bottom"/>
          </w:tcPr>
          <w:p w14:paraId="7825FAE4" w14:textId="4F61B3E7" w:rsidR="00BB7D8F" w:rsidRPr="00950B08" w:rsidRDefault="00BB7D8F" w:rsidP="00BB7D8F">
            <w:pPr>
              <w:spacing w:before="40" w:after="40" w:line="240" w:lineRule="auto"/>
              <w:jc w:val="center"/>
              <w:rPr>
                <w:rFonts w:cs="Arial"/>
                <w:b/>
              </w:rPr>
            </w:pPr>
            <w:r w:rsidRPr="00950B08">
              <w:rPr>
                <w:rFonts w:cs="Arial"/>
                <w:b/>
                <w:color w:val="000000"/>
                <w:sz w:val="22"/>
              </w:rPr>
              <w:t>825</w:t>
            </w:r>
          </w:p>
        </w:tc>
      </w:tr>
      <w:tr w:rsidR="00BB7D8F" w:rsidRPr="00B8476F" w14:paraId="1C13A248" w14:textId="77777777" w:rsidTr="00190011">
        <w:tc>
          <w:tcPr>
            <w:tcW w:w="6232" w:type="dxa"/>
            <w:vAlign w:val="bottom"/>
          </w:tcPr>
          <w:p w14:paraId="5DF9500D" w14:textId="07705B5A" w:rsidR="00BB7D8F" w:rsidRPr="00950B08" w:rsidRDefault="00BB7D8F" w:rsidP="00BB7D8F">
            <w:pPr>
              <w:spacing w:before="40" w:after="40" w:line="240" w:lineRule="auto"/>
              <w:rPr>
                <w:rFonts w:cs="Arial"/>
                <w:b/>
              </w:rPr>
            </w:pPr>
            <w:r w:rsidRPr="00950B08">
              <w:rPr>
                <w:rFonts w:cs="Arial"/>
                <w:b/>
                <w:color w:val="000000"/>
                <w:sz w:val="22"/>
              </w:rPr>
              <w:t>Numerator</w:t>
            </w:r>
          </w:p>
        </w:tc>
        <w:tc>
          <w:tcPr>
            <w:tcW w:w="1276" w:type="dxa"/>
            <w:vAlign w:val="bottom"/>
          </w:tcPr>
          <w:p w14:paraId="4080F91C" w14:textId="7C6D49CF" w:rsidR="00BB7D8F" w:rsidRPr="00950B08" w:rsidRDefault="00BB7D8F" w:rsidP="00BB7D8F">
            <w:pPr>
              <w:spacing w:before="40" w:after="40" w:line="240" w:lineRule="auto"/>
              <w:jc w:val="center"/>
              <w:rPr>
                <w:rFonts w:cs="Arial"/>
                <w:b/>
              </w:rPr>
            </w:pPr>
            <w:r w:rsidRPr="00950B08">
              <w:rPr>
                <w:rFonts w:cs="Arial"/>
                <w:b/>
                <w:color w:val="000000"/>
                <w:sz w:val="22"/>
              </w:rPr>
              <w:t>0</w:t>
            </w:r>
          </w:p>
        </w:tc>
        <w:tc>
          <w:tcPr>
            <w:tcW w:w="1508" w:type="dxa"/>
            <w:vAlign w:val="bottom"/>
          </w:tcPr>
          <w:p w14:paraId="2EE180B6" w14:textId="07B57A4C" w:rsidR="00BB7D8F" w:rsidRPr="00950B08" w:rsidRDefault="00BB7D8F" w:rsidP="00BB7D8F">
            <w:pPr>
              <w:spacing w:before="40" w:after="40" w:line="240" w:lineRule="auto"/>
              <w:jc w:val="center"/>
              <w:rPr>
                <w:rFonts w:cs="Arial"/>
                <w:b/>
              </w:rPr>
            </w:pPr>
            <w:r w:rsidRPr="00950B08">
              <w:rPr>
                <w:rFonts w:cs="Arial"/>
                <w:b/>
                <w:color w:val="000000"/>
                <w:sz w:val="22"/>
              </w:rPr>
              <w:t>1</w:t>
            </w:r>
          </w:p>
        </w:tc>
      </w:tr>
      <w:tr w:rsidR="00BB7D8F" w:rsidRPr="00B8476F" w14:paraId="304F8D28" w14:textId="77777777" w:rsidTr="00190011">
        <w:tc>
          <w:tcPr>
            <w:tcW w:w="6232" w:type="dxa"/>
            <w:vAlign w:val="bottom"/>
          </w:tcPr>
          <w:p w14:paraId="384567AB" w14:textId="13425441" w:rsidR="00BB7D8F" w:rsidRPr="00950B08" w:rsidRDefault="00BB7D8F" w:rsidP="00BB7D8F">
            <w:pPr>
              <w:spacing w:before="40" w:after="40" w:line="240" w:lineRule="auto"/>
              <w:rPr>
                <w:rFonts w:cs="Arial"/>
                <w:b/>
              </w:rPr>
            </w:pPr>
            <w:r w:rsidRPr="00950B08">
              <w:rPr>
                <w:rFonts w:cs="Arial"/>
                <w:b/>
                <w:color w:val="000000"/>
                <w:sz w:val="22"/>
              </w:rPr>
              <w:t xml:space="preserve">Percentage </w:t>
            </w:r>
          </w:p>
        </w:tc>
        <w:tc>
          <w:tcPr>
            <w:tcW w:w="1276" w:type="dxa"/>
            <w:vAlign w:val="bottom"/>
          </w:tcPr>
          <w:p w14:paraId="59A6D7D9" w14:textId="72A70C04" w:rsidR="00BB7D8F" w:rsidRPr="00950B08" w:rsidRDefault="00BB7D8F" w:rsidP="00BB7D8F">
            <w:pPr>
              <w:spacing w:before="40" w:after="40" w:line="240" w:lineRule="auto"/>
              <w:jc w:val="center"/>
              <w:rPr>
                <w:rFonts w:cs="Arial"/>
                <w:b/>
              </w:rPr>
            </w:pPr>
            <w:r w:rsidRPr="00950B08">
              <w:rPr>
                <w:rFonts w:cs="Arial"/>
                <w:b/>
                <w:color w:val="000000"/>
                <w:sz w:val="22"/>
              </w:rPr>
              <w:t>0.00%</w:t>
            </w:r>
          </w:p>
        </w:tc>
        <w:tc>
          <w:tcPr>
            <w:tcW w:w="1508" w:type="dxa"/>
            <w:vAlign w:val="bottom"/>
          </w:tcPr>
          <w:p w14:paraId="70B379AB" w14:textId="0D84DD75" w:rsidR="00BB7D8F" w:rsidRPr="00950B08" w:rsidRDefault="00BB7D8F" w:rsidP="00BB7D8F">
            <w:pPr>
              <w:spacing w:before="40" w:after="40" w:line="240" w:lineRule="auto"/>
              <w:jc w:val="center"/>
              <w:rPr>
                <w:rFonts w:cs="Arial"/>
                <w:b/>
              </w:rPr>
            </w:pPr>
            <w:r w:rsidRPr="00950B08">
              <w:rPr>
                <w:rFonts w:cs="Arial"/>
                <w:b/>
                <w:color w:val="000000"/>
                <w:sz w:val="22"/>
              </w:rPr>
              <w:t>0.12%</w:t>
            </w:r>
          </w:p>
        </w:tc>
      </w:tr>
    </w:tbl>
    <w:p w14:paraId="4ECA6F6B" w14:textId="35C754FA" w:rsidR="00D359FB" w:rsidRDefault="00BB7D8F" w:rsidP="00410E5F">
      <w:pPr>
        <w:spacing w:after="160" w:line="259" w:lineRule="auto"/>
        <w:jc w:val="left"/>
      </w:pPr>
      <w:r>
        <w:rPr>
          <w:rFonts w:ascii="Frutiger-BoldItalic" w:cs="Frutiger-BoldItalic"/>
          <w:bCs/>
        </w:rPr>
        <w:br w:type="page"/>
      </w:r>
      <w:r w:rsidR="00D359FB" w:rsidRPr="005228B2">
        <w:rPr>
          <w:rFonts w:ascii="Frutiger-BoldItalic" w:cs="Frutiger-BoldItalic"/>
          <w:bCs/>
        </w:rPr>
        <w:lastRenderedPageBreak/>
        <w:t xml:space="preserve">Indicator 3: </w:t>
      </w:r>
      <w:r w:rsidR="00D359FB">
        <w:t>Referral of patients with a diagnosis of familial hypercholesterolaemia</w:t>
      </w:r>
    </w:p>
    <w:tbl>
      <w:tblPr>
        <w:tblStyle w:val="TableGrid"/>
        <w:tblW w:w="0" w:type="auto"/>
        <w:tblLook w:val="04A0" w:firstRow="1" w:lastRow="0" w:firstColumn="1" w:lastColumn="0" w:noHBand="0" w:noVBand="1"/>
      </w:tblPr>
      <w:tblGrid>
        <w:gridCol w:w="6232"/>
        <w:gridCol w:w="1276"/>
        <w:gridCol w:w="1508"/>
      </w:tblGrid>
      <w:tr w:rsidR="00D55B72" w:rsidRPr="00B8476F" w14:paraId="2B13E2DA" w14:textId="77777777" w:rsidTr="001F53E7">
        <w:tc>
          <w:tcPr>
            <w:tcW w:w="6232" w:type="dxa"/>
          </w:tcPr>
          <w:p w14:paraId="011CE838" w14:textId="587AF4F1" w:rsidR="00D55B72" w:rsidRPr="000C0098" w:rsidRDefault="00D55B72" w:rsidP="00BB7D8F">
            <w:pPr>
              <w:spacing w:before="40" w:after="40" w:line="240" w:lineRule="auto"/>
              <w:rPr>
                <w:b/>
              </w:rPr>
            </w:pPr>
            <w:r w:rsidRPr="000C0098">
              <w:rPr>
                <w:b/>
              </w:rPr>
              <w:t xml:space="preserve">% </w:t>
            </w:r>
            <w:r w:rsidR="00BB7D8F">
              <w:rPr>
                <w:b/>
              </w:rPr>
              <w:t>patients with a clinical diagnosis of FH referred for specialist assessment</w:t>
            </w:r>
          </w:p>
        </w:tc>
        <w:tc>
          <w:tcPr>
            <w:tcW w:w="1276" w:type="dxa"/>
          </w:tcPr>
          <w:p w14:paraId="4D05679D" w14:textId="77777777" w:rsidR="00D55B72" w:rsidRPr="000C0098" w:rsidRDefault="00D55B72" w:rsidP="001F53E7">
            <w:pPr>
              <w:spacing w:before="40" w:after="40" w:line="240" w:lineRule="auto"/>
              <w:jc w:val="center"/>
              <w:rPr>
                <w:b/>
              </w:rPr>
            </w:pPr>
            <w:r w:rsidRPr="000C0098">
              <w:rPr>
                <w:b/>
              </w:rPr>
              <w:t>Baseline</w:t>
            </w:r>
          </w:p>
        </w:tc>
        <w:tc>
          <w:tcPr>
            <w:tcW w:w="1508" w:type="dxa"/>
          </w:tcPr>
          <w:p w14:paraId="6364BF83" w14:textId="77777777" w:rsidR="00D55B72" w:rsidRPr="000C0098" w:rsidRDefault="00D55B72" w:rsidP="001F53E7">
            <w:pPr>
              <w:spacing w:before="40" w:after="40" w:line="240" w:lineRule="auto"/>
              <w:jc w:val="center"/>
              <w:rPr>
                <w:b/>
              </w:rPr>
            </w:pPr>
            <w:r w:rsidRPr="000C0098">
              <w:rPr>
                <w:b/>
              </w:rPr>
              <w:t>Final</w:t>
            </w:r>
          </w:p>
        </w:tc>
      </w:tr>
      <w:tr w:rsidR="00BB7D8F" w:rsidRPr="00B8476F" w14:paraId="25DCCB46" w14:textId="77777777" w:rsidTr="00190011">
        <w:tc>
          <w:tcPr>
            <w:tcW w:w="6232" w:type="dxa"/>
            <w:vAlign w:val="bottom"/>
          </w:tcPr>
          <w:p w14:paraId="34F28C01" w14:textId="0F36E19B" w:rsidR="00BB7D8F" w:rsidRPr="00BB7D8F" w:rsidRDefault="00BB7D8F" w:rsidP="00BB7D8F">
            <w:pPr>
              <w:spacing w:before="40" w:after="40" w:line="240" w:lineRule="auto"/>
              <w:rPr>
                <w:rFonts w:cs="Arial"/>
                <w:b/>
              </w:rPr>
            </w:pPr>
            <w:r w:rsidRPr="00BB7D8F">
              <w:rPr>
                <w:rFonts w:cs="Arial"/>
                <w:b/>
                <w:color w:val="000000"/>
                <w:sz w:val="22"/>
              </w:rPr>
              <w:t>Practices</w:t>
            </w:r>
          </w:p>
        </w:tc>
        <w:tc>
          <w:tcPr>
            <w:tcW w:w="1276" w:type="dxa"/>
            <w:vAlign w:val="bottom"/>
          </w:tcPr>
          <w:p w14:paraId="57F1CECA" w14:textId="4779AA1C" w:rsidR="00BB7D8F" w:rsidRPr="00BB7D8F" w:rsidRDefault="00BB7D8F" w:rsidP="00BB7D8F">
            <w:pPr>
              <w:spacing w:before="40" w:after="40" w:line="240" w:lineRule="auto"/>
              <w:jc w:val="center"/>
              <w:rPr>
                <w:rFonts w:cs="Arial"/>
                <w:b/>
              </w:rPr>
            </w:pPr>
            <w:r w:rsidRPr="00BB7D8F">
              <w:rPr>
                <w:rFonts w:cs="Arial"/>
                <w:b/>
                <w:color w:val="000000"/>
                <w:sz w:val="22"/>
              </w:rPr>
              <w:t>26</w:t>
            </w:r>
          </w:p>
        </w:tc>
        <w:tc>
          <w:tcPr>
            <w:tcW w:w="1508" w:type="dxa"/>
            <w:vAlign w:val="bottom"/>
          </w:tcPr>
          <w:p w14:paraId="7296FFB6" w14:textId="217FD3DC" w:rsidR="00BB7D8F" w:rsidRPr="00BB7D8F" w:rsidRDefault="00BB7D8F" w:rsidP="00BB7D8F">
            <w:pPr>
              <w:spacing w:before="40" w:after="40" w:line="240" w:lineRule="auto"/>
              <w:jc w:val="center"/>
              <w:rPr>
                <w:rFonts w:cs="Arial"/>
                <w:b/>
              </w:rPr>
            </w:pPr>
            <w:r w:rsidRPr="00BB7D8F">
              <w:rPr>
                <w:rFonts w:cs="Arial"/>
                <w:b/>
                <w:color w:val="000000"/>
                <w:sz w:val="22"/>
              </w:rPr>
              <w:t>26</w:t>
            </w:r>
          </w:p>
        </w:tc>
      </w:tr>
      <w:tr w:rsidR="00BB7D8F" w:rsidRPr="00B8476F" w14:paraId="13760E16" w14:textId="77777777" w:rsidTr="00190011">
        <w:tc>
          <w:tcPr>
            <w:tcW w:w="6232" w:type="dxa"/>
            <w:vAlign w:val="bottom"/>
          </w:tcPr>
          <w:p w14:paraId="226F1479" w14:textId="5AF6C7B3" w:rsidR="00BB7D8F" w:rsidRPr="00BB7D8F" w:rsidRDefault="00BB7D8F" w:rsidP="00BB7D8F">
            <w:pPr>
              <w:spacing w:before="40" w:after="40" w:line="240" w:lineRule="auto"/>
              <w:rPr>
                <w:rFonts w:cs="Arial"/>
                <w:b/>
              </w:rPr>
            </w:pPr>
            <w:r w:rsidRPr="00BB7D8F">
              <w:rPr>
                <w:rFonts w:cs="Arial"/>
                <w:b/>
                <w:color w:val="000000"/>
                <w:sz w:val="22"/>
              </w:rPr>
              <w:t xml:space="preserve">Practice population </w:t>
            </w:r>
          </w:p>
        </w:tc>
        <w:tc>
          <w:tcPr>
            <w:tcW w:w="1276" w:type="dxa"/>
            <w:vAlign w:val="bottom"/>
          </w:tcPr>
          <w:p w14:paraId="1A7129D8" w14:textId="61DB3729" w:rsidR="00BB7D8F" w:rsidRPr="00BB7D8F" w:rsidRDefault="00BB7D8F" w:rsidP="00BB7D8F">
            <w:pPr>
              <w:spacing w:before="40" w:after="40" w:line="240" w:lineRule="auto"/>
              <w:jc w:val="center"/>
              <w:rPr>
                <w:rFonts w:cs="Arial"/>
                <w:b/>
              </w:rPr>
            </w:pPr>
            <w:r w:rsidRPr="00BB7D8F">
              <w:rPr>
                <w:rFonts w:cs="Arial"/>
                <w:b/>
                <w:color w:val="000000"/>
                <w:sz w:val="22"/>
              </w:rPr>
              <w:t>321</w:t>
            </w:r>
            <w:r>
              <w:rPr>
                <w:rFonts w:cs="Arial"/>
                <w:b/>
                <w:color w:val="000000"/>
                <w:sz w:val="22"/>
              </w:rPr>
              <w:t>,</w:t>
            </w:r>
            <w:r w:rsidRPr="00BB7D8F">
              <w:rPr>
                <w:rFonts w:cs="Arial"/>
                <w:b/>
                <w:color w:val="000000"/>
                <w:sz w:val="22"/>
              </w:rPr>
              <w:t>651</w:t>
            </w:r>
          </w:p>
        </w:tc>
        <w:tc>
          <w:tcPr>
            <w:tcW w:w="1508" w:type="dxa"/>
            <w:vAlign w:val="bottom"/>
          </w:tcPr>
          <w:p w14:paraId="025F0CAE" w14:textId="31E00127" w:rsidR="00BB7D8F" w:rsidRPr="00BB7D8F" w:rsidRDefault="00BB7D8F" w:rsidP="00BB7D8F">
            <w:pPr>
              <w:spacing w:before="40" w:after="40" w:line="240" w:lineRule="auto"/>
              <w:jc w:val="center"/>
              <w:rPr>
                <w:rFonts w:cs="Arial"/>
                <w:b/>
              </w:rPr>
            </w:pPr>
            <w:r w:rsidRPr="00BB7D8F">
              <w:rPr>
                <w:rFonts w:cs="Arial"/>
                <w:b/>
                <w:color w:val="000000"/>
                <w:sz w:val="22"/>
              </w:rPr>
              <w:t>321</w:t>
            </w:r>
            <w:r>
              <w:rPr>
                <w:rFonts w:cs="Arial"/>
                <w:b/>
                <w:color w:val="000000"/>
                <w:sz w:val="22"/>
              </w:rPr>
              <w:t>,</w:t>
            </w:r>
            <w:r w:rsidRPr="00BB7D8F">
              <w:rPr>
                <w:rFonts w:cs="Arial"/>
                <w:b/>
                <w:color w:val="000000"/>
                <w:sz w:val="22"/>
              </w:rPr>
              <w:t>815</w:t>
            </w:r>
          </w:p>
        </w:tc>
      </w:tr>
      <w:tr w:rsidR="00BB7D8F" w:rsidRPr="00B8476F" w14:paraId="59651258" w14:textId="77777777" w:rsidTr="00190011">
        <w:tc>
          <w:tcPr>
            <w:tcW w:w="6232" w:type="dxa"/>
            <w:vAlign w:val="bottom"/>
          </w:tcPr>
          <w:p w14:paraId="33070F2D" w14:textId="142A447D" w:rsidR="00BB7D8F" w:rsidRPr="00BB7D8F" w:rsidRDefault="00BB7D8F" w:rsidP="00BB7D8F">
            <w:pPr>
              <w:spacing w:before="40" w:after="40" w:line="240" w:lineRule="auto"/>
              <w:rPr>
                <w:rFonts w:cs="Arial"/>
              </w:rPr>
            </w:pPr>
            <w:r w:rsidRPr="00BB7D8F">
              <w:rPr>
                <w:rFonts w:cs="Arial"/>
                <w:color w:val="000000"/>
                <w:sz w:val="22"/>
              </w:rPr>
              <w:t>Generated (FH)</w:t>
            </w:r>
          </w:p>
        </w:tc>
        <w:tc>
          <w:tcPr>
            <w:tcW w:w="1276" w:type="dxa"/>
            <w:vAlign w:val="bottom"/>
          </w:tcPr>
          <w:p w14:paraId="30DE1022" w14:textId="34922296" w:rsidR="00BB7D8F" w:rsidRPr="00BB7D8F" w:rsidRDefault="00BB7D8F" w:rsidP="00BB7D8F">
            <w:pPr>
              <w:spacing w:before="40" w:after="40" w:line="240" w:lineRule="auto"/>
              <w:jc w:val="center"/>
              <w:rPr>
                <w:rFonts w:cs="Arial"/>
              </w:rPr>
            </w:pPr>
            <w:r w:rsidRPr="00BB7D8F">
              <w:rPr>
                <w:rFonts w:cs="Arial"/>
                <w:color w:val="000000"/>
                <w:sz w:val="22"/>
              </w:rPr>
              <w:t>4</w:t>
            </w:r>
          </w:p>
        </w:tc>
        <w:tc>
          <w:tcPr>
            <w:tcW w:w="1508" w:type="dxa"/>
            <w:vAlign w:val="bottom"/>
          </w:tcPr>
          <w:p w14:paraId="521DB993" w14:textId="6545B0A7" w:rsidR="00BB7D8F" w:rsidRPr="00BB7D8F" w:rsidRDefault="00BB7D8F" w:rsidP="00BB7D8F">
            <w:pPr>
              <w:spacing w:before="40" w:after="40" w:line="240" w:lineRule="auto"/>
              <w:jc w:val="center"/>
              <w:rPr>
                <w:rFonts w:cs="Arial"/>
              </w:rPr>
            </w:pPr>
            <w:r w:rsidRPr="00BB7D8F">
              <w:rPr>
                <w:rFonts w:cs="Arial"/>
                <w:color w:val="000000"/>
                <w:sz w:val="22"/>
              </w:rPr>
              <w:t>19</w:t>
            </w:r>
          </w:p>
        </w:tc>
      </w:tr>
      <w:tr w:rsidR="00BB7D8F" w:rsidRPr="00B8476F" w14:paraId="25E2AA21" w14:textId="77777777" w:rsidTr="00190011">
        <w:tc>
          <w:tcPr>
            <w:tcW w:w="6232" w:type="dxa"/>
            <w:vAlign w:val="bottom"/>
          </w:tcPr>
          <w:p w14:paraId="157DA0EC" w14:textId="60310139" w:rsidR="00BB7D8F" w:rsidRPr="00BB7D8F" w:rsidRDefault="00BB7D8F" w:rsidP="00BB7D8F">
            <w:pPr>
              <w:spacing w:before="40" w:after="40" w:line="240" w:lineRule="auto"/>
              <w:rPr>
                <w:rFonts w:cs="Arial"/>
              </w:rPr>
            </w:pPr>
            <w:r w:rsidRPr="00BB7D8F">
              <w:rPr>
                <w:rFonts w:cs="Arial"/>
                <w:color w:val="000000"/>
                <w:sz w:val="22"/>
              </w:rPr>
              <w:t>Excluded: existing FH diagnosis</w:t>
            </w:r>
          </w:p>
        </w:tc>
        <w:tc>
          <w:tcPr>
            <w:tcW w:w="1276" w:type="dxa"/>
            <w:vAlign w:val="bottom"/>
          </w:tcPr>
          <w:p w14:paraId="0F93473E" w14:textId="5308C18C" w:rsidR="00BB7D8F" w:rsidRPr="00BB7D8F" w:rsidRDefault="00BB7D8F" w:rsidP="00BB7D8F">
            <w:pPr>
              <w:spacing w:before="40" w:after="40" w:line="240" w:lineRule="auto"/>
              <w:jc w:val="center"/>
              <w:rPr>
                <w:rFonts w:cs="Arial"/>
              </w:rPr>
            </w:pPr>
            <w:r w:rsidRPr="00BB7D8F">
              <w:rPr>
                <w:rFonts w:cs="Arial"/>
                <w:color w:val="000000"/>
                <w:sz w:val="22"/>
              </w:rPr>
              <w:t>4</w:t>
            </w:r>
          </w:p>
        </w:tc>
        <w:tc>
          <w:tcPr>
            <w:tcW w:w="1508" w:type="dxa"/>
            <w:vAlign w:val="bottom"/>
          </w:tcPr>
          <w:p w14:paraId="2020D045" w14:textId="11F5E989" w:rsidR="00BB7D8F" w:rsidRPr="00BB7D8F" w:rsidRDefault="00BB7D8F" w:rsidP="00BB7D8F">
            <w:pPr>
              <w:spacing w:before="40" w:after="40" w:line="240" w:lineRule="auto"/>
              <w:jc w:val="center"/>
              <w:rPr>
                <w:rFonts w:cs="Arial"/>
              </w:rPr>
            </w:pPr>
            <w:r w:rsidRPr="00BB7D8F">
              <w:rPr>
                <w:rFonts w:cs="Arial"/>
                <w:color w:val="000000"/>
                <w:sz w:val="22"/>
              </w:rPr>
              <w:t>6</w:t>
            </w:r>
          </w:p>
        </w:tc>
      </w:tr>
      <w:tr w:rsidR="00BB7D8F" w:rsidRPr="00B8476F" w14:paraId="3C1163EE" w14:textId="77777777" w:rsidTr="00190011">
        <w:tc>
          <w:tcPr>
            <w:tcW w:w="6232" w:type="dxa"/>
            <w:vAlign w:val="bottom"/>
          </w:tcPr>
          <w:p w14:paraId="03A57D46" w14:textId="62F26355" w:rsidR="00BB7D8F" w:rsidRPr="00BB7D8F" w:rsidRDefault="00BB7D8F" w:rsidP="00BB7D8F">
            <w:pPr>
              <w:spacing w:before="40" w:after="40" w:line="240" w:lineRule="auto"/>
              <w:rPr>
                <w:rFonts w:cs="Arial"/>
              </w:rPr>
            </w:pPr>
            <w:r w:rsidRPr="00BB7D8F">
              <w:rPr>
                <w:rFonts w:cs="Arial"/>
                <w:color w:val="000000"/>
                <w:sz w:val="22"/>
              </w:rPr>
              <w:t xml:space="preserve">Excluded: previous referral </w:t>
            </w:r>
          </w:p>
        </w:tc>
        <w:tc>
          <w:tcPr>
            <w:tcW w:w="1276" w:type="dxa"/>
            <w:vAlign w:val="bottom"/>
          </w:tcPr>
          <w:p w14:paraId="7EC38C44" w14:textId="07D9A600" w:rsidR="00BB7D8F" w:rsidRPr="00BB7D8F" w:rsidRDefault="00BB7D8F" w:rsidP="00BB7D8F">
            <w:pPr>
              <w:spacing w:before="40" w:after="40" w:line="240" w:lineRule="auto"/>
              <w:jc w:val="center"/>
              <w:rPr>
                <w:rFonts w:cs="Arial"/>
              </w:rPr>
            </w:pPr>
            <w:r w:rsidRPr="00BB7D8F">
              <w:rPr>
                <w:rFonts w:cs="Arial"/>
                <w:color w:val="000000"/>
                <w:sz w:val="22"/>
              </w:rPr>
              <w:t>0</w:t>
            </w:r>
          </w:p>
        </w:tc>
        <w:tc>
          <w:tcPr>
            <w:tcW w:w="1508" w:type="dxa"/>
            <w:vAlign w:val="bottom"/>
          </w:tcPr>
          <w:p w14:paraId="2EE9027E" w14:textId="43C1F39D" w:rsidR="00BB7D8F" w:rsidRPr="00BB7D8F" w:rsidRDefault="00BB7D8F" w:rsidP="00BB7D8F">
            <w:pPr>
              <w:spacing w:before="40" w:after="40" w:line="240" w:lineRule="auto"/>
              <w:jc w:val="center"/>
              <w:rPr>
                <w:rFonts w:cs="Arial"/>
              </w:rPr>
            </w:pPr>
            <w:r w:rsidRPr="00BB7D8F">
              <w:rPr>
                <w:rFonts w:cs="Arial"/>
                <w:color w:val="000000"/>
                <w:sz w:val="22"/>
              </w:rPr>
              <w:t>2</w:t>
            </w:r>
          </w:p>
        </w:tc>
      </w:tr>
      <w:tr w:rsidR="00BB7D8F" w:rsidRPr="00B8476F" w14:paraId="4EC10AC9" w14:textId="77777777" w:rsidTr="00190011">
        <w:tc>
          <w:tcPr>
            <w:tcW w:w="6232" w:type="dxa"/>
            <w:vAlign w:val="bottom"/>
          </w:tcPr>
          <w:p w14:paraId="0233783B" w14:textId="02ABAEEC" w:rsidR="00BB7D8F" w:rsidRPr="00BB7D8F" w:rsidRDefault="00BB7D8F" w:rsidP="00BB7D8F">
            <w:pPr>
              <w:spacing w:before="40" w:after="40" w:line="240" w:lineRule="auto"/>
              <w:rPr>
                <w:rFonts w:cs="Arial"/>
                <w:b/>
              </w:rPr>
            </w:pPr>
            <w:r w:rsidRPr="00BB7D8F">
              <w:rPr>
                <w:rFonts w:cs="Arial"/>
                <w:b/>
                <w:color w:val="000000"/>
                <w:sz w:val="22"/>
              </w:rPr>
              <w:t xml:space="preserve">Denominator </w:t>
            </w:r>
          </w:p>
        </w:tc>
        <w:tc>
          <w:tcPr>
            <w:tcW w:w="1276" w:type="dxa"/>
            <w:vAlign w:val="bottom"/>
          </w:tcPr>
          <w:p w14:paraId="0B982FF3" w14:textId="0F6241E5" w:rsidR="00BB7D8F" w:rsidRPr="00BB7D8F" w:rsidRDefault="00BB7D8F" w:rsidP="00BB7D8F">
            <w:pPr>
              <w:spacing w:before="40" w:after="40" w:line="240" w:lineRule="auto"/>
              <w:jc w:val="center"/>
              <w:rPr>
                <w:rFonts w:cs="Arial"/>
                <w:b/>
              </w:rPr>
            </w:pPr>
            <w:r w:rsidRPr="00BB7D8F">
              <w:rPr>
                <w:rFonts w:cs="Arial"/>
                <w:b/>
                <w:color w:val="000000"/>
                <w:sz w:val="22"/>
              </w:rPr>
              <w:t>0</w:t>
            </w:r>
          </w:p>
        </w:tc>
        <w:tc>
          <w:tcPr>
            <w:tcW w:w="1508" w:type="dxa"/>
            <w:vAlign w:val="bottom"/>
          </w:tcPr>
          <w:p w14:paraId="68743FD0" w14:textId="47869D79" w:rsidR="00BB7D8F" w:rsidRPr="00BB7D8F" w:rsidRDefault="00BB7D8F" w:rsidP="00BB7D8F">
            <w:pPr>
              <w:spacing w:before="40" w:after="40" w:line="240" w:lineRule="auto"/>
              <w:jc w:val="center"/>
              <w:rPr>
                <w:rFonts w:cs="Arial"/>
                <w:b/>
              </w:rPr>
            </w:pPr>
            <w:r w:rsidRPr="00BB7D8F">
              <w:rPr>
                <w:rFonts w:cs="Arial"/>
                <w:b/>
                <w:color w:val="000000"/>
                <w:sz w:val="22"/>
              </w:rPr>
              <w:t>11</w:t>
            </w:r>
          </w:p>
        </w:tc>
      </w:tr>
      <w:tr w:rsidR="00BB7D8F" w:rsidRPr="00B8476F" w14:paraId="0204E92A" w14:textId="77777777" w:rsidTr="00190011">
        <w:tc>
          <w:tcPr>
            <w:tcW w:w="6232" w:type="dxa"/>
            <w:vAlign w:val="bottom"/>
          </w:tcPr>
          <w:p w14:paraId="5EC791B7" w14:textId="3D85098E" w:rsidR="00BB7D8F" w:rsidRPr="00BB7D8F" w:rsidRDefault="00BB7D8F" w:rsidP="00BB7D8F">
            <w:pPr>
              <w:spacing w:before="40" w:after="40" w:line="240" w:lineRule="auto"/>
              <w:rPr>
                <w:rFonts w:cs="Arial"/>
                <w:b/>
              </w:rPr>
            </w:pPr>
            <w:r w:rsidRPr="00BB7D8F">
              <w:rPr>
                <w:rFonts w:cs="Arial"/>
                <w:b/>
                <w:color w:val="000000"/>
                <w:sz w:val="22"/>
              </w:rPr>
              <w:t>Numerator</w:t>
            </w:r>
          </w:p>
        </w:tc>
        <w:tc>
          <w:tcPr>
            <w:tcW w:w="1276" w:type="dxa"/>
            <w:vAlign w:val="bottom"/>
          </w:tcPr>
          <w:p w14:paraId="292E0B60" w14:textId="33CC6D05" w:rsidR="00BB7D8F" w:rsidRPr="00BB7D8F" w:rsidRDefault="00BB7D8F" w:rsidP="00BB7D8F">
            <w:pPr>
              <w:spacing w:before="40" w:after="40" w:line="240" w:lineRule="auto"/>
              <w:jc w:val="center"/>
              <w:rPr>
                <w:rFonts w:cs="Arial"/>
                <w:b/>
              </w:rPr>
            </w:pPr>
            <w:r w:rsidRPr="00BB7D8F">
              <w:rPr>
                <w:rFonts w:cs="Arial"/>
                <w:b/>
                <w:color w:val="000000"/>
                <w:sz w:val="22"/>
              </w:rPr>
              <w:t>0</w:t>
            </w:r>
          </w:p>
        </w:tc>
        <w:tc>
          <w:tcPr>
            <w:tcW w:w="1508" w:type="dxa"/>
            <w:vAlign w:val="bottom"/>
          </w:tcPr>
          <w:p w14:paraId="667718F2" w14:textId="447F29E4" w:rsidR="00BB7D8F" w:rsidRPr="00BB7D8F" w:rsidRDefault="00BB7D8F" w:rsidP="00BB7D8F">
            <w:pPr>
              <w:spacing w:before="40" w:after="40" w:line="240" w:lineRule="auto"/>
              <w:jc w:val="center"/>
              <w:rPr>
                <w:rFonts w:cs="Arial"/>
                <w:b/>
              </w:rPr>
            </w:pPr>
            <w:r w:rsidRPr="00BB7D8F">
              <w:rPr>
                <w:rFonts w:cs="Arial"/>
                <w:b/>
                <w:color w:val="000000"/>
                <w:sz w:val="22"/>
              </w:rPr>
              <w:t>3</w:t>
            </w:r>
          </w:p>
        </w:tc>
      </w:tr>
      <w:tr w:rsidR="00BB7D8F" w:rsidRPr="00B8476F" w14:paraId="2113D522" w14:textId="77777777" w:rsidTr="00190011">
        <w:tc>
          <w:tcPr>
            <w:tcW w:w="6232" w:type="dxa"/>
            <w:vAlign w:val="bottom"/>
          </w:tcPr>
          <w:p w14:paraId="11719D4B" w14:textId="3342F593" w:rsidR="00BB7D8F" w:rsidRPr="00BB7D8F" w:rsidRDefault="00BB7D8F" w:rsidP="00BB7D8F">
            <w:pPr>
              <w:spacing w:before="40" w:after="40" w:line="240" w:lineRule="auto"/>
              <w:rPr>
                <w:rFonts w:cs="Arial"/>
                <w:b/>
              </w:rPr>
            </w:pPr>
            <w:r w:rsidRPr="00BB7D8F">
              <w:rPr>
                <w:rFonts w:cs="Arial"/>
                <w:b/>
                <w:color w:val="000000"/>
                <w:sz w:val="22"/>
              </w:rPr>
              <w:t xml:space="preserve">Percentage </w:t>
            </w:r>
          </w:p>
        </w:tc>
        <w:tc>
          <w:tcPr>
            <w:tcW w:w="1276" w:type="dxa"/>
            <w:vAlign w:val="bottom"/>
          </w:tcPr>
          <w:p w14:paraId="4EAC0018" w14:textId="2AD3D129" w:rsidR="00BB7D8F" w:rsidRPr="00BB7D8F" w:rsidRDefault="00BB7D8F" w:rsidP="00BB7D8F">
            <w:pPr>
              <w:spacing w:before="40" w:after="40" w:line="240" w:lineRule="auto"/>
              <w:jc w:val="center"/>
              <w:rPr>
                <w:rFonts w:cs="Arial"/>
                <w:b/>
              </w:rPr>
            </w:pPr>
            <w:r w:rsidRPr="00BB7D8F">
              <w:rPr>
                <w:rFonts w:cs="Arial"/>
                <w:b/>
                <w:color w:val="000000"/>
                <w:sz w:val="22"/>
              </w:rPr>
              <w:t>0.00%</w:t>
            </w:r>
          </w:p>
        </w:tc>
        <w:tc>
          <w:tcPr>
            <w:tcW w:w="1508" w:type="dxa"/>
            <w:vAlign w:val="bottom"/>
          </w:tcPr>
          <w:p w14:paraId="378C6BE4" w14:textId="1B0BD3AF" w:rsidR="00BB7D8F" w:rsidRPr="00BB7D8F" w:rsidRDefault="00BB7D8F" w:rsidP="00BB7D8F">
            <w:pPr>
              <w:spacing w:before="40" w:after="40" w:line="240" w:lineRule="auto"/>
              <w:jc w:val="center"/>
              <w:rPr>
                <w:rFonts w:cs="Arial"/>
                <w:b/>
              </w:rPr>
            </w:pPr>
            <w:r w:rsidRPr="00BB7D8F">
              <w:rPr>
                <w:rFonts w:cs="Arial"/>
                <w:b/>
                <w:color w:val="000000"/>
                <w:sz w:val="22"/>
              </w:rPr>
              <w:t>27.27%</w:t>
            </w:r>
          </w:p>
        </w:tc>
      </w:tr>
    </w:tbl>
    <w:p w14:paraId="24F62876" w14:textId="47214BE4" w:rsidR="0098234E" w:rsidRDefault="0098234E">
      <w:pPr>
        <w:spacing w:after="160" w:line="259" w:lineRule="auto"/>
        <w:jc w:val="left"/>
        <w:rPr>
          <w:rFonts w:eastAsiaTheme="majorEastAsia" w:cstheme="majorBidi"/>
          <w:iCs/>
          <w:color w:val="000000" w:themeColor="text1"/>
          <w:u w:val="single"/>
        </w:rPr>
      </w:pPr>
    </w:p>
    <w:p w14:paraId="3568C383" w14:textId="77777777" w:rsidR="002E2134" w:rsidRDefault="002E2134" w:rsidP="002E2134">
      <w:pPr>
        <w:pStyle w:val="Heading2"/>
      </w:pPr>
    </w:p>
    <w:p w14:paraId="67494598" w14:textId="2CE548E4" w:rsidR="00FC4D8C" w:rsidRPr="002E2134" w:rsidRDefault="00FC4D8C" w:rsidP="002E2134">
      <w:pPr>
        <w:pStyle w:val="Heading2"/>
      </w:pPr>
      <w:r w:rsidRPr="001E245A">
        <w:t xml:space="preserve">Practices’ views on </w:t>
      </w:r>
      <w:r w:rsidR="004A7684" w:rsidRPr="001E245A">
        <w:t xml:space="preserve">implementation issues </w:t>
      </w:r>
      <w:r w:rsidR="00A259AF">
        <w:t>and impact</w:t>
      </w:r>
    </w:p>
    <w:p w14:paraId="47783E5F" w14:textId="77777777" w:rsidR="000A7674" w:rsidRDefault="000A7674" w:rsidP="000A7674">
      <w:pPr>
        <w:pStyle w:val="Heading3"/>
      </w:pPr>
      <w:r w:rsidRPr="001E245A">
        <w:t>Training requirements</w:t>
      </w:r>
    </w:p>
    <w:p w14:paraId="2A22E958" w14:textId="5115427F" w:rsidR="00603EBD" w:rsidRDefault="00603EBD" w:rsidP="00603EBD">
      <w:r>
        <w:t xml:space="preserve">When asked if they thought it would be advisable to undertake additional training, if the topic of familial hypercholesterolaemia was introduced nationally, </w:t>
      </w:r>
      <w:r w:rsidR="009704F1" w:rsidRPr="009704F1">
        <w:t>53% of the survey respondents (17</w:t>
      </w:r>
      <w:r w:rsidRPr="009704F1">
        <w:t>/32)</w:t>
      </w:r>
      <w:r w:rsidR="009704F1" w:rsidRPr="009704F1">
        <w:t xml:space="preserve"> said yes, with a further 25% (8</w:t>
      </w:r>
      <w:r w:rsidRPr="009704F1">
        <w:t>) stating that no further training w</w:t>
      </w:r>
      <w:r w:rsidR="009704F1" w:rsidRPr="009704F1">
        <w:t>as required, and the remaining 7</w:t>
      </w:r>
      <w:r w:rsidRPr="009704F1">
        <w:t xml:space="preserve"> respondents </w:t>
      </w:r>
      <w:r w:rsidR="007540FD">
        <w:t xml:space="preserve">(22%) </w:t>
      </w:r>
      <w:r w:rsidRPr="009704F1">
        <w:t xml:space="preserve">were unsure. </w:t>
      </w:r>
    </w:p>
    <w:p w14:paraId="6D3FCE33" w14:textId="44023584" w:rsidR="00B95AD0" w:rsidRDefault="00921A97" w:rsidP="00D359FB">
      <w:r>
        <w:t xml:space="preserve">This </w:t>
      </w:r>
      <w:r w:rsidR="00B95AD0">
        <w:t xml:space="preserve">view </w:t>
      </w:r>
      <w:r>
        <w:t xml:space="preserve">was also reflected in the interviews, with four practices </w:t>
      </w:r>
      <w:r w:rsidR="00034450">
        <w:t xml:space="preserve">(4/14, 29%) </w:t>
      </w:r>
      <w:r>
        <w:t>requesting awareness raising and training</w:t>
      </w:r>
      <w:r w:rsidR="00FF25F9">
        <w:t>;</w:t>
      </w:r>
      <w:r>
        <w:t xml:space="preserve"> however one practice stated they would be happy </w:t>
      </w:r>
      <w:r w:rsidR="00B95AD0">
        <w:t xml:space="preserve">if adequate guidance was available. </w:t>
      </w:r>
    </w:p>
    <w:p w14:paraId="208C0BC5" w14:textId="5BDEDA64" w:rsidR="00C60B2E" w:rsidRPr="00AA1662" w:rsidRDefault="00C60B2E" w:rsidP="00C60B2E">
      <w:pPr>
        <w:rPr>
          <w:i/>
          <w:sz w:val="22"/>
        </w:rPr>
      </w:pPr>
      <w:r w:rsidRPr="00AA1662">
        <w:rPr>
          <w:i/>
          <w:sz w:val="22"/>
        </w:rPr>
        <w:t>“I think with anything new there will always need to be some awareness raising, if not training. I think that goes without saying”. (Practice manager, interview)</w:t>
      </w:r>
    </w:p>
    <w:p w14:paraId="2EF8C90E" w14:textId="300C61B9" w:rsidR="00603EBD" w:rsidRPr="00AA1662" w:rsidRDefault="00C60B2E" w:rsidP="00D359FB">
      <w:pPr>
        <w:rPr>
          <w:i/>
          <w:sz w:val="22"/>
        </w:rPr>
      </w:pPr>
      <w:r w:rsidRPr="00AA1662">
        <w:rPr>
          <w:i/>
          <w:sz w:val="22"/>
        </w:rPr>
        <w:t>“</w:t>
      </w:r>
      <w:r w:rsidR="009704F1" w:rsidRPr="00AA1662">
        <w:rPr>
          <w:i/>
          <w:sz w:val="22"/>
        </w:rPr>
        <w:t>Potentially would need reminding of e.g. S</w:t>
      </w:r>
      <w:r w:rsidRPr="00AA1662">
        <w:rPr>
          <w:i/>
          <w:sz w:val="22"/>
        </w:rPr>
        <w:t>imon B</w:t>
      </w:r>
      <w:r w:rsidR="009704F1" w:rsidRPr="00AA1662">
        <w:rPr>
          <w:i/>
          <w:sz w:val="22"/>
        </w:rPr>
        <w:t>roome criteria for FH</w:t>
      </w:r>
      <w:r w:rsidRPr="00AA1662">
        <w:rPr>
          <w:i/>
          <w:sz w:val="22"/>
        </w:rPr>
        <w:t>”.</w:t>
      </w:r>
      <w:r w:rsidR="009704F1" w:rsidRPr="00AA1662">
        <w:rPr>
          <w:i/>
          <w:sz w:val="22"/>
        </w:rPr>
        <w:t xml:space="preserve"> (GP, survey)</w:t>
      </w:r>
    </w:p>
    <w:p w14:paraId="4148CE2A" w14:textId="2F45B70C" w:rsidR="009704F1" w:rsidRPr="00AA1662" w:rsidRDefault="00C60B2E" w:rsidP="00D359FB">
      <w:pPr>
        <w:rPr>
          <w:i/>
          <w:sz w:val="22"/>
        </w:rPr>
      </w:pPr>
      <w:r w:rsidRPr="00AA1662">
        <w:rPr>
          <w:i/>
          <w:sz w:val="22"/>
        </w:rPr>
        <w:t>“</w:t>
      </w:r>
      <w:r w:rsidR="009704F1" w:rsidRPr="00AA1662">
        <w:rPr>
          <w:i/>
          <w:sz w:val="22"/>
        </w:rPr>
        <w:t>The hypercholesterolemia assessment takes education to know what to ask</w:t>
      </w:r>
      <w:r w:rsidRPr="00AA1662">
        <w:rPr>
          <w:i/>
          <w:sz w:val="22"/>
        </w:rPr>
        <w:t>”</w:t>
      </w:r>
      <w:r w:rsidR="009704F1" w:rsidRPr="00AA1662">
        <w:rPr>
          <w:i/>
          <w:sz w:val="22"/>
        </w:rPr>
        <w:t>.</w:t>
      </w:r>
      <w:r w:rsidRPr="00AA1662">
        <w:rPr>
          <w:i/>
          <w:sz w:val="22"/>
        </w:rPr>
        <w:t xml:space="preserve"> (GP, survey)</w:t>
      </w:r>
    </w:p>
    <w:p w14:paraId="7D07BCA6" w14:textId="78DFA49A" w:rsidR="009704F1" w:rsidRPr="00AA1662" w:rsidRDefault="00C60B2E" w:rsidP="00C60B2E">
      <w:pPr>
        <w:rPr>
          <w:i/>
          <w:sz w:val="22"/>
        </w:rPr>
      </w:pPr>
      <w:r w:rsidRPr="00AA1662">
        <w:rPr>
          <w:i/>
          <w:sz w:val="22"/>
        </w:rPr>
        <w:t>“…A bit of education around who might benefit from being screened would be useful”. (GP, interview)</w:t>
      </w:r>
    </w:p>
    <w:p w14:paraId="45144C71" w14:textId="77777777" w:rsidR="00034450" w:rsidRPr="00AA1662" w:rsidRDefault="00034450" w:rsidP="00034450">
      <w:pPr>
        <w:rPr>
          <w:i/>
          <w:sz w:val="22"/>
        </w:rPr>
      </w:pPr>
      <w:r w:rsidRPr="00AA1662">
        <w:rPr>
          <w:i/>
          <w:sz w:val="22"/>
        </w:rPr>
        <w:t>“Familial Hypercholesterolaemia just requires reading around subject if knowledge lacking”. (GP, survey)</w:t>
      </w:r>
    </w:p>
    <w:p w14:paraId="6AE87E58" w14:textId="77777777" w:rsidR="00086E1A" w:rsidRPr="00180750" w:rsidRDefault="00086E1A" w:rsidP="00180750">
      <w:pPr>
        <w:rPr>
          <w:i/>
        </w:rPr>
      </w:pPr>
    </w:p>
    <w:p w14:paraId="0FD93AC0" w14:textId="27857FD6" w:rsidR="00BB43D3" w:rsidRPr="00B95AD0" w:rsidRDefault="00FC4D8C" w:rsidP="00BB43D3">
      <w:pPr>
        <w:pStyle w:val="Heading3"/>
      </w:pPr>
      <w:r w:rsidRPr="00B95AD0">
        <w:lastRenderedPageBreak/>
        <w:t>Workload, r</w:t>
      </w:r>
      <w:r w:rsidR="00BB43D3" w:rsidRPr="00B95AD0">
        <w:t>esource utilisation and costs</w:t>
      </w:r>
    </w:p>
    <w:p w14:paraId="6C54F883" w14:textId="7B7C6456" w:rsidR="009B2895" w:rsidRDefault="009B2895" w:rsidP="009B2895">
      <w:r>
        <w:t>With regard to additional clinical worklo</w:t>
      </w:r>
      <w:r w:rsidR="00164158">
        <w:t>ad during the pilot, 56% (18</w:t>
      </w:r>
      <w:r>
        <w:t>/32) of survey respondents considered there to be no extra or acceptable ex</w:t>
      </w:r>
      <w:r w:rsidR="00164158">
        <w:t>tra workload during the pilot. El</w:t>
      </w:r>
      <w:r>
        <w:t xml:space="preserve">even respondents </w:t>
      </w:r>
      <w:r w:rsidR="00034450">
        <w:t xml:space="preserve">(34%) </w:t>
      </w:r>
      <w:r>
        <w:t xml:space="preserve">were unsure and the remaining </w:t>
      </w:r>
      <w:r w:rsidR="00164158">
        <w:t>3</w:t>
      </w:r>
      <w:r>
        <w:t xml:space="preserve"> </w:t>
      </w:r>
      <w:r w:rsidR="00034450">
        <w:t xml:space="preserve">(9%, 3/32) </w:t>
      </w:r>
      <w:r>
        <w:t>stated that the cli</w:t>
      </w:r>
      <w:r w:rsidR="00164158">
        <w:t>nical workload was heavy. For th</w:t>
      </w:r>
      <w:r w:rsidR="001D5B95">
        <w:t>e</w:t>
      </w:r>
      <w:r w:rsidR="00164158">
        <w:t xml:space="preserve"> </w:t>
      </w:r>
      <w:r w:rsidR="00164158" w:rsidRPr="001D5B95">
        <w:t>3</w:t>
      </w:r>
      <w:r w:rsidR="00164158">
        <w:t xml:space="preserve"> </w:t>
      </w:r>
      <w:r w:rsidR="001D5B95">
        <w:t xml:space="preserve">respondents who reported heavy workload, </w:t>
      </w:r>
      <w:r w:rsidR="00164158">
        <w:t xml:space="preserve">it was </w:t>
      </w:r>
      <w:r w:rsidR="00417F96">
        <w:t xml:space="preserve">stated </w:t>
      </w:r>
      <w:r w:rsidR="00164158">
        <w:t>that both GP (3/3) and non-GP (1/3</w:t>
      </w:r>
      <w:r>
        <w:t>) clinical roles were affec</w:t>
      </w:r>
      <w:r w:rsidR="006C6E59">
        <w:t xml:space="preserve">ted, </w:t>
      </w:r>
      <w:r w:rsidR="00417F96">
        <w:t>involving</w:t>
      </w:r>
      <w:r w:rsidR="006C6E59">
        <w:t xml:space="preserve"> additional time to review hypercholesterolaemia searches.</w:t>
      </w:r>
      <w:r>
        <w:t xml:space="preserve"> </w:t>
      </w:r>
    </w:p>
    <w:p w14:paraId="06168CB7" w14:textId="77777777" w:rsidR="004F5B49" w:rsidRDefault="00164158" w:rsidP="00255415">
      <w:r>
        <w:t>Almost 69% (22</w:t>
      </w:r>
      <w:r w:rsidR="009B2895">
        <w:t>/32 survey respondents) considered there to be no extra or acceptable extra administrati</w:t>
      </w:r>
      <w:r>
        <w:t>ve workload during the pilot. Seven</w:t>
      </w:r>
      <w:r w:rsidR="009B2895">
        <w:t xml:space="preserve"> respondents </w:t>
      </w:r>
      <w:r w:rsidR="00417F96">
        <w:t xml:space="preserve">(22%) </w:t>
      </w:r>
      <w:r w:rsidR="009B2895">
        <w:t xml:space="preserve">were unsure and </w:t>
      </w:r>
      <w:r>
        <w:t>the remaining 3</w:t>
      </w:r>
      <w:r w:rsidR="009B2895">
        <w:t xml:space="preserve"> </w:t>
      </w:r>
      <w:r w:rsidR="00417F96" w:rsidRPr="00417F96">
        <w:t>(9%, 3/32)</w:t>
      </w:r>
      <w:r w:rsidR="00417F96">
        <w:t xml:space="preserve"> </w:t>
      </w:r>
      <w:r w:rsidR="009B2895">
        <w:t>stated that the administr</w:t>
      </w:r>
      <w:r>
        <w:t>ative workload was heavy</w:t>
      </w:r>
      <w:r w:rsidR="004F5B49">
        <w:t>.</w:t>
      </w:r>
    </w:p>
    <w:p w14:paraId="27A0AFC3" w14:textId="2A20F716" w:rsidR="00255415" w:rsidRPr="004F5B49" w:rsidRDefault="00255415" w:rsidP="00255415">
      <w:r>
        <w:rPr>
          <w:color w:val="000000" w:themeColor="text1"/>
        </w:rPr>
        <w:t xml:space="preserve">The general view from practices was that a standard length appointment with a GP or practice nurse was sufficient for a relevant discussion with the patient including advice, family history and health promotion relating to FH. </w:t>
      </w:r>
    </w:p>
    <w:p w14:paraId="5A839292" w14:textId="0FC6EFB8" w:rsidR="00255415" w:rsidRPr="00AA1662" w:rsidRDefault="00255415" w:rsidP="00255415">
      <w:pPr>
        <w:rPr>
          <w:i/>
          <w:sz w:val="22"/>
        </w:rPr>
      </w:pPr>
      <w:r w:rsidRPr="00AA1662">
        <w:rPr>
          <w:i/>
          <w:sz w:val="22"/>
        </w:rPr>
        <w:t>“…They’ll probably fit into a normal appointment slot because you don't need the patient here once you've taken the history to fill in the rest of the criteria. So maybe just a little bit of admin time after the patient leaves but I don't feel like you need the patient here to complete the indicator”. (GP, interview)</w:t>
      </w:r>
    </w:p>
    <w:p w14:paraId="78EB469A" w14:textId="77777777" w:rsidR="00547981" w:rsidRPr="00547981" w:rsidRDefault="00547981" w:rsidP="009B2895">
      <w:pPr>
        <w:rPr>
          <w:i/>
        </w:rPr>
      </w:pPr>
    </w:p>
    <w:p w14:paraId="279CCA06" w14:textId="77777777" w:rsidR="00113CFC" w:rsidRDefault="00113CFC" w:rsidP="00113CFC">
      <w:pPr>
        <w:pStyle w:val="Heading3"/>
      </w:pPr>
      <w:r w:rsidRPr="003171FB">
        <w:t>Changes in practice organisation</w:t>
      </w:r>
      <w:r w:rsidRPr="00B8476F">
        <w:t xml:space="preserve"> </w:t>
      </w:r>
    </w:p>
    <w:p w14:paraId="3978C9C4" w14:textId="289D13AC" w:rsidR="00DE7FEE" w:rsidRDefault="00DE7FEE" w:rsidP="00D359FB">
      <w:pPr>
        <w:rPr>
          <w:color w:val="000000" w:themeColor="text1"/>
        </w:rPr>
      </w:pPr>
      <w:r>
        <w:rPr>
          <w:color w:val="000000" w:themeColor="text1"/>
        </w:rPr>
        <w:t>In terms of set up</w:t>
      </w:r>
      <w:r w:rsidR="000D0A8A">
        <w:rPr>
          <w:color w:val="000000" w:themeColor="text1"/>
        </w:rPr>
        <w:t xml:space="preserve"> and preparation for the pilot, </w:t>
      </w:r>
      <w:r>
        <w:rPr>
          <w:color w:val="000000" w:themeColor="text1"/>
        </w:rPr>
        <w:t>practice</w:t>
      </w:r>
      <w:r w:rsidR="000D0A8A">
        <w:rPr>
          <w:color w:val="000000" w:themeColor="text1"/>
        </w:rPr>
        <w:t>s</w:t>
      </w:r>
      <w:r>
        <w:rPr>
          <w:color w:val="000000" w:themeColor="text1"/>
        </w:rPr>
        <w:t xml:space="preserve"> noted that </w:t>
      </w:r>
      <w:r w:rsidR="00FF1AAA">
        <w:rPr>
          <w:color w:val="000000" w:themeColor="text1"/>
        </w:rPr>
        <w:t xml:space="preserve">clinical system protocols could be developed or flags used to identify patients, but there is reliance on the correct </w:t>
      </w:r>
      <w:r w:rsidR="00761F7B">
        <w:rPr>
          <w:color w:val="000000" w:themeColor="text1"/>
        </w:rPr>
        <w:t xml:space="preserve">clinical </w:t>
      </w:r>
      <w:r w:rsidR="00FF1AAA">
        <w:rPr>
          <w:color w:val="000000" w:themeColor="text1"/>
        </w:rPr>
        <w:t>codes being used, or the information being recorded in the first place.</w:t>
      </w:r>
      <w:r w:rsidR="00761F7B">
        <w:rPr>
          <w:color w:val="000000" w:themeColor="text1"/>
        </w:rPr>
        <w:t xml:space="preserve"> </w:t>
      </w:r>
    </w:p>
    <w:p w14:paraId="6C702290" w14:textId="234B2B8C" w:rsidR="00FF1AAA" w:rsidRPr="00AA1662" w:rsidRDefault="00FF1AAA" w:rsidP="00FF1AAA">
      <w:pPr>
        <w:rPr>
          <w:i/>
          <w:sz w:val="22"/>
        </w:rPr>
      </w:pPr>
      <w:r w:rsidRPr="00AA1662">
        <w:rPr>
          <w:i/>
          <w:sz w:val="22"/>
        </w:rPr>
        <w:t>“…The family history part is always very poorly coded unless you've specifically gone in and asked it in an NHS health check”. (GP, interview)</w:t>
      </w:r>
    </w:p>
    <w:p w14:paraId="333D0065" w14:textId="5689EFBC" w:rsidR="00A527A8" w:rsidRPr="00AA1662" w:rsidRDefault="00A527A8" w:rsidP="00A527A8">
      <w:pPr>
        <w:rPr>
          <w:i/>
          <w:sz w:val="22"/>
        </w:rPr>
      </w:pPr>
      <w:r w:rsidRPr="00AA1662">
        <w:rPr>
          <w:i/>
          <w:sz w:val="22"/>
        </w:rPr>
        <w:t xml:space="preserve">“…When you're coding things such as family history, everyone does it in different ways. Some practices might put it in a completely different component of the system as to what you </w:t>
      </w:r>
      <w:r w:rsidR="00697EE0">
        <w:rPr>
          <w:i/>
          <w:sz w:val="22"/>
        </w:rPr>
        <w:t xml:space="preserve">do </w:t>
      </w:r>
      <w:r w:rsidRPr="00AA1662">
        <w:rPr>
          <w:i/>
          <w:sz w:val="22"/>
        </w:rPr>
        <w:t>and we will need to formulate these registers. I think there does need to probably be a phase of quality improvement or some sort of project work before these indicators go live just so you're getting accurate data really…” (Practice senior manager, interview)</w:t>
      </w:r>
    </w:p>
    <w:p w14:paraId="66AC43AB" w14:textId="4B31F571" w:rsidR="00761F7B" w:rsidRPr="00AA1662" w:rsidRDefault="00761F7B" w:rsidP="00761F7B">
      <w:pPr>
        <w:rPr>
          <w:i/>
          <w:sz w:val="22"/>
        </w:rPr>
      </w:pPr>
      <w:r w:rsidRPr="00AA1662">
        <w:rPr>
          <w:i/>
          <w:sz w:val="22"/>
        </w:rPr>
        <w:lastRenderedPageBreak/>
        <w:t>“…If somebody had gone through this process, like we had done the primary person, then once we’ve gone off to genetics normally, then, we’re fed back, you know, “Oh my God, you need to get your cholesterol done for all the children.” So then we have the children come back in saying, “I need to have my cholesterol doing,” and we said, “What the hell is this?” So it’s normally from genetics perspective where we actually will get our prompts rather than from us doing the blood tests”. (GP, interview)</w:t>
      </w:r>
    </w:p>
    <w:p w14:paraId="56298A80" w14:textId="77777777" w:rsidR="00F32F72" w:rsidRDefault="00F32F72" w:rsidP="003171FB"/>
    <w:p w14:paraId="19019050" w14:textId="77777777" w:rsidR="00D62618" w:rsidRDefault="003171FB" w:rsidP="003171FB">
      <w:r>
        <w:t>One practice explained how they had prompted questions about family history during the pilot.</w:t>
      </w:r>
    </w:p>
    <w:p w14:paraId="372B0884" w14:textId="6C0A1C1C" w:rsidR="003171FB" w:rsidRPr="00AA1662" w:rsidRDefault="003171FB" w:rsidP="003171FB">
      <w:pPr>
        <w:rPr>
          <w:i/>
          <w:sz w:val="22"/>
        </w:rPr>
      </w:pPr>
      <w:r w:rsidRPr="00AA1662">
        <w:rPr>
          <w:i/>
          <w:sz w:val="22"/>
        </w:rPr>
        <w:t>“I tweaked the templates sent out and I put in the family history questions in there to try and bring that all together because it's something that we don't do terribly well as a rule. It is on our new patient questionnaires but if I'm honest, it's recorded with variable efficacy. So I think that's an area that most practices would have to scrub up on. It's not something that's particularly well recorded in primary care, is my feeling”. (Practice manager, interview)</w:t>
      </w:r>
    </w:p>
    <w:p w14:paraId="1E1744BA" w14:textId="77777777" w:rsidR="00A527A8" w:rsidRPr="000D0A8A" w:rsidRDefault="00A527A8" w:rsidP="000D0A8A">
      <w:pPr>
        <w:rPr>
          <w:i/>
        </w:rPr>
      </w:pPr>
    </w:p>
    <w:p w14:paraId="51F05F75" w14:textId="09DC57C4" w:rsidR="00FF1AAA" w:rsidRDefault="00FF1AAA" w:rsidP="00FF1AAA">
      <w:r>
        <w:t>Two practices provided suggestions regarding the automated identification of patients with high cholesterol within the clinical system</w:t>
      </w:r>
      <w:r w:rsidR="00761F7B">
        <w:t>, with a third practice providing a note of caution regarding excessive use of clinical system prompts</w:t>
      </w:r>
      <w:r>
        <w:t>.</w:t>
      </w:r>
    </w:p>
    <w:p w14:paraId="0D8AF96D" w14:textId="05AA97A7" w:rsidR="00FF1AAA" w:rsidRPr="00AA1662" w:rsidRDefault="00FF1AAA" w:rsidP="00FF1AAA">
      <w:pPr>
        <w:rPr>
          <w:i/>
          <w:sz w:val="22"/>
        </w:rPr>
      </w:pPr>
      <w:r w:rsidRPr="00AA1662">
        <w:rPr>
          <w:i/>
          <w:sz w:val="22"/>
        </w:rPr>
        <w:t xml:space="preserve">“Retrospective search used during pilot. During QOF year suggest prompt if cholesterol level &gt; </w:t>
      </w:r>
      <w:r w:rsidR="00282064" w:rsidRPr="00AA1662">
        <w:rPr>
          <w:sz w:val="22"/>
        </w:rPr>
        <w:t>(greater than)</w:t>
      </w:r>
      <w:r w:rsidR="00282064" w:rsidRPr="00AA1662">
        <w:rPr>
          <w:i/>
          <w:sz w:val="22"/>
        </w:rPr>
        <w:t xml:space="preserve"> </w:t>
      </w:r>
      <w:r w:rsidRPr="00AA1662">
        <w:rPr>
          <w:i/>
          <w:sz w:val="22"/>
        </w:rPr>
        <w:t>defined level so clinician assesses at the time”. (GP, survey)</w:t>
      </w:r>
    </w:p>
    <w:p w14:paraId="278F8FFC" w14:textId="77777777" w:rsidR="00FF1AAA" w:rsidRPr="00AA1662" w:rsidRDefault="00FF1AAA" w:rsidP="00FF1AAA">
      <w:pPr>
        <w:rPr>
          <w:i/>
          <w:sz w:val="22"/>
        </w:rPr>
      </w:pPr>
      <w:r w:rsidRPr="00AA1662">
        <w:rPr>
          <w:i/>
          <w:sz w:val="22"/>
        </w:rPr>
        <w:t>“Protocols in clinical system to check and highlight where issues were”. (Practice manager, survey)</w:t>
      </w:r>
    </w:p>
    <w:p w14:paraId="57582AD5" w14:textId="028B090F" w:rsidR="00FF1AAA" w:rsidRPr="00AA1662" w:rsidRDefault="00FF1AAA" w:rsidP="00FF1AAA">
      <w:pPr>
        <w:rPr>
          <w:i/>
          <w:sz w:val="22"/>
        </w:rPr>
      </w:pPr>
      <w:r w:rsidRPr="00AA1662">
        <w:rPr>
          <w:i/>
          <w:sz w:val="22"/>
        </w:rPr>
        <w:t>“I think that the risk with all of these prompts is, in the clinical system you can have half a page of prompts and after a while clinicians become anaesthetised to them and actually ignore them all”.</w:t>
      </w:r>
      <w:r w:rsidR="00981357" w:rsidRPr="00AA1662">
        <w:rPr>
          <w:i/>
          <w:sz w:val="22"/>
        </w:rPr>
        <w:t xml:space="preserve"> (Practice manager, interview</w:t>
      </w:r>
      <w:r w:rsidRPr="00AA1662">
        <w:rPr>
          <w:i/>
          <w:sz w:val="22"/>
        </w:rPr>
        <w:t>)</w:t>
      </w:r>
    </w:p>
    <w:p w14:paraId="7DB44FE2" w14:textId="77777777" w:rsidR="00A527A8" w:rsidRPr="00761F7B" w:rsidRDefault="00A527A8" w:rsidP="00FF1AAA">
      <w:pPr>
        <w:rPr>
          <w:i/>
        </w:rPr>
      </w:pPr>
    </w:p>
    <w:p w14:paraId="276EF47A" w14:textId="08014428" w:rsidR="005F3810" w:rsidRPr="00F32F72" w:rsidRDefault="00B446CD" w:rsidP="00F32F72">
      <w:pPr>
        <w:pStyle w:val="Heading3"/>
      </w:pPr>
      <w:r>
        <w:t>Other feedback on implementation issues</w:t>
      </w:r>
    </w:p>
    <w:p w14:paraId="54D83AE1" w14:textId="12B330C9" w:rsidR="00DE7FEE" w:rsidRDefault="00F72AD2" w:rsidP="00D359FB">
      <w:pPr>
        <w:rPr>
          <w:color w:val="000000" w:themeColor="text1"/>
        </w:rPr>
      </w:pPr>
      <w:r>
        <w:rPr>
          <w:color w:val="000000" w:themeColor="text1"/>
        </w:rPr>
        <w:t>Two</w:t>
      </w:r>
      <w:r w:rsidR="000A6C07">
        <w:rPr>
          <w:color w:val="000000" w:themeColor="text1"/>
        </w:rPr>
        <w:t xml:space="preserve"> practice</w:t>
      </w:r>
      <w:r>
        <w:rPr>
          <w:color w:val="000000" w:themeColor="text1"/>
        </w:rPr>
        <w:t>s</w:t>
      </w:r>
      <w:r w:rsidR="000A6C07">
        <w:rPr>
          <w:color w:val="000000" w:themeColor="text1"/>
        </w:rPr>
        <w:t xml:space="preserve"> described their approach to </w:t>
      </w:r>
      <w:r w:rsidR="00053F32">
        <w:rPr>
          <w:color w:val="000000" w:themeColor="text1"/>
        </w:rPr>
        <w:t>implementing these indicators</w:t>
      </w:r>
      <w:r w:rsidR="000A6C07">
        <w:rPr>
          <w:color w:val="000000" w:themeColor="text1"/>
        </w:rPr>
        <w:t xml:space="preserve"> during the pilot period. </w:t>
      </w:r>
    </w:p>
    <w:p w14:paraId="66C9C6F2" w14:textId="4218F8D0" w:rsidR="000A6C07" w:rsidRPr="00AA1662" w:rsidRDefault="00CD1824" w:rsidP="00CD1824">
      <w:pPr>
        <w:rPr>
          <w:i/>
          <w:sz w:val="22"/>
        </w:rPr>
      </w:pPr>
      <w:r w:rsidRPr="00AA1662">
        <w:rPr>
          <w:i/>
          <w:sz w:val="22"/>
        </w:rPr>
        <w:t>“</w:t>
      </w:r>
      <w:r w:rsidR="000A6C07" w:rsidRPr="00AA1662">
        <w:rPr>
          <w:i/>
          <w:sz w:val="22"/>
        </w:rPr>
        <w:t>We did start that as part of a health promotion for a little bit</w:t>
      </w:r>
      <w:r w:rsidR="00053F32" w:rsidRPr="00AA1662">
        <w:rPr>
          <w:i/>
          <w:sz w:val="22"/>
        </w:rPr>
        <w:t>……</w:t>
      </w:r>
      <w:r w:rsidR="000A6C07" w:rsidRPr="00AA1662">
        <w:rPr>
          <w:i/>
          <w:sz w:val="22"/>
        </w:rPr>
        <w:t xml:space="preserve"> We did set that up with the nurse so yes, it may have affected appointment times. So it's not just the doctor who deals </w:t>
      </w:r>
      <w:r w:rsidR="000A6C07" w:rsidRPr="00AA1662">
        <w:rPr>
          <w:i/>
          <w:sz w:val="22"/>
        </w:rPr>
        <w:lastRenderedPageBreak/>
        <w:t>with it. We get them to see the nurse as well to give them initial advice and all the health promotion type of thing because we shift them off to the lip</w:t>
      </w:r>
      <w:r w:rsidRPr="00AA1662">
        <w:rPr>
          <w:i/>
          <w:sz w:val="22"/>
        </w:rPr>
        <w:t>id clinic”. (GP, interview)</w:t>
      </w:r>
    </w:p>
    <w:p w14:paraId="30A66D9B" w14:textId="44BA2240" w:rsidR="00F72AD2" w:rsidRPr="00AA1662" w:rsidRDefault="00F72AD2" w:rsidP="00F72AD2">
      <w:pPr>
        <w:spacing w:before="280" w:after="280"/>
        <w:rPr>
          <w:i/>
          <w:sz w:val="22"/>
        </w:rPr>
      </w:pPr>
      <w:r w:rsidRPr="00AA1662">
        <w:rPr>
          <w:i/>
          <w:sz w:val="22"/>
        </w:rPr>
        <w:t>“In reality once we have done the blood tests and have chatted to them, in order to save us the time of seeing them back in the clinic we tend to communicate a fair bit electronically. We would do phone calls, text messages and talk to them to get them to phone us rather</w:t>
      </w:r>
      <w:r w:rsidR="00F32F72" w:rsidRPr="00AA1662">
        <w:rPr>
          <w:i/>
          <w:sz w:val="22"/>
        </w:rPr>
        <w:t xml:space="preserve"> than getting them to come back…</w:t>
      </w:r>
      <w:r w:rsidRPr="00AA1662">
        <w:rPr>
          <w:i/>
          <w:sz w:val="22"/>
        </w:rPr>
        <w:t xml:space="preserve">. Once you have done the blood pressure, weight, height etc. the </w:t>
      </w:r>
      <w:r w:rsidR="00823D25" w:rsidRPr="00AA1662">
        <w:rPr>
          <w:i/>
          <w:sz w:val="22"/>
        </w:rPr>
        <w:t>QRISK</w:t>
      </w:r>
      <w:bookmarkStart w:id="2" w:name="_Ref8726763"/>
      <w:r w:rsidR="005F3810" w:rsidRPr="00AA1662">
        <w:rPr>
          <w:rStyle w:val="FootnoteReference"/>
          <w:i/>
          <w:sz w:val="22"/>
        </w:rPr>
        <w:footnoteReference w:id="2"/>
      </w:r>
      <w:bookmarkEnd w:id="2"/>
      <w:r w:rsidR="00823D25" w:rsidRPr="00AA1662">
        <w:rPr>
          <w:i/>
          <w:sz w:val="22"/>
        </w:rPr>
        <w:t xml:space="preserve"> and the </w:t>
      </w:r>
      <w:r w:rsidR="005F3810" w:rsidRPr="00AA1662">
        <w:rPr>
          <w:i/>
          <w:sz w:val="22"/>
        </w:rPr>
        <w:t>J</w:t>
      </w:r>
      <w:r w:rsidR="00823D25" w:rsidRPr="00AA1662">
        <w:rPr>
          <w:i/>
          <w:sz w:val="22"/>
        </w:rPr>
        <w:t>B</w:t>
      </w:r>
      <w:r w:rsidR="005F3810" w:rsidRPr="00AA1662">
        <w:rPr>
          <w:i/>
          <w:sz w:val="22"/>
        </w:rPr>
        <w:t>S3</w:t>
      </w:r>
      <w:r w:rsidR="005F3810" w:rsidRPr="00AA1662">
        <w:rPr>
          <w:i/>
          <w:sz w:val="22"/>
          <w:vertAlign w:val="superscript"/>
        </w:rPr>
        <w:fldChar w:fldCharType="begin"/>
      </w:r>
      <w:r w:rsidR="005F3810" w:rsidRPr="00AA1662">
        <w:rPr>
          <w:i/>
          <w:sz w:val="22"/>
          <w:vertAlign w:val="superscript"/>
        </w:rPr>
        <w:instrText xml:space="preserve"> NOTEREF _Ref8726763 \h  \* MERGEFORMAT </w:instrText>
      </w:r>
      <w:r w:rsidR="005F3810" w:rsidRPr="00AA1662">
        <w:rPr>
          <w:i/>
          <w:sz w:val="22"/>
          <w:vertAlign w:val="superscript"/>
        </w:rPr>
      </w:r>
      <w:r w:rsidR="005F3810" w:rsidRPr="00AA1662">
        <w:rPr>
          <w:i/>
          <w:sz w:val="22"/>
          <w:vertAlign w:val="superscript"/>
        </w:rPr>
        <w:fldChar w:fldCharType="separate"/>
      </w:r>
      <w:r w:rsidR="005F3810" w:rsidRPr="00AA1662">
        <w:rPr>
          <w:i/>
          <w:sz w:val="22"/>
          <w:vertAlign w:val="superscript"/>
        </w:rPr>
        <w:t>2</w:t>
      </w:r>
      <w:r w:rsidR="005F3810" w:rsidRPr="00AA1662">
        <w:rPr>
          <w:i/>
          <w:sz w:val="22"/>
          <w:vertAlign w:val="superscript"/>
        </w:rPr>
        <w:fldChar w:fldCharType="end"/>
      </w:r>
      <w:r w:rsidR="00823D25" w:rsidRPr="00AA1662">
        <w:rPr>
          <w:i/>
          <w:sz w:val="22"/>
        </w:rPr>
        <w:t xml:space="preserve"> </w:t>
      </w:r>
      <w:r w:rsidR="005F3810" w:rsidRPr="00AA1662">
        <w:rPr>
          <w:i/>
          <w:sz w:val="22"/>
        </w:rPr>
        <w:t xml:space="preserve">is </w:t>
      </w:r>
      <w:r w:rsidRPr="00AA1662">
        <w:rPr>
          <w:i/>
          <w:sz w:val="22"/>
        </w:rPr>
        <w:t>automatically worked out for us</w:t>
      </w:r>
      <w:r w:rsidR="00053F32" w:rsidRPr="00AA1662">
        <w:rPr>
          <w:i/>
          <w:sz w:val="22"/>
        </w:rPr>
        <w:t xml:space="preserve"> (by EMIS)</w:t>
      </w:r>
      <w:r w:rsidRPr="00AA1662">
        <w:rPr>
          <w:i/>
          <w:sz w:val="22"/>
        </w:rPr>
        <w:t xml:space="preserve">.We have got a good text message service where if it was just high but </w:t>
      </w:r>
      <w:r w:rsidR="00823D25" w:rsidRPr="00AA1662">
        <w:rPr>
          <w:i/>
          <w:sz w:val="22"/>
        </w:rPr>
        <w:t xml:space="preserve">their QRISK </w:t>
      </w:r>
      <w:r w:rsidRPr="00AA1662">
        <w:rPr>
          <w:i/>
          <w:sz w:val="22"/>
        </w:rPr>
        <w:t>wasn’t high we can just attach a link to their text message where they can open up the link and watch their diet and</w:t>
      </w:r>
      <w:r w:rsidR="00F32F72" w:rsidRPr="00AA1662">
        <w:rPr>
          <w:i/>
          <w:sz w:val="22"/>
        </w:rPr>
        <w:t xml:space="preserve"> stuff like that automatically.</w:t>
      </w:r>
      <w:r w:rsidR="00053F32" w:rsidRPr="00AA1662">
        <w:rPr>
          <w:i/>
          <w:sz w:val="22"/>
        </w:rPr>
        <w:t>…</w:t>
      </w:r>
      <w:r w:rsidRPr="00AA1662">
        <w:rPr>
          <w:i/>
          <w:sz w:val="22"/>
        </w:rPr>
        <w:t>. We are notifying them of the results but we are also advising them of where they can go to help themselves”. (GP, interview)</w:t>
      </w:r>
    </w:p>
    <w:p w14:paraId="58632CA7" w14:textId="77777777" w:rsidR="00A50770" w:rsidRPr="00A50770" w:rsidRDefault="00A50770" w:rsidP="00A50770">
      <w:pPr>
        <w:rPr>
          <w:i/>
        </w:rPr>
      </w:pPr>
    </w:p>
    <w:p w14:paraId="6FB4D4C9" w14:textId="77777777" w:rsidR="00A50770" w:rsidRPr="00A50770" w:rsidRDefault="00A50770" w:rsidP="00A50770">
      <w:r w:rsidRPr="00A50770">
        <w:t xml:space="preserve">One practice stated that they would refer a patient with a suspected diagnosis to the lipid clinic for further tests and that they were not encouraged to make the clinical diagnosis, instead recording the patient as ‘serum lipids are high’ (but still commencing treatment) until the lipid clinic confirmed the clinical diagnosis. </w:t>
      </w:r>
    </w:p>
    <w:p w14:paraId="6254CFDB" w14:textId="07542639" w:rsidR="00A259AF" w:rsidRDefault="00A50770" w:rsidP="00A50770">
      <w:r w:rsidRPr="00A50770">
        <w:t>Another practice stated that it would be useful to run indicators from this topic alongside pre-diabetes screening in primary care or that it could be included in one of their existing GP federation schemes to perform blood pressure checks in those aged 30 to 39 years old.</w:t>
      </w:r>
    </w:p>
    <w:p w14:paraId="2AE744F7" w14:textId="77777777" w:rsidR="00981357" w:rsidRPr="00506DA8" w:rsidRDefault="00981357" w:rsidP="00A50770">
      <w:pPr>
        <w:rPr>
          <w:color w:val="000000" w:themeColor="text1"/>
        </w:rPr>
      </w:pPr>
    </w:p>
    <w:p w14:paraId="280FD25B" w14:textId="77777777" w:rsidR="00FC4D8C" w:rsidRPr="00761F7B" w:rsidRDefault="00FC4D8C" w:rsidP="00FC4D8C">
      <w:pPr>
        <w:pStyle w:val="Heading3"/>
      </w:pPr>
      <w:r w:rsidRPr="00761F7B">
        <w:t>Barriers to implementation</w:t>
      </w:r>
    </w:p>
    <w:p w14:paraId="3B9844C4" w14:textId="61ECB745" w:rsidR="00423D70" w:rsidRDefault="00423D70" w:rsidP="00423D70">
      <w:r>
        <w:t xml:space="preserve">Two practices </w:t>
      </w:r>
      <w:r w:rsidR="00DC2570">
        <w:t xml:space="preserve">(2/14, 14%) </w:t>
      </w:r>
      <w:r w:rsidR="00AA4E08">
        <w:t>r</w:t>
      </w:r>
      <w:r>
        <w:t>aised concerns regarding the ability to fully complete the diagnostic tools (Simon Broome or Dutch Lipid Clinic Network criteria) due to a lack of family history knowledge provided by the patient.</w:t>
      </w:r>
    </w:p>
    <w:p w14:paraId="5B92E1A7" w14:textId="77777777" w:rsidR="00423D70" w:rsidRPr="00AA1662" w:rsidRDefault="00423D70" w:rsidP="00423D70">
      <w:pPr>
        <w:rPr>
          <w:i/>
          <w:sz w:val="22"/>
        </w:rPr>
      </w:pPr>
      <w:r w:rsidRPr="00AA1662">
        <w:rPr>
          <w:i/>
          <w:sz w:val="22"/>
        </w:rPr>
        <w:t xml:space="preserve">“We found in our practice that the referrals were already being undertaken and when questioning patients to complete the tool for the pilot many did not understand the family </w:t>
      </w:r>
      <w:r w:rsidRPr="00AA1662">
        <w:rPr>
          <w:i/>
          <w:sz w:val="22"/>
        </w:rPr>
        <w:lastRenderedPageBreak/>
        <w:t>history questions or have the information necessary to enable the GP to complete the tool”. (Practice manager, survey)</w:t>
      </w:r>
    </w:p>
    <w:p w14:paraId="19E00562" w14:textId="77777777" w:rsidR="000D0A8A" w:rsidRPr="00086E1A" w:rsidRDefault="000D0A8A" w:rsidP="00423D70">
      <w:pPr>
        <w:rPr>
          <w:i/>
        </w:rPr>
      </w:pPr>
    </w:p>
    <w:p w14:paraId="69FD75AC" w14:textId="23E51EA6" w:rsidR="00423D70" w:rsidRPr="000D0A8A" w:rsidRDefault="00786A9F" w:rsidP="006B6630">
      <w:r>
        <w:t>Three</w:t>
      </w:r>
      <w:r w:rsidR="000D0A8A" w:rsidRPr="000D0A8A">
        <w:t xml:space="preserve"> practices </w:t>
      </w:r>
      <w:r w:rsidR="00DC2570">
        <w:t xml:space="preserve">(3/14, 21%) </w:t>
      </w:r>
      <w:r w:rsidR="000D0A8A" w:rsidRPr="000D0A8A">
        <w:t>reported issues they had experienced with</w:t>
      </w:r>
      <w:r w:rsidR="000D0A8A">
        <w:t xml:space="preserve"> completion of</w:t>
      </w:r>
      <w:r w:rsidR="000D0A8A" w:rsidRPr="000D0A8A">
        <w:t xml:space="preserve"> the tools</w:t>
      </w:r>
      <w:r w:rsidR="000D0A8A">
        <w:t>.</w:t>
      </w:r>
    </w:p>
    <w:p w14:paraId="1FA7FF58" w14:textId="46A3323C" w:rsidR="00CD1824" w:rsidRPr="00AA1662" w:rsidRDefault="006B6630" w:rsidP="006B6630">
      <w:pPr>
        <w:rPr>
          <w:i/>
          <w:sz w:val="22"/>
        </w:rPr>
      </w:pPr>
      <w:r w:rsidRPr="00AA1662">
        <w:rPr>
          <w:i/>
          <w:sz w:val="22"/>
        </w:rPr>
        <w:t>“The two tools suggested for FH produced different answers for the same patient and the same data added. These would need to be verified”. (Practice senior manager, survey)</w:t>
      </w:r>
    </w:p>
    <w:p w14:paraId="2008AC6D" w14:textId="6B5759EA" w:rsidR="00603EBD" w:rsidRPr="00AA1662" w:rsidRDefault="00603EBD" w:rsidP="00603EBD">
      <w:pPr>
        <w:rPr>
          <w:i/>
          <w:sz w:val="22"/>
        </w:rPr>
      </w:pPr>
      <w:r w:rsidRPr="00AA1662">
        <w:rPr>
          <w:i/>
          <w:sz w:val="22"/>
        </w:rPr>
        <w:t>“But it was useful having a link to the Simon Broome and Dutch criteria. My colleagues noticed that with</w:t>
      </w:r>
      <w:r w:rsidR="00AA4E08" w:rsidRPr="00AA1662">
        <w:rPr>
          <w:i/>
          <w:sz w:val="22"/>
        </w:rPr>
        <w:t>…</w:t>
      </w:r>
      <w:r w:rsidRPr="00AA1662">
        <w:rPr>
          <w:i/>
          <w:sz w:val="22"/>
        </w:rPr>
        <w:t xml:space="preserve">I think it was Simon Broome, it's quite specific, you have to have a non-LDL level, no, an LDL level, which we couldn't figure out if that was the same as a non-HDL level or... so we couldn't fill that one in, progress any further with that criteria. With the </w:t>
      </w:r>
      <w:r w:rsidR="00AA4E08" w:rsidRPr="00AA1662">
        <w:rPr>
          <w:i/>
          <w:sz w:val="22"/>
        </w:rPr>
        <w:t>Dutch criteria, it was almost…</w:t>
      </w:r>
      <w:r w:rsidRPr="00AA1662">
        <w:rPr>
          <w:i/>
          <w:sz w:val="22"/>
        </w:rPr>
        <w:t xml:space="preserve"> not specific enough because you're either eligible or not eligibl</w:t>
      </w:r>
      <w:r w:rsidR="00AA4E08" w:rsidRPr="00AA1662">
        <w:rPr>
          <w:i/>
          <w:sz w:val="22"/>
        </w:rPr>
        <w:t>e to complete the rest of that…</w:t>
      </w:r>
      <w:r w:rsidRPr="00AA1662">
        <w:rPr>
          <w:i/>
          <w:sz w:val="22"/>
        </w:rPr>
        <w:t xml:space="preserve"> we just had a bit of trouble filling in those criteria”. (GP, interview)</w:t>
      </w:r>
    </w:p>
    <w:p w14:paraId="18E7C6A9" w14:textId="5A1A2AD2" w:rsidR="00786A9F" w:rsidRPr="00AA1662" w:rsidRDefault="00786A9F" w:rsidP="00603EBD">
      <w:pPr>
        <w:rPr>
          <w:i/>
          <w:sz w:val="22"/>
        </w:rPr>
      </w:pPr>
      <w:r w:rsidRPr="00AA1662">
        <w:rPr>
          <w:i/>
          <w:sz w:val="22"/>
        </w:rPr>
        <w:t>“The familial cholesterol area showed that the practice was referring appropriate people to secondary care and that many patients contacted did not understand the questions being assessed on the scoring tool”. (Practice manager, survey)</w:t>
      </w:r>
    </w:p>
    <w:p w14:paraId="77146A18" w14:textId="77777777" w:rsidR="00547981" w:rsidRPr="00603EBD" w:rsidRDefault="00547981" w:rsidP="00603EBD">
      <w:pPr>
        <w:rPr>
          <w:i/>
        </w:rPr>
      </w:pPr>
    </w:p>
    <w:p w14:paraId="4A2125BB" w14:textId="268446CC" w:rsidR="00547981" w:rsidRDefault="00F72AD2" w:rsidP="00603EBD">
      <w:r>
        <w:t xml:space="preserve">With regard to onward referral to a specialist clinic following a clinical diagnosis of FH in primary care, practices raised concerns regarding information relating to the correct referral pathway and also the capacity of the </w:t>
      </w:r>
      <w:r w:rsidR="00823D25">
        <w:t xml:space="preserve">lipid clinic </w:t>
      </w:r>
      <w:r>
        <w:t>services.</w:t>
      </w:r>
    </w:p>
    <w:p w14:paraId="1D08CB73" w14:textId="6A1793D0" w:rsidR="00F72AD2" w:rsidRPr="00AA1662" w:rsidRDefault="00F72AD2" w:rsidP="00F72AD2">
      <w:pPr>
        <w:rPr>
          <w:i/>
          <w:sz w:val="22"/>
        </w:rPr>
      </w:pPr>
      <w:r w:rsidRPr="00AA1662">
        <w:rPr>
          <w:i/>
          <w:sz w:val="22"/>
        </w:rPr>
        <w:t xml:space="preserve"> “I’ve been researching this stuff, trying to find out how to write a template. And I’ve been doing it, and every time I see one of these mildly-raised cholesterols, I can’t remember what on earth I’m going to do. Every single time. And I’m using the templates and I can't remember. So I think it’s going to be really, really hard to do”. (GP, interview) </w:t>
      </w:r>
    </w:p>
    <w:p w14:paraId="14F8FBF5" w14:textId="1E95AB38" w:rsidR="00823D25" w:rsidRPr="00AA1662" w:rsidRDefault="00823D25" w:rsidP="00823D25">
      <w:pPr>
        <w:rPr>
          <w:i/>
          <w:sz w:val="22"/>
        </w:rPr>
      </w:pPr>
      <w:r w:rsidRPr="00AA1662">
        <w:rPr>
          <w:i/>
          <w:sz w:val="22"/>
        </w:rPr>
        <w:t>“Our CCG has invested an awful lot of time and effort on something called Clinical Support Informati</w:t>
      </w:r>
      <w:r w:rsidR="00AA4E08" w:rsidRPr="00AA1662">
        <w:rPr>
          <w:i/>
          <w:sz w:val="22"/>
        </w:rPr>
        <w:t>on. It's on an intranet system…It</w:t>
      </w:r>
      <w:r w:rsidRPr="00AA1662">
        <w:rPr>
          <w:i/>
          <w:sz w:val="22"/>
        </w:rPr>
        <w:t xml:space="preserve"> has the pathway. It's quite clear what people have to do for certain conditions</w:t>
      </w:r>
      <w:r w:rsidR="009F4AC5" w:rsidRPr="00AA1662">
        <w:rPr>
          <w:i/>
          <w:sz w:val="22"/>
        </w:rPr>
        <w:t>…</w:t>
      </w:r>
      <w:r w:rsidRPr="00AA1662">
        <w:rPr>
          <w:i/>
          <w:sz w:val="22"/>
        </w:rPr>
        <w:t>. Whatever you come up with will have to be built into other people's systems as well. You can't just say refer them to a clinic. It's like where is the clinic? Who runs the clinic? It will involve secondary care in the planning and organisation of that as well so you've got to be mindful. It's not just here's some training on how to do something. It's what is the impact on the ground on the local services”. (Practice manager, interview)</w:t>
      </w:r>
    </w:p>
    <w:p w14:paraId="27BC3590" w14:textId="400C482A" w:rsidR="00F72AD2" w:rsidRPr="00AA1662" w:rsidRDefault="00F72AD2" w:rsidP="00F72AD2">
      <w:pPr>
        <w:rPr>
          <w:i/>
          <w:sz w:val="22"/>
        </w:rPr>
      </w:pPr>
      <w:r w:rsidRPr="00AA1662">
        <w:rPr>
          <w:i/>
          <w:sz w:val="22"/>
        </w:rPr>
        <w:lastRenderedPageBreak/>
        <w:t>“The hospitals would need to have capacity to see patients if we refer them.” (Practice senior manager, survey)</w:t>
      </w:r>
    </w:p>
    <w:p w14:paraId="6602AE75" w14:textId="1AE971EE" w:rsidR="00823D25" w:rsidRPr="00AA1662" w:rsidRDefault="00585863" w:rsidP="00823D25">
      <w:pPr>
        <w:rPr>
          <w:i/>
          <w:sz w:val="22"/>
        </w:rPr>
      </w:pPr>
      <w:r w:rsidRPr="00AA1662">
        <w:rPr>
          <w:i/>
          <w:sz w:val="22"/>
        </w:rPr>
        <w:t xml:space="preserve"> </w:t>
      </w:r>
      <w:r w:rsidR="00823D25" w:rsidRPr="00AA1662">
        <w:rPr>
          <w:i/>
          <w:sz w:val="22"/>
        </w:rPr>
        <w:t>“Do we have resources outside of primary care to deal with it, is my question, I mean in the lipid clinics. There is only a few of them around, isn't there?” (GP, interview)</w:t>
      </w:r>
    </w:p>
    <w:p w14:paraId="60F21CFF" w14:textId="77777777" w:rsidR="000D0A8A" w:rsidRPr="00086E1A" w:rsidRDefault="000D0A8A" w:rsidP="00FC4D8C">
      <w:pPr>
        <w:rPr>
          <w:i/>
        </w:rPr>
      </w:pPr>
    </w:p>
    <w:p w14:paraId="67906095" w14:textId="0D779394" w:rsidR="00086E1A" w:rsidRDefault="000D0A8A" w:rsidP="00FC4D8C">
      <w:r>
        <w:t xml:space="preserve">One practice raised concerns regarding the potential incentivisation of these indicators, as the FH diagnosis pathway involves different providers of care and different roles and </w:t>
      </w:r>
      <w:r w:rsidR="00761F7B">
        <w:t>responsibilities</w:t>
      </w:r>
      <w:r>
        <w:t>, to ensure there was no negative impact on the income to the practice.</w:t>
      </w:r>
      <w:r w:rsidR="00F72AD2">
        <w:t xml:space="preserve"> Another practice also wanted to ensure that this work would be appropriately funded if the indicators became part of a contract.</w:t>
      </w:r>
    </w:p>
    <w:p w14:paraId="77448FB5" w14:textId="725F2FF9" w:rsidR="00823D25" w:rsidRPr="00AA1662" w:rsidRDefault="00823D25" w:rsidP="00823D25">
      <w:pPr>
        <w:rPr>
          <w:i/>
          <w:sz w:val="22"/>
        </w:rPr>
      </w:pPr>
      <w:r w:rsidRPr="00AA1662">
        <w:rPr>
          <w:i/>
          <w:sz w:val="22"/>
        </w:rPr>
        <w:t>“..It's also about the impact on primary care and whether that's going to be adequately funded through the additional indicators, so how many points and what is the value thereof and how much are we going to construct GP/nurse follow-up plan, pursuing this pathway. If it is to be introduced, there just needs to be adequate remuneration within it”. (Practice manager, interview)</w:t>
      </w:r>
    </w:p>
    <w:p w14:paraId="45A200C5" w14:textId="77777777" w:rsidR="000D0A8A" w:rsidRDefault="000D0A8A" w:rsidP="00FC4D8C"/>
    <w:p w14:paraId="718EF455" w14:textId="1AF52E6D" w:rsidR="00FC4D8C" w:rsidRPr="00B8476F" w:rsidRDefault="00FC4D8C" w:rsidP="00FC4D8C">
      <w:pPr>
        <w:pStyle w:val="Heading3"/>
      </w:pPr>
      <w:r w:rsidRPr="00B8476F">
        <w:t>Assessment of exception reporting</w:t>
      </w:r>
      <w:r w:rsidR="00587575">
        <w:t xml:space="preserve"> (or future Personalised Care Adjustment)</w:t>
      </w:r>
    </w:p>
    <w:p w14:paraId="7DF74BEF" w14:textId="77777777" w:rsidR="00587575" w:rsidRDefault="00587575" w:rsidP="00587575">
      <w:r>
        <w:t>Given the short time period available for the pilot, we are unable to comment upon likely levels of exception reporting.</w:t>
      </w:r>
    </w:p>
    <w:p w14:paraId="55C9926F" w14:textId="77777777" w:rsidR="002F4670" w:rsidRDefault="002F4670" w:rsidP="00FC4D8C"/>
    <w:p w14:paraId="6F959E2F" w14:textId="75F4CF08" w:rsidR="00FC4D8C" w:rsidRDefault="00FC4D8C" w:rsidP="00FC4D8C">
      <w:pPr>
        <w:pStyle w:val="Heading3"/>
      </w:pPr>
      <w:r>
        <w:t xml:space="preserve">Assessment of overlap with and/or impact </w:t>
      </w:r>
      <w:r w:rsidR="000A7674">
        <w:t>on existing QOF indicators</w:t>
      </w:r>
      <w:r w:rsidR="002F4670">
        <w:t xml:space="preserve"> or local schemes</w:t>
      </w:r>
      <w:r w:rsidR="000A7674">
        <w:t xml:space="preserve"> </w:t>
      </w:r>
    </w:p>
    <w:p w14:paraId="76C553E5" w14:textId="61CFA4DE" w:rsidR="000A7674" w:rsidRDefault="002F4670" w:rsidP="00113CFC">
      <w:r>
        <w:t>It is possible that there are various schemes and services already in existence in local areas which overlap with the requirements of these indicators.</w:t>
      </w:r>
    </w:p>
    <w:p w14:paraId="4BB765CF" w14:textId="77777777" w:rsidR="002F4670" w:rsidRDefault="002F4670" w:rsidP="00113CFC"/>
    <w:p w14:paraId="1258E13B" w14:textId="77777777" w:rsidR="000A7674" w:rsidRDefault="000A7674" w:rsidP="000A7674">
      <w:pPr>
        <w:pStyle w:val="Heading3"/>
      </w:pPr>
      <w:r>
        <w:t>Other overall views on implementation of the indicators (including unintended consequences)</w:t>
      </w:r>
    </w:p>
    <w:p w14:paraId="515CECDD" w14:textId="1E3C6B21" w:rsidR="00BB43D3" w:rsidRDefault="006C6E59" w:rsidP="00BB43D3">
      <w:r>
        <w:t>Four</w:t>
      </w:r>
      <w:r w:rsidR="00BB43D3">
        <w:t xml:space="preserve"> o</w:t>
      </w:r>
      <w:r w:rsidR="00A01AA9">
        <w:t>f the 32 survey respondents (</w:t>
      </w:r>
      <w:r>
        <w:t>12.5</w:t>
      </w:r>
      <w:r w:rsidR="00BB43D3">
        <w:t>%)</w:t>
      </w:r>
      <w:r>
        <w:t xml:space="preserve"> reported positive things that they didn’t expect to experience during the pilot, with</w:t>
      </w:r>
      <w:r w:rsidR="00BB43D3">
        <w:t xml:space="preserve"> </w:t>
      </w:r>
      <w:r>
        <w:t>three</w:t>
      </w:r>
      <w:r w:rsidR="00BB43D3">
        <w:t xml:space="preserve"> of these providing further detail</w:t>
      </w:r>
      <w:r>
        <w:t xml:space="preserve">s on their experience. </w:t>
      </w:r>
      <w:r w:rsidR="00A01AA9">
        <w:t xml:space="preserve"> </w:t>
      </w:r>
    </w:p>
    <w:p w14:paraId="5E99A3A7" w14:textId="0618AAA6" w:rsidR="00BB43D3" w:rsidRPr="00AA1662" w:rsidRDefault="006C6E59" w:rsidP="00BB43D3">
      <w:pPr>
        <w:rPr>
          <w:i/>
          <w:sz w:val="22"/>
        </w:rPr>
      </w:pPr>
      <w:r w:rsidRPr="00AA1662">
        <w:rPr>
          <w:i/>
          <w:sz w:val="22"/>
        </w:rPr>
        <w:lastRenderedPageBreak/>
        <w:t>“Most patients from retrospective search had already been identified and referred appropriately to lipid clinic”. (GP, survey)</w:t>
      </w:r>
    </w:p>
    <w:p w14:paraId="7B5748E4" w14:textId="1105DC2F" w:rsidR="006C6E59" w:rsidRPr="00AA1662" w:rsidRDefault="006C6E59" w:rsidP="00BB43D3">
      <w:pPr>
        <w:rPr>
          <w:i/>
          <w:sz w:val="22"/>
        </w:rPr>
      </w:pPr>
      <w:r w:rsidRPr="00AA1662">
        <w:rPr>
          <w:i/>
          <w:sz w:val="22"/>
        </w:rPr>
        <w:t>“We found young patients who we didn't know might have FH”. (Practice senior manager, survey)</w:t>
      </w:r>
    </w:p>
    <w:p w14:paraId="28DCADB3" w14:textId="7DCB6071" w:rsidR="006C6E59" w:rsidRPr="00AA1662" w:rsidRDefault="006C6E59" w:rsidP="00BB43D3">
      <w:pPr>
        <w:rPr>
          <w:i/>
          <w:sz w:val="22"/>
        </w:rPr>
      </w:pPr>
      <w:r w:rsidRPr="00AA1662">
        <w:rPr>
          <w:i/>
          <w:sz w:val="22"/>
        </w:rPr>
        <w:t>“Certainly made me learn about hyperlipidaemia”. (GP, survey)</w:t>
      </w:r>
    </w:p>
    <w:p w14:paraId="38E996D4" w14:textId="77777777" w:rsidR="00786A9F" w:rsidRDefault="00786A9F" w:rsidP="00BB43D3"/>
    <w:p w14:paraId="4728218C" w14:textId="53EE0CA0" w:rsidR="00BB43D3" w:rsidRDefault="006C6E59" w:rsidP="00BB43D3">
      <w:r>
        <w:t>Two</w:t>
      </w:r>
      <w:r w:rsidR="00BB43D3">
        <w:t xml:space="preserve"> of the su</w:t>
      </w:r>
      <w:r>
        <w:t>rvey respondents (</w:t>
      </w:r>
      <w:r w:rsidR="00A01AA9">
        <w:t>6</w:t>
      </w:r>
      <w:r w:rsidR="00BB43D3">
        <w:t>%) stated that there were negative things that they didn’</w:t>
      </w:r>
      <w:r w:rsidR="00FB09D1">
        <w:t xml:space="preserve">t expect to experience, with </w:t>
      </w:r>
      <w:r>
        <w:t>one practice</w:t>
      </w:r>
      <w:r w:rsidR="00BB43D3">
        <w:t xml:space="preserve"> providing further detail</w:t>
      </w:r>
      <w:r>
        <w:t>s</w:t>
      </w:r>
      <w:r w:rsidR="00BB43D3">
        <w:t xml:space="preserve">. </w:t>
      </w:r>
    </w:p>
    <w:p w14:paraId="0DEE9926" w14:textId="0673DEB8" w:rsidR="006C6E59" w:rsidRDefault="006C6E59" w:rsidP="007F240E">
      <w:pPr>
        <w:rPr>
          <w:i/>
          <w:sz w:val="22"/>
        </w:rPr>
      </w:pPr>
      <w:r w:rsidRPr="00AA1662">
        <w:rPr>
          <w:i/>
          <w:sz w:val="22"/>
        </w:rPr>
        <w:t>“The hyperlipidaemia requires additional codes to say why you don't do things. The hyperlipidaemia for instance if you have abnormal bloods you don't have a way to say awaiting a review for diabetes or hypothyroid. (GP, survey)</w:t>
      </w:r>
    </w:p>
    <w:p w14:paraId="195DF008" w14:textId="77777777" w:rsidR="00587575" w:rsidRPr="00AA1662" w:rsidRDefault="00587575" w:rsidP="007F240E">
      <w:pPr>
        <w:rPr>
          <w:i/>
          <w:sz w:val="22"/>
        </w:rPr>
      </w:pPr>
    </w:p>
    <w:p w14:paraId="19576064" w14:textId="7F3BD302" w:rsidR="007F240E" w:rsidRPr="00B8476F" w:rsidRDefault="007F240E" w:rsidP="007F240E">
      <w:pPr>
        <w:pStyle w:val="Heading3"/>
      </w:pPr>
      <w:r w:rsidRPr="00B8476F">
        <w:t>Suggested amendments to indicator wording</w:t>
      </w:r>
    </w:p>
    <w:p w14:paraId="3AB53F5B" w14:textId="22D1C24E" w:rsidR="00650275" w:rsidRPr="00B8476F" w:rsidRDefault="00F67664" w:rsidP="00650275">
      <w:r>
        <w:t xml:space="preserve">No amendment to indicator wording </w:t>
      </w:r>
      <w:r w:rsidR="002F4670">
        <w:t>are suggested in response to the pi</w:t>
      </w:r>
      <w:r w:rsidR="006C6E59">
        <w:t>lot.</w:t>
      </w:r>
    </w:p>
    <w:p w14:paraId="5537049B" w14:textId="77777777" w:rsidR="00987149" w:rsidRPr="00B8476F" w:rsidRDefault="00987149">
      <w:pPr>
        <w:spacing w:after="160" w:line="259" w:lineRule="auto"/>
        <w:jc w:val="left"/>
      </w:pPr>
      <w:r w:rsidRPr="00B8476F">
        <w:br w:type="page"/>
      </w:r>
    </w:p>
    <w:p w14:paraId="496F9E97" w14:textId="08F88B57" w:rsidR="00650275" w:rsidRPr="00B8476F" w:rsidRDefault="00213BE2" w:rsidP="00987149">
      <w:pPr>
        <w:pStyle w:val="Heading1"/>
      </w:pPr>
      <w:r w:rsidRPr="00B8476F">
        <w:lastRenderedPageBreak/>
        <w:t>Appendix A:</w:t>
      </w:r>
      <w:r w:rsidR="00650275" w:rsidRPr="00B8476F">
        <w:t xml:space="preserve"> Practice recruitment</w:t>
      </w:r>
    </w:p>
    <w:p w14:paraId="032647E3" w14:textId="77777777" w:rsidR="000A7674" w:rsidRDefault="000A7674" w:rsidP="000A7674">
      <w:r>
        <w:t>A sample of 30 GP practices from across England was recruited by the NCCID to participate in the indicator pilot for 2018/19.</w:t>
      </w:r>
      <w:r w:rsidRPr="001A2F6D">
        <w:t xml:space="preserve"> </w:t>
      </w:r>
      <w:r>
        <w:t>Practices were to be representative of England in terms of the range of practice list sizes</w:t>
      </w:r>
      <w:bookmarkStart w:id="3" w:name="_Ref7507268"/>
      <w:r>
        <w:rPr>
          <w:rStyle w:val="FootnoteReference"/>
        </w:rPr>
        <w:footnoteReference w:id="3"/>
      </w:r>
      <w:bookmarkEnd w:id="3"/>
      <w:r>
        <w:t xml:space="preserve"> and level of deprivation</w:t>
      </w:r>
      <w:bookmarkStart w:id="4" w:name="_Ref7507261"/>
      <w:r>
        <w:rPr>
          <w:rStyle w:val="FootnoteReference"/>
        </w:rPr>
        <w:footnoteReference w:id="4"/>
      </w:r>
      <w:bookmarkEnd w:id="4"/>
      <w:r>
        <w:t>. An additional aim was that there was practice coverage with regard to three of the four principal clinical system suppliers.</w:t>
      </w:r>
    </w:p>
    <w:p w14:paraId="6EA08D6E" w14:textId="77777777" w:rsidR="000A7674" w:rsidRPr="00B8476F" w:rsidRDefault="000A7674" w:rsidP="000A7674">
      <w:r w:rsidRPr="00B8476F">
        <w:t xml:space="preserve">There were </w:t>
      </w:r>
      <w:r>
        <w:t>4</w:t>
      </w:r>
      <w:r w:rsidRPr="00B8476F">
        <w:t xml:space="preserve"> </w:t>
      </w:r>
      <w:r>
        <w:t xml:space="preserve">of the 30 </w:t>
      </w:r>
      <w:r w:rsidRPr="00B8476F">
        <w:t xml:space="preserve">practices who subsequently withdrew from the pilot, one just prior to the commencement of the pilot, two practices mid-pilot and one close to the end. One of the remaining practices underwent a merger just prior to the start of the pilot which resulted in a change in the stratum for this practice due to the practice population more than doubling in size. </w:t>
      </w:r>
    </w:p>
    <w:p w14:paraId="205E971F" w14:textId="77777777" w:rsidR="000A7674" w:rsidRDefault="000A7674" w:rsidP="000A7674">
      <w:r w:rsidRPr="00B8476F">
        <w:t xml:space="preserve">Final practice numbers in each stratum </w:t>
      </w:r>
      <w:r>
        <w:t xml:space="preserve">of practice list size and level of deprivation </w:t>
      </w:r>
      <w:r w:rsidRPr="00B8476F">
        <w:t>participating in the pilot are shown in the table below. When compared to the distribution of practices initially planned to target</w:t>
      </w:r>
      <w:r>
        <w:t xml:space="preserve"> (in order to be fully representative of practices in England on these dimensions)</w:t>
      </w:r>
      <w:r w:rsidRPr="00B8476F">
        <w:t>, there is over-recruitment in one stratum (large list size, least deprived) and under (no) recruitment in one stratum (small list size, least deprived)</w:t>
      </w:r>
      <w:r>
        <w:t>;</w:t>
      </w:r>
      <w:r w:rsidRPr="00B8476F">
        <w:t xml:space="preserve"> however</w:t>
      </w:r>
      <w:r>
        <w:t>,</w:t>
      </w:r>
      <w:r w:rsidRPr="00B8476F">
        <w:t xml:space="preserve"> in this case</w:t>
      </w:r>
      <w:r>
        <w:t>,</w:t>
      </w:r>
      <w:r w:rsidRPr="00B8476F">
        <w:t xml:space="preserve"> there is a practice categorised with medium list size and low deprivation where the list size (5,518 registered patients) is close to the lower end of the range.</w:t>
      </w:r>
    </w:p>
    <w:p w14:paraId="67D848DD" w14:textId="77777777" w:rsidR="000A7674" w:rsidRPr="00B8476F" w:rsidRDefault="000A7674" w:rsidP="000A7674">
      <w:r>
        <w:t>Broadly speaking, based on this and other background data available to characterise the pilot practices, they appear to be fairly representative of GP practices in England.</w:t>
      </w:r>
    </w:p>
    <w:p w14:paraId="6F7046DC" w14:textId="77777777" w:rsidR="000A7674" w:rsidRPr="00B8476F" w:rsidRDefault="000A7674" w:rsidP="000A7674">
      <w:pPr>
        <w:pStyle w:val="Heading4"/>
      </w:pPr>
      <w:r>
        <w:t xml:space="preserve">Table 1: </w:t>
      </w:r>
      <w:r w:rsidRPr="00B8476F">
        <w:t xml:space="preserve">Participating </w:t>
      </w:r>
      <w:r>
        <w:t>pilot practice numbers by stratum</w:t>
      </w:r>
    </w:p>
    <w:tbl>
      <w:tblPr>
        <w:tblStyle w:val="TableGrid"/>
        <w:tblW w:w="0" w:type="auto"/>
        <w:tblLook w:val="04A0" w:firstRow="1" w:lastRow="0" w:firstColumn="1" w:lastColumn="0" w:noHBand="0" w:noVBand="1"/>
      </w:tblPr>
      <w:tblGrid>
        <w:gridCol w:w="1503"/>
        <w:gridCol w:w="1502"/>
        <w:gridCol w:w="1502"/>
        <w:gridCol w:w="1503"/>
        <w:gridCol w:w="1503"/>
      </w:tblGrid>
      <w:tr w:rsidR="004953B6" w:rsidRPr="00B8476F" w14:paraId="70091297" w14:textId="77777777" w:rsidTr="004953B6">
        <w:tc>
          <w:tcPr>
            <w:tcW w:w="1503" w:type="dxa"/>
            <w:tcBorders>
              <w:bottom w:val="single" w:sz="4" w:space="0" w:color="FFFFFF"/>
            </w:tcBorders>
          </w:tcPr>
          <w:p w14:paraId="68A93F8B" w14:textId="77777777" w:rsidR="004953B6" w:rsidRPr="00B8476F" w:rsidRDefault="004953B6" w:rsidP="001E245A">
            <w:pPr>
              <w:spacing w:before="40" w:after="40" w:line="240" w:lineRule="auto"/>
              <w:rPr>
                <w:b/>
              </w:rPr>
            </w:pPr>
            <w:r w:rsidRPr="00B8476F">
              <w:rPr>
                <w:b/>
              </w:rPr>
              <w:t>List size</w:t>
            </w:r>
            <w:r w:rsidRPr="001A2F6D">
              <w:rPr>
                <w:b/>
                <w:vertAlign w:val="superscript"/>
              </w:rPr>
              <w:fldChar w:fldCharType="begin"/>
            </w:r>
            <w:r w:rsidRPr="001A2F6D">
              <w:rPr>
                <w:b/>
                <w:vertAlign w:val="superscript"/>
              </w:rPr>
              <w:instrText xml:space="preserve"> NOTEREF _Ref7507268 \h </w:instrText>
            </w:r>
            <w:r>
              <w:rPr>
                <w:b/>
                <w:vertAlign w:val="superscript"/>
              </w:rPr>
              <w:instrText xml:space="preserve"> \* MERGEFORMAT </w:instrText>
            </w:r>
            <w:r w:rsidRPr="001A2F6D">
              <w:rPr>
                <w:b/>
                <w:vertAlign w:val="superscript"/>
              </w:rPr>
            </w:r>
            <w:r w:rsidRPr="001A2F6D">
              <w:rPr>
                <w:b/>
                <w:vertAlign w:val="superscript"/>
              </w:rPr>
              <w:fldChar w:fldCharType="separate"/>
            </w:r>
            <w:r>
              <w:rPr>
                <w:b/>
                <w:vertAlign w:val="superscript"/>
              </w:rPr>
              <w:t>3</w:t>
            </w:r>
            <w:r w:rsidRPr="001A2F6D">
              <w:rPr>
                <w:b/>
                <w:vertAlign w:val="superscript"/>
              </w:rPr>
              <w:fldChar w:fldCharType="end"/>
            </w:r>
          </w:p>
        </w:tc>
        <w:tc>
          <w:tcPr>
            <w:tcW w:w="1502" w:type="dxa"/>
            <w:tcBorders>
              <w:right w:val="single" w:sz="4" w:space="0" w:color="FFFFFF"/>
            </w:tcBorders>
          </w:tcPr>
          <w:p w14:paraId="73084BFD" w14:textId="680A6361" w:rsidR="004953B6" w:rsidRPr="00B8476F" w:rsidRDefault="004953B6" w:rsidP="001E245A">
            <w:pPr>
              <w:spacing w:before="40" w:after="40" w:line="240" w:lineRule="auto"/>
              <w:jc w:val="center"/>
              <w:rPr>
                <w:b/>
              </w:rPr>
            </w:pPr>
          </w:p>
        </w:tc>
        <w:tc>
          <w:tcPr>
            <w:tcW w:w="1502" w:type="dxa"/>
            <w:tcBorders>
              <w:left w:val="single" w:sz="4" w:space="0" w:color="FFFFFF"/>
              <w:right w:val="single" w:sz="4" w:space="0" w:color="FFFFFF"/>
            </w:tcBorders>
          </w:tcPr>
          <w:p w14:paraId="20581A21" w14:textId="719372A7" w:rsidR="004953B6" w:rsidRPr="00B8476F" w:rsidRDefault="004953B6" w:rsidP="001E245A">
            <w:pPr>
              <w:spacing w:before="40" w:after="40" w:line="240" w:lineRule="auto"/>
              <w:jc w:val="center"/>
              <w:rPr>
                <w:b/>
              </w:rPr>
            </w:pPr>
            <w:r w:rsidRPr="00B8476F">
              <w:rPr>
                <w:b/>
              </w:rPr>
              <w:t>IMD score</w:t>
            </w:r>
            <w:r w:rsidRPr="001A2F6D">
              <w:rPr>
                <w:b/>
                <w:vertAlign w:val="superscript"/>
              </w:rPr>
              <w:fldChar w:fldCharType="begin"/>
            </w:r>
            <w:r w:rsidRPr="001A2F6D">
              <w:rPr>
                <w:b/>
                <w:vertAlign w:val="superscript"/>
              </w:rPr>
              <w:instrText xml:space="preserve"> NOTEREF _Ref7507261 \h </w:instrText>
            </w:r>
            <w:r>
              <w:rPr>
                <w:b/>
                <w:vertAlign w:val="superscript"/>
              </w:rPr>
              <w:instrText xml:space="preserve"> \* MERGEFORMAT </w:instrText>
            </w:r>
            <w:r w:rsidRPr="001A2F6D">
              <w:rPr>
                <w:b/>
                <w:vertAlign w:val="superscript"/>
              </w:rPr>
            </w:r>
            <w:r w:rsidRPr="001A2F6D">
              <w:rPr>
                <w:b/>
                <w:vertAlign w:val="superscript"/>
              </w:rPr>
              <w:fldChar w:fldCharType="separate"/>
            </w:r>
            <w:r>
              <w:rPr>
                <w:b/>
                <w:vertAlign w:val="superscript"/>
              </w:rPr>
              <w:t>4</w:t>
            </w:r>
            <w:r w:rsidRPr="001A2F6D">
              <w:rPr>
                <w:b/>
                <w:vertAlign w:val="superscript"/>
              </w:rPr>
              <w:fldChar w:fldCharType="end"/>
            </w:r>
          </w:p>
        </w:tc>
        <w:tc>
          <w:tcPr>
            <w:tcW w:w="1503" w:type="dxa"/>
            <w:tcBorders>
              <w:left w:val="single" w:sz="4" w:space="0" w:color="FFFFFF"/>
            </w:tcBorders>
          </w:tcPr>
          <w:p w14:paraId="3FF7B4ED" w14:textId="783A6381" w:rsidR="004953B6" w:rsidRPr="00B8476F" w:rsidRDefault="004953B6" w:rsidP="001E245A">
            <w:pPr>
              <w:spacing w:before="40" w:after="40" w:line="240" w:lineRule="auto"/>
              <w:jc w:val="center"/>
              <w:rPr>
                <w:b/>
              </w:rPr>
            </w:pPr>
          </w:p>
        </w:tc>
        <w:tc>
          <w:tcPr>
            <w:tcW w:w="1503" w:type="dxa"/>
            <w:tcBorders>
              <w:bottom w:val="single" w:sz="4" w:space="0" w:color="FFFFFF"/>
            </w:tcBorders>
          </w:tcPr>
          <w:p w14:paraId="0F52A177" w14:textId="77777777" w:rsidR="004953B6" w:rsidRPr="00B8476F" w:rsidRDefault="004953B6" w:rsidP="001E245A">
            <w:pPr>
              <w:spacing w:before="40" w:after="40" w:line="240" w:lineRule="auto"/>
              <w:jc w:val="center"/>
              <w:rPr>
                <w:b/>
              </w:rPr>
            </w:pPr>
            <w:r w:rsidRPr="00B8476F">
              <w:rPr>
                <w:b/>
              </w:rPr>
              <w:t>Total</w:t>
            </w:r>
          </w:p>
        </w:tc>
      </w:tr>
      <w:tr w:rsidR="000A7674" w:rsidRPr="00B8476F" w14:paraId="63965018" w14:textId="77777777" w:rsidTr="004953B6">
        <w:tc>
          <w:tcPr>
            <w:tcW w:w="1503" w:type="dxa"/>
            <w:tcBorders>
              <w:top w:val="single" w:sz="4" w:space="0" w:color="FFFFFF"/>
            </w:tcBorders>
          </w:tcPr>
          <w:p w14:paraId="271B2C2F" w14:textId="77777777" w:rsidR="000A7674" w:rsidRPr="00B8476F" w:rsidRDefault="000A7674" w:rsidP="001E245A">
            <w:pPr>
              <w:spacing w:before="40" w:after="40" w:line="240" w:lineRule="auto"/>
            </w:pPr>
          </w:p>
        </w:tc>
        <w:tc>
          <w:tcPr>
            <w:tcW w:w="1502" w:type="dxa"/>
          </w:tcPr>
          <w:p w14:paraId="587ACE54" w14:textId="77777777" w:rsidR="000A7674" w:rsidRPr="00B8476F" w:rsidRDefault="000A7674" w:rsidP="001E245A">
            <w:pPr>
              <w:spacing w:before="40" w:after="40" w:line="240" w:lineRule="auto"/>
              <w:jc w:val="center"/>
            </w:pPr>
            <w:r w:rsidRPr="00B8476F">
              <w:t>Least</w:t>
            </w:r>
          </w:p>
        </w:tc>
        <w:tc>
          <w:tcPr>
            <w:tcW w:w="1502" w:type="dxa"/>
          </w:tcPr>
          <w:p w14:paraId="7A4A62C0" w14:textId="77777777" w:rsidR="000A7674" w:rsidRPr="00B8476F" w:rsidRDefault="000A7674" w:rsidP="001E245A">
            <w:pPr>
              <w:spacing w:before="40" w:after="40" w:line="240" w:lineRule="auto"/>
              <w:jc w:val="center"/>
            </w:pPr>
            <w:r w:rsidRPr="00B8476F">
              <w:t>Medium</w:t>
            </w:r>
          </w:p>
        </w:tc>
        <w:tc>
          <w:tcPr>
            <w:tcW w:w="1503" w:type="dxa"/>
          </w:tcPr>
          <w:p w14:paraId="12BB51B8" w14:textId="77777777" w:rsidR="000A7674" w:rsidRPr="00B8476F" w:rsidRDefault="000A7674" w:rsidP="001E245A">
            <w:pPr>
              <w:spacing w:before="40" w:after="40" w:line="240" w:lineRule="auto"/>
              <w:jc w:val="center"/>
            </w:pPr>
            <w:r w:rsidRPr="00B8476F">
              <w:t>Most</w:t>
            </w:r>
          </w:p>
        </w:tc>
        <w:tc>
          <w:tcPr>
            <w:tcW w:w="1503" w:type="dxa"/>
            <w:tcBorders>
              <w:top w:val="single" w:sz="4" w:space="0" w:color="FFFFFF"/>
            </w:tcBorders>
          </w:tcPr>
          <w:p w14:paraId="373ABDF6" w14:textId="77777777" w:rsidR="000A7674" w:rsidRPr="00B8476F" w:rsidRDefault="000A7674" w:rsidP="001E245A">
            <w:pPr>
              <w:spacing w:before="40" w:after="40" w:line="240" w:lineRule="auto"/>
            </w:pPr>
          </w:p>
        </w:tc>
      </w:tr>
      <w:tr w:rsidR="000A7674" w:rsidRPr="00B8476F" w14:paraId="6CC91C49" w14:textId="77777777" w:rsidTr="001E245A">
        <w:tc>
          <w:tcPr>
            <w:tcW w:w="1503" w:type="dxa"/>
          </w:tcPr>
          <w:p w14:paraId="188B9EBC" w14:textId="77777777" w:rsidR="000A7674" w:rsidRPr="00B8476F" w:rsidRDefault="000A7674" w:rsidP="001E245A">
            <w:pPr>
              <w:spacing w:before="40" w:after="40" w:line="240" w:lineRule="auto"/>
            </w:pPr>
            <w:r w:rsidRPr="00B8476F">
              <w:t>Large</w:t>
            </w:r>
          </w:p>
        </w:tc>
        <w:tc>
          <w:tcPr>
            <w:tcW w:w="1502" w:type="dxa"/>
          </w:tcPr>
          <w:p w14:paraId="3F5548FF" w14:textId="77777777" w:rsidR="000A7674" w:rsidRPr="00B8476F" w:rsidRDefault="000A7674" w:rsidP="001E245A">
            <w:pPr>
              <w:spacing w:before="40" w:after="40" w:line="240" w:lineRule="auto"/>
              <w:jc w:val="center"/>
            </w:pPr>
            <w:r w:rsidRPr="00B8476F">
              <w:t>8</w:t>
            </w:r>
          </w:p>
        </w:tc>
        <w:tc>
          <w:tcPr>
            <w:tcW w:w="1502" w:type="dxa"/>
          </w:tcPr>
          <w:p w14:paraId="45DE290A" w14:textId="77777777" w:rsidR="000A7674" w:rsidRPr="00B8476F" w:rsidRDefault="000A7674" w:rsidP="001E245A">
            <w:pPr>
              <w:spacing w:before="40" w:after="40" w:line="240" w:lineRule="auto"/>
              <w:jc w:val="center"/>
            </w:pPr>
            <w:r w:rsidRPr="00B8476F">
              <w:t>2</w:t>
            </w:r>
          </w:p>
        </w:tc>
        <w:tc>
          <w:tcPr>
            <w:tcW w:w="1503" w:type="dxa"/>
          </w:tcPr>
          <w:p w14:paraId="76D94CA1" w14:textId="77777777" w:rsidR="000A7674" w:rsidRPr="00B8476F" w:rsidRDefault="000A7674" w:rsidP="001E245A">
            <w:pPr>
              <w:spacing w:before="40" w:after="40" w:line="240" w:lineRule="auto"/>
              <w:jc w:val="center"/>
            </w:pPr>
            <w:r w:rsidRPr="00B8476F">
              <w:t>4</w:t>
            </w:r>
          </w:p>
        </w:tc>
        <w:tc>
          <w:tcPr>
            <w:tcW w:w="1503" w:type="dxa"/>
          </w:tcPr>
          <w:p w14:paraId="095DC131" w14:textId="77777777" w:rsidR="000A7674" w:rsidRPr="00B8476F" w:rsidRDefault="000A7674" w:rsidP="001E245A">
            <w:pPr>
              <w:spacing w:before="40" w:after="40" w:line="240" w:lineRule="auto"/>
              <w:jc w:val="center"/>
              <w:rPr>
                <w:b/>
              </w:rPr>
            </w:pPr>
            <w:r w:rsidRPr="00B8476F">
              <w:rPr>
                <w:b/>
              </w:rPr>
              <w:t>14</w:t>
            </w:r>
          </w:p>
        </w:tc>
      </w:tr>
      <w:tr w:rsidR="000A7674" w:rsidRPr="00B8476F" w14:paraId="60AA8D7B" w14:textId="77777777" w:rsidTr="001E245A">
        <w:tc>
          <w:tcPr>
            <w:tcW w:w="1503" w:type="dxa"/>
          </w:tcPr>
          <w:p w14:paraId="7A4F1227" w14:textId="77777777" w:rsidR="000A7674" w:rsidRPr="00B8476F" w:rsidRDefault="000A7674" w:rsidP="001E245A">
            <w:pPr>
              <w:spacing w:before="40" w:after="40" w:line="240" w:lineRule="auto"/>
            </w:pPr>
            <w:r w:rsidRPr="00B8476F">
              <w:t>Medium</w:t>
            </w:r>
          </w:p>
        </w:tc>
        <w:tc>
          <w:tcPr>
            <w:tcW w:w="1502" w:type="dxa"/>
          </w:tcPr>
          <w:p w14:paraId="46786943" w14:textId="77777777" w:rsidR="000A7674" w:rsidRPr="00B8476F" w:rsidRDefault="000A7674" w:rsidP="001E245A">
            <w:pPr>
              <w:spacing w:before="40" w:after="40" w:line="240" w:lineRule="auto"/>
              <w:jc w:val="center"/>
            </w:pPr>
            <w:r w:rsidRPr="00B8476F">
              <w:t>3</w:t>
            </w:r>
          </w:p>
        </w:tc>
        <w:tc>
          <w:tcPr>
            <w:tcW w:w="1502" w:type="dxa"/>
          </w:tcPr>
          <w:p w14:paraId="146B1C5D" w14:textId="77777777" w:rsidR="000A7674" w:rsidRPr="00B8476F" w:rsidRDefault="000A7674" w:rsidP="001E245A">
            <w:pPr>
              <w:spacing w:before="40" w:after="40" w:line="240" w:lineRule="auto"/>
              <w:jc w:val="center"/>
            </w:pPr>
            <w:r w:rsidRPr="00B8476F">
              <w:t>4</w:t>
            </w:r>
          </w:p>
        </w:tc>
        <w:tc>
          <w:tcPr>
            <w:tcW w:w="1503" w:type="dxa"/>
          </w:tcPr>
          <w:p w14:paraId="6C2BDA46" w14:textId="77777777" w:rsidR="000A7674" w:rsidRPr="00B8476F" w:rsidRDefault="000A7674" w:rsidP="001E245A">
            <w:pPr>
              <w:spacing w:before="40" w:after="40" w:line="240" w:lineRule="auto"/>
              <w:jc w:val="center"/>
            </w:pPr>
            <w:r w:rsidRPr="00B8476F">
              <w:t>2</w:t>
            </w:r>
          </w:p>
        </w:tc>
        <w:tc>
          <w:tcPr>
            <w:tcW w:w="1503" w:type="dxa"/>
          </w:tcPr>
          <w:p w14:paraId="69619C00" w14:textId="77777777" w:rsidR="000A7674" w:rsidRPr="00B8476F" w:rsidRDefault="000A7674" w:rsidP="001E245A">
            <w:pPr>
              <w:spacing w:before="40" w:after="40" w:line="240" w:lineRule="auto"/>
              <w:jc w:val="center"/>
              <w:rPr>
                <w:b/>
              </w:rPr>
            </w:pPr>
            <w:r w:rsidRPr="00B8476F">
              <w:rPr>
                <w:b/>
              </w:rPr>
              <w:t>9</w:t>
            </w:r>
          </w:p>
        </w:tc>
      </w:tr>
      <w:tr w:rsidR="000A7674" w:rsidRPr="00B8476F" w14:paraId="10305A00" w14:textId="77777777" w:rsidTr="001E245A">
        <w:tc>
          <w:tcPr>
            <w:tcW w:w="1503" w:type="dxa"/>
          </w:tcPr>
          <w:p w14:paraId="0A028D97" w14:textId="77777777" w:rsidR="000A7674" w:rsidRPr="00B8476F" w:rsidRDefault="000A7674" w:rsidP="001E245A">
            <w:pPr>
              <w:spacing w:before="40" w:after="40" w:line="240" w:lineRule="auto"/>
            </w:pPr>
            <w:r w:rsidRPr="00B8476F">
              <w:t>Small</w:t>
            </w:r>
          </w:p>
        </w:tc>
        <w:tc>
          <w:tcPr>
            <w:tcW w:w="1502" w:type="dxa"/>
          </w:tcPr>
          <w:p w14:paraId="1EFE8E88" w14:textId="77777777" w:rsidR="000A7674" w:rsidRPr="00B8476F" w:rsidRDefault="000A7674" w:rsidP="001E245A">
            <w:pPr>
              <w:spacing w:before="40" w:after="40" w:line="240" w:lineRule="auto"/>
              <w:jc w:val="center"/>
            </w:pPr>
            <w:r w:rsidRPr="00B8476F">
              <w:t>0</w:t>
            </w:r>
          </w:p>
        </w:tc>
        <w:tc>
          <w:tcPr>
            <w:tcW w:w="1502" w:type="dxa"/>
          </w:tcPr>
          <w:p w14:paraId="26AEC57C" w14:textId="77777777" w:rsidR="000A7674" w:rsidRPr="00B8476F" w:rsidRDefault="000A7674" w:rsidP="001E245A">
            <w:pPr>
              <w:spacing w:before="40" w:after="40" w:line="240" w:lineRule="auto"/>
              <w:jc w:val="center"/>
            </w:pPr>
            <w:r w:rsidRPr="00B8476F">
              <w:t>2</w:t>
            </w:r>
          </w:p>
        </w:tc>
        <w:tc>
          <w:tcPr>
            <w:tcW w:w="1503" w:type="dxa"/>
          </w:tcPr>
          <w:p w14:paraId="19DAE3DE" w14:textId="77777777" w:rsidR="000A7674" w:rsidRPr="00B8476F" w:rsidRDefault="000A7674" w:rsidP="001E245A">
            <w:pPr>
              <w:spacing w:before="40" w:after="40" w:line="240" w:lineRule="auto"/>
              <w:jc w:val="center"/>
            </w:pPr>
            <w:r w:rsidRPr="00B8476F">
              <w:t>1</w:t>
            </w:r>
          </w:p>
        </w:tc>
        <w:tc>
          <w:tcPr>
            <w:tcW w:w="1503" w:type="dxa"/>
          </w:tcPr>
          <w:p w14:paraId="7D646980" w14:textId="77777777" w:rsidR="000A7674" w:rsidRPr="00B8476F" w:rsidRDefault="000A7674" w:rsidP="001E245A">
            <w:pPr>
              <w:spacing w:before="40" w:after="40" w:line="240" w:lineRule="auto"/>
              <w:jc w:val="center"/>
              <w:rPr>
                <w:b/>
              </w:rPr>
            </w:pPr>
            <w:r w:rsidRPr="00B8476F">
              <w:rPr>
                <w:b/>
              </w:rPr>
              <w:t>3</w:t>
            </w:r>
          </w:p>
        </w:tc>
      </w:tr>
      <w:tr w:rsidR="000A7674" w:rsidRPr="00B8476F" w14:paraId="1C46C4B5" w14:textId="77777777" w:rsidTr="001E245A">
        <w:tc>
          <w:tcPr>
            <w:tcW w:w="1503" w:type="dxa"/>
          </w:tcPr>
          <w:p w14:paraId="29F96747" w14:textId="77777777" w:rsidR="000A7674" w:rsidRPr="00B8476F" w:rsidRDefault="000A7674" w:rsidP="001E245A">
            <w:pPr>
              <w:spacing w:before="40" w:after="40" w:line="240" w:lineRule="auto"/>
              <w:rPr>
                <w:b/>
              </w:rPr>
            </w:pPr>
            <w:r w:rsidRPr="00B8476F">
              <w:rPr>
                <w:b/>
              </w:rPr>
              <w:t>Total</w:t>
            </w:r>
          </w:p>
        </w:tc>
        <w:tc>
          <w:tcPr>
            <w:tcW w:w="1502" w:type="dxa"/>
          </w:tcPr>
          <w:p w14:paraId="5FFBC7E3" w14:textId="77777777" w:rsidR="000A7674" w:rsidRPr="00B8476F" w:rsidRDefault="000A7674" w:rsidP="001E245A">
            <w:pPr>
              <w:spacing w:before="40" w:after="40" w:line="240" w:lineRule="auto"/>
              <w:jc w:val="center"/>
              <w:rPr>
                <w:b/>
              </w:rPr>
            </w:pPr>
            <w:r w:rsidRPr="00B8476F">
              <w:rPr>
                <w:b/>
              </w:rPr>
              <w:t>11</w:t>
            </w:r>
          </w:p>
        </w:tc>
        <w:tc>
          <w:tcPr>
            <w:tcW w:w="1502" w:type="dxa"/>
          </w:tcPr>
          <w:p w14:paraId="5930390A" w14:textId="77777777" w:rsidR="000A7674" w:rsidRPr="00B8476F" w:rsidRDefault="000A7674" w:rsidP="001E245A">
            <w:pPr>
              <w:spacing w:before="40" w:after="40" w:line="240" w:lineRule="auto"/>
              <w:jc w:val="center"/>
              <w:rPr>
                <w:b/>
              </w:rPr>
            </w:pPr>
            <w:r w:rsidRPr="00B8476F">
              <w:rPr>
                <w:b/>
              </w:rPr>
              <w:t>8</w:t>
            </w:r>
          </w:p>
        </w:tc>
        <w:tc>
          <w:tcPr>
            <w:tcW w:w="1503" w:type="dxa"/>
          </w:tcPr>
          <w:p w14:paraId="2A090BDA" w14:textId="77777777" w:rsidR="000A7674" w:rsidRPr="00B8476F" w:rsidRDefault="000A7674" w:rsidP="001E245A">
            <w:pPr>
              <w:spacing w:before="40" w:after="40" w:line="240" w:lineRule="auto"/>
              <w:jc w:val="center"/>
              <w:rPr>
                <w:b/>
              </w:rPr>
            </w:pPr>
            <w:r w:rsidRPr="00B8476F">
              <w:rPr>
                <w:b/>
              </w:rPr>
              <w:t>7</w:t>
            </w:r>
          </w:p>
        </w:tc>
        <w:tc>
          <w:tcPr>
            <w:tcW w:w="1503" w:type="dxa"/>
          </w:tcPr>
          <w:p w14:paraId="38186E28" w14:textId="77777777" w:rsidR="000A7674" w:rsidRPr="00B8476F" w:rsidRDefault="000A7674" w:rsidP="001E245A">
            <w:pPr>
              <w:spacing w:before="40" w:after="40" w:line="240" w:lineRule="auto"/>
              <w:jc w:val="center"/>
              <w:rPr>
                <w:b/>
              </w:rPr>
            </w:pPr>
            <w:r w:rsidRPr="00B8476F">
              <w:rPr>
                <w:b/>
              </w:rPr>
              <w:t>26</w:t>
            </w:r>
          </w:p>
        </w:tc>
      </w:tr>
    </w:tbl>
    <w:p w14:paraId="44188838" w14:textId="65F33D2E" w:rsidR="00650275" w:rsidRPr="00B8476F" w:rsidRDefault="00650275" w:rsidP="00987149">
      <w:pPr>
        <w:pStyle w:val="Heading1"/>
      </w:pPr>
      <w:r w:rsidRPr="000C2F8A">
        <w:lastRenderedPageBreak/>
        <w:t xml:space="preserve">Appendix B: </w:t>
      </w:r>
      <w:r w:rsidR="002A7FDE" w:rsidRPr="000C2F8A">
        <w:t>Indicator development</w:t>
      </w:r>
    </w:p>
    <w:p w14:paraId="117BE191" w14:textId="2D5E11E4" w:rsidR="000C2F8A" w:rsidRDefault="008D340F" w:rsidP="008D340F">
      <w:r w:rsidRPr="00AB160E">
        <w:t xml:space="preserve">The NICE Indicator Advisory Committee (IAC) in </w:t>
      </w:r>
      <w:r w:rsidR="00EB05B5">
        <w:t>June</w:t>
      </w:r>
      <w:r w:rsidRPr="00AB160E">
        <w:t xml:space="preserve"> 201</w:t>
      </w:r>
      <w:r w:rsidR="00EB05B5">
        <w:t>7</w:t>
      </w:r>
      <w:r w:rsidRPr="00AB160E">
        <w:t xml:space="preserve"> </w:t>
      </w:r>
      <w:r w:rsidR="000C2F8A">
        <w:t>considered a review, undertaken by NICE and</w:t>
      </w:r>
      <w:r w:rsidR="00CD1325">
        <w:t xml:space="preserve"> supported by</w:t>
      </w:r>
      <w:r w:rsidR="000C2F8A">
        <w:t xml:space="preserve"> Public Health England</w:t>
      </w:r>
      <w:r w:rsidR="00CD1325">
        <w:t>,</w:t>
      </w:r>
      <w:r w:rsidR="000C2F8A">
        <w:t xml:space="preserve"> of </w:t>
      </w:r>
      <w:r w:rsidR="00CD1325">
        <w:t>the care pathway relating to FH</w:t>
      </w:r>
      <w:r w:rsidR="000C2F8A">
        <w:t xml:space="preserve"> </w:t>
      </w:r>
      <w:r w:rsidR="00CD1325">
        <w:t>in the context of NICE guidance</w:t>
      </w:r>
      <w:r w:rsidR="00CD1325">
        <w:rPr>
          <w:rStyle w:val="FootnoteReference"/>
        </w:rPr>
        <w:footnoteReference w:id="5"/>
      </w:r>
      <w:r w:rsidR="00CD1325">
        <w:t xml:space="preserve"> and NICE quality standards</w:t>
      </w:r>
      <w:r w:rsidR="00CD1325">
        <w:rPr>
          <w:rStyle w:val="FootnoteReference"/>
        </w:rPr>
        <w:footnoteReference w:id="6"/>
      </w:r>
      <w:r w:rsidR="00CD1325">
        <w:t>, which included</w:t>
      </w:r>
      <w:r w:rsidR="000C2F8A">
        <w:t xml:space="preserve"> </w:t>
      </w:r>
      <w:r w:rsidR="00CD1325">
        <w:t xml:space="preserve">proposed </w:t>
      </w:r>
      <w:r w:rsidR="000C2F8A">
        <w:t xml:space="preserve">areas for potential </w:t>
      </w:r>
      <w:r w:rsidR="00CD1325">
        <w:t xml:space="preserve">indicator </w:t>
      </w:r>
      <w:r w:rsidR="000C2F8A">
        <w:t>development.</w:t>
      </w:r>
    </w:p>
    <w:p w14:paraId="5C0B4E70" w14:textId="58893448" w:rsidR="008D340F" w:rsidRDefault="000C2F8A" w:rsidP="008D340F">
      <w:r>
        <w:t xml:space="preserve">IAC </w:t>
      </w:r>
      <w:r w:rsidR="008D340F" w:rsidRPr="00AB160E">
        <w:t xml:space="preserve">agreed to proceed to piloting and consultation </w:t>
      </w:r>
      <w:r w:rsidR="008D340F">
        <w:t xml:space="preserve">on indicators focused on </w:t>
      </w:r>
      <w:r w:rsidR="00EB05B5">
        <w:t xml:space="preserve">assessment for a clinical diagnosis of FH for patients with a high cholesterol, and referral of patients with a clinical diagnosis of FH for specialist assessment </w:t>
      </w:r>
      <w:r w:rsidR="008D340F">
        <w:t xml:space="preserve">as detailed below. </w:t>
      </w:r>
    </w:p>
    <w:p w14:paraId="2D75018A" w14:textId="77777777" w:rsidR="008D340F" w:rsidRDefault="008D340F" w:rsidP="008D340F"/>
    <w:p w14:paraId="292FEC7B" w14:textId="38CD0CE8" w:rsidR="00FF4E74" w:rsidRDefault="00E41A6E" w:rsidP="008D340F">
      <w:pPr>
        <w:pStyle w:val="Heading3"/>
        <w:rPr>
          <w:lang w:val="en-US"/>
        </w:rPr>
      </w:pPr>
      <w:r>
        <w:rPr>
          <w:lang w:val="en-US"/>
        </w:rPr>
        <w:t>Indicator wording as piloted</w:t>
      </w:r>
    </w:p>
    <w:p w14:paraId="70F78850" w14:textId="77777777" w:rsidR="00D359FB" w:rsidRPr="00CB4152" w:rsidRDefault="00D359FB" w:rsidP="00D359FB">
      <w:pPr>
        <w:pStyle w:val="Heading4"/>
        <w:spacing w:after="120"/>
      </w:pPr>
      <w:r w:rsidRPr="00AC5AEE">
        <w:rPr>
          <w:b/>
          <w:u w:val="none"/>
        </w:rPr>
        <w:t xml:space="preserve">Indicator 1: </w:t>
      </w:r>
      <w:r w:rsidRPr="00C7563F">
        <w:rPr>
          <w:b/>
          <w:u w:val="none"/>
        </w:rPr>
        <w:t>Assessment of patients aged 29 years and under with a high total cholesterol</w:t>
      </w:r>
    </w:p>
    <w:p w14:paraId="63356351" w14:textId="77777777" w:rsidR="00D359FB" w:rsidRPr="001D16EA" w:rsidRDefault="00D359FB" w:rsidP="00D359FB">
      <w:pPr>
        <w:spacing w:line="264" w:lineRule="auto"/>
      </w:pPr>
      <w:r w:rsidRPr="00CB4152">
        <w:t>The percentage of p</w:t>
      </w:r>
      <w:r>
        <w:t>eople aged 29 years and under, with a total cholesterol concentration greater than 7.5 mmol/l that are assessed against the Simon Broome or Dutch Lipid Clinic Network (DLCN) criteria</w:t>
      </w:r>
    </w:p>
    <w:p w14:paraId="122FF6D1" w14:textId="77777777" w:rsidR="00D359FB" w:rsidRPr="00AC5AEE" w:rsidRDefault="00D359FB" w:rsidP="00D359FB">
      <w:pPr>
        <w:pStyle w:val="Heading4"/>
        <w:spacing w:after="120"/>
        <w:rPr>
          <w:b/>
          <w:u w:val="none"/>
        </w:rPr>
      </w:pPr>
    </w:p>
    <w:p w14:paraId="551C61FA" w14:textId="77777777" w:rsidR="00D359FB" w:rsidRPr="00CB4152" w:rsidRDefault="00D359FB" w:rsidP="00D359FB">
      <w:pPr>
        <w:pStyle w:val="Heading4"/>
        <w:spacing w:after="120"/>
      </w:pPr>
      <w:r w:rsidRPr="00AC5AEE">
        <w:rPr>
          <w:b/>
          <w:u w:val="none"/>
        </w:rPr>
        <w:t xml:space="preserve">Indicator 2: </w:t>
      </w:r>
      <w:r w:rsidRPr="00C7563F">
        <w:rPr>
          <w:b/>
          <w:u w:val="none"/>
        </w:rPr>
        <w:t>Assessment of patients aged 30 years and older with a high total cholesterol</w:t>
      </w:r>
    </w:p>
    <w:p w14:paraId="3CE79A8C" w14:textId="77777777" w:rsidR="00D359FB" w:rsidRDefault="00D359FB" w:rsidP="00D359FB">
      <w:pPr>
        <w:spacing w:line="264" w:lineRule="auto"/>
      </w:pPr>
      <w:r w:rsidRPr="00CB4152">
        <w:t xml:space="preserve">The percentage of </w:t>
      </w:r>
      <w:r>
        <w:t>people aged 30 years and older with a total cholesterol concentration greater than 9.0 mmol/l that are assessed against the Simon Broome or Dutch Lipid Clinic Network (DLCN) criteria.</w:t>
      </w:r>
    </w:p>
    <w:p w14:paraId="1C20C7D3" w14:textId="77777777" w:rsidR="00D359FB" w:rsidRDefault="00D359FB" w:rsidP="00D359FB">
      <w:pPr>
        <w:spacing w:line="264" w:lineRule="auto"/>
      </w:pPr>
    </w:p>
    <w:p w14:paraId="309EB0C3" w14:textId="77777777" w:rsidR="00D359FB" w:rsidRPr="00C7563F" w:rsidRDefault="00D359FB" w:rsidP="00D359FB">
      <w:pPr>
        <w:pStyle w:val="Heading4"/>
        <w:spacing w:after="120"/>
        <w:rPr>
          <w:b/>
          <w:u w:val="none"/>
        </w:rPr>
      </w:pPr>
      <w:r w:rsidRPr="00AC5AEE">
        <w:rPr>
          <w:rFonts w:ascii="Frutiger-BoldItalic" w:cs="Frutiger-BoldItalic"/>
          <w:b/>
          <w:bCs/>
          <w:u w:val="none"/>
        </w:rPr>
        <w:t xml:space="preserve">Indicator 3: </w:t>
      </w:r>
      <w:r w:rsidRPr="00C7563F">
        <w:rPr>
          <w:b/>
          <w:u w:val="none"/>
        </w:rPr>
        <w:t>Referral of patients with a diagnosis of familial hypercholesterolaemia</w:t>
      </w:r>
    </w:p>
    <w:p w14:paraId="52EFEAC7" w14:textId="77777777" w:rsidR="00D359FB" w:rsidRDefault="00D359FB" w:rsidP="00D359FB">
      <w:pPr>
        <w:spacing w:line="264" w:lineRule="auto"/>
      </w:pPr>
      <w:r>
        <w:t>The proportion of people with a clinical diagnosis of familial hypercholesterolaemia (FH) referred for specialist assessment.</w:t>
      </w:r>
    </w:p>
    <w:p w14:paraId="2F464CFC" w14:textId="77777777" w:rsidR="008D340F" w:rsidRDefault="008D340F" w:rsidP="008D340F">
      <w:pPr>
        <w:spacing w:after="0" w:line="288" w:lineRule="auto"/>
      </w:pPr>
    </w:p>
    <w:p w14:paraId="75419A30" w14:textId="77777777" w:rsidR="00BD5F62" w:rsidRPr="00B8476F" w:rsidRDefault="00BD5F62" w:rsidP="00BD5F62"/>
    <w:p w14:paraId="229EC7FD" w14:textId="77777777" w:rsidR="00FF4E74" w:rsidRDefault="00FF4E74">
      <w:pPr>
        <w:spacing w:after="160" w:line="259" w:lineRule="auto"/>
        <w:jc w:val="left"/>
        <w:rPr>
          <w:rFonts w:eastAsiaTheme="majorEastAsia" w:cstheme="majorBidi"/>
          <w:b/>
          <w:sz w:val="32"/>
          <w:szCs w:val="32"/>
        </w:rPr>
      </w:pPr>
      <w:r>
        <w:br w:type="page"/>
      </w:r>
    </w:p>
    <w:p w14:paraId="07F7AEFB" w14:textId="77777777" w:rsidR="000A7674" w:rsidRPr="00B8476F" w:rsidRDefault="000A7674" w:rsidP="000A7674">
      <w:pPr>
        <w:pStyle w:val="Heading1"/>
        <w:jc w:val="left"/>
      </w:pPr>
      <w:r w:rsidRPr="00B8476F">
        <w:lastRenderedPageBreak/>
        <w:t xml:space="preserve">Appendix C: </w:t>
      </w:r>
      <w:r>
        <w:t>Acceptability and implementation recommendations</w:t>
      </w:r>
    </w:p>
    <w:p w14:paraId="440089CE" w14:textId="77777777" w:rsidR="000A7674" w:rsidRDefault="000A7674" w:rsidP="000A7674">
      <w:pPr>
        <w:pStyle w:val="Heading2"/>
        <w:rPr>
          <w:lang w:val="en-US"/>
        </w:rPr>
      </w:pPr>
      <w:r>
        <w:rPr>
          <w:lang w:val="en-US"/>
        </w:rPr>
        <w:t xml:space="preserve">Acceptability recommendations </w:t>
      </w:r>
    </w:p>
    <w:p w14:paraId="63B38DA2" w14:textId="77777777" w:rsidR="000A7674" w:rsidRDefault="000A7674" w:rsidP="000A7674">
      <w:r>
        <w:t>In order to provide recommendation to the Indicator Advisory Committee, t</w:t>
      </w:r>
      <w:r w:rsidRPr="00FD0AFA">
        <w:t xml:space="preserve">he degree of acceptability of the </w:t>
      </w:r>
      <w:r>
        <w:t xml:space="preserve">indicators </w:t>
      </w:r>
      <w:r w:rsidRPr="00FD0AFA">
        <w:t xml:space="preserve">to practices is </w:t>
      </w:r>
      <w:r>
        <w:t>assessed and reported in the ‘Summary of Indicators’ section as follows:</w:t>
      </w:r>
    </w:p>
    <w:p w14:paraId="7A4D6BF8" w14:textId="77777777" w:rsidR="000A7674" w:rsidRDefault="000A7674" w:rsidP="000A7674">
      <w:pPr>
        <w:pStyle w:val="ListParagraph"/>
        <w:numPr>
          <w:ilvl w:val="0"/>
          <w:numId w:val="40"/>
        </w:numPr>
      </w:pPr>
      <w:r>
        <w:t>A summary of the percentage (of respondents to the survey) responding to</w:t>
      </w:r>
      <w:r w:rsidRPr="00FD0AFA">
        <w:t xml:space="preserve"> the survey question</w:t>
      </w:r>
      <w:r>
        <w:t>s which relate to whether indicators within the topic should be financially incentivised and their impact on the quality of care for patients;</w:t>
      </w:r>
    </w:p>
    <w:p w14:paraId="07340D6C" w14:textId="77777777" w:rsidR="000A7674" w:rsidRDefault="000A7674" w:rsidP="000A7674">
      <w:pPr>
        <w:pStyle w:val="ListParagraph"/>
        <w:numPr>
          <w:ilvl w:val="0"/>
          <w:numId w:val="40"/>
        </w:numPr>
      </w:pPr>
      <w:r>
        <w:t>Relevant indicator- specific comments reported descriptively.</w:t>
      </w:r>
    </w:p>
    <w:p w14:paraId="72F39351" w14:textId="77777777" w:rsidR="000A7674" w:rsidRDefault="000A7674" w:rsidP="000A7674">
      <w:pPr>
        <w:pStyle w:val="Heading2"/>
        <w:rPr>
          <w:lang w:val="en-US"/>
        </w:rPr>
      </w:pPr>
      <w:r>
        <w:rPr>
          <w:lang w:val="en-US"/>
        </w:rPr>
        <w:t>Implementation recommendations</w:t>
      </w:r>
    </w:p>
    <w:p w14:paraId="05677547" w14:textId="77777777" w:rsidR="000A7674" w:rsidRDefault="000A7674" w:rsidP="000A7674">
      <w:pPr>
        <w:rPr>
          <w:lang w:val="en-US"/>
        </w:rPr>
      </w:pPr>
      <w:r>
        <w:rPr>
          <w:lang w:val="en-US"/>
        </w:rPr>
        <w:t xml:space="preserve">Implementation recommendations in the ‘Summary of Indicators’ section are based on a judgement of the findings reported by pilot practices relating to workload, training, set up and preparation, taken from surveys and interviews/focus groups. A narrative overview of the ease of implementation from these findings, forms the basis of the implementation category used for the recommendations in the topic reports.  </w:t>
      </w:r>
    </w:p>
    <w:p w14:paraId="6D0AD92A" w14:textId="77777777" w:rsidR="000A7674" w:rsidRDefault="000A7674" w:rsidP="000A7674">
      <w:pPr>
        <w:spacing w:after="0"/>
        <w:rPr>
          <w:lang w:val="en-US"/>
        </w:rPr>
      </w:pPr>
      <w:r w:rsidRPr="009C38B3">
        <w:rPr>
          <w:lang w:val="en-US"/>
        </w:rPr>
        <w:t>The implementation categories</w:t>
      </w:r>
      <w:r>
        <w:rPr>
          <w:lang w:val="en-US"/>
        </w:rPr>
        <w:t xml:space="preserve"> </w:t>
      </w:r>
      <w:r w:rsidRPr="009C38B3">
        <w:rPr>
          <w:lang w:val="en-US"/>
        </w:rPr>
        <w:t>are</w:t>
      </w:r>
      <w:r>
        <w:rPr>
          <w:lang w:val="en-US"/>
        </w:rPr>
        <w:t>:</w:t>
      </w:r>
      <w:r w:rsidRPr="009C38B3">
        <w:rPr>
          <w:lang w:val="en-US"/>
        </w:rPr>
        <w:t xml:space="preserve"> </w:t>
      </w:r>
    </w:p>
    <w:p w14:paraId="543A1F2F" w14:textId="77777777" w:rsidR="000A7674" w:rsidRPr="009B0C55" w:rsidRDefault="000A7674" w:rsidP="000A7674">
      <w:pPr>
        <w:pStyle w:val="ListParagraph"/>
        <w:numPr>
          <w:ilvl w:val="0"/>
          <w:numId w:val="41"/>
        </w:numPr>
        <w:rPr>
          <w:lang w:val="en-US"/>
        </w:rPr>
      </w:pPr>
      <w:r w:rsidRPr="009B0C55">
        <w:rPr>
          <w:lang w:val="en-US"/>
        </w:rPr>
        <w:t xml:space="preserve">No problems </w:t>
      </w:r>
      <w:r>
        <w:rPr>
          <w:lang w:val="en-US"/>
        </w:rPr>
        <w:t>(</w:t>
      </w:r>
      <w:r w:rsidRPr="009B0C55">
        <w:rPr>
          <w:lang w:val="en-US"/>
        </w:rPr>
        <w:t>with implementation</w:t>
      </w:r>
      <w:r>
        <w:rPr>
          <w:lang w:val="en-US"/>
        </w:rPr>
        <w:t>)</w:t>
      </w:r>
    </w:p>
    <w:p w14:paraId="64BF1796" w14:textId="54AFD87B" w:rsidR="003F14B8" w:rsidRPr="003F14B8" w:rsidRDefault="000A7674" w:rsidP="003F14B8">
      <w:pPr>
        <w:pStyle w:val="ListParagraph"/>
        <w:numPr>
          <w:ilvl w:val="0"/>
          <w:numId w:val="41"/>
        </w:numPr>
        <w:spacing w:after="0"/>
        <w:rPr>
          <w:lang w:val="en-US"/>
        </w:rPr>
      </w:pPr>
      <w:r w:rsidRPr="009B0C55">
        <w:rPr>
          <w:lang w:val="en-US"/>
        </w:rPr>
        <w:t>Minor problems</w:t>
      </w:r>
      <w:r w:rsidR="009B361D">
        <w:rPr>
          <w:lang w:val="en-US"/>
        </w:rPr>
        <w:t xml:space="preserve"> (resolvable)</w:t>
      </w:r>
    </w:p>
    <w:p w14:paraId="14D1DF20" w14:textId="77777777" w:rsidR="000A7674" w:rsidRPr="009B0C55" w:rsidRDefault="000A7674" w:rsidP="000A7674">
      <w:pPr>
        <w:pStyle w:val="ListParagraph"/>
        <w:numPr>
          <w:ilvl w:val="0"/>
          <w:numId w:val="41"/>
        </w:numPr>
        <w:spacing w:after="0"/>
        <w:rPr>
          <w:lang w:val="en-US"/>
        </w:rPr>
      </w:pPr>
      <w:r w:rsidRPr="009B0C55">
        <w:rPr>
          <w:lang w:val="en-US"/>
        </w:rPr>
        <w:t>Major problems (potentially resolvable)</w:t>
      </w:r>
    </w:p>
    <w:p w14:paraId="52698E3D" w14:textId="77777777" w:rsidR="000A7674" w:rsidRPr="009B0C55" w:rsidRDefault="000A7674" w:rsidP="000A7674">
      <w:pPr>
        <w:pStyle w:val="ListParagraph"/>
        <w:numPr>
          <w:ilvl w:val="0"/>
          <w:numId w:val="41"/>
        </w:numPr>
        <w:rPr>
          <w:lang w:val="en-US"/>
        </w:rPr>
      </w:pPr>
      <w:r w:rsidRPr="009B0C55">
        <w:rPr>
          <w:lang w:val="en-US"/>
        </w:rPr>
        <w:t>Major problems (not resolvable)</w:t>
      </w:r>
    </w:p>
    <w:p w14:paraId="6CBA58FF" w14:textId="77777777" w:rsidR="00BD5F62" w:rsidRPr="00B8476F" w:rsidRDefault="00BD5F62" w:rsidP="000A7674">
      <w:pPr>
        <w:pStyle w:val="Heading1"/>
        <w:jc w:val="left"/>
      </w:pPr>
    </w:p>
    <w:sectPr w:rsidR="00BD5F62" w:rsidRPr="00B8476F" w:rsidSect="001E2FF7">
      <w:headerReference w:type="default" r:id="rId8"/>
      <w:footerReference w:type="default" r:id="rId9"/>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7981B" w14:textId="77777777" w:rsidR="002E2134" w:rsidRDefault="002E2134" w:rsidP="00461419">
      <w:pPr>
        <w:spacing w:after="0" w:line="240" w:lineRule="auto"/>
      </w:pPr>
      <w:r>
        <w:separator/>
      </w:r>
    </w:p>
    <w:p w14:paraId="0D130CF1" w14:textId="77777777" w:rsidR="002E2134" w:rsidRDefault="002E2134"/>
  </w:endnote>
  <w:endnote w:type="continuationSeparator" w:id="0">
    <w:p w14:paraId="043E2499" w14:textId="77777777" w:rsidR="002E2134" w:rsidRDefault="002E2134" w:rsidP="00461419">
      <w:pPr>
        <w:spacing w:after="0" w:line="240" w:lineRule="auto"/>
      </w:pPr>
      <w:r>
        <w:continuationSeparator/>
      </w:r>
    </w:p>
    <w:p w14:paraId="5F0EA2A0" w14:textId="77777777" w:rsidR="002E2134" w:rsidRDefault="002E2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Bold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5835297"/>
      <w:docPartObj>
        <w:docPartGallery w:val="Page Numbers (Bottom of Page)"/>
        <w:docPartUnique/>
      </w:docPartObj>
    </w:sdtPr>
    <w:sdtEndPr>
      <w:rPr>
        <w:noProof/>
      </w:rPr>
    </w:sdtEndPr>
    <w:sdtContent>
      <w:p w14:paraId="7C4DC8CB" w14:textId="77777777" w:rsidR="002E2134" w:rsidRDefault="002E2134">
        <w:pPr>
          <w:pStyle w:val="Footer"/>
          <w:jc w:val="right"/>
        </w:pPr>
        <w:r>
          <w:fldChar w:fldCharType="begin"/>
        </w:r>
        <w:r>
          <w:instrText xml:space="preserve"> PAGE   \* MERGEFORMAT </w:instrText>
        </w:r>
        <w:r>
          <w:fldChar w:fldCharType="separate"/>
        </w:r>
        <w:r w:rsidR="00697EE0">
          <w:rPr>
            <w:noProof/>
          </w:rPr>
          <w:t>16</w:t>
        </w:r>
        <w:r>
          <w:rPr>
            <w:noProof/>
          </w:rPr>
          <w:fldChar w:fldCharType="end"/>
        </w:r>
      </w:p>
    </w:sdtContent>
  </w:sdt>
  <w:p w14:paraId="4F1CFF91" w14:textId="77777777" w:rsidR="002E2134" w:rsidRDefault="002E2134">
    <w:pPr>
      <w:pStyle w:val="Footer"/>
    </w:pPr>
  </w:p>
  <w:p w14:paraId="26854634" w14:textId="77777777" w:rsidR="002E2134" w:rsidRDefault="002E21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9E157" w14:textId="77777777" w:rsidR="002E2134" w:rsidRDefault="002E2134" w:rsidP="00461419">
      <w:pPr>
        <w:spacing w:after="0" w:line="240" w:lineRule="auto"/>
      </w:pPr>
      <w:r>
        <w:separator/>
      </w:r>
    </w:p>
    <w:p w14:paraId="6EB6C6CE" w14:textId="77777777" w:rsidR="002E2134" w:rsidRDefault="002E2134"/>
  </w:footnote>
  <w:footnote w:type="continuationSeparator" w:id="0">
    <w:p w14:paraId="1391585A" w14:textId="77777777" w:rsidR="002E2134" w:rsidRDefault="002E2134" w:rsidP="00461419">
      <w:pPr>
        <w:spacing w:after="0" w:line="240" w:lineRule="auto"/>
      </w:pPr>
      <w:r>
        <w:continuationSeparator/>
      </w:r>
    </w:p>
    <w:p w14:paraId="49F71F7B" w14:textId="77777777" w:rsidR="002E2134" w:rsidRDefault="002E2134"/>
  </w:footnote>
  <w:footnote w:id="1">
    <w:p w14:paraId="1D387437" w14:textId="6D0668D2" w:rsidR="002E2134" w:rsidRDefault="002E2134">
      <w:pPr>
        <w:pStyle w:val="FootnoteText"/>
      </w:pPr>
      <w:r>
        <w:rPr>
          <w:rStyle w:val="FootnoteReference"/>
        </w:rPr>
        <w:footnoteRef/>
      </w:r>
      <w:r>
        <w:t xml:space="preserve"> </w:t>
      </w:r>
      <w:r w:rsidRPr="00C11BA8">
        <w:t>https://www.nice.org.uk/guidance/cg71</w:t>
      </w:r>
    </w:p>
  </w:footnote>
  <w:footnote w:id="2">
    <w:p w14:paraId="4C4123EC" w14:textId="095B773B" w:rsidR="002E2134" w:rsidRDefault="002E2134">
      <w:pPr>
        <w:pStyle w:val="FootnoteText"/>
      </w:pPr>
      <w:r>
        <w:rPr>
          <w:rStyle w:val="FootnoteReference"/>
        </w:rPr>
        <w:footnoteRef/>
      </w:r>
      <w:r>
        <w:t xml:space="preserve"> Prediction algorithms for cardiovascular disease</w:t>
      </w:r>
    </w:p>
  </w:footnote>
  <w:footnote w:id="3">
    <w:p w14:paraId="61F514DD" w14:textId="77777777" w:rsidR="002E2134" w:rsidRDefault="002E2134" w:rsidP="000A7674">
      <w:pPr>
        <w:pStyle w:val="FootnoteText"/>
      </w:pPr>
      <w:r>
        <w:rPr>
          <w:rStyle w:val="FootnoteReference"/>
        </w:rPr>
        <w:footnoteRef/>
      </w:r>
      <w:r>
        <w:t xml:space="preserve"> 2016/17 registered population taken from NHS Digital QOF 2016/17 </w:t>
      </w:r>
      <w:r w:rsidRPr="009870C6">
        <w:rPr>
          <w:i/>
        </w:rPr>
        <w:t>https://digital.nhs.uk/</w:t>
      </w:r>
    </w:p>
  </w:footnote>
  <w:footnote w:id="4">
    <w:p w14:paraId="122E5C92" w14:textId="77777777" w:rsidR="002E2134" w:rsidRDefault="002E2134" w:rsidP="000A7674">
      <w:pPr>
        <w:pStyle w:val="FootnoteText"/>
      </w:pPr>
      <w:r>
        <w:rPr>
          <w:rStyle w:val="FootnoteReference"/>
        </w:rPr>
        <w:footnoteRef/>
      </w:r>
      <w:r>
        <w:t xml:space="preserve"> Index of Multiple Deprivation (IMD 2015) Public Health England </w:t>
      </w:r>
      <w:r w:rsidRPr="006C3324">
        <w:rPr>
          <w:i/>
        </w:rPr>
        <w:t>https://fingertips.phe.org.uk</w:t>
      </w:r>
    </w:p>
  </w:footnote>
  <w:footnote w:id="5">
    <w:p w14:paraId="2E9EB6FF" w14:textId="22437E40" w:rsidR="002E2134" w:rsidRDefault="002E2134">
      <w:pPr>
        <w:pStyle w:val="FootnoteText"/>
      </w:pPr>
      <w:r>
        <w:rPr>
          <w:rStyle w:val="FootnoteReference"/>
        </w:rPr>
        <w:footnoteRef/>
      </w:r>
      <w:r>
        <w:t xml:space="preserve"> </w:t>
      </w:r>
      <w:r w:rsidRPr="00CD1325">
        <w:t>https://www.nice.org.uk/guidance/cg71</w:t>
      </w:r>
    </w:p>
  </w:footnote>
  <w:footnote w:id="6">
    <w:p w14:paraId="0629F419" w14:textId="7FAA52E4" w:rsidR="002E2134" w:rsidRDefault="002E2134">
      <w:pPr>
        <w:pStyle w:val="FootnoteText"/>
      </w:pPr>
      <w:r>
        <w:rPr>
          <w:rStyle w:val="FootnoteReference"/>
        </w:rPr>
        <w:footnoteRef/>
      </w:r>
      <w:r>
        <w:t xml:space="preserve"> </w:t>
      </w:r>
      <w:r w:rsidRPr="00CD1325">
        <w:t>https://www.nice.org.uk/Guidance/QS41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F6DBA" w14:textId="574D0A30" w:rsidR="00C64296" w:rsidRDefault="00C64296">
    <w:pPr>
      <w:pStyle w:val="Header"/>
    </w:pPr>
    <w:r>
      <w:t>Item 3c (ii)</w:t>
    </w:r>
  </w:p>
  <w:p w14:paraId="2CEF6264" w14:textId="77777777" w:rsidR="00C64296" w:rsidRDefault="00C64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1D4E"/>
    <w:multiLevelType w:val="hybridMultilevel"/>
    <w:tmpl w:val="4AD8B062"/>
    <w:lvl w:ilvl="0" w:tplc="70EA4A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53813"/>
    <w:multiLevelType w:val="hybridMultilevel"/>
    <w:tmpl w:val="8BA23BB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 w15:restartNumberingAfterBreak="0">
    <w:nsid w:val="07C70FEC"/>
    <w:multiLevelType w:val="hybridMultilevel"/>
    <w:tmpl w:val="09F66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7513F0"/>
    <w:multiLevelType w:val="hybridMultilevel"/>
    <w:tmpl w:val="09905132"/>
    <w:lvl w:ilvl="0" w:tplc="7CB248F2">
      <w:start w:val="1"/>
      <w:numFmt w:val="bullet"/>
      <w:lvlText w:val="•"/>
      <w:lvlJc w:val="left"/>
      <w:pPr>
        <w:tabs>
          <w:tab w:val="num" w:pos="720"/>
        </w:tabs>
        <w:ind w:left="720" w:hanging="360"/>
      </w:pPr>
      <w:rPr>
        <w:rFonts w:ascii="Arial" w:hAnsi="Arial" w:hint="default"/>
      </w:rPr>
    </w:lvl>
    <w:lvl w:ilvl="1" w:tplc="BFA0E274" w:tentative="1">
      <w:start w:val="1"/>
      <w:numFmt w:val="bullet"/>
      <w:lvlText w:val="•"/>
      <w:lvlJc w:val="left"/>
      <w:pPr>
        <w:tabs>
          <w:tab w:val="num" w:pos="1440"/>
        </w:tabs>
        <w:ind w:left="1440" w:hanging="360"/>
      </w:pPr>
      <w:rPr>
        <w:rFonts w:ascii="Arial" w:hAnsi="Arial" w:hint="default"/>
      </w:rPr>
    </w:lvl>
    <w:lvl w:ilvl="2" w:tplc="0D06E89E" w:tentative="1">
      <w:start w:val="1"/>
      <w:numFmt w:val="bullet"/>
      <w:lvlText w:val="•"/>
      <w:lvlJc w:val="left"/>
      <w:pPr>
        <w:tabs>
          <w:tab w:val="num" w:pos="2160"/>
        </w:tabs>
        <w:ind w:left="2160" w:hanging="360"/>
      </w:pPr>
      <w:rPr>
        <w:rFonts w:ascii="Arial" w:hAnsi="Arial" w:hint="default"/>
      </w:rPr>
    </w:lvl>
    <w:lvl w:ilvl="3" w:tplc="B0D0B382" w:tentative="1">
      <w:start w:val="1"/>
      <w:numFmt w:val="bullet"/>
      <w:lvlText w:val="•"/>
      <w:lvlJc w:val="left"/>
      <w:pPr>
        <w:tabs>
          <w:tab w:val="num" w:pos="2880"/>
        </w:tabs>
        <w:ind w:left="2880" w:hanging="360"/>
      </w:pPr>
      <w:rPr>
        <w:rFonts w:ascii="Arial" w:hAnsi="Arial" w:hint="default"/>
      </w:rPr>
    </w:lvl>
    <w:lvl w:ilvl="4" w:tplc="10CEF8A8" w:tentative="1">
      <w:start w:val="1"/>
      <w:numFmt w:val="bullet"/>
      <w:lvlText w:val="•"/>
      <w:lvlJc w:val="left"/>
      <w:pPr>
        <w:tabs>
          <w:tab w:val="num" w:pos="3600"/>
        </w:tabs>
        <w:ind w:left="3600" w:hanging="360"/>
      </w:pPr>
      <w:rPr>
        <w:rFonts w:ascii="Arial" w:hAnsi="Arial" w:hint="default"/>
      </w:rPr>
    </w:lvl>
    <w:lvl w:ilvl="5" w:tplc="0CAED934" w:tentative="1">
      <w:start w:val="1"/>
      <w:numFmt w:val="bullet"/>
      <w:lvlText w:val="•"/>
      <w:lvlJc w:val="left"/>
      <w:pPr>
        <w:tabs>
          <w:tab w:val="num" w:pos="4320"/>
        </w:tabs>
        <w:ind w:left="4320" w:hanging="360"/>
      </w:pPr>
      <w:rPr>
        <w:rFonts w:ascii="Arial" w:hAnsi="Arial" w:hint="default"/>
      </w:rPr>
    </w:lvl>
    <w:lvl w:ilvl="6" w:tplc="4B321322" w:tentative="1">
      <w:start w:val="1"/>
      <w:numFmt w:val="bullet"/>
      <w:lvlText w:val="•"/>
      <w:lvlJc w:val="left"/>
      <w:pPr>
        <w:tabs>
          <w:tab w:val="num" w:pos="5040"/>
        </w:tabs>
        <w:ind w:left="5040" w:hanging="360"/>
      </w:pPr>
      <w:rPr>
        <w:rFonts w:ascii="Arial" w:hAnsi="Arial" w:hint="default"/>
      </w:rPr>
    </w:lvl>
    <w:lvl w:ilvl="7" w:tplc="6688FF8E" w:tentative="1">
      <w:start w:val="1"/>
      <w:numFmt w:val="bullet"/>
      <w:lvlText w:val="•"/>
      <w:lvlJc w:val="left"/>
      <w:pPr>
        <w:tabs>
          <w:tab w:val="num" w:pos="5760"/>
        </w:tabs>
        <w:ind w:left="5760" w:hanging="360"/>
      </w:pPr>
      <w:rPr>
        <w:rFonts w:ascii="Arial" w:hAnsi="Arial" w:hint="default"/>
      </w:rPr>
    </w:lvl>
    <w:lvl w:ilvl="8" w:tplc="947E23A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C6057C"/>
    <w:multiLevelType w:val="hybridMultilevel"/>
    <w:tmpl w:val="E662BC8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FBB316E"/>
    <w:multiLevelType w:val="hybridMultilevel"/>
    <w:tmpl w:val="E912DB02"/>
    <w:lvl w:ilvl="0" w:tplc="D33E84C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C3FA6"/>
    <w:multiLevelType w:val="hybridMultilevel"/>
    <w:tmpl w:val="FAC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D70B5"/>
    <w:multiLevelType w:val="hybridMultilevel"/>
    <w:tmpl w:val="44FA8FF4"/>
    <w:lvl w:ilvl="0" w:tplc="04090017">
      <w:start w:val="1"/>
      <w:numFmt w:val="lowerLetter"/>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905323"/>
    <w:multiLevelType w:val="hybridMultilevel"/>
    <w:tmpl w:val="7E1EBC6C"/>
    <w:lvl w:ilvl="0" w:tplc="99F602F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1A2B15"/>
    <w:multiLevelType w:val="hybridMultilevel"/>
    <w:tmpl w:val="2FD8D462"/>
    <w:lvl w:ilvl="0" w:tplc="C158089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70BF6"/>
    <w:multiLevelType w:val="hybridMultilevel"/>
    <w:tmpl w:val="A7C84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1B13A3"/>
    <w:multiLevelType w:val="hybridMultilevel"/>
    <w:tmpl w:val="EFB4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475D7D"/>
    <w:multiLevelType w:val="hybridMultilevel"/>
    <w:tmpl w:val="897A729C"/>
    <w:lvl w:ilvl="0" w:tplc="260616D6">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92575C"/>
    <w:multiLevelType w:val="hybridMultilevel"/>
    <w:tmpl w:val="55228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583E87"/>
    <w:multiLevelType w:val="hybridMultilevel"/>
    <w:tmpl w:val="6164B7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465C6A"/>
    <w:multiLevelType w:val="hybridMultilevel"/>
    <w:tmpl w:val="4D24E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A182DAE"/>
    <w:multiLevelType w:val="hybridMultilevel"/>
    <w:tmpl w:val="041C0F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0011F"/>
    <w:multiLevelType w:val="hybridMultilevel"/>
    <w:tmpl w:val="F83E2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EB2478E"/>
    <w:multiLevelType w:val="hybridMultilevel"/>
    <w:tmpl w:val="0BA055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22140"/>
    <w:multiLevelType w:val="hybridMultilevel"/>
    <w:tmpl w:val="25D8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01820"/>
    <w:multiLevelType w:val="hybridMultilevel"/>
    <w:tmpl w:val="8932D3B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F55831"/>
    <w:multiLevelType w:val="hybridMultilevel"/>
    <w:tmpl w:val="1DB2B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9E3795"/>
    <w:multiLevelType w:val="hybridMultilevel"/>
    <w:tmpl w:val="BCEE77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D913BE"/>
    <w:multiLevelType w:val="hybridMultilevel"/>
    <w:tmpl w:val="01FEA73A"/>
    <w:lvl w:ilvl="0" w:tplc="E4FADDB2">
      <w:start w:val="1"/>
      <w:numFmt w:val="lowerLetter"/>
      <w:lvlText w:val="%1."/>
      <w:lvlJc w:val="left"/>
      <w:pPr>
        <w:ind w:left="360" w:hanging="360"/>
      </w:pPr>
      <w:rPr>
        <w:rFonts w:ascii="Arial" w:eastAsiaTheme="minorHAnsi" w:hAnsi="Arial" w:cstheme="minorBid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ADA22C0"/>
    <w:multiLevelType w:val="hybridMultilevel"/>
    <w:tmpl w:val="ACB2C96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7E3330"/>
    <w:multiLevelType w:val="hybridMultilevel"/>
    <w:tmpl w:val="B13840BE"/>
    <w:lvl w:ilvl="0" w:tplc="FDFAE9D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C54263"/>
    <w:multiLevelType w:val="hybridMultilevel"/>
    <w:tmpl w:val="76088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F6114F"/>
    <w:multiLevelType w:val="hybridMultilevel"/>
    <w:tmpl w:val="D6DA0F7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1275A86"/>
    <w:multiLevelType w:val="hybridMultilevel"/>
    <w:tmpl w:val="7B8C4086"/>
    <w:lvl w:ilvl="0" w:tplc="9EF0EF36">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5D046F"/>
    <w:multiLevelType w:val="hybridMultilevel"/>
    <w:tmpl w:val="69A07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147FB"/>
    <w:multiLevelType w:val="hybridMultilevel"/>
    <w:tmpl w:val="6DBA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F6396"/>
    <w:multiLevelType w:val="hybridMultilevel"/>
    <w:tmpl w:val="7D48B9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1B1760E"/>
    <w:multiLevelType w:val="hybridMultilevel"/>
    <w:tmpl w:val="824AB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5ED3"/>
    <w:multiLevelType w:val="hybridMultilevel"/>
    <w:tmpl w:val="30DA853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4" w15:restartNumberingAfterBreak="0">
    <w:nsid w:val="760A3728"/>
    <w:multiLevelType w:val="hybridMultilevel"/>
    <w:tmpl w:val="6D8648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9284455"/>
    <w:multiLevelType w:val="hybridMultilevel"/>
    <w:tmpl w:val="8AC8B6F6"/>
    <w:lvl w:ilvl="0" w:tplc="0809000F">
      <w:start w:val="1"/>
      <w:numFmt w:val="decimal"/>
      <w:lvlText w:val="%1."/>
      <w:lvlJc w:val="left"/>
      <w:pPr>
        <w:ind w:left="360" w:hanging="360"/>
      </w:pPr>
      <w:rPr>
        <w:rFonts w:hint="default"/>
      </w:rPr>
    </w:lvl>
    <w:lvl w:ilvl="1" w:tplc="04090001">
      <w:start w:val="1"/>
      <w:numFmt w:val="bullet"/>
      <w:lvlText w:val=""/>
      <w:lvlJc w:val="left"/>
      <w:pPr>
        <w:ind w:left="36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D70DFD"/>
    <w:multiLevelType w:val="hybridMultilevel"/>
    <w:tmpl w:val="38D4A3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B02640"/>
    <w:multiLevelType w:val="hybridMultilevel"/>
    <w:tmpl w:val="3D461B0E"/>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66330"/>
    <w:multiLevelType w:val="hybridMultilevel"/>
    <w:tmpl w:val="7632D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9"/>
  </w:num>
  <w:num w:numId="3">
    <w:abstractNumId w:val="7"/>
  </w:num>
  <w:num w:numId="4">
    <w:abstractNumId w:val="15"/>
  </w:num>
  <w:num w:numId="5">
    <w:abstractNumId w:val="36"/>
  </w:num>
  <w:num w:numId="6">
    <w:abstractNumId w:val="8"/>
  </w:num>
  <w:num w:numId="7">
    <w:abstractNumId w:val="17"/>
  </w:num>
  <w:num w:numId="8">
    <w:abstractNumId w:val="30"/>
  </w:num>
  <w:num w:numId="9">
    <w:abstractNumId w:val="32"/>
  </w:num>
  <w:num w:numId="10">
    <w:abstractNumId w:val="38"/>
  </w:num>
  <w:num w:numId="11">
    <w:abstractNumId w:val="33"/>
  </w:num>
  <w:num w:numId="12">
    <w:abstractNumId w:val="11"/>
  </w:num>
  <w:num w:numId="13">
    <w:abstractNumId w:val="39"/>
  </w:num>
  <w:num w:numId="14">
    <w:abstractNumId w:val="21"/>
  </w:num>
  <w:num w:numId="15">
    <w:abstractNumId w:val="16"/>
  </w:num>
  <w:num w:numId="16">
    <w:abstractNumId w:val="2"/>
  </w:num>
  <w:num w:numId="17">
    <w:abstractNumId w:val="6"/>
  </w:num>
  <w:num w:numId="18">
    <w:abstractNumId w:val="13"/>
  </w:num>
  <w:num w:numId="19">
    <w:abstractNumId w:val="3"/>
  </w:num>
  <w:num w:numId="20">
    <w:abstractNumId w:val="29"/>
  </w:num>
  <w:num w:numId="21">
    <w:abstractNumId w:val="23"/>
  </w:num>
  <w:num w:numId="22">
    <w:abstractNumId w:val="27"/>
  </w:num>
  <w:num w:numId="23">
    <w:abstractNumId w:val="3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
  </w:num>
  <w:num w:numId="27">
    <w:abstractNumId w:val="22"/>
  </w:num>
  <w:num w:numId="28">
    <w:abstractNumId w:val="20"/>
  </w:num>
  <w:num w:numId="29">
    <w:abstractNumId w:val="37"/>
  </w:num>
  <w:num w:numId="30">
    <w:abstractNumId w:val="19"/>
  </w:num>
  <w:num w:numId="31">
    <w:abstractNumId w:val="26"/>
  </w:num>
  <w:num w:numId="32">
    <w:abstractNumId w:val="34"/>
  </w:num>
  <w:num w:numId="33">
    <w:abstractNumId w:val="4"/>
  </w:num>
  <w:num w:numId="34">
    <w:abstractNumId w:val="24"/>
  </w:num>
  <w:num w:numId="35">
    <w:abstractNumId w:val="0"/>
  </w:num>
  <w:num w:numId="36">
    <w:abstractNumId w:val="25"/>
  </w:num>
  <w:num w:numId="37">
    <w:abstractNumId w:val="5"/>
  </w:num>
  <w:num w:numId="38">
    <w:abstractNumId w:val="28"/>
  </w:num>
  <w:num w:numId="39">
    <w:abstractNumId w:val="12"/>
  </w:num>
  <w:num w:numId="40">
    <w:abstractNumId w:val="14"/>
  </w:num>
  <w:num w:numId="41">
    <w:abstractNumId w:val="18"/>
  </w:num>
  <w:num w:numId="4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10A5"/>
    <w:rsid w:val="000029D2"/>
    <w:rsid w:val="00003372"/>
    <w:rsid w:val="00003717"/>
    <w:rsid w:val="00015CF3"/>
    <w:rsid w:val="00015DCC"/>
    <w:rsid w:val="00016CB6"/>
    <w:rsid w:val="00017285"/>
    <w:rsid w:val="000204F4"/>
    <w:rsid w:val="00020983"/>
    <w:rsid w:val="00021262"/>
    <w:rsid w:val="00021FB7"/>
    <w:rsid w:val="00023692"/>
    <w:rsid w:val="00023E03"/>
    <w:rsid w:val="00027265"/>
    <w:rsid w:val="000312B4"/>
    <w:rsid w:val="00032992"/>
    <w:rsid w:val="00034450"/>
    <w:rsid w:val="000352AB"/>
    <w:rsid w:val="00037AE7"/>
    <w:rsid w:val="00037BE9"/>
    <w:rsid w:val="00037C4E"/>
    <w:rsid w:val="00041089"/>
    <w:rsid w:val="0004730F"/>
    <w:rsid w:val="00050182"/>
    <w:rsid w:val="000520C5"/>
    <w:rsid w:val="000537D4"/>
    <w:rsid w:val="00053F32"/>
    <w:rsid w:val="00056D8A"/>
    <w:rsid w:val="00057A19"/>
    <w:rsid w:val="0006201D"/>
    <w:rsid w:val="000620CB"/>
    <w:rsid w:val="000636E3"/>
    <w:rsid w:val="00066A43"/>
    <w:rsid w:val="00066E2F"/>
    <w:rsid w:val="00066F2B"/>
    <w:rsid w:val="00070E6B"/>
    <w:rsid w:val="00072928"/>
    <w:rsid w:val="00073E52"/>
    <w:rsid w:val="0007573C"/>
    <w:rsid w:val="0007672C"/>
    <w:rsid w:val="00076C0C"/>
    <w:rsid w:val="00077977"/>
    <w:rsid w:val="00080B41"/>
    <w:rsid w:val="0008166B"/>
    <w:rsid w:val="00082A32"/>
    <w:rsid w:val="000832DE"/>
    <w:rsid w:val="000852CB"/>
    <w:rsid w:val="00085727"/>
    <w:rsid w:val="00086E1A"/>
    <w:rsid w:val="00087F0A"/>
    <w:rsid w:val="00092224"/>
    <w:rsid w:val="000924AC"/>
    <w:rsid w:val="00092CEF"/>
    <w:rsid w:val="000939FC"/>
    <w:rsid w:val="00093A01"/>
    <w:rsid w:val="00095753"/>
    <w:rsid w:val="00097308"/>
    <w:rsid w:val="0009792E"/>
    <w:rsid w:val="000A33D7"/>
    <w:rsid w:val="000A67C7"/>
    <w:rsid w:val="000A6C07"/>
    <w:rsid w:val="000A71E7"/>
    <w:rsid w:val="000A7674"/>
    <w:rsid w:val="000B0ED2"/>
    <w:rsid w:val="000B13C1"/>
    <w:rsid w:val="000B159D"/>
    <w:rsid w:val="000B1AC1"/>
    <w:rsid w:val="000B2B57"/>
    <w:rsid w:val="000B32E8"/>
    <w:rsid w:val="000B5743"/>
    <w:rsid w:val="000B67F4"/>
    <w:rsid w:val="000C0098"/>
    <w:rsid w:val="000C0D5C"/>
    <w:rsid w:val="000C1E0D"/>
    <w:rsid w:val="000C23F3"/>
    <w:rsid w:val="000C2F8A"/>
    <w:rsid w:val="000C3B01"/>
    <w:rsid w:val="000C3B25"/>
    <w:rsid w:val="000C3E00"/>
    <w:rsid w:val="000C4F47"/>
    <w:rsid w:val="000C6226"/>
    <w:rsid w:val="000D0A8A"/>
    <w:rsid w:val="000D1B32"/>
    <w:rsid w:val="000D3725"/>
    <w:rsid w:val="000D6207"/>
    <w:rsid w:val="000E33C3"/>
    <w:rsid w:val="000E42E3"/>
    <w:rsid w:val="000E6612"/>
    <w:rsid w:val="000E7F51"/>
    <w:rsid w:val="000F2A79"/>
    <w:rsid w:val="000F3E0D"/>
    <w:rsid w:val="000F57D5"/>
    <w:rsid w:val="000F71BD"/>
    <w:rsid w:val="0010112C"/>
    <w:rsid w:val="00101AEB"/>
    <w:rsid w:val="00101F57"/>
    <w:rsid w:val="0010282F"/>
    <w:rsid w:val="00110795"/>
    <w:rsid w:val="001109B2"/>
    <w:rsid w:val="001122E4"/>
    <w:rsid w:val="00113CFC"/>
    <w:rsid w:val="00117C3D"/>
    <w:rsid w:val="00122910"/>
    <w:rsid w:val="001246F2"/>
    <w:rsid w:val="00127466"/>
    <w:rsid w:val="001300EC"/>
    <w:rsid w:val="00131EFD"/>
    <w:rsid w:val="00132ADD"/>
    <w:rsid w:val="00133070"/>
    <w:rsid w:val="00134CDE"/>
    <w:rsid w:val="001377F1"/>
    <w:rsid w:val="0014107E"/>
    <w:rsid w:val="00141B72"/>
    <w:rsid w:val="00142A96"/>
    <w:rsid w:val="00143504"/>
    <w:rsid w:val="001457F1"/>
    <w:rsid w:val="00152763"/>
    <w:rsid w:val="00154EEA"/>
    <w:rsid w:val="00155DB3"/>
    <w:rsid w:val="00156D77"/>
    <w:rsid w:val="00156E6B"/>
    <w:rsid w:val="001614E2"/>
    <w:rsid w:val="00161ECD"/>
    <w:rsid w:val="00163DD1"/>
    <w:rsid w:val="00164158"/>
    <w:rsid w:val="00164FE5"/>
    <w:rsid w:val="00166944"/>
    <w:rsid w:val="0017189C"/>
    <w:rsid w:val="0017689B"/>
    <w:rsid w:val="001769FD"/>
    <w:rsid w:val="00177483"/>
    <w:rsid w:val="00180750"/>
    <w:rsid w:val="00184391"/>
    <w:rsid w:val="00190011"/>
    <w:rsid w:val="001917D3"/>
    <w:rsid w:val="00193526"/>
    <w:rsid w:val="00193AEB"/>
    <w:rsid w:val="00194E10"/>
    <w:rsid w:val="001A30BD"/>
    <w:rsid w:val="001A354A"/>
    <w:rsid w:val="001A3DB7"/>
    <w:rsid w:val="001A5443"/>
    <w:rsid w:val="001A757F"/>
    <w:rsid w:val="001B0D48"/>
    <w:rsid w:val="001B2CD9"/>
    <w:rsid w:val="001B42EF"/>
    <w:rsid w:val="001B4DAD"/>
    <w:rsid w:val="001B5C61"/>
    <w:rsid w:val="001C12A8"/>
    <w:rsid w:val="001C31B5"/>
    <w:rsid w:val="001C3545"/>
    <w:rsid w:val="001C3770"/>
    <w:rsid w:val="001C3CFD"/>
    <w:rsid w:val="001C42A3"/>
    <w:rsid w:val="001C444F"/>
    <w:rsid w:val="001C4484"/>
    <w:rsid w:val="001C7BCD"/>
    <w:rsid w:val="001D06C7"/>
    <w:rsid w:val="001D111C"/>
    <w:rsid w:val="001D16EA"/>
    <w:rsid w:val="001D18A8"/>
    <w:rsid w:val="001D3391"/>
    <w:rsid w:val="001D429A"/>
    <w:rsid w:val="001D544C"/>
    <w:rsid w:val="001D5B95"/>
    <w:rsid w:val="001D79BB"/>
    <w:rsid w:val="001E0B25"/>
    <w:rsid w:val="001E1EC5"/>
    <w:rsid w:val="001E245A"/>
    <w:rsid w:val="001E2FF7"/>
    <w:rsid w:val="001E38B8"/>
    <w:rsid w:val="001E4773"/>
    <w:rsid w:val="001E4FB1"/>
    <w:rsid w:val="001E52C0"/>
    <w:rsid w:val="001F0A28"/>
    <w:rsid w:val="001F1AF1"/>
    <w:rsid w:val="001F23E5"/>
    <w:rsid w:val="001F3F33"/>
    <w:rsid w:val="001F43BE"/>
    <w:rsid w:val="001F53E7"/>
    <w:rsid w:val="001F5F2F"/>
    <w:rsid w:val="001F6E95"/>
    <w:rsid w:val="00200A46"/>
    <w:rsid w:val="002023C5"/>
    <w:rsid w:val="00205F17"/>
    <w:rsid w:val="00207C3E"/>
    <w:rsid w:val="0021081E"/>
    <w:rsid w:val="00210B69"/>
    <w:rsid w:val="00210D51"/>
    <w:rsid w:val="00210F20"/>
    <w:rsid w:val="00211148"/>
    <w:rsid w:val="00213BE2"/>
    <w:rsid w:val="00217BBE"/>
    <w:rsid w:val="0022170B"/>
    <w:rsid w:val="002217B1"/>
    <w:rsid w:val="0022209E"/>
    <w:rsid w:val="00223963"/>
    <w:rsid w:val="00223993"/>
    <w:rsid w:val="00225EA0"/>
    <w:rsid w:val="00226BBC"/>
    <w:rsid w:val="002330FB"/>
    <w:rsid w:val="00233600"/>
    <w:rsid w:val="002358DC"/>
    <w:rsid w:val="00236653"/>
    <w:rsid w:val="00236785"/>
    <w:rsid w:val="00236C30"/>
    <w:rsid w:val="00240D04"/>
    <w:rsid w:val="002425E7"/>
    <w:rsid w:val="002454B7"/>
    <w:rsid w:val="00245648"/>
    <w:rsid w:val="00245874"/>
    <w:rsid w:val="00246226"/>
    <w:rsid w:val="00246FB6"/>
    <w:rsid w:val="00247209"/>
    <w:rsid w:val="00250C6B"/>
    <w:rsid w:val="00250EB4"/>
    <w:rsid w:val="002510C8"/>
    <w:rsid w:val="00251EEB"/>
    <w:rsid w:val="00253128"/>
    <w:rsid w:val="00255415"/>
    <w:rsid w:val="00257898"/>
    <w:rsid w:val="00261751"/>
    <w:rsid w:val="00267130"/>
    <w:rsid w:val="00267DE6"/>
    <w:rsid w:val="002708B6"/>
    <w:rsid w:val="002754E3"/>
    <w:rsid w:val="00275B57"/>
    <w:rsid w:val="00280844"/>
    <w:rsid w:val="00281C8E"/>
    <w:rsid w:val="00282064"/>
    <w:rsid w:val="00282984"/>
    <w:rsid w:val="0028615B"/>
    <w:rsid w:val="00294645"/>
    <w:rsid w:val="002950F7"/>
    <w:rsid w:val="002966C8"/>
    <w:rsid w:val="0029684F"/>
    <w:rsid w:val="002970E8"/>
    <w:rsid w:val="0029744C"/>
    <w:rsid w:val="002A5BF8"/>
    <w:rsid w:val="002A64F5"/>
    <w:rsid w:val="002A733E"/>
    <w:rsid w:val="002A7DEA"/>
    <w:rsid w:val="002A7FDE"/>
    <w:rsid w:val="002B0170"/>
    <w:rsid w:val="002B0823"/>
    <w:rsid w:val="002B19B0"/>
    <w:rsid w:val="002B3799"/>
    <w:rsid w:val="002B4CC7"/>
    <w:rsid w:val="002B5734"/>
    <w:rsid w:val="002B76BC"/>
    <w:rsid w:val="002C4709"/>
    <w:rsid w:val="002C6D43"/>
    <w:rsid w:val="002C6E27"/>
    <w:rsid w:val="002D22D4"/>
    <w:rsid w:val="002D34B0"/>
    <w:rsid w:val="002D4BC9"/>
    <w:rsid w:val="002D52C3"/>
    <w:rsid w:val="002D6A1C"/>
    <w:rsid w:val="002D700A"/>
    <w:rsid w:val="002D7939"/>
    <w:rsid w:val="002E0EC0"/>
    <w:rsid w:val="002E0F0C"/>
    <w:rsid w:val="002E19D5"/>
    <w:rsid w:val="002E2134"/>
    <w:rsid w:val="002E4BA2"/>
    <w:rsid w:val="002E733F"/>
    <w:rsid w:val="002E7B49"/>
    <w:rsid w:val="002E7EDF"/>
    <w:rsid w:val="002F14FD"/>
    <w:rsid w:val="002F4670"/>
    <w:rsid w:val="002F747D"/>
    <w:rsid w:val="003021AF"/>
    <w:rsid w:val="0030580E"/>
    <w:rsid w:val="00305CD3"/>
    <w:rsid w:val="00307F7E"/>
    <w:rsid w:val="00311236"/>
    <w:rsid w:val="003122AD"/>
    <w:rsid w:val="0031236D"/>
    <w:rsid w:val="00313C84"/>
    <w:rsid w:val="00316D7E"/>
    <w:rsid w:val="003171FB"/>
    <w:rsid w:val="00324077"/>
    <w:rsid w:val="00324BD6"/>
    <w:rsid w:val="0032571B"/>
    <w:rsid w:val="003314BA"/>
    <w:rsid w:val="00331A24"/>
    <w:rsid w:val="0033603A"/>
    <w:rsid w:val="00337C88"/>
    <w:rsid w:val="003436CA"/>
    <w:rsid w:val="003438CC"/>
    <w:rsid w:val="00346E32"/>
    <w:rsid w:val="003523BF"/>
    <w:rsid w:val="00352A6B"/>
    <w:rsid w:val="00352E14"/>
    <w:rsid w:val="00354365"/>
    <w:rsid w:val="0035547D"/>
    <w:rsid w:val="00361EE5"/>
    <w:rsid w:val="00363181"/>
    <w:rsid w:val="00365018"/>
    <w:rsid w:val="00366879"/>
    <w:rsid w:val="00366FB4"/>
    <w:rsid w:val="0036737A"/>
    <w:rsid w:val="00370878"/>
    <w:rsid w:val="003712D5"/>
    <w:rsid w:val="00372B76"/>
    <w:rsid w:val="003818CA"/>
    <w:rsid w:val="00383413"/>
    <w:rsid w:val="0038668D"/>
    <w:rsid w:val="00386B1E"/>
    <w:rsid w:val="00387AEB"/>
    <w:rsid w:val="00391889"/>
    <w:rsid w:val="00391E51"/>
    <w:rsid w:val="003921E2"/>
    <w:rsid w:val="00392868"/>
    <w:rsid w:val="00394088"/>
    <w:rsid w:val="00397C25"/>
    <w:rsid w:val="003A09E5"/>
    <w:rsid w:val="003A5BE1"/>
    <w:rsid w:val="003A66FD"/>
    <w:rsid w:val="003A6998"/>
    <w:rsid w:val="003B2F8A"/>
    <w:rsid w:val="003B4EE5"/>
    <w:rsid w:val="003B5A18"/>
    <w:rsid w:val="003C0174"/>
    <w:rsid w:val="003C3540"/>
    <w:rsid w:val="003C533D"/>
    <w:rsid w:val="003C637A"/>
    <w:rsid w:val="003C756C"/>
    <w:rsid w:val="003D7543"/>
    <w:rsid w:val="003E162E"/>
    <w:rsid w:val="003E2A79"/>
    <w:rsid w:val="003E3F14"/>
    <w:rsid w:val="003E4F4A"/>
    <w:rsid w:val="003E732C"/>
    <w:rsid w:val="003F14B8"/>
    <w:rsid w:val="003F2A7B"/>
    <w:rsid w:val="003F2F6B"/>
    <w:rsid w:val="003F3623"/>
    <w:rsid w:val="003F3BD7"/>
    <w:rsid w:val="003F4322"/>
    <w:rsid w:val="003F5940"/>
    <w:rsid w:val="00402A09"/>
    <w:rsid w:val="00402E4B"/>
    <w:rsid w:val="004037AC"/>
    <w:rsid w:val="004037BA"/>
    <w:rsid w:val="00403B5C"/>
    <w:rsid w:val="004044A0"/>
    <w:rsid w:val="00410E5F"/>
    <w:rsid w:val="004126AD"/>
    <w:rsid w:val="004139E8"/>
    <w:rsid w:val="00417F96"/>
    <w:rsid w:val="00420102"/>
    <w:rsid w:val="0042224C"/>
    <w:rsid w:val="00422A40"/>
    <w:rsid w:val="00423D70"/>
    <w:rsid w:val="004251C5"/>
    <w:rsid w:val="00425815"/>
    <w:rsid w:val="004309FC"/>
    <w:rsid w:val="00431F06"/>
    <w:rsid w:val="004332BD"/>
    <w:rsid w:val="00434072"/>
    <w:rsid w:val="00436E25"/>
    <w:rsid w:val="004411D7"/>
    <w:rsid w:val="004413DA"/>
    <w:rsid w:val="0044226D"/>
    <w:rsid w:val="00442C52"/>
    <w:rsid w:val="004432B7"/>
    <w:rsid w:val="00451580"/>
    <w:rsid w:val="00453EA0"/>
    <w:rsid w:val="004567CD"/>
    <w:rsid w:val="0045721A"/>
    <w:rsid w:val="0045734E"/>
    <w:rsid w:val="004576B6"/>
    <w:rsid w:val="004601AE"/>
    <w:rsid w:val="00461419"/>
    <w:rsid w:val="004621AD"/>
    <w:rsid w:val="00464ABC"/>
    <w:rsid w:val="00465342"/>
    <w:rsid w:val="00465C10"/>
    <w:rsid w:val="00467167"/>
    <w:rsid w:val="00467488"/>
    <w:rsid w:val="00481868"/>
    <w:rsid w:val="00481DE8"/>
    <w:rsid w:val="00483DFF"/>
    <w:rsid w:val="00491F02"/>
    <w:rsid w:val="00492089"/>
    <w:rsid w:val="00492426"/>
    <w:rsid w:val="004953B6"/>
    <w:rsid w:val="00496B6D"/>
    <w:rsid w:val="004A3D9A"/>
    <w:rsid w:val="004A5F98"/>
    <w:rsid w:val="004A7059"/>
    <w:rsid w:val="004A7684"/>
    <w:rsid w:val="004B246C"/>
    <w:rsid w:val="004B66EB"/>
    <w:rsid w:val="004C08C2"/>
    <w:rsid w:val="004C7BA7"/>
    <w:rsid w:val="004D0435"/>
    <w:rsid w:val="004D1328"/>
    <w:rsid w:val="004D273B"/>
    <w:rsid w:val="004D299B"/>
    <w:rsid w:val="004D497E"/>
    <w:rsid w:val="004D7D6B"/>
    <w:rsid w:val="004E0E76"/>
    <w:rsid w:val="004E2134"/>
    <w:rsid w:val="004E4544"/>
    <w:rsid w:val="004E4750"/>
    <w:rsid w:val="004E6187"/>
    <w:rsid w:val="004E67E9"/>
    <w:rsid w:val="004E6969"/>
    <w:rsid w:val="004F19EB"/>
    <w:rsid w:val="004F1F6B"/>
    <w:rsid w:val="004F3FBB"/>
    <w:rsid w:val="004F4446"/>
    <w:rsid w:val="004F5B49"/>
    <w:rsid w:val="004F695D"/>
    <w:rsid w:val="004F6CA9"/>
    <w:rsid w:val="004F79EB"/>
    <w:rsid w:val="0050262B"/>
    <w:rsid w:val="00506DA8"/>
    <w:rsid w:val="00507560"/>
    <w:rsid w:val="0051037F"/>
    <w:rsid w:val="005106F1"/>
    <w:rsid w:val="0051252C"/>
    <w:rsid w:val="005135FA"/>
    <w:rsid w:val="005136FE"/>
    <w:rsid w:val="00513F41"/>
    <w:rsid w:val="00514A82"/>
    <w:rsid w:val="0051623F"/>
    <w:rsid w:val="00520466"/>
    <w:rsid w:val="00520B17"/>
    <w:rsid w:val="00522421"/>
    <w:rsid w:val="005264F7"/>
    <w:rsid w:val="00527957"/>
    <w:rsid w:val="0053312A"/>
    <w:rsid w:val="005335C4"/>
    <w:rsid w:val="0053400C"/>
    <w:rsid w:val="005368F8"/>
    <w:rsid w:val="00540E14"/>
    <w:rsid w:val="005452E1"/>
    <w:rsid w:val="00547981"/>
    <w:rsid w:val="00550B4E"/>
    <w:rsid w:val="00550B9E"/>
    <w:rsid w:val="00553334"/>
    <w:rsid w:val="0055567F"/>
    <w:rsid w:val="00560AD7"/>
    <w:rsid w:val="005624E5"/>
    <w:rsid w:val="005635F3"/>
    <w:rsid w:val="00564501"/>
    <w:rsid w:val="00566BE3"/>
    <w:rsid w:val="00567814"/>
    <w:rsid w:val="005736D4"/>
    <w:rsid w:val="00583F3A"/>
    <w:rsid w:val="00585863"/>
    <w:rsid w:val="00586CB5"/>
    <w:rsid w:val="00587575"/>
    <w:rsid w:val="00593D54"/>
    <w:rsid w:val="00594FEB"/>
    <w:rsid w:val="00595314"/>
    <w:rsid w:val="0059571E"/>
    <w:rsid w:val="0059573D"/>
    <w:rsid w:val="00596407"/>
    <w:rsid w:val="005A017B"/>
    <w:rsid w:val="005A1E8D"/>
    <w:rsid w:val="005A5D1E"/>
    <w:rsid w:val="005B16DB"/>
    <w:rsid w:val="005B30B5"/>
    <w:rsid w:val="005B345A"/>
    <w:rsid w:val="005B3ABC"/>
    <w:rsid w:val="005C090A"/>
    <w:rsid w:val="005C25A5"/>
    <w:rsid w:val="005C3E98"/>
    <w:rsid w:val="005C7E72"/>
    <w:rsid w:val="005C7EA2"/>
    <w:rsid w:val="005D1450"/>
    <w:rsid w:val="005D277B"/>
    <w:rsid w:val="005D2833"/>
    <w:rsid w:val="005D2B0A"/>
    <w:rsid w:val="005D3343"/>
    <w:rsid w:val="005D5F84"/>
    <w:rsid w:val="005E15AA"/>
    <w:rsid w:val="005E299E"/>
    <w:rsid w:val="005E493C"/>
    <w:rsid w:val="005E4AA1"/>
    <w:rsid w:val="005E743B"/>
    <w:rsid w:val="005E7D9F"/>
    <w:rsid w:val="005F3810"/>
    <w:rsid w:val="005F4197"/>
    <w:rsid w:val="005F42A1"/>
    <w:rsid w:val="005F4E7A"/>
    <w:rsid w:val="005F69CE"/>
    <w:rsid w:val="0060186E"/>
    <w:rsid w:val="00602A42"/>
    <w:rsid w:val="006035D8"/>
    <w:rsid w:val="0060383A"/>
    <w:rsid w:val="00603EBD"/>
    <w:rsid w:val="006122F7"/>
    <w:rsid w:val="00617267"/>
    <w:rsid w:val="006176DA"/>
    <w:rsid w:val="006216C9"/>
    <w:rsid w:val="0062418D"/>
    <w:rsid w:val="0062482D"/>
    <w:rsid w:val="006254C8"/>
    <w:rsid w:val="00632025"/>
    <w:rsid w:val="00632932"/>
    <w:rsid w:val="00632B68"/>
    <w:rsid w:val="006350B3"/>
    <w:rsid w:val="0064073B"/>
    <w:rsid w:val="00641ED4"/>
    <w:rsid w:val="006426F6"/>
    <w:rsid w:val="0064309C"/>
    <w:rsid w:val="00643A52"/>
    <w:rsid w:val="00645C79"/>
    <w:rsid w:val="00645EC1"/>
    <w:rsid w:val="00645EFA"/>
    <w:rsid w:val="0064692A"/>
    <w:rsid w:val="00650275"/>
    <w:rsid w:val="006503E1"/>
    <w:rsid w:val="006506B5"/>
    <w:rsid w:val="00650843"/>
    <w:rsid w:val="00652CE0"/>
    <w:rsid w:val="00652DBF"/>
    <w:rsid w:val="0065379A"/>
    <w:rsid w:val="00654C3E"/>
    <w:rsid w:val="00655F77"/>
    <w:rsid w:val="00657C3F"/>
    <w:rsid w:val="00660CD9"/>
    <w:rsid w:val="00664384"/>
    <w:rsid w:val="00665068"/>
    <w:rsid w:val="00665938"/>
    <w:rsid w:val="0066615A"/>
    <w:rsid w:val="00670453"/>
    <w:rsid w:val="00673816"/>
    <w:rsid w:val="00673D68"/>
    <w:rsid w:val="00680D19"/>
    <w:rsid w:val="00680F2D"/>
    <w:rsid w:val="006816EF"/>
    <w:rsid w:val="00685B26"/>
    <w:rsid w:val="00687F32"/>
    <w:rsid w:val="006903CB"/>
    <w:rsid w:val="00693089"/>
    <w:rsid w:val="006935BF"/>
    <w:rsid w:val="00694157"/>
    <w:rsid w:val="0069553C"/>
    <w:rsid w:val="00695615"/>
    <w:rsid w:val="006956C7"/>
    <w:rsid w:val="00697EE0"/>
    <w:rsid w:val="006A6B56"/>
    <w:rsid w:val="006A6D9E"/>
    <w:rsid w:val="006A72E7"/>
    <w:rsid w:val="006A72FE"/>
    <w:rsid w:val="006B167D"/>
    <w:rsid w:val="006B37F0"/>
    <w:rsid w:val="006B6630"/>
    <w:rsid w:val="006C003C"/>
    <w:rsid w:val="006C0D2F"/>
    <w:rsid w:val="006C0EEE"/>
    <w:rsid w:val="006C1A22"/>
    <w:rsid w:val="006C270F"/>
    <w:rsid w:val="006C350F"/>
    <w:rsid w:val="006C351F"/>
    <w:rsid w:val="006C4676"/>
    <w:rsid w:val="006C5BC3"/>
    <w:rsid w:val="006C62E5"/>
    <w:rsid w:val="006C6E59"/>
    <w:rsid w:val="006D188F"/>
    <w:rsid w:val="006D2A05"/>
    <w:rsid w:val="006D2B6D"/>
    <w:rsid w:val="006D4AC2"/>
    <w:rsid w:val="006D6FE1"/>
    <w:rsid w:val="006D74AA"/>
    <w:rsid w:val="006D798B"/>
    <w:rsid w:val="006E0093"/>
    <w:rsid w:val="006E173B"/>
    <w:rsid w:val="006E21AE"/>
    <w:rsid w:val="006E3421"/>
    <w:rsid w:val="006E4064"/>
    <w:rsid w:val="006E46E7"/>
    <w:rsid w:val="006E5168"/>
    <w:rsid w:val="006E6756"/>
    <w:rsid w:val="006E7E30"/>
    <w:rsid w:val="006F521A"/>
    <w:rsid w:val="006F7360"/>
    <w:rsid w:val="00700071"/>
    <w:rsid w:val="007033AC"/>
    <w:rsid w:val="007034B7"/>
    <w:rsid w:val="00703CBB"/>
    <w:rsid w:val="00703D20"/>
    <w:rsid w:val="007063FD"/>
    <w:rsid w:val="007074A0"/>
    <w:rsid w:val="007074AD"/>
    <w:rsid w:val="007102A6"/>
    <w:rsid w:val="00710C73"/>
    <w:rsid w:val="0071169C"/>
    <w:rsid w:val="00711C0A"/>
    <w:rsid w:val="007123AE"/>
    <w:rsid w:val="00712F49"/>
    <w:rsid w:val="00713B4D"/>
    <w:rsid w:val="00717064"/>
    <w:rsid w:val="007178B4"/>
    <w:rsid w:val="00727F45"/>
    <w:rsid w:val="007311A6"/>
    <w:rsid w:val="00734358"/>
    <w:rsid w:val="00740184"/>
    <w:rsid w:val="00740EEF"/>
    <w:rsid w:val="007411F9"/>
    <w:rsid w:val="0074264E"/>
    <w:rsid w:val="007443AE"/>
    <w:rsid w:val="00745B53"/>
    <w:rsid w:val="0074642E"/>
    <w:rsid w:val="007540FD"/>
    <w:rsid w:val="00755FA4"/>
    <w:rsid w:val="007570AD"/>
    <w:rsid w:val="007577DF"/>
    <w:rsid w:val="00757FF5"/>
    <w:rsid w:val="00761F7B"/>
    <w:rsid w:val="00763366"/>
    <w:rsid w:val="00765CC6"/>
    <w:rsid w:val="00766783"/>
    <w:rsid w:val="00770DCA"/>
    <w:rsid w:val="00771C26"/>
    <w:rsid w:val="00771E95"/>
    <w:rsid w:val="00772337"/>
    <w:rsid w:val="00773F3E"/>
    <w:rsid w:val="00775788"/>
    <w:rsid w:val="00776E98"/>
    <w:rsid w:val="00782B03"/>
    <w:rsid w:val="00782B71"/>
    <w:rsid w:val="00783278"/>
    <w:rsid w:val="00783B71"/>
    <w:rsid w:val="00786A9F"/>
    <w:rsid w:val="0079309F"/>
    <w:rsid w:val="007939D2"/>
    <w:rsid w:val="0079455A"/>
    <w:rsid w:val="00795F4C"/>
    <w:rsid w:val="007A0A5A"/>
    <w:rsid w:val="007A5232"/>
    <w:rsid w:val="007A557C"/>
    <w:rsid w:val="007A64CD"/>
    <w:rsid w:val="007A681D"/>
    <w:rsid w:val="007A7C43"/>
    <w:rsid w:val="007B001B"/>
    <w:rsid w:val="007B1267"/>
    <w:rsid w:val="007B5136"/>
    <w:rsid w:val="007B582C"/>
    <w:rsid w:val="007B640E"/>
    <w:rsid w:val="007B7E7C"/>
    <w:rsid w:val="007C03A0"/>
    <w:rsid w:val="007C0C24"/>
    <w:rsid w:val="007C1A82"/>
    <w:rsid w:val="007C22AC"/>
    <w:rsid w:val="007C30CE"/>
    <w:rsid w:val="007C36DD"/>
    <w:rsid w:val="007C3A9A"/>
    <w:rsid w:val="007C3AEE"/>
    <w:rsid w:val="007C4E40"/>
    <w:rsid w:val="007C6021"/>
    <w:rsid w:val="007C636B"/>
    <w:rsid w:val="007C7C7B"/>
    <w:rsid w:val="007D132A"/>
    <w:rsid w:val="007D2515"/>
    <w:rsid w:val="007D3803"/>
    <w:rsid w:val="007D3E8D"/>
    <w:rsid w:val="007D44A2"/>
    <w:rsid w:val="007D48AC"/>
    <w:rsid w:val="007D5AFB"/>
    <w:rsid w:val="007E0423"/>
    <w:rsid w:val="007E13B4"/>
    <w:rsid w:val="007E6174"/>
    <w:rsid w:val="007E67CC"/>
    <w:rsid w:val="007E7497"/>
    <w:rsid w:val="007F060F"/>
    <w:rsid w:val="007F240E"/>
    <w:rsid w:val="007F3837"/>
    <w:rsid w:val="007F4AD4"/>
    <w:rsid w:val="007F5810"/>
    <w:rsid w:val="007F5CC7"/>
    <w:rsid w:val="007F66E0"/>
    <w:rsid w:val="007F6C81"/>
    <w:rsid w:val="007F72AC"/>
    <w:rsid w:val="007F752D"/>
    <w:rsid w:val="007F7578"/>
    <w:rsid w:val="008034D1"/>
    <w:rsid w:val="00803D4E"/>
    <w:rsid w:val="00807FB0"/>
    <w:rsid w:val="00810B8C"/>
    <w:rsid w:val="008130E5"/>
    <w:rsid w:val="00816ABD"/>
    <w:rsid w:val="00822F97"/>
    <w:rsid w:val="00823326"/>
    <w:rsid w:val="00823D25"/>
    <w:rsid w:val="008242CC"/>
    <w:rsid w:val="008260D1"/>
    <w:rsid w:val="0083062E"/>
    <w:rsid w:val="008323E1"/>
    <w:rsid w:val="00833372"/>
    <w:rsid w:val="00833868"/>
    <w:rsid w:val="00834DAC"/>
    <w:rsid w:val="00836B41"/>
    <w:rsid w:val="00840DF4"/>
    <w:rsid w:val="00841F24"/>
    <w:rsid w:val="008447A1"/>
    <w:rsid w:val="008459F7"/>
    <w:rsid w:val="00846A7B"/>
    <w:rsid w:val="00846AA0"/>
    <w:rsid w:val="008476EE"/>
    <w:rsid w:val="00847D3C"/>
    <w:rsid w:val="00850B2B"/>
    <w:rsid w:val="008519F9"/>
    <w:rsid w:val="00854A91"/>
    <w:rsid w:val="00856C9B"/>
    <w:rsid w:val="0085731B"/>
    <w:rsid w:val="00860314"/>
    <w:rsid w:val="00863D29"/>
    <w:rsid w:val="008642CD"/>
    <w:rsid w:val="008648F8"/>
    <w:rsid w:val="00864DDC"/>
    <w:rsid w:val="008652F3"/>
    <w:rsid w:val="00866102"/>
    <w:rsid w:val="0086662F"/>
    <w:rsid w:val="00867741"/>
    <w:rsid w:val="00867883"/>
    <w:rsid w:val="00872A6E"/>
    <w:rsid w:val="00874457"/>
    <w:rsid w:val="0088089E"/>
    <w:rsid w:val="00880FAB"/>
    <w:rsid w:val="00881653"/>
    <w:rsid w:val="008816B7"/>
    <w:rsid w:val="00890912"/>
    <w:rsid w:val="00892962"/>
    <w:rsid w:val="00893FE2"/>
    <w:rsid w:val="008971EF"/>
    <w:rsid w:val="00897795"/>
    <w:rsid w:val="008A06B3"/>
    <w:rsid w:val="008A19A0"/>
    <w:rsid w:val="008A5E00"/>
    <w:rsid w:val="008A651E"/>
    <w:rsid w:val="008A70B4"/>
    <w:rsid w:val="008B40CB"/>
    <w:rsid w:val="008B4579"/>
    <w:rsid w:val="008B489E"/>
    <w:rsid w:val="008B77A9"/>
    <w:rsid w:val="008C117F"/>
    <w:rsid w:val="008C4E91"/>
    <w:rsid w:val="008C5BC6"/>
    <w:rsid w:val="008D0830"/>
    <w:rsid w:val="008D19DE"/>
    <w:rsid w:val="008D211E"/>
    <w:rsid w:val="008D2635"/>
    <w:rsid w:val="008D340F"/>
    <w:rsid w:val="008D425B"/>
    <w:rsid w:val="008D48ED"/>
    <w:rsid w:val="008D5B71"/>
    <w:rsid w:val="008E018F"/>
    <w:rsid w:val="008E108C"/>
    <w:rsid w:val="008E3B4B"/>
    <w:rsid w:val="008E473A"/>
    <w:rsid w:val="008E4B09"/>
    <w:rsid w:val="008F124D"/>
    <w:rsid w:val="008F50E8"/>
    <w:rsid w:val="008F620F"/>
    <w:rsid w:val="008F7CE3"/>
    <w:rsid w:val="00902AD6"/>
    <w:rsid w:val="009063A1"/>
    <w:rsid w:val="0090719A"/>
    <w:rsid w:val="009109E7"/>
    <w:rsid w:val="00916AE0"/>
    <w:rsid w:val="00920BA8"/>
    <w:rsid w:val="00921A97"/>
    <w:rsid w:val="00923256"/>
    <w:rsid w:val="009235D7"/>
    <w:rsid w:val="00932E9E"/>
    <w:rsid w:val="00932F1D"/>
    <w:rsid w:val="009353C4"/>
    <w:rsid w:val="009361B2"/>
    <w:rsid w:val="00937BE6"/>
    <w:rsid w:val="00950B08"/>
    <w:rsid w:val="00950FEC"/>
    <w:rsid w:val="00953A06"/>
    <w:rsid w:val="00954F74"/>
    <w:rsid w:val="00956171"/>
    <w:rsid w:val="0095647E"/>
    <w:rsid w:val="00957629"/>
    <w:rsid w:val="009615A4"/>
    <w:rsid w:val="0096440D"/>
    <w:rsid w:val="009658FE"/>
    <w:rsid w:val="00967CC3"/>
    <w:rsid w:val="009704F1"/>
    <w:rsid w:val="0097280E"/>
    <w:rsid w:val="00972F82"/>
    <w:rsid w:val="00974371"/>
    <w:rsid w:val="0097458A"/>
    <w:rsid w:val="009753A1"/>
    <w:rsid w:val="00981357"/>
    <w:rsid w:val="00981F64"/>
    <w:rsid w:val="0098234E"/>
    <w:rsid w:val="00985176"/>
    <w:rsid w:val="00985F0C"/>
    <w:rsid w:val="0098608D"/>
    <w:rsid w:val="00987149"/>
    <w:rsid w:val="00987F9D"/>
    <w:rsid w:val="00990197"/>
    <w:rsid w:val="00991C7B"/>
    <w:rsid w:val="0099473A"/>
    <w:rsid w:val="0099478C"/>
    <w:rsid w:val="00994812"/>
    <w:rsid w:val="009948F0"/>
    <w:rsid w:val="00994DD7"/>
    <w:rsid w:val="009A2C12"/>
    <w:rsid w:val="009A6793"/>
    <w:rsid w:val="009B038F"/>
    <w:rsid w:val="009B1519"/>
    <w:rsid w:val="009B2295"/>
    <w:rsid w:val="009B2436"/>
    <w:rsid w:val="009B2895"/>
    <w:rsid w:val="009B299F"/>
    <w:rsid w:val="009B361D"/>
    <w:rsid w:val="009B50F6"/>
    <w:rsid w:val="009B55FB"/>
    <w:rsid w:val="009B7C6C"/>
    <w:rsid w:val="009B7D74"/>
    <w:rsid w:val="009C1AA2"/>
    <w:rsid w:val="009C2C33"/>
    <w:rsid w:val="009C2E5F"/>
    <w:rsid w:val="009C7417"/>
    <w:rsid w:val="009D2014"/>
    <w:rsid w:val="009D2951"/>
    <w:rsid w:val="009D5B09"/>
    <w:rsid w:val="009E0CDF"/>
    <w:rsid w:val="009E2C6D"/>
    <w:rsid w:val="009E4305"/>
    <w:rsid w:val="009E49BB"/>
    <w:rsid w:val="009E52B7"/>
    <w:rsid w:val="009E5FFB"/>
    <w:rsid w:val="009F10B6"/>
    <w:rsid w:val="009F4AC5"/>
    <w:rsid w:val="009F5955"/>
    <w:rsid w:val="00A01AA9"/>
    <w:rsid w:val="00A05E49"/>
    <w:rsid w:val="00A068C7"/>
    <w:rsid w:val="00A07B5F"/>
    <w:rsid w:val="00A1173E"/>
    <w:rsid w:val="00A13217"/>
    <w:rsid w:val="00A15B6E"/>
    <w:rsid w:val="00A166CA"/>
    <w:rsid w:val="00A16726"/>
    <w:rsid w:val="00A23218"/>
    <w:rsid w:val="00A249C4"/>
    <w:rsid w:val="00A259AF"/>
    <w:rsid w:val="00A259B8"/>
    <w:rsid w:val="00A31004"/>
    <w:rsid w:val="00A31535"/>
    <w:rsid w:val="00A3190D"/>
    <w:rsid w:val="00A3227B"/>
    <w:rsid w:val="00A34AF8"/>
    <w:rsid w:val="00A34FAA"/>
    <w:rsid w:val="00A3546B"/>
    <w:rsid w:val="00A358DB"/>
    <w:rsid w:val="00A35CC7"/>
    <w:rsid w:val="00A378B9"/>
    <w:rsid w:val="00A40CCA"/>
    <w:rsid w:val="00A421AA"/>
    <w:rsid w:val="00A4220B"/>
    <w:rsid w:val="00A43322"/>
    <w:rsid w:val="00A50770"/>
    <w:rsid w:val="00A50C2D"/>
    <w:rsid w:val="00A51000"/>
    <w:rsid w:val="00A519BA"/>
    <w:rsid w:val="00A527A8"/>
    <w:rsid w:val="00A52D45"/>
    <w:rsid w:val="00A549FA"/>
    <w:rsid w:val="00A55855"/>
    <w:rsid w:val="00A55C52"/>
    <w:rsid w:val="00A60152"/>
    <w:rsid w:val="00A60F95"/>
    <w:rsid w:val="00A617FA"/>
    <w:rsid w:val="00A6252E"/>
    <w:rsid w:val="00A643E4"/>
    <w:rsid w:val="00A6572F"/>
    <w:rsid w:val="00A66061"/>
    <w:rsid w:val="00A7055A"/>
    <w:rsid w:val="00A71761"/>
    <w:rsid w:val="00A75A20"/>
    <w:rsid w:val="00A83A0E"/>
    <w:rsid w:val="00A84E63"/>
    <w:rsid w:val="00A8600D"/>
    <w:rsid w:val="00A90EB7"/>
    <w:rsid w:val="00A91C62"/>
    <w:rsid w:val="00A95169"/>
    <w:rsid w:val="00A97188"/>
    <w:rsid w:val="00A97322"/>
    <w:rsid w:val="00AA13C4"/>
    <w:rsid w:val="00AA1662"/>
    <w:rsid w:val="00AA4E08"/>
    <w:rsid w:val="00AA6671"/>
    <w:rsid w:val="00AA7396"/>
    <w:rsid w:val="00AB0CF5"/>
    <w:rsid w:val="00AB1C74"/>
    <w:rsid w:val="00AB2895"/>
    <w:rsid w:val="00AB3798"/>
    <w:rsid w:val="00AB5EB8"/>
    <w:rsid w:val="00AC1BA8"/>
    <w:rsid w:val="00AC1FE7"/>
    <w:rsid w:val="00AC4951"/>
    <w:rsid w:val="00AC56F2"/>
    <w:rsid w:val="00AC5AEE"/>
    <w:rsid w:val="00AD0A5C"/>
    <w:rsid w:val="00AD370C"/>
    <w:rsid w:val="00AD4796"/>
    <w:rsid w:val="00AD6AFC"/>
    <w:rsid w:val="00AE25B8"/>
    <w:rsid w:val="00AE29CE"/>
    <w:rsid w:val="00AE520A"/>
    <w:rsid w:val="00AE58B0"/>
    <w:rsid w:val="00AE5A10"/>
    <w:rsid w:val="00AE7959"/>
    <w:rsid w:val="00AE7AB8"/>
    <w:rsid w:val="00AF13B0"/>
    <w:rsid w:val="00AF15BC"/>
    <w:rsid w:val="00AF2B93"/>
    <w:rsid w:val="00AF392C"/>
    <w:rsid w:val="00AF3DB1"/>
    <w:rsid w:val="00AF6208"/>
    <w:rsid w:val="00AF6FC7"/>
    <w:rsid w:val="00B010DB"/>
    <w:rsid w:val="00B05B21"/>
    <w:rsid w:val="00B06474"/>
    <w:rsid w:val="00B100F7"/>
    <w:rsid w:val="00B117DC"/>
    <w:rsid w:val="00B12A7A"/>
    <w:rsid w:val="00B171A2"/>
    <w:rsid w:val="00B17756"/>
    <w:rsid w:val="00B20BA9"/>
    <w:rsid w:val="00B21F6A"/>
    <w:rsid w:val="00B2405E"/>
    <w:rsid w:val="00B2542D"/>
    <w:rsid w:val="00B25BA6"/>
    <w:rsid w:val="00B25D91"/>
    <w:rsid w:val="00B30170"/>
    <w:rsid w:val="00B33162"/>
    <w:rsid w:val="00B34C8F"/>
    <w:rsid w:val="00B353E2"/>
    <w:rsid w:val="00B35ECA"/>
    <w:rsid w:val="00B41EB5"/>
    <w:rsid w:val="00B446CD"/>
    <w:rsid w:val="00B44FC0"/>
    <w:rsid w:val="00B45F57"/>
    <w:rsid w:val="00B47ACB"/>
    <w:rsid w:val="00B5197A"/>
    <w:rsid w:val="00B52622"/>
    <w:rsid w:val="00B52E9F"/>
    <w:rsid w:val="00B56566"/>
    <w:rsid w:val="00B5726F"/>
    <w:rsid w:val="00B60915"/>
    <w:rsid w:val="00B61A54"/>
    <w:rsid w:val="00B61B63"/>
    <w:rsid w:val="00B61D23"/>
    <w:rsid w:val="00B62E9D"/>
    <w:rsid w:val="00B6324D"/>
    <w:rsid w:val="00B66500"/>
    <w:rsid w:val="00B74F46"/>
    <w:rsid w:val="00B76523"/>
    <w:rsid w:val="00B82EB3"/>
    <w:rsid w:val="00B83A30"/>
    <w:rsid w:val="00B8476F"/>
    <w:rsid w:val="00B86F83"/>
    <w:rsid w:val="00B903CB"/>
    <w:rsid w:val="00B93680"/>
    <w:rsid w:val="00B93755"/>
    <w:rsid w:val="00B95AD0"/>
    <w:rsid w:val="00B96582"/>
    <w:rsid w:val="00BA069E"/>
    <w:rsid w:val="00BA6176"/>
    <w:rsid w:val="00BA64B3"/>
    <w:rsid w:val="00BB17B1"/>
    <w:rsid w:val="00BB19E5"/>
    <w:rsid w:val="00BB35BE"/>
    <w:rsid w:val="00BB43D3"/>
    <w:rsid w:val="00BB7201"/>
    <w:rsid w:val="00BB7D8F"/>
    <w:rsid w:val="00BC000D"/>
    <w:rsid w:val="00BC45C3"/>
    <w:rsid w:val="00BC4863"/>
    <w:rsid w:val="00BC596B"/>
    <w:rsid w:val="00BC5F87"/>
    <w:rsid w:val="00BC74C7"/>
    <w:rsid w:val="00BC7541"/>
    <w:rsid w:val="00BD5D57"/>
    <w:rsid w:val="00BD5E89"/>
    <w:rsid w:val="00BD5F62"/>
    <w:rsid w:val="00BE14FB"/>
    <w:rsid w:val="00BE7C1C"/>
    <w:rsid w:val="00BF0A1E"/>
    <w:rsid w:val="00BF0D4B"/>
    <w:rsid w:val="00BF1981"/>
    <w:rsid w:val="00BF2438"/>
    <w:rsid w:val="00BF2D0C"/>
    <w:rsid w:val="00BF4ED4"/>
    <w:rsid w:val="00C0162D"/>
    <w:rsid w:val="00C03C03"/>
    <w:rsid w:val="00C1039F"/>
    <w:rsid w:val="00C108A7"/>
    <w:rsid w:val="00C1091F"/>
    <w:rsid w:val="00C11BA8"/>
    <w:rsid w:val="00C12CD1"/>
    <w:rsid w:val="00C140A1"/>
    <w:rsid w:val="00C15F63"/>
    <w:rsid w:val="00C16B67"/>
    <w:rsid w:val="00C17DBA"/>
    <w:rsid w:val="00C20117"/>
    <w:rsid w:val="00C203A3"/>
    <w:rsid w:val="00C21E51"/>
    <w:rsid w:val="00C30212"/>
    <w:rsid w:val="00C32E0C"/>
    <w:rsid w:val="00C33454"/>
    <w:rsid w:val="00C35D03"/>
    <w:rsid w:val="00C368C4"/>
    <w:rsid w:val="00C405B7"/>
    <w:rsid w:val="00C41AD4"/>
    <w:rsid w:val="00C42410"/>
    <w:rsid w:val="00C4274E"/>
    <w:rsid w:val="00C42CBD"/>
    <w:rsid w:val="00C42F90"/>
    <w:rsid w:val="00C43E3E"/>
    <w:rsid w:val="00C44B59"/>
    <w:rsid w:val="00C4518F"/>
    <w:rsid w:val="00C47DEE"/>
    <w:rsid w:val="00C50149"/>
    <w:rsid w:val="00C50640"/>
    <w:rsid w:val="00C5154F"/>
    <w:rsid w:val="00C54972"/>
    <w:rsid w:val="00C55418"/>
    <w:rsid w:val="00C5543C"/>
    <w:rsid w:val="00C562E8"/>
    <w:rsid w:val="00C56FD0"/>
    <w:rsid w:val="00C600E7"/>
    <w:rsid w:val="00C60B2E"/>
    <w:rsid w:val="00C614AD"/>
    <w:rsid w:val="00C61DED"/>
    <w:rsid w:val="00C626F0"/>
    <w:rsid w:val="00C63EC1"/>
    <w:rsid w:val="00C64296"/>
    <w:rsid w:val="00C6430C"/>
    <w:rsid w:val="00C675A3"/>
    <w:rsid w:val="00C70A8F"/>
    <w:rsid w:val="00C712FB"/>
    <w:rsid w:val="00C72ED1"/>
    <w:rsid w:val="00C7531E"/>
    <w:rsid w:val="00C7563F"/>
    <w:rsid w:val="00C86213"/>
    <w:rsid w:val="00C91E2C"/>
    <w:rsid w:val="00C94112"/>
    <w:rsid w:val="00C96AE3"/>
    <w:rsid w:val="00C9774B"/>
    <w:rsid w:val="00C978CD"/>
    <w:rsid w:val="00CA0DFC"/>
    <w:rsid w:val="00CA1884"/>
    <w:rsid w:val="00CA20A4"/>
    <w:rsid w:val="00CA2E7E"/>
    <w:rsid w:val="00CA6854"/>
    <w:rsid w:val="00CA6E5D"/>
    <w:rsid w:val="00CB3294"/>
    <w:rsid w:val="00CB4523"/>
    <w:rsid w:val="00CB540B"/>
    <w:rsid w:val="00CB5667"/>
    <w:rsid w:val="00CB74C9"/>
    <w:rsid w:val="00CC0AE1"/>
    <w:rsid w:val="00CC0DF7"/>
    <w:rsid w:val="00CC1975"/>
    <w:rsid w:val="00CC30F5"/>
    <w:rsid w:val="00CC35BB"/>
    <w:rsid w:val="00CC3A1E"/>
    <w:rsid w:val="00CC3BD0"/>
    <w:rsid w:val="00CC4822"/>
    <w:rsid w:val="00CC7BE3"/>
    <w:rsid w:val="00CD1325"/>
    <w:rsid w:val="00CD1824"/>
    <w:rsid w:val="00CD2334"/>
    <w:rsid w:val="00CD7C33"/>
    <w:rsid w:val="00CE0563"/>
    <w:rsid w:val="00CE0C76"/>
    <w:rsid w:val="00CE158B"/>
    <w:rsid w:val="00CE1FF5"/>
    <w:rsid w:val="00CE33E8"/>
    <w:rsid w:val="00CE54C0"/>
    <w:rsid w:val="00CE65A6"/>
    <w:rsid w:val="00CF437E"/>
    <w:rsid w:val="00CF43DF"/>
    <w:rsid w:val="00CF46EC"/>
    <w:rsid w:val="00CF5E20"/>
    <w:rsid w:val="00CF5E4E"/>
    <w:rsid w:val="00CF76DB"/>
    <w:rsid w:val="00CF7ED0"/>
    <w:rsid w:val="00D002D5"/>
    <w:rsid w:val="00D05293"/>
    <w:rsid w:val="00D0582D"/>
    <w:rsid w:val="00D06527"/>
    <w:rsid w:val="00D07B5E"/>
    <w:rsid w:val="00D10AD2"/>
    <w:rsid w:val="00D12A32"/>
    <w:rsid w:val="00D138DF"/>
    <w:rsid w:val="00D154A1"/>
    <w:rsid w:val="00D15AAD"/>
    <w:rsid w:val="00D20F10"/>
    <w:rsid w:val="00D2386B"/>
    <w:rsid w:val="00D238D1"/>
    <w:rsid w:val="00D23C5C"/>
    <w:rsid w:val="00D2426B"/>
    <w:rsid w:val="00D242AB"/>
    <w:rsid w:val="00D25107"/>
    <w:rsid w:val="00D25624"/>
    <w:rsid w:val="00D3093B"/>
    <w:rsid w:val="00D3263F"/>
    <w:rsid w:val="00D3319A"/>
    <w:rsid w:val="00D34328"/>
    <w:rsid w:val="00D359FB"/>
    <w:rsid w:val="00D42A76"/>
    <w:rsid w:val="00D4520D"/>
    <w:rsid w:val="00D4538F"/>
    <w:rsid w:val="00D47AED"/>
    <w:rsid w:val="00D50AE6"/>
    <w:rsid w:val="00D5166E"/>
    <w:rsid w:val="00D54043"/>
    <w:rsid w:val="00D54A3E"/>
    <w:rsid w:val="00D54EBE"/>
    <w:rsid w:val="00D55B72"/>
    <w:rsid w:val="00D60290"/>
    <w:rsid w:val="00D61223"/>
    <w:rsid w:val="00D619D6"/>
    <w:rsid w:val="00D62618"/>
    <w:rsid w:val="00D6508F"/>
    <w:rsid w:val="00D66273"/>
    <w:rsid w:val="00D67A40"/>
    <w:rsid w:val="00D70906"/>
    <w:rsid w:val="00D719EF"/>
    <w:rsid w:val="00D71BA1"/>
    <w:rsid w:val="00D7494E"/>
    <w:rsid w:val="00D817E9"/>
    <w:rsid w:val="00D82410"/>
    <w:rsid w:val="00D85856"/>
    <w:rsid w:val="00D86699"/>
    <w:rsid w:val="00D920F9"/>
    <w:rsid w:val="00D947D7"/>
    <w:rsid w:val="00D963E7"/>
    <w:rsid w:val="00D97857"/>
    <w:rsid w:val="00D97E0C"/>
    <w:rsid w:val="00DA04C6"/>
    <w:rsid w:val="00DA11EB"/>
    <w:rsid w:val="00DA3280"/>
    <w:rsid w:val="00DA5FDB"/>
    <w:rsid w:val="00DA703A"/>
    <w:rsid w:val="00DB1D62"/>
    <w:rsid w:val="00DB2335"/>
    <w:rsid w:val="00DC170F"/>
    <w:rsid w:val="00DC1FA8"/>
    <w:rsid w:val="00DC2570"/>
    <w:rsid w:val="00DC5669"/>
    <w:rsid w:val="00DC6004"/>
    <w:rsid w:val="00DC691A"/>
    <w:rsid w:val="00DD043F"/>
    <w:rsid w:val="00DD0D59"/>
    <w:rsid w:val="00DD201A"/>
    <w:rsid w:val="00DD33EE"/>
    <w:rsid w:val="00DD5560"/>
    <w:rsid w:val="00DD5D68"/>
    <w:rsid w:val="00DD7EC5"/>
    <w:rsid w:val="00DE1A80"/>
    <w:rsid w:val="00DE2672"/>
    <w:rsid w:val="00DE5ED6"/>
    <w:rsid w:val="00DE69C7"/>
    <w:rsid w:val="00DE7878"/>
    <w:rsid w:val="00DE7A43"/>
    <w:rsid w:val="00DE7FEE"/>
    <w:rsid w:val="00DF1FB6"/>
    <w:rsid w:val="00DF249A"/>
    <w:rsid w:val="00DF29C3"/>
    <w:rsid w:val="00DF2B93"/>
    <w:rsid w:val="00DF5244"/>
    <w:rsid w:val="00E0228C"/>
    <w:rsid w:val="00E0306A"/>
    <w:rsid w:val="00E06058"/>
    <w:rsid w:val="00E0637A"/>
    <w:rsid w:val="00E07FE4"/>
    <w:rsid w:val="00E1089F"/>
    <w:rsid w:val="00E10CD1"/>
    <w:rsid w:val="00E115EE"/>
    <w:rsid w:val="00E11979"/>
    <w:rsid w:val="00E12CC0"/>
    <w:rsid w:val="00E13F20"/>
    <w:rsid w:val="00E152F4"/>
    <w:rsid w:val="00E15EB2"/>
    <w:rsid w:val="00E16D93"/>
    <w:rsid w:val="00E20383"/>
    <w:rsid w:val="00E221AD"/>
    <w:rsid w:val="00E23830"/>
    <w:rsid w:val="00E23FB0"/>
    <w:rsid w:val="00E242FD"/>
    <w:rsid w:val="00E25B44"/>
    <w:rsid w:val="00E301E2"/>
    <w:rsid w:val="00E32283"/>
    <w:rsid w:val="00E33566"/>
    <w:rsid w:val="00E33E1B"/>
    <w:rsid w:val="00E40419"/>
    <w:rsid w:val="00E41A6E"/>
    <w:rsid w:val="00E427A4"/>
    <w:rsid w:val="00E43A92"/>
    <w:rsid w:val="00E44118"/>
    <w:rsid w:val="00E4418F"/>
    <w:rsid w:val="00E465B2"/>
    <w:rsid w:val="00E46C27"/>
    <w:rsid w:val="00E503DC"/>
    <w:rsid w:val="00E55C38"/>
    <w:rsid w:val="00E576D2"/>
    <w:rsid w:val="00E61C0E"/>
    <w:rsid w:val="00E61D13"/>
    <w:rsid w:val="00E61E2A"/>
    <w:rsid w:val="00E63AB3"/>
    <w:rsid w:val="00E65418"/>
    <w:rsid w:val="00E65733"/>
    <w:rsid w:val="00E71C1E"/>
    <w:rsid w:val="00E745DC"/>
    <w:rsid w:val="00E74F28"/>
    <w:rsid w:val="00E77AAC"/>
    <w:rsid w:val="00E77FD8"/>
    <w:rsid w:val="00E802E9"/>
    <w:rsid w:val="00E80D6D"/>
    <w:rsid w:val="00E816C4"/>
    <w:rsid w:val="00E8627D"/>
    <w:rsid w:val="00E913BC"/>
    <w:rsid w:val="00EA0DFA"/>
    <w:rsid w:val="00EA1D60"/>
    <w:rsid w:val="00EA28A6"/>
    <w:rsid w:val="00EA51C4"/>
    <w:rsid w:val="00EB05B5"/>
    <w:rsid w:val="00EB073A"/>
    <w:rsid w:val="00EB1F09"/>
    <w:rsid w:val="00EB7ED9"/>
    <w:rsid w:val="00EC2162"/>
    <w:rsid w:val="00EC3F41"/>
    <w:rsid w:val="00EC5358"/>
    <w:rsid w:val="00EC5731"/>
    <w:rsid w:val="00ED4E82"/>
    <w:rsid w:val="00ED5496"/>
    <w:rsid w:val="00ED56AD"/>
    <w:rsid w:val="00ED5E43"/>
    <w:rsid w:val="00ED7F9C"/>
    <w:rsid w:val="00EE14E1"/>
    <w:rsid w:val="00EE3DCC"/>
    <w:rsid w:val="00EE53E7"/>
    <w:rsid w:val="00EE7508"/>
    <w:rsid w:val="00EE7602"/>
    <w:rsid w:val="00EF0A33"/>
    <w:rsid w:val="00EF509E"/>
    <w:rsid w:val="00EF5144"/>
    <w:rsid w:val="00EF648D"/>
    <w:rsid w:val="00EF7598"/>
    <w:rsid w:val="00EF7E21"/>
    <w:rsid w:val="00F0121B"/>
    <w:rsid w:val="00F030D0"/>
    <w:rsid w:val="00F04CDD"/>
    <w:rsid w:val="00F04E06"/>
    <w:rsid w:val="00F05743"/>
    <w:rsid w:val="00F06727"/>
    <w:rsid w:val="00F075D3"/>
    <w:rsid w:val="00F14556"/>
    <w:rsid w:val="00F148F2"/>
    <w:rsid w:val="00F21E08"/>
    <w:rsid w:val="00F22084"/>
    <w:rsid w:val="00F2267A"/>
    <w:rsid w:val="00F25AC7"/>
    <w:rsid w:val="00F2766B"/>
    <w:rsid w:val="00F310A5"/>
    <w:rsid w:val="00F31A16"/>
    <w:rsid w:val="00F32A73"/>
    <w:rsid w:val="00F32F72"/>
    <w:rsid w:val="00F34596"/>
    <w:rsid w:val="00F3531D"/>
    <w:rsid w:val="00F357BE"/>
    <w:rsid w:val="00F35B74"/>
    <w:rsid w:val="00F36EA6"/>
    <w:rsid w:val="00F37059"/>
    <w:rsid w:val="00F47711"/>
    <w:rsid w:val="00F54DA2"/>
    <w:rsid w:val="00F56A59"/>
    <w:rsid w:val="00F60EA6"/>
    <w:rsid w:val="00F6167B"/>
    <w:rsid w:val="00F61D1B"/>
    <w:rsid w:val="00F62080"/>
    <w:rsid w:val="00F648C2"/>
    <w:rsid w:val="00F64B17"/>
    <w:rsid w:val="00F65EAE"/>
    <w:rsid w:val="00F667E2"/>
    <w:rsid w:val="00F66A50"/>
    <w:rsid w:val="00F66ABB"/>
    <w:rsid w:val="00F67501"/>
    <w:rsid w:val="00F67664"/>
    <w:rsid w:val="00F72AD2"/>
    <w:rsid w:val="00F74D12"/>
    <w:rsid w:val="00F77A38"/>
    <w:rsid w:val="00F8117A"/>
    <w:rsid w:val="00F8373F"/>
    <w:rsid w:val="00F8651F"/>
    <w:rsid w:val="00F91769"/>
    <w:rsid w:val="00F93749"/>
    <w:rsid w:val="00F93DC3"/>
    <w:rsid w:val="00F950B1"/>
    <w:rsid w:val="00F96044"/>
    <w:rsid w:val="00F97814"/>
    <w:rsid w:val="00FA23EA"/>
    <w:rsid w:val="00FA454F"/>
    <w:rsid w:val="00FB09D1"/>
    <w:rsid w:val="00FB2376"/>
    <w:rsid w:val="00FB43E9"/>
    <w:rsid w:val="00FB6635"/>
    <w:rsid w:val="00FC127A"/>
    <w:rsid w:val="00FC2941"/>
    <w:rsid w:val="00FC4D8C"/>
    <w:rsid w:val="00FD0CB9"/>
    <w:rsid w:val="00FD1A8A"/>
    <w:rsid w:val="00FD391C"/>
    <w:rsid w:val="00FD57C8"/>
    <w:rsid w:val="00FD7718"/>
    <w:rsid w:val="00FD7EE2"/>
    <w:rsid w:val="00FE196E"/>
    <w:rsid w:val="00FE1AD6"/>
    <w:rsid w:val="00FE3593"/>
    <w:rsid w:val="00FE4627"/>
    <w:rsid w:val="00FF0E0F"/>
    <w:rsid w:val="00FF1AAA"/>
    <w:rsid w:val="00FF25F9"/>
    <w:rsid w:val="00FF279C"/>
    <w:rsid w:val="00FF2E87"/>
    <w:rsid w:val="00FF4239"/>
    <w:rsid w:val="00FF4E74"/>
    <w:rsid w:val="00FF538A"/>
    <w:rsid w:val="00FF5FD8"/>
    <w:rsid w:val="00FF67A4"/>
    <w:rsid w:val="00FF6BE4"/>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18753F64"/>
  <w15:chartTrackingRefBased/>
  <w15:docId w15:val="{68E25B87-47EF-4236-B118-879AE5A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45"/>
    <w:pPr>
      <w:spacing w:after="120" w:line="360" w:lineRule="auto"/>
      <w:jc w:val="both"/>
    </w:pPr>
    <w:rPr>
      <w:rFonts w:ascii="Arial" w:hAnsi="Arial"/>
      <w:sz w:val="24"/>
    </w:rPr>
  </w:style>
  <w:style w:type="paragraph" w:styleId="Heading1">
    <w:name w:val="heading 1"/>
    <w:basedOn w:val="Normal"/>
    <w:next w:val="Normal"/>
    <w:link w:val="Heading1Char"/>
    <w:uiPriority w:val="9"/>
    <w:qFormat/>
    <w:rsid w:val="00765CC6"/>
    <w:pPr>
      <w:keepNext/>
      <w:keepLines/>
      <w:spacing w:before="240" w:line="288" w:lineRule="auto"/>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64309C"/>
    <w:pPr>
      <w:keepNext/>
      <w:keepLines/>
      <w:spacing w:before="240" w:after="0"/>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985176"/>
    <w:pPr>
      <w:keepNext/>
      <w:keepLines/>
      <w:spacing w:before="12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FC4D8C"/>
    <w:pPr>
      <w:keepNext/>
      <w:keepLines/>
      <w:spacing w:before="40" w:after="0"/>
      <w:outlineLvl w:val="4"/>
    </w:pPr>
    <w:rPr>
      <w:rFonts w:eastAsiaTheme="majorEastAsia" w:cstheme="majorBidi"/>
      <w:b/>
      <w:sz w:val="22"/>
    </w:rPr>
  </w:style>
  <w:style w:type="paragraph" w:styleId="Heading6">
    <w:name w:val="heading 6"/>
    <w:basedOn w:val="Normal"/>
    <w:next w:val="Normal"/>
    <w:link w:val="Heading6Char"/>
    <w:uiPriority w:val="9"/>
    <w:unhideWhenUsed/>
    <w:qFormat/>
    <w:rsid w:val="00D238D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CC6"/>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64309C"/>
    <w:rPr>
      <w:rFonts w:ascii="Arial" w:eastAsiaTheme="majorEastAsia" w:hAnsi="Arial" w:cstheme="majorBidi"/>
      <w:b/>
      <w:sz w:val="28"/>
      <w:szCs w:val="26"/>
    </w:rPr>
  </w:style>
  <w:style w:type="character" w:customStyle="1" w:styleId="Heading3Char">
    <w:name w:val="Heading 3 Char"/>
    <w:basedOn w:val="DefaultParagraphFont"/>
    <w:link w:val="Heading3"/>
    <w:uiPriority w:val="9"/>
    <w:rsid w:val="00985176"/>
    <w:rPr>
      <w:rFonts w:ascii="Arial" w:eastAsiaTheme="majorEastAsia" w:hAnsi="Arial" w:cstheme="majorBidi"/>
      <w:b/>
      <w:sz w:val="24"/>
      <w:szCs w:val="24"/>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semiHidden/>
    <w:unhideWhenUsed/>
    <w:rsid w:val="00BD5D57"/>
    <w:rPr>
      <w:sz w:val="16"/>
      <w:szCs w:val="16"/>
    </w:rPr>
  </w:style>
  <w:style w:type="paragraph" w:styleId="CommentText">
    <w:name w:val="annotation text"/>
    <w:basedOn w:val="Normal"/>
    <w:link w:val="CommentTextChar"/>
    <w:semiHidden/>
    <w:unhideWhenUsed/>
    <w:rsid w:val="00BD5D57"/>
    <w:pPr>
      <w:spacing w:line="240" w:lineRule="auto"/>
    </w:pPr>
    <w:rPr>
      <w:sz w:val="20"/>
      <w:szCs w:val="20"/>
    </w:rPr>
  </w:style>
  <w:style w:type="character" w:customStyle="1" w:styleId="CommentTextChar">
    <w:name w:val="Comment Text Char"/>
    <w:basedOn w:val="DefaultParagraphFont"/>
    <w:link w:val="CommentText"/>
    <w:semiHidden/>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FC4D8C"/>
    <w:rPr>
      <w:rFonts w:ascii="Arial" w:eastAsiaTheme="majorEastAsia" w:hAnsi="Arial" w:cstheme="majorBidi"/>
      <w:b/>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jc w:val="left"/>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6D6FE1"/>
    <w:pPr>
      <w:spacing w:before="360" w:after="0"/>
      <w:jc w:val="left"/>
    </w:pPr>
    <w:rPr>
      <w:rFonts w:asciiTheme="majorHAnsi" w:hAnsiTheme="majorHAnsi" w:cstheme="majorHAnsi"/>
      <w:b/>
      <w:bCs/>
      <w:caps/>
      <w:szCs w:val="24"/>
    </w:rPr>
  </w:style>
  <w:style w:type="paragraph" w:styleId="TOC2">
    <w:name w:val="toc 2"/>
    <w:basedOn w:val="Normal"/>
    <w:next w:val="Normal"/>
    <w:autoRedefine/>
    <w:uiPriority w:val="39"/>
    <w:unhideWhenUsed/>
    <w:rsid w:val="006D6FE1"/>
    <w:pPr>
      <w:spacing w:before="240" w:after="0"/>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6D6FE1"/>
    <w:pPr>
      <w:spacing w:after="0"/>
      <w:ind w:left="240"/>
      <w:jc w:val="left"/>
    </w:pPr>
    <w:rPr>
      <w:rFonts w:asciiTheme="minorHAnsi" w:hAnsiTheme="minorHAnsi" w:cstheme="minorHAnsi"/>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650843"/>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650843"/>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650843"/>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650843"/>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650843"/>
    <w:pPr>
      <w:spacing w:after="0"/>
      <w:ind w:left="1680"/>
      <w:jc w:val="left"/>
    </w:pPr>
    <w:rPr>
      <w:rFonts w:asciiTheme="minorHAnsi" w:hAnsiTheme="minorHAnsi" w:cstheme="minorHAnsi"/>
      <w:sz w:val="20"/>
      <w:szCs w:val="20"/>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D238D1"/>
    <w:rPr>
      <w:rFonts w:asciiTheme="majorHAnsi" w:eastAsiaTheme="majorEastAsia" w:hAnsiTheme="majorHAnsi" w:cstheme="majorBidi"/>
      <w:color w:val="1F4D78" w:themeColor="accent1" w:themeShade="7F"/>
      <w:sz w:val="24"/>
    </w:rPr>
  </w:style>
  <w:style w:type="paragraph" w:styleId="Revision">
    <w:name w:val="Revision"/>
    <w:hidden/>
    <w:uiPriority w:val="99"/>
    <w:semiHidden/>
    <w:rsid w:val="00757FF5"/>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C7B84-245A-472A-8A88-97913DF17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F1FEFE63</Template>
  <TotalTime>6</TotalTime>
  <Pages>22</Pages>
  <Words>5183</Words>
  <Characters>29548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NTW NHS Trust</Company>
  <LinksUpToDate>false</LinksUpToDate>
  <CharactersWithSpaces>34662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Andrea (NEQOS)</dc:creator>
  <cp:keywords/>
  <dc:description/>
  <cp:lastModifiedBy>Esther Clifford</cp:lastModifiedBy>
  <cp:revision>3</cp:revision>
  <cp:lastPrinted>2018-07-30T08:24:00Z</cp:lastPrinted>
  <dcterms:created xsi:type="dcterms:W3CDTF">2019-08-27T09:29:00Z</dcterms:created>
  <dcterms:modified xsi:type="dcterms:W3CDTF">2019-08-27T09:35:00Z</dcterms:modified>
</cp:coreProperties>
</file>