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7DF1D" w14:textId="77777777" w:rsidR="00E63AB3" w:rsidRPr="00B8476F" w:rsidRDefault="00E63AB3" w:rsidP="00E63AB3">
      <w:pPr>
        <w:pStyle w:val="Heading1"/>
        <w:spacing w:before="0"/>
        <w:jc w:val="center"/>
      </w:pPr>
      <w:r w:rsidRPr="00B8476F">
        <w:t xml:space="preserve">NORTH EAST QUALITY OBSERVATORY SERVICE (NATIONAL COLLABORATING CENTRE </w:t>
      </w:r>
    </w:p>
    <w:p w14:paraId="212746FC" w14:textId="77777777" w:rsidR="00E63AB3" w:rsidRPr="00B8476F" w:rsidRDefault="00E63AB3" w:rsidP="00E63AB3">
      <w:pPr>
        <w:pStyle w:val="Heading1"/>
        <w:spacing w:before="0"/>
        <w:jc w:val="center"/>
      </w:pPr>
      <w:r w:rsidRPr="00B8476F">
        <w:t>FOR INDICATOR DEVELOPMENT)</w:t>
      </w:r>
    </w:p>
    <w:p w14:paraId="7ADAF74D" w14:textId="77777777" w:rsidR="00E63AB3" w:rsidRPr="00B8476F" w:rsidRDefault="00E63AB3" w:rsidP="00E63AB3"/>
    <w:p w14:paraId="3D4E494C" w14:textId="77777777" w:rsidR="00E63AB3" w:rsidRPr="00B8476F" w:rsidRDefault="00E63AB3" w:rsidP="00E63AB3">
      <w:pPr>
        <w:jc w:val="center"/>
        <w:rPr>
          <w:b/>
          <w:sz w:val="32"/>
          <w:szCs w:val="32"/>
        </w:rPr>
      </w:pPr>
      <w:r w:rsidRPr="00B8476F">
        <w:rPr>
          <w:b/>
          <w:sz w:val="32"/>
          <w:szCs w:val="32"/>
        </w:rPr>
        <w:t>FOR</w:t>
      </w:r>
    </w:p>
    <w:p w14:paraId="2B992C21" w14:textId="77777777" w:rsidR="00AC4951" w:rsidRPr="00B8476F" w:rsidRDefault="00AC4951" w:rsidP="00461419">
      <w:pPr>
        <w:pStyle w:val="Heading1"/>
        <w:jc w:val="center"/>
      </w:pPr>
      <w:r w:rsidRPr="00B8476F">
        <w:t>NATIONAL INSTITUTE FOR HEALTH AND CARE EXCELLENCE</w:t>
      </w:r>
    </w:p>
    <w:p w14:paraId="2E3ECB0D" w14:textId="77777777" w:rsidR="00AC4951" w:rsidRPr="00B8476F" w:rsidRDefault="00AC4951" w:rsidP="00461419">
      <w:pPr>
        <w:pStyle w:val="Heading1"/>
        <w:jc w:val="center"/>
      </w:pPr>
      <w:r w:rsidRPr="00B8476F">
        <w:t>INDICATOR DEVELOPMENT PROGRAMME</w:t>
      </w:r>
    </w:p>
    <w:p w14:paraId="3A007C21" w14:textId="77777777" w:rsidR="00461419" w:rsidRPr="00B8476F" w:rsidRDefault="00461419" w:rsidP="00461419">
      <w:pPr>
        <w:pStyle w:val="Heading2"/>
      </w:pPr>
    </w:p>
    <w:p w14:paraId="777B2AA1" w14:textId="61BA4C56" w:rsidR="00F31A16" w:rsidRPr="00B8476F" w:rsidRDefault="00F31A16" w:rsidP="00F31A16">
      <w:pPr>
        <w:pStyle w:val="Heading1"/>
        <w:jc w:val="center"/>
      </w:pPr>
      <w:r w:rsidRPr="00B8476F">
        <w:t>Feedback report on piloted indicators</w:t>
      </w:r>
    </w:p>
    <w:p w14:paraId="05178E08" w14:textId="77777777" w:rsidR="004037BA" w:rsidRPr="00B8476F" w:rsidRDefault="004037BA" w:rsidP="004037BA"/>
    <w:p w14:paraId="057FEBA6" w14:textId="348BFAB3" w:rsidR="00AC4951" w:rsidRPr="00B8476F" w:rsidRDefault="00AC4951" w:rsidP="005D2833">
      <w:pPr>
        <w:pStyle w:val="Heading2"/>
        <w:spacing w:after="120"/>
        <w:jc w:val="center"/>
        <w:rPr>
          <w:b w:val="0"/>
          <w:sz w:val="32"/>
        </w:rPr>
      </w:pPr>
      <w:r w:rsidRPr="00B8476F">
        <w:rPr>
          <w:sz w:val="32"/>
        </w:rPr>
        <w:t xml:space="preserve">Topic area: </w:t>
      </w:r>
      <w:r w:rsidR="00E07FE4" w:rsidRPr="00B8476F">
        <w:rPr>
          <w:sz w:val="32"/>
        </w:rPr>
        <w:t>Multimorbidity and frailty</w:t>
      </w:r>
    </w:p>
    <w:p w14:paraId="15713DD8" w14:textId="77777777" w:rsidR="005D2833" w:rsidRPr="00B8476F" w:rsidRDefault="005D2833" w:rsidP="005D2833"/>
    <w:p w14:paraId="345E4942" w14:textId="77777777" w:rsidR="005D2833" w:rsidRPr="00B8476F" w:rsidRDefault="005D2833" w:rsidP="005D2833"/>
    <w:p w14:paraId="791D6623" w14:textId="01D7F2A4" w:rsidR="00E07FE4" w:rsidRPr="00B8476F" w:rsidRDefault="00E07FE4" w:rsidP="009361B2">
      <w:pPr>
        <w:spacing w:before="240" w:after="0"/>
        <w:rPr>
          <w:rFonts w:eastAsiaTheme="majorEastAsia" w:cstheme="majorBidi"/>
          <w:b/>
          <w:sz w:val="28"/>
          <w:szCs w:val="26"/>
        </w:rPr>
      </w:pPr>
      <w:r w:rsidRPr="00B8476F">
        <w:rPr>
          <w:rFonts w:eastAsiaTheme="majorEastAsia" w:cstheme="majorBidi"/>
          <w:b/>
          <w:sz w:val="28"/>
          <w:szCs w:val="26"/>
        </w:rPr>
        <w:t xml:space="preserve">Pilot period: </w:t>
      </w:r>
      <w:r w:rsidR="00442C52" w:rsidRPr="00B8476F">
        <w:rPr>
          <w:rFonts w:eastAsiaTheme="majorEastAsia" w:cstheme="majorBidi"/>
          <w:sz w:val="28"/>
          <w:szCs w:val="26"/>
        </w:rPr>
        <w:t>13th</w:t>
      </w:r>
      <w:r w:rsidRPr="00B8476F">
        <w:rPr>
          <w:rFonts w:eastAsiaTheme="majorEastAsia" w:cstheme="majorBidi"/>
          <w:sz w:val="28"/>
          <w:szCs w:val="26"/>
        </w:rPr>
        <w:t xml:space="preserve"> December 2018 – 31st March 2019</w:t>
      </w:r>
    </w:p>
    <w:p w14:paraId="177FE166" w14:textId="3E6BD1CF" w:rsidR="00AC4951" w:rsidRPr="00B8476F" w:rsidRDefault="00AC4951" w:rsidP="00F61D1B">
      <w:pPr>
        <w:pStyle w:val="Heading2"/>
      </w:pPr>
      <w:r w:rsidRPr="00B8476F">
        <w:t xml:space="preserve">IAC meeting date: </w:t>
      </w:r>
      <w:r w:rsidR="00E07FE4" w:rsidRPr="00B8476F">
        <w:rPr>
          <w:b w:val="0"/>
        </w:rPr>
        <w:t>4</w:t>
      </w:r>
      <w:r w:rsidR="00E07FE4" w:rsidRPr="00B8476F">
        <w:rPr>
          <w:b w:val="0"/>
          <w:vertAlign w:val="superscript"/>
        </w:rPr>
        <w:t>th</w:t>
      </w:r>
      <w:r w:rsidR="00E07FE4" w:rsidRPr="00B8476F">
        <w:rPr>
          <w:b w:val="0"/>
        </w:rPr>
        <w:t xml:space="preserve"> </w:t>
      </w:r>
      <w:r w:rsidR="009B299F" w:rsidRPr="00B8476F">
        <w:rPr>
          <w:b w:val="0"/>
        </w:rPr>
        <w:t>June 2019</w:t>
      </w:r>
    </w:p>
    <w:p w14:paraId="331AB91A" w14:textId="65DACE7C" w:rsidR="009E5FFB" w:rsidRPr="00B8476F" w:rsidRDefault="00AC4951" w:rsidP="00550B9E">
      <w:pPr>
        <w:pStyle w:val="Heading2"/>
        <w:spacing w:after="240"/>
      </w:pPr>
      <w:r w:rsidRPr="00B8476F">
        <w:t xml:space="preserve">Output: </w:t>
      </w:r>
      <w:r w:rsidR="00E07FE4" w:rsidRPr="00B8476F">
        <w:rPr>
          <w:b w:val="0"/>
        </w:rPr>
        <w:t xml:space="preserve">Recommendations for NICE </w:t>
      </w:r>
      <w:r w:rsidR="005D2833" w:rsidRPr="00B8476F">
        <w:rPr>
          <w:b w:val="0"/>
        </w:rPr>
        <w:t xml:space="preserve">indicator </w:t>
      </w:r>
      <w:r w:rsidR="00E07FE4" w:rsidRPr="00B8476F">
        <w:rPr>
          <w:b w:val="0"/>
        </w:rPr>
        <w:t>menu</w:t>
      </w:r>
      <w:r w:rsidR="009E5FFB" w:rsidRPr="00B8476F">
        <w:t xml:space="preserve"> </w:t>
      </w:r>
    </w:p>
    <w:p w14:paraId="3E1B002D" w14:textId="77777777" w:rsidR="008A651E" w:rsidRPr="00B8476F" w:rsidRDefault="008A651E">
      <w:pPr>
        <w:spacing w:after="160" w:line="259" w:lineRule="auto"/>
        <w:jc w:val="left"/>
        <w:rPr>
          <w:rFonts w:eastAsiaTheme="majorEastAsia" w:cstheme="majorBidi"/>
          <w:b/>
          <w:sz w:val="32"/>
          <w:szCs w:val="32"/>
        </w:rPr>
      </w:pPr>
      <w:r w:rsidRPr="00B8476F">
        <w:br w:type="page"/>
      </w:r>
    </w:p>
    <w:p w14:paraId="07BE2524" w14:textId="4316953D" w:rsidR="00D06527" w:rsidRPr="00B8476F" w:rsidRDefault="006D6FE1" w:rsidP="007F7578">
      <w:pPr>
        <w:pStyle w:val="Heading1"/>
      </w:pPr>
      <w:r w:rsidRPr="00B8476F">
        <w:lastRenderedPageBreak/>
        <w:t>Contents</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794"/>
      </w:tblGrid>
      <w:tr w:rsidR="00016BC9" w:rsidRPr="00B8476F" w14:paraId="7A728167" w14:textId="77777777" w:rsidTr="0015742A">
        <w:tc>
          <w:tcPr>
            <w:tcW w:w="8222" w:type="dxa"/>
          </w:tcPr>
          <w:p w14:paraId="391DFE60" w14:textId="77777777" w:rsidR="00016BC9" w:rsidRPr="00B8476F" w:rsidRDefault="00016BC9" w:rsidP="0015742A">
            <w:pPr>
              <w:spacing w:before="60" w:after="60" w:line="259" w:lineRule="auto"/>
              <w:jc w:val="left"/>
              <w:rPr>
                <w:b/>
              </w:rPr>
            </w:pPr>
            <w:r w:rsidRPr="00B8476F">
              <w:rPr>
                <w:b/>
              </w:rPr>
              <w:t>Summary of recommendations</w:t>
            </w:r>
          </w:p>
        </w:tc>
        <w:tc>
          <w:tcPr>
            <w:tcW w:w="794" w:type="dxa"/>
          </w:tcPr>
          <w:p w14:paraId="4EB46AD0" w14:textId="77777777" w:rsidR="00016BC9" w:rsidRPr="00B8476F" w:rsidRDefault="00016BC9" w:rsidP="0015742A">
            <w:pPr>
              <w:spacing w:before="60" w:after="60" w:line="259" w:lineRule="auto"/>
              <w:jc w:val="right"/>
            </w:pPr>
            <w:r w:rsidRPr="00B8476F">
              <w:t>3</w:t>
            </w:r>
          </w:p>
        </w:tc>
      </w:tr>
      <w:tr w:rsidR="00016BC9" w:rsidRPr="00B8476F" w14:paraId="1A440822" w14:textId="77777777" w:rsidTr="0015742A">
        <w:tc>
          <w:tcPr>
            <w:tcW w:w="8222" w:type="dxa"/>
          </w:tcPr>
          <w:p w14:paraId="15DB5670" w14:textId="77777777" w:rsidR="00016BC9" w:rsidRPr="001B4DAD" w:rsidRDefault="00016BC9" w:rsidP="0015742A">
            <w:pPr>
              <w:spacing w:before="60" w:after="60" w:line="259" w:lineRule="auto"/>
              <w:ind w:left="743"/>
              <w:jc w:val="left"/>
            </w:pPr>
            <w:r>
              <w:t>Indicator 1  Multimorbidity register</w:t>
            </w:r>
          </w:p>
        </w:tc>
        <w:tc>
          <w:tcPr>
            <w:tcW w:w="794" w:type="dxa"/>
          </w:tcPr>
          <w:p w14:paraId="1A8FD0A5" w14:textId="77777777" w:rsidR="00016BC9" w:rsidRPr="00B8476F" w:rsidRDefault="00016BC9" w:rsidP="0015742A">
            <w:pPr>
              <w:spacing w:before="60" w:after="60" w:line="259" w:lineRule="auto"/>
              <w:jc w:val="right"/>
            </w:pPr>
            <w:r>
              <w:t>3</w:t>
            </w:r>
          </w:p>
        </w:tc>
      </w:tr>
      <w:tr w:rsidR="00016BC9" w:rsidRPr="00B8476F" w14:paraId="324E93B0" w14:textId="77777777" w:rsidTr="0015742A">
        <w:tc>
          <w:tcPr>
            <w:tcW w:w="8222" w:type="dxa"/>
          </w:tcPr>
          <w:p w14:paraId="3EF8D10D" w14:textId="77777777" w:rsidR="00016BC9" w:rsidRPr="001B4DAD" w:rsidRDefault="00016BC9" w:rsidP="0015742A">
            <w:pPr>
              <w:spacing w:before="60" w:after="60" w:line="259" w:lineRule="auto"/>
              <w:ind w:left="743"/>
              <w:jc w:val="left"/>
            </w:pPr>
            <w:r>
              <w:t>Indicator 2  Frailty register</w:t>
            </w:r>
          </w:p>
        </w:tc>
        <w:tc>
          <w:tcPr>
            <w:tcW w:w="794" w:type="dxa"/>
          </w:tcPr>
          <w:p w14:paraId="6A78AB40" w14:textId="5A345943" w:rsidR="00016BC9" w:rsidRPr="00B8476F" w:rsidRDefault="00793CD7" w:rsidP="0015742A">
            <w:pPr>
              <w:spacing w:before="60" w:after="60" w:line="259" w:lineRule="auto"/>
              <w:jc w:val="right"/>
            </w:pPr>
            <w:r>
              <w:t>5</w:t>
            </w:r>
          </w:p>
        </w:tc>
      </w:tr>
      <w:tr w:rsidR="00016BC9" w:rsidRPr="00B8476F" w14:paraId="278C0DC9" w14:textId="77777777" w:rsidTr="0015742A">
        <w:tc>
          <w:tcPr>
            <w:tcW w:w="8222" w:type="dxa"/>
          </w:tcPr>
          <w:p w14:paraId="0B848DD3" w14:textId="77777777" w:rsidR="00016BC9" w:rsidRPr="001B4DAD" w:rsidRDefault="00016BC9" w:rsidP="0015742A">
            <w:pPr>
              <w:spacing w:before="60" w:after="60" w:line="259" w:lineRule="auto"/>
              <w:ind w:left="743"/>
              <w:jc w:val="left"/>
            </w:pPr>
            <w:r>
              <w:t>Indicator 3  Structured medication review</w:t>
            </w:r>
          </w:p>
        </w:tc>
        <w:tc>
          <w:tcPr>
            <w:tcW w:w="794" w:type="dxa"/>
          </w:tcPr>
          <w:p w14:paraId="774184AE" w14:textId="77777777" w:rsidR="00016BC9" w:rsidRPr="00B8476F" w:rsidRDefault="00016BC9" w:rsidP="0015742A">
            <w:pPr>
              <w:spacing w:before="60" w:after="60" w:line="259" w:lineRule="auto"/>
              <w:jc w:val="right"/>
            </w:pPr>
            <w:r>
              <w:t>6</w:t>
            </w:r>
          </w:p>
        </w:tc>
      </w:tr>
      <w:tr w:rsidR="00016BC9" w:rsidRPr="00B8476F" w14:paraId="2E68D1E8" w14:textId="77777777" w:rsidTr="0015742A">
        <w:tc>
          <w:tcPr>
            <w:tcW w:w="8222" w:type="dxa"/>
          </w:tcPr>
          <w:p w14:paraId="42F99430" w14:textId="77777777" w:rsidR="00016BC9" w:rsidRPr="001B4DAD" w:rsidRDefault="00016BC9" w:rsidP="0015742A">
            <w:pPr>
              <w:spacing w:before="60" w:after="60" w:line="259" w:lineRule="auto"/>
              <w:ind w:left="743"/>
              <w:jc w:val="left"/>
            </w:pPr>
            <w:r>
              <w:t>Indicator 4  Falls prevention</w:t>
            </w:r>
          </w:p>
        </w:tc>
        <w:tc>
          <w:tcPr>
            <w:tcW w:w="794" w:type="dxa"/>
          </w:tcPr>
          <w:p w14:paraId="7BB6C9CE" w14:textId="77777777" w:rsidR="00016BC9" w:rsidRPr="00B8476F" w:rsidRDefault="00016BC9" w:rsidP="0015742A">
            <w:pPr>
              <w:spacing w:before="60" w:after="60" w:line="259" w:lineRule="auto"/>
              <w:jc w:val="right"/>
            </w:pPr>
            <w:r>
              <w:t>7</w:t>
            </w:r>
          </w:p>
        </w:tc>
      </w:tr>
      <w:tr w:rsidR="00016BC9" w:rsidRPr="00B8476F" w14:paraId="6CC2189D" w14:textId="77777777" w:rsidTr="0015742A">
        <w:tc>
          <w:tcPr>
            <w:tcW w:w="8222" w:type="dxa"/>
          </w:tcPr>
          <w:p w14:paraId="064984AE" w14:textId="77777777" w:rsidR="00016BC9" w:rsidRPr="00B8476F" w:rsidRDefault="00016BC9" w:rsidP="0015742A">
            <w:pPr>
              <w:spacing w:before="60" w:after="60" w:line="259" w:lineRule="auto"/>
              <w:jc w:val="left"/>
              <w:rPr>
                <w:b/>
              </w:rPr>
            </w:pPr>
            <w:r w:rsidRPr="00B8476F">
              <w:rPr>
                <w:b/>
              </w:rPr>
              <w:t>Background</w:t>
            </w:r>
          </w:p>
        </w:tc>
        <w:tc>
          <w:tcPr>
            <w:tcW w:w="794" w:type="dxa"/>
          </w:tcPr>
          <w:p w14:paraId="4D73C10E" w14:textId="77777777" w:rsidR="00016BC9" w:rsidRPr="00B8476F" w:rsidRDefault="00016BC9" w:rsidP="0015742A">
            <w:pPr>
              <w:spacing w:before="60" w:after="60" w:line="259" w:lineRule="auto"/>
              <w:jc w:val="right"/>
            </w:pPr>
            <w:r>
              <w:t>8</w:t>
            </w:r>
          </w:p>
        </w:tc>
      </w:tr>
      <w:tr w:rsidR="00016BC9" w:rsidRPr="00B8476F" w14:paraId="4D59CA91" w14:textId="77777777" w:rsidTr="0015742A">
        <w:tc>
          <w:tcPr>
            <w:tcW w:w="8222" w:type="dxa"/>
          </w:tcPr>
          <w:p w14:paraId="6D3739C4" w14:textId="77777777" w:rsidR="00016BC9" w:rsidRPr="001B4DAD" w:rsidRDefault="00016BC9" w:rsidP="0015742A">
            <w:pPr>
              <w:spacing w:before="60" w:after="60" w:line="259" w:lineRule="auto"/>
              <w:ind w:left="720"/>
              <w:jc w:val="left"/>
            </w:pPr>
            <w:r w:rsidRPr="001B4DAD">
              <w:t>Practice recruitment</w:t>
            </w:r>
          </w:p>
        </w:tc>
        <w:tc>
          <w:tcPr>
            <w:tcW w:w="794" w:type="dxa"/>
          </w:tcPr>
          <w:p w14:paraId="7AB0026B" w14:textId="77777777" w:rsidR="00016BC9" w:rsidRPr="00B8476F" w:rsidRDefault="00016BC9" w:rsidP="0015742A">
            <w:pPr>
              <w:spacing w:before="60" w:after="60" w:line="259" w:lineRule="auto"/>
              <w:jc w:val="right"/>
            </w:pPr>
            <w:r>
              <w:t>8</w:t>
            </w:r>
          </w:p>
        </w:tc>
      </w:tr>
      <w:tr w:rsidR="00016BC9" w:rsidRPr="00B8476F" w14:paraId="5E13A123" w14:textId="77777777" w:rsidTr="0015742A">
        <w:tc>
          <w:tcPr>
            <w:tcW w:w="8222" w:type="dxa"/>
          </w:tcPr>
          <w:p w14:paraId="08BCF4B8" w14:textId="77777777" w:rsidR="00016BC9" w:rsidRPr="001B4DAD" w:rsidRDefault="00016BC9" w:rsidP="0015742A">
            <w:pPr>
              <w:spacing w:before="60" w:after="60" w:line="259" w:lineRule="auto"/>
              <w:jc w:val="left"/>
              <w:rPr>
                <w:b/>
              </w:rPr>
            </w:pPr>
            <w:r w:rsidRPr="001B4DAD">
              <w:rPr>
                <w:b/>
              </w:rPr>
              <w:t>Assessment of feasibility, reliability and acceptability</w:t>
            </w:r>
          </w:p>
        </w:tc>
        <w:tc>
          <w:tcPr>
            <w:tcW w:w="794" w:type="dxa"/>
          </w:tcPr>
          <w:p w14:paraId="5404FABA" w14:textId="77777777" w:rsidR="00016BC9" w:rsidRPr="00B8476F" w:rsidRDefault="00016BC9" w:rsidP="0015742A">
            <w:pPr>
              <w:spacing w:before="60" w:after="60" w:line="259" w:lineRule="auto"/>
              <w:jc w:val="right"/>
            </w:pPr>
            <w:r>
              <w:t>9</w:t>
            </w:r>
          </w:p>
        </w:tc>
      </w:tr>
      <w:tr w:rsidR="00016BC9" w:rsidRPr="00B8476F" w14:paraId="0176D775" w14:textId="77777777" w:rsidTr="0015742A">
        <w:tc>
          <w:tcPr>
            <w:tcW w:w="8222" w:type="dxa"/>
          </w:tcPr>
          <w:p w14:paraId="3219A750" w14:textId="77777777" w:rsidR="00016BC9" w:rsidRPr="001B4DAD" w:rsidRDefault="00016BC9" w:rsidP="0015742A">
            <w:pPr>
              <w:spacing w:before="60" w:after="60" w:line="259" w:lineRule="auto"/>
              <w:ind w:left="743"/>
              <w:jc w:val="left"/>
            </w:pPr>
            <w:r w:rsidRPr="001B4DAD">
              <w:t>Feasibility and reliability</w:t>
            </w:r>
          </w:p>
        </w:tc>
        <w:tc>
          <w:tcPr>
            <w:tcW w:w="794" w:type="dxa"/>
          </w:tcPr>
          <w:p w14:paraId="1D347B9C" w14:textId="77777777" w:rsidR="00016BC9" w:rsidRPr="00B8476F" w:rsidRDefault="00016BC9" w:rsidP="0015742A">
            <w:pPr>
              <w:spacing w:before="60" w:after="60" w:line="259" w:lineRule="auto"/>
              <w:jc w:val="right"/>
            </w:pPr>
            <w:r>
              <w:t>9</w:t>
            </w:r>
          </w:p>
        </w:tc>
      </w:tr>
      <w:tr w:rsidR="00016BC9" w:rsidRPr="00B8476F" w14:paraId="440FADC2" w14:textId="77777777" w:rsidTr="0015742A">
        <w:tc>
          <w:tcPr>
            <w:tcW w:w="8222" w:type="dxa"/>
          </w:tcPr>
          <w:p w14:paraId="4734576E" w14:textId="77777777" w:rsidR="00016BC9" w:rsidRPr="001B4DAD" w:rsidRDefault="00016BC9" w:rsidP="0015742A">
            <w:pPr>
              <w:spacing w:before="60" w:after="60" w:line="259" w:lineRule="auto"/>
              <w:ind w:left="743"/>
              <w:jc w:val="left"/>
            </w:pPr>
            <w:r w:rsidRPr="001B4DAD">
              <w:t>Acceptability</w:t>
            </w:r>
            <w:r>
              <w:t xml:space="preserve"> (topic)</w:t>
            </w:r>
          </w:p>
        </w:tc>
        <w:tc>
          <w:tcPr>
            <w:tcW w:w="794" w:type="dxa"/>
          </w:tcPr>
          <w:p w14:paraId="3E0AEC15" w14:textId="77777777" w:rsidR="00016BC9" w:rsidRPr="00B8476F" w:rsidRDefault="00016BC9" w:rsidP="0015742A">
            <w:pPr>
              <w:spacing w:before="60" w:after="60" w:line="259" w:lineRule="auto"/>
              <w:jc w:val="right"/>
            </w:pPr>
            <w:r>
              <w:t>9</w:t>
            </w:r>
          </w:p>
        </w:tc>
      </w:tr>
      <w:tr w:rsidR="00016BC9" w:rsidRPr="00B8476F" w14:paraId="3D4C4FD7" w14:textId="77777777" w:rsidTr="0015742A">
        <w:tc>
          <w:tcPr>
            <w:tcW w:w="8222" w:type="dxa"/>
          </w:tcPr>
          <w:p w14:paraId="2889B3EF" w14:textId="77777777" w:rsidR="00016BC9" w:rsidRPr="00A1775E" w:rsidRDefault="00016BC9" w:rsidP="0015742A">
            <w:pPr>
              <w:spacing w:before="60" w:after="60" w:line="259" w:lineRule="auto"/>
              <w:ind w:left="743"/>
              <w:jc w:val="left"/>
              <w:rPr>
                <w:highlight w:val="yellow"/>
              </w:rPr>
            </w:pPr>
            <w:r w:rsidRPr="00332981">
              <w:t>Indicator 1 Multimorbidity register</w:t>
            </w:r>
          </w:p>
        </w:tc>
        <w:tc>
          <w:tcPr>
            <w:tcW w:w="794" w:type="dxa"/>
          </w:tcPr>
          <w:p w14:paraId="45C8A41A" w14:textId="77777777" w:rsidR="00016BC9" w:rsidRPr="00B8476F" w:rsidRDefault="00016BC9" w:rsidP="0015742A">
            <w:pPr>
              <w:spacing w:before="60" w:after="60" w:line="259" w:lineRule="auto"/>
              <w:jc w:val="right"/>
            </w:pPr>
            <w:r>
              <w:t>11</w:t>
            </w:r>
          </w:p>
        </w:tc>
      </w:tr>
      <w:tr w:rsidR="00016BC9" w:rsidRPr="00B8476F" w14:paraId="23307AB3" w14:textId="77777777" w:rsidTr="0015742A">
        <w:tc>
          <w:tcPr>
            <w:tcW w:w="8222" w:type="dxa"/>
          </w:tcPr>
          <w:p w14:paraId="339FAF24" w14:textId="77777777" w:rsidR="00016BC9" w:rsidRPr="00332981" w:rsidRDefault="00016BC9" w:rsidP="0015742A">
            <w:pPr>
              <w:spacing w:before="60" w:after="60" w:line="259" w:lineRule="auto"/>
              <w:ind w:left="720"/>
              <w:jc w:val="left"/>
            </w:pPr>
            <w:r w:rsidRPr="00332981">
              <w:t>Indicator 2 Frailty register</w:t>
            </w:r>
          </w:p>
        </w:tc>
        <w:tc>
          <w:tcPr>
            <w:tcW w:w="794" w:type="dxa"/>
          </w:tcPr>
          <w:p w14:paraId="100ECF39" w14:textId="39EE55A8" w:rsidR="00016BC9" w:rsidRPr="00B8476F" w:rsidRDefault="00793CD7" w:rsidP="0015742A">
            <w:pPr>
              <w:spacing w:before="60" w:after="60" w:line="259" w:lineRule="auto"/>
              <w:jc w:val="right"/>
            </w:pPr>
            <w:r>
              <w:t>16</w:t>
            </w:r>
          </w:p>
        </w:tc>
      </w:tr>
      <w:tr w:rsidR="00016BC9" w:rsidRPr="00B8476F" w14:paraId="7F24F344" w14:textId="77777777" w:rsidTr="0015742A">
        <w:tc>
          <w:tcPr>
            <w:tcW w:w="8222" w:type="dxa"/>
          </w:tcPr>
          <w:p w14:paraId="15DFF953" w14:textId="77777777" w:rsidR="00016BC9" w:rsidRPr="00A1775E" w:rsidRDefault="00016BC9" w:rsidP="0015742A">
            <w:pPr>
              <w:tabs>
                <w:tab w:val="left" w:pos="2920"/>
              </w:tabs>
              <w:spacing w:before="60" w:after="60" w:line="259" w:lineRule="auto"/>
              <w:ind w:left="720"/>
              <w:jc w:val="left"/>
              <w:rPr>
                <w:highlight w:val="yellow"/>
              </w:rPr>
            </w:pPr>
            <w:r w:rsidRPr="00332981">
              <w:t>Indicator 3 Structured medication review</w:t>
            </w:r>
          </w:p>
        </w:tc>
        <w:tc>
          <w:tcPr>
            <w:tcW w:w="794" w:type="dxa"/>
          </w:tcPr>
          <w:p w14:paraId="4C6CA5E4" w14:textId="786DEB8F" w:rsidR="00016BC9" w:rsidRPr="00B8476F" w:rsidRDefault="00793CD7" w:rsidP="0015742A">
            <w:pPr>
              <w:spacing w:before="60" w:after="60" w:line="259" w:lineRule="auto"/>
              <w:jc w:val="right"/>
            </w:pPr>
            <w:r>
              <w:t>19</w:t>
            </w:r>
          </w:p>
        </w:tc>
      </w:tr>
      <w:tr w:rsidR="00016BC9" w:rsidRPr="00B8476F" w14:paraId="48405931" w14:textId="77777777" w:rsidTr="0015742A">
        <w:tc>
          <w:tcPr>
            <w:tcW w:w="8222" w:type="dxa"/>
          </w:tcPr>
          <w:p w14:paraId="479576EE" w14:textId="77777777" w:rsidR="00016BC9" w:rsidRPr="001B4DAD" w:rsidRDefault="00016BC9" w:rsidP="0015742A">
            <w:pPr>
              <w:tabs>
                <w:tab w:val="left" w:pos="2920"/>
              </w:tabs>
              <w:spacing w:before="60" w:after="60" w:line="259" w:lineRule="auto"/>
              <w:ind w:left="743"/>
              <w:jc w:val="left"/>
            </w:pPr>
            <w:r>
              <w:t>Indicator 4 Falls prevention</w:t>
            </w:r>
          </w:p>
        </w:tc>
        <w:tc>
          <w:tcPr>
            <w:tcW w:w="794" w:type="dxa"/>
          </w:tcPr>
          <w:p w14:paraId="4C0072C9" w14:textId="1DEB94F3" w:rsidR="00016BC9" w:rsidRPr="00B8476F" w:rsidRDefault="00793CD7" w:rsidP="0015742A">
            <w:pPr>
              <w:spacing w:before="60" w:after="60" w:line="259" w:lineRule="auto"/>
              <w:jc w:val="right"/>
            </w:pPr>
            <w:r>
              <w:t>22</w:t>
            </w:r>
          </w:p>
        </w:tc>
      </w:tr>
      <w:tr w:rsidR="00016BC9" w:rsidRPr="00B8476F" w14:paraId="2E8A9FBE" w14:textId="77777777" w:rsidTr="0015742A">
        <w:tc>
          <w:tcPr>
            <w:tcW w:w="8222" w:type="dxa"/>
          </w:tcPr>
          <w:p w14:paraId="67AA9446" w14:textId="77777777" w:rsidR="00016BC9" w:rsidRDefault="00016BC9" w:rsidP="0015742A">
            <w:pPr>
              <w:tabs>
                <w:tab w:val="left" w:pos="2920"/>
              </w:tabs>
              <w:spacing w:before="60" w:after="60" w:line="259" w:lineRule="auto"/>
              <w:ind w:left="743"/>
              <w:jc w:val="left"/>
            </w:pPr>
            <w:r>
              <w:t>Additional areas explored by the pilot (coding of polypharmacy, vulnerable patients and residential status)</w:t>
            </w:r>
          </w:p>
        </w:tc>
        <w:tc>
          <w:tcPr>
            <w:tcW w:w="794" w:type="dxa"/>
          </w:tcPr>
          <w:p w14:paraId="16073BB7" w14:textId="1FCEF527" w:rsidR="00016BC9" w:rsidRDefault="00793CD7" w:rsidP="0015742A">
            <w:pPr>
              <w:spacing w:before="60" w:after="60" w:line="259" w:lineRule="auto"/>
              <w:jc w:val="right"/>
            </w:pPr>
            <w:r>
              <w:t>24</w:t>
            </w:r>
          </w:p>
        </w:tc>
      </w:tr>
      <w:tr w:rsidR="00016BC9" w:rsidRPr="00B8476F" w14:paraId="31469BCE" w14:textId="77777777" w:rsidTr="0015742A">
        <w:trPr>
          <w:trHeight w:val="379"/>
        </w:trPr>
        <w:tc>
          <w:tcPr>
            <w:tcW w:w="8222" w:type="dxa"/>
          </w:tcPr>
          <w:p w14:paraId="171F01B6" w14:textId="77777777" w:rsidR="00016BC9" w:rsidRPr="001B4DAD" w:rsidRDefault="00016BC9" w:rsidP="0015742A">
            <w:pPr>
              <w:tabs>
                <w:tab w:val="left" w:pos="2920"/>
              </w:tabs>
              <w:spacing w:before="60" w:after="60" w:line="259" w:lineRule="auto"/>
              <w:ind w:left="34"/>
              <w:jc w:val="left"/>
              <w:rPr>
                <w:b/>
              </w:rPr>
            </w:pPr>
            <w:r w:rsidRPr="001B4DAD">
              <w:rPr>
                <w:b/>
              </w:rPr>
              <w:t>Assessment of implementation</w:t>
            </w:r>
          </w:p>
        </w:tc>
        <w:tc>
          <w:tcPr>
            <w:tcW w:w="794" w:type="dxa"/>
          </w:tcPr>
          <w:p w14:paraId="1B9153C0" w14:textId="4516773F" w:rsidR="00016BC9" w:rsidRPr="00B8476F" w:rsidRDefault="00793CD7" w:rsidP="0015742A">
            <w:pPr>
              <w:spacing w:before="60" w:after="60" w:line="259" w:lineRule="auto"/>
              <w:jc w:val="right"/>
            </w:pPr>
            <w:r>
              <w:t>25</w:t>
            </w:r>
          </w:p>
        </w:tc>
      </w:tr>
      <w:tr w:rsidR="00016BC9" w:rsidRPr="00B8476F" w14:paraId="7EF330EB" w14:textId="77777777" w:rsidTr="0015742A">
        <w:tc>
          <w:tcPr>
            <w:tcW w:w="8222" w:type="dxa"/>
          </w:tcPr>
          <w:p w14:paraId="7CD40A5E" w14:textId="77777777" w:rsidR="00016BC9" w:rsidRPr="00B8476F" w:rsidRDefault="00016BC9" w:rsidP="0015742A">
            <w:pPr>
              <w:tabs>
                <w:tab w:val="left" w:pos="2920"/>
              </w:tabs>
              <w:spacing w:before="60" w:after="60" w:line="259" w:lineRule="auto"/>
              <w:ind w:left="720"/>
              <w:jc w:val="left"/>
            </w:pPr>
            <w:r>
              <w:t>Assessment of piloting achievement</w:t>
            </w:r>
          </w:p>
        </w:tc>
        <w:tc>
          <w:tcPr>
            <w:tcW w:w="794" w:type="dxa"/>
          </w:tcPr>
          <w:p w14:paraId="6D9EC4DC" w14:textId="5DA80EA8" w:rsidR="00016BC9" w:rsidRPr="00B8476F" w:rsidRDefault="00793CD7" w:rsidP="0015742A">
            <w:pPr>
              <w:spacing w:before="60" w:after="60" w:line="259" w:lineRule="auto"/>
              <w:jc w:val="right"/>
            </w:pPr>
            <w:r>
              <w:t>25</w:t>
            </w:r>
          </w:p>
        </w:tc>
      </w:tr>
      <w:tr w:rsidR="00016BC9" w:rsidRPr="00B8476F" w14:paraId="6B236EF6" w14:textId="77777777" w:rsidTr="0015742A">
        <w:tc>
          <w:tcPr>
            <w:tcW w:w="8222" w:type="dxa"/>
          </w:tcPr>
          <w:p w14:paraId="52A89118" w14:textId="77777777" w:rsidR="00016BC9" w:rsidRDefault="00016BC9" w:rsidP="0015742A">
            <w:pPr>
              <w:tabs>
                <w:tab w:val="left" w:pos="2920"/>
              </w:tabs>
              <w:spacing w:before="60" w:after="60" w:line="259" w:lineRule="auto"/>
              <w:ind w:left="720"/>
              <w:jc w:val="left"/>
            </w:pPr>
            <w:r w:rsidRPr="00332981">
              <w:t>Practices’ views on implementation issues (including impact)</w:t>
            </w:r>
          </w:p>
        </w:tc>
        <w:tc>
          <w:tcPr>
            <w:tcW w:w="794" w:type="dxa"/>
          </w:tcPr>
          <w:p w14:paraId="27D32AF3" w14:textId="40265706" w:rsidR="00016BC9" w:rsidRDefault="00793CD7" w:rsidP="00634F57">
            <w:pPr>
              <w:spacing w:before="60" w:after="60" w:line="259" w:lineRule="auto"/>
              <w:jc w:val="right"/>
            </w:pPr>
            <w:r>
              <w:t>2</w:t>
            </w:r>
            <w:r w:rsidR="00634F57">
              <w:t>7</w:t>
            </w:r>
          </w:p>
        </w:tc>
      </w:tr>
      <w:tr w:rsidR="00016BC9" w:rsidRPr="00B8476F" w14:paraId="26465B67" w14:textId="77777777" w:rsidTr="0015742A">
        <w:tc>
          <w:tcPr>
            <w:tcW w:w="8222" w:type="dxa"/>
          </w:tcPr>
          <w:p w14:paraId="4964C688" w14:textId="77777777" w:rsidR="00016BC9" w:rsidRPr="00B8476F" w:rsidRDefault="00016BC9" w:rsidP="0015742A">
            <w:pPr>
              <w:tabs>
                <w:tab w:val="left" w:pos="2920"/>
              </w:tabs>
              <w:spacing w:before="60" w:after="60" w:line="259" w:lineRule="auto"/>
              <w:ind w:left="720"/>
              <w:jc w:val="left"/>
            </w:pPr>
            <w:r>
              <w:t>Changes in practice organisation</w:t>
            </w:r>
          </w:p>
        </w:tc>
        <w:tc>
          <w:tcPr>
            <w:tcW w:w="794" w:type="dxa"/>
          </w:tcPr>
          <w:p w14:paraId="3A21304A" w14:textId="1037B11A" w:rsidR="00016BC9" w:rsidRPr="00B8476F" w:rsidRDefault="00634F57" w:rsidP="0015742A">
            <w:pPr>
              <w:spacing w:before="60" w:after="60" w:line="259" w:lineRule="auto"/>
              <w:jc w:val="right"/>
            </w:pPr>
            <w:r>
              <w:t>29</w:t>
            </w:r>
          </w:p>
        </w:tc>
      </w:tr>
      <w:tr w:rsidR="00016BC9" w:rsidRPr="00B8476F" w14:paraId="0B6E68F8" w14:textId="77777777" w:rsidTr="0015742A">
        <w:trPr>
          <w:trHeight w:val="355"/>
        </w:trPr>
        <w:tc>
          <w:tcPr>
            <w:tcW w:w="8222" w:type="dxa"/>
          </w:tcPr>
          <w:p w14:paraId="742D540F" w14:textId="5E5C5AF9" w:rsidR="00016BC9" w:rsidRPr="00B8476F" w:rsidRDefault="00793CD7" w:rsidP="00793CD7">
            <w:pPr>
              <w:tabs>
                <w:tab w:val="left" w:pos="2920"/>
              </w:tabs>
              <w:spacing w:before="60" w:after="60" w:line="259" w:lineRule="auto"/>
              <w:ind w:left="720"/>
              <w:jc w:val="left"/>
            </w:pPr>
            <w:r>
              <w:t>Workload, r</w:t>
            </w:r>
            <w:r w:rsidR="00016BC9">
              <w:t>esource utilisation and costs</w:t>
            </w:r>
          </w:p>
        </w:tc>
        <w:tc>
          <w:tcPr>
            <w:tcW w:w="794" w:type="dxa"/>
          </w:tcPr>
          <w:p w14:paraId="09FEB4E5" w14:textId="505C32D4" w:rsidR="00016BC9" w:rsidRPr="00B8476F" w:rsidRDefault="00634F57" w:rsidP="0015742A">
            <w:pPr>
              <w:spacing w:before="60" w:after="60" w:line="259" w:lineRule="auto"/>
              <w:jc w:val="right"/>
            </w:pPr>
            <w:r>
              <w:t>31</w:t>
            </w:r>
          </w:p>
        </w:tc>
      </w:tr>
      <w:tr w:rsidR="00016BC9" w:rsidRPr="00B8476F" w14:paraId="273D1FC1" w14:textId="77777777" w:rsidTr="0015742A">
        <w:trPr>
          <w:trHeight w:val="417"/>
        </w:trPr>
        <w:tc>
          <w:tcPr>
            <w:tcW w:w="8222" w:type="dxa"/>
          </w:tcPr>
          <w:p w14:paraId="25BDB947" w14:textId="77777777" w:rsidR="00016BC9" w:rsidRDefault="00016BC9" w:rsidP="0015742A">
            <w:pPr>
              <w:tabs>
                <w:tab w:val="left" w:pos="2920"/>
              </w:tabs>
              <w:spacing w:before="60" w:after="60" w:line="259" w:lineRule="auto"/>
              <w:ind w:left="720"/>
              <w:jc w:val="left"/>
            </w:pPr>
            <w:r>
              <w:t xml:space="preserve">Barriers to implementation </w:t>
            </w:r>
          </w:p>
        </w:tc>
        <w:tc>
          <w:tcPr>
            <w:tcW w:w="794" w:type="dxa"/>
          </w:tcPr>
          <w:p w14:paraId="7A79A1B2" w14:textId="0F77FE81" w:rsidR="00016BC9" w:rsidRDefault="00634F57" w:rsidP="0015742A">
            <w:pPr>
              <w:spacing w:before="60" w:after="60" w:line="259" w:lineRule="auto"/>
              <w:jc w:val="right"/>
            </w:pPr>
            <w:r>
              <w:t>33</w:t>
            </w:r>
          </w:p>
        </w:tc>
      </w:tr>
      <w:tr w:rsidR="00016BC9" w:rsidRPr="00B8476F" w14:paraId="0FD031B7" w14:textId="77777777" w:rsidTr="0015742A">
        <w:tc>
          <w:tcPr>
            <w:tcW w:w="8222" w:type="dxa"/>
          </w:tcPr>
          <w:p w14:paraId="6EF7ECC7" w14:textId="3DB1992A" w:rsidR="00016BC9" w:rsidRPr="002A7FDE" w:rsidRDefault="00016BC9" w:rsidP="0015742A">
            <w:pPr>
              <w:tabs>
                <w:tab w:val="left" w:pos="2920"/>
              </w:tabs>
              <w:spacing w:before="60" w:line="259" w:lineRule="auto"/>
              <w:ind w:left="743"/>
              <w:jc w:val="left"/>
            </w:pPr>
            <w:r w:rsidRPr="002A7FDE">
              <w:t>Assessment of exception reporting</w:t>
            </w:r>
            <w:r w:rsidR="00074219">
              <w:t xml:space="preserve"> (or future Personalised Care Adjustment)</w:t>
            </w:r>
          </w:p>
        </w:tc>
        <w:tc>
          <w:tcPr>
            <w:tcW w:w="794" w:type="dxa"/>
          </w:tcPr>
          <w:p w14:paraId="38437AF1" w14:textId="74A37188" w:rsidR="00016BC9" w:rsidRPr="00B8476F" w:rsidRDefault="00634F57" w:rsidP="0015742A">
            <w:pPr>
              <w:spacing w:before="60" w:after="60" w:line="259" w:lineRule="auto"/>
              <w:jc w:val="right"/>
            </w:pPr>
            <w:r>
              <w:t>34</w:t>
            </w:r>
          </w:p>
        </w:tc>
      </w:tr>
      <w:tr w:rsidR="00016BC9" w:rsidRPr="00B8476F" w14:paraId="79CDCA7A" w14:textId="77777777" w:rsidTr="0015742A">
        <w:tc>
          <w:tcPr>
            <w:tcW w:w="8222" w:type="dxa"/>
          </w:tcPr>
          <w:p w14:paraId="410FFBDE" w14:textId="77777777" w:rsidR="00016BC9" w:rsidRPr="002A7FDE" w:rsidRDefault="00016BC9" w:rsidP="0015742A">
            <w:pPr>
              <w:spacing w:line="259" w:lineRule="auto"/>
              <w:ind w:left="743"/>
            </w:pPr>
            <w:r w:rsidRPr="002A7FDE">
              <w:t>Assessment of potential unintended consequences</w:t>
            </w:r>
          </w:p>
        </w:tc>
        <w:tc>
          <w:tcPr>
            <w:tcW w:w="794" w:type="dxa"/>
          </w:tcPr>
          <w:p w14:paraId="1D3E4AF1" w14:textId="79961AF7" w:rsidR="00016BC9" w:rsidRPr="00B8476F" w:rsidRDefault="00634F57" w:rsidP="0015742A">
            <w:pPr>
              <w:spacing w:before="60" w:after="60" w:line="259" w:lineRule="auto"/>
              <w:jc w:val="right"/>
            </w:pPr>
            <w:r>
              <w:t>34</w:t>
            </w:r>
          </w:p>
        </w:tc>
      </w:tr>
      <w:tr w:rsidR="00016BC9" w:rsidRPr="00B8476F" w14:paraId="56252213" w14:textId="77777777" w:rsidTr="0015742A">
        <w:tc>
          <w:tcPr>
            <w:tcW w:w="8222" w:type="dxa"/>
          </w:tcPr>
          <w:p w14:paraId="66DD9CBC" w14:textId="77777777" w:rsidR="00016BC9" w:rsidRPr="002A7FDE" w:rsidRDefault="00016BC9" w:rsidP="0015742A">
            <w:pPr>
              <w:spacing w:line="259" w:lineRule="auto"/>
              <w:ind w:left="743"/>
            </w:pPr>
            <w:r w:rsidRPr="00332981">
              <w:t>Assessment of overlap with and/or impact on existing QOF indicators</w:t>
            </w:r>
          </w:p>
        </w:tc>
        <w:tc>
          <w:tcPr>
            <w:tcW w:w="794" w:type="dxa"/>
          </w:tcPr>
          <w:p w14:paraId="5ED2C039" w14:textId="16D743C7" w:rsidR="00016BC9" w:rsidRDefault="00634F57" w:rsidP="0015742A">
            <w:pPr>
              <w:spacing w:before="60" w:after="60" w:line="259" w:lineRule="auto"/>
              <w:jc w:val="right"/>
            </w:pPr>
            <w:r>
              <w:t>35</w:t>
            </w:r>
          </w:p>
        </w:tc>
      </w:tr>
      <w:tr w:rsidR="00016BC9" w:rsidRPr="00B8476F" w14:paraId="723494D2" w14:textId="77777777" w:rsidTr="00793CD7">
        <w:trPr>
          <w:trHeight w:val="529"/>
        </w:trPr>
        <w:tc>
          <w:tcPr>
            <w:tcW w:w="8222" w:type="dxa"/>
          </w:tcPr>
          <w:p w14:paraId="031FB5D2" w14:textId="3333BE0B" w:rsidR="00016BC9" w:rsidRPr="002A7FDE" w:rsidRDefault="00016BC9" w:rsidP="0015742A">
            <w:pPr>
              <w:spacing w:line="259" w:lineRule="auto"/>
              <w:ind w:left="743"/>
            </w:pPr>
            <w:r w:rsidRPr="002A7FDE">
              <w:t>Suggested amendments to indicator wording</w:t>
            </w:r>
            <w:r w:rsidR="00C85ECC">
              <w:t xml:space="preserve"> (summary)</w:t>
            </w:r>
          </w:p>
        </w:tc>
        <w:tc>
          <w:tcPr>
            <w:tcW w:w="794" w:type="dxa"/>
          </w:tcPr>
          <w:p w14:paraId="728EFAB3" w14:textId="2478C4D9" w:rsidR="00016BC9" w:rsidRPr="00B8476F" w:rsidRDefault="00016BC9" w:rsidP="00793CD7">
            <w:pPr>
              <w:spacing w:before="60" w:after="60" w:line="259" w:lineRule="auto"/>
              <w:jc w:val="right"/>
            </w:pPr>
            <w:r>
              <w:t>3</w:t>
            </w:r>
            <w:r w:rsidR="00634F57">
              <w:t>5</w:t>
            </w:r>
          </w:p>
        </w:tc>
      </w:tr>
      <w:tr w:rsidR="00016BC9" w:rsidRPr="00B8476F" w14:paraId="005D378C" w14:textId="77777777" w:rsidTr="0015742A">
        <w:trPr>
          <w:trHeight w:val="423"/>
        </w:trPr>
        <w:tc>
          <w:tcPr>
            <w:tcW w:w="8222" w:type="dxa"/>
          </w:tcPr>
          <w:p w14:paraId="663E2D81" w14:textId="77777777" w:rsidR="00016BC9" w:rsidRPr="00B8476F" w:rsidRDefault="00016BC9" w:rsidP="0015742A">
            <w:pPr>
              <w:tabs>
                <w:tab w:val="left" w:pos="2920"/>
              </w:tabs>
              <w:spacing w:before="60" w:line="259" w:lineRule="auto"/>
              <w:jc w:val="left"/>
              <w:rPr>
                <w:b/>
              </w:rPr>
            </w:pPr>
            <w:r>
              <w:rPr>
                <w:b/>
              </w:rPr>
              <w:t>Appendix A: Practice recruitment</w:t>
            </w:r>
          </w:p>
        </w:tc>
        <w:tc>
          <w:tcPr>
            <w:tcW w:w="794" w:type="dxa"/>
          </w:tcPr>
          <w:p w14:paraId="7A649962" w14:textId="3CA31319" w:rsidR="00016BC9" w:rsidRPr="00B8476F" w:rsidRDefault="00634F57" w:rsidP="0015742A">
            <w:pPr>
              <w:spacing w:before="60" w:after="60" w:line="259" w:lineRule="auto"/>
              <w:jc w:val="right"/>
            </w:pPr>
            <w:r>
              <w:t>36</w:t>
            </w:r>
          </w:p>
        </w:tc>
      </w:tr>
      <w:tr w:rsidR="00016BC9" w:rsidRPr="00B8476F" w14:paraId="2853F1E2" w14:textId="77777777" w:rsidTr="00793CD7">
        <w:trPr>
          <w:trHeight w:val="359"/>
        </w:trPr>
        <w:tc>
          <w:tcPr>
            <w:tcW w:w="8222" w:type="dxa"/>
          </w:tcPr>
          <w:p w14:paraId="13289B8D" w14:textId="77777777" w:rsidR="00016BC9" w:rsidRPr="00B8476F" w:rsidRDefault="00016BC9" w:rsidP="0015742A">
            <w:pPr>
              <w:spacing w:before="60" w:after="60" w:line="259" w:lineRule="auto"/>
              <w:jc w:val="left"/>
              <w:rPr>
                <w:b/>
              </w:rPr>
            </w:pPr>
            <w:r>
              <w:rPr>
                <w:b/>
              </w:rPr>
              <w:t>Appendix B: Indicator development</w:t>
            </w:r>
          </w:p>
        </w:tc>
        <w:tc>
          <w:tcPr>
            <w:tcW w:w="794" w:type="dxa"/>
          </w:tcPr>
          <w:p w14:paraId="17E431B7" w14:textId="15316E66" w:rsidR="00016BC9" w:rsidRPr="00B8476F" w:rsidRDefault="00634F57" w:rsidP="0015742A">
            <w:pPr>
              <w:spacing w:before="60" w:after="60" w:line="259" w:lineRule="auto"/>
              <w:jc w:val="right"/>
            </w:pPr>
            <w:r>
              <w:t>37</w:t>
            </w:r>
          </w:p>
        </w:tc>
      </w:tr>
      <w:tr w:rsidR="00016BC9" w:rsidRPr="00B8476F" w14:paraId="33B995B0" w14:textId="77777777" w:rsidTr="0015742A">
        <w:tc>
          <w:tcPr>
            <w:tcW w:w="8222" w:type="dxa"/>
          </w:tcPr>
          <w:p w14:paraId="3773442C" w14:textId="77777777" w:rsidR="00016BC9" w:rsidRDefault="00016BC9" w:rsidP="0015742A">
            <w:pPr>
              <w:spacing w:before="60" w:after="60" w:line="259" w:lineRule="auto"/>
              <w:jc w:val="left"/>
              <w:rPr>
                <w:b/>
              </w:rPr>
            </w:pPr>
            <w:r>
              <w:rPr>
                <w:b/>
              </w:rPr>
              <w:t>Appendix C: Acceptability and implementation recommendations</w:t>
            </w:r>
          </w:p>
        </w:tc>
        <w:tc>
          <w:tcPr>
            <w:tcW w:w="794" w:type="dxa"/>
          </w:tcPr>
          <w:p w14:paraId="5C0B2C91" w14:textId="5381D17F" w:rsidR="00016BC9" w:rsidRPr="00B8476F" w:rsidRDefault="00634F57" w:rsidP="0015742A">
            <w:pPr>
              <w:spacing w:before="60" w:after="60" w:line="259" w:lineRule="auto"/>
              <w:jc w:val="right"/>
            </w:pPr>
            <w:r>
              <w:t>39</w:t>
            </w:r>
          </w:p>
        </w:tc>
      </w:tr>
      <w:tr w:rsidR="00F97DD3" w:rsidRPr="00B8476F" w14:paraId="443CDDBE" w14:textId="77777777" w:rsidTr="0015742A">
        <w:tc>
          <w:tcPr>
            <w:tcW w:w="8222" w:type="dxa"/>
          </w:tcPr>
          <w:p w14:paraId="0B02F3AA" w14:textId="6E13999D" w:rsidR="00F97DD3" w:rsidRDefault="00F97DD3" w:rsidP="0015742A">
            <w:pPr>
              <w:spacing w:before="60" w:after="60" w:line="259" w:lineRule="auto"/>
              <w:jc w:val="left"/>
              <w:rPr>
                <w:b/>
              </w:rPr>
            </w:pPr>
            <w:r>
              <w:rPr>
                <w:b/>
              </w:rPr>
              <w:t>Appendix D: Condition clusters</w:t>
            </w:r>
          </w:p>
        </w:tc>
        <w:tc>
          <w:tcPr>
            <w:tcW w:w="794" w:type="dxa"/>
          </w:tcPr>
          <w:p w14:paraId="0B4A80D3" w14:textId="072DCC98" w:rsidR="00F97DD3" w:rsidRDefault="00634F57" w:rsidP="0015742A">
            <w:pPr>
              <w:spacing w:before="60" w:after="60" w:line="259" w:lineRule="auto"/>
              <w:jc w:val="right"/>
            </w:pPr>
            <w:r>
              <w:t>40</w:t>
            </w:r>
          </w:p>
        </w:tc>
      </w:tr>
    </w:tbl>
    <w:p w14:paraId="2DBCAB34" w14:textId="7F859E5D" w:rsidR="00A519BA" w:rsidRPr="00B8476F" w:rsidRDefault="00A519BA" w:rsidP="004037BA">
      <w:pPr>
        <w:pStyle w:val="Heading1"/>
      </w:pPr>
      <w:r w:rsidRPr="00B8476F">
        <w:lastRenderedPageBreak/>
        <w:t xml:space="preserve">Summary of </w:t>
      </w:r>
      <w:r w:rsidRPr="00F97DD3">
        <w:t>recommendations</w:t>
      </w:r>
    </w:p>
    <w:p w14:paraId="6035803D" w14:textId="226B1D64" w:rsidR="00A519BA" w:rsidRPr="00B8476F" w:rsidRDefault="00A519BA" w:rsidP="00A519BA">
      <w:pPr>
        <w:rPr>
          <w:u w:val="single"/>
        </w:rPr>
      </w:pPr>
      <w:r w:rsidRPr="00B8476F">
        <w:rPr>
          <w:u w:val="single"/>
        </w:rPr>
        <w:t>Indicator 1</w:t>
      </w:r>
      <w:r w:rsidR="0059573D" w:rsidRPr="00B8476F">
        <w:rPr>
          <w:u w:val="single"/>
        </w:rPr>
        <w:t xml:space="preserve"> Multimorbidity register</w:t>
      </w:r>
    </w:p>
    <w:p w14:paraId="4E911C8D" w14:textId="54841CE6" w:rsidR="00316D7E" w:rsidRPr="00B8476F" w:rsidRDefault="0059573D" w:rsidP="00A519BA">
      <w:r w:rsidRPr="00B8476F">
        <w:t>The practice can produce a register of people with multimorbidity who would benefit from a tailored approach to care. (Where, for the purposes of the pilot, patients with multimorbidity are defined as those with 4 or more condition clusters supplemented by clinical judgement).</w:t>
      </w:r>
      <w:r w:rsidRPr="00B8476F">
        <w:tab/>
      </w:r>
    </w:p>
    <w:p w14:paraId="1C7D2BCB" w14:textId="381A0933" w:rsidR="00A519BA" w:rsidRPr="00992412" w:rsidRDefault="00A519BA" w:rsidP="00992412">
      <w:pPr>
        <w:spacing w:after="0"/>
        <w:ind w:firstLine="720"/>
        <w:rPr>
          <w:i/>
        </w:rPr>
      </w:pPr>
      <w:r w:rsidRPr="00992412">
        <w:rPr>
          <w:i/>
        </w:rPr>
        <w:t xml:space="preserve">Acceptability </w:t>
      </w:r>
      <w:r w:rsidR="00B14D06" w:rsidRPr="00992412">
        <w:rPr>
          <w:i/>
        </w:rPr>
        <w:t>assessment</w:t>
      </w:r>
    </w:p>
    <w:p w14:paraId="32FE2E1A" w14:textId="6BEEADAC" w:rsidR="00D37049" w:rsidRDefault="00B102B1" w:rsidP="00B41AB5">
      <w:pPr>
        <w:ind w:left="720"/>
        <w:jc w:val="left"/>
      </w:pPr>
      <w:r>
        <w:t>More than 70% of practices support inclusion</w:t>
      </w:r>
      <w:r w:rsidR="00B41AB5">
        <w:t xml:space="preserve"> of an indicator in this area; however, comments </w:t>
      </w:r>
      <w:r w:rsidR="00F97DD3">
        <w:t xml:space="preserve">relating to improving the quality of care for patients </w:t>
      </w:r>
      <w:r w:rsidR="00B41AB5">
        <w:t>are more varied on this specific register proposal.</w:t>
      </w:r>
    </w:p>
    <w:p w14:paraId="7B08C21F" w14:textId="77777777" w:rsidR="00B14D06" w:rsidRPr="00992412" w:rsidRDefault="00A519BA" w:rsidP="00992412">
      <w:pPr>
        <w:spacing w:after="0"/>
        <w:ind w:left="720"/>
        <w:rPr>
          <w:i/>
        </w:rPr>
      </w:pPr>
      <w:r w:rsidRPr="00992412">
        <w:rPr>
          <w:i/>
        </w:rPr>
        <w:t xml:space="preserve">Implementation </w:t>
      </w:r>
      <w:r w:rsidR="00B14D06" w:rsidRPr="00992412">
        <w:rPr>
          <w:i/>
        </w:rPr>
        <w:t xml:space="preserve">assessment </w:t>
      </w:r>
    </w:p>
    <w:p w14:paraId="4951F72F" w14:textId="5A1EFF5B" w:rsidR="00B102B1" w:rsidRDefault="00B102B1" w:rsidP="00D37049">
      <w:pPr>
        <w:ind w:left="720"/>
      </w:pPr>
      <w:r>
        <w:t>M</w:t>
      </w:r>
      <w:r w:rsidR="005B6BD1">
        <w:t>ajor</w:t>
      </w:r>
      <w:r>
        <w:t xml:space="preserve"> </w:t>
      </w:r>
      <w:r w:rsidR="00320F5C">
        <w:t xml:space="preserve">problems </w:t>
      </w:r>
      <w:r w:rsidRPr="00B102B1">
        <w:t xml:space="preserve">identified </w:t>
      </w:r>
      <w:r w:rsidR="00BA3722">
        <w:t xml:space="preserve">by some practices </w:t>
      </w:r>
      <w:r w:rsidRPr="00B102B1">
        <w:t>during piloting or anticipated in wider impleme</w:t>
      </w:r>
      <w:r w:rsidR="00992412">
        <w:t>ntation</w:t>
      </w:r>
      <w:r w:rsidR="00F97DD3">
        <w:t>, mainly with regard to the presence of existing local schemes and with the identification of patients eligible for the register</w:t>
      </w:r>
      <w:r w:rsidR="00992412">
        <w:t>. Potentially</w:t>
      </w:r>
      <w:r w:rsidRPr="00B102B1">
        <w:t xml:space="preserve"> resolvable through</w:t>
      </w:r>
      <w:r>
        <w:t xml:space="preserve"> th</w:t>
      </w:r>
      <w:r w:rsidR="008F096B">
        <w:t xml:space="preserve">e actions identified in </w:t>
      </w:r>
      <w:r w:rsidR="00992412">
        <w:t>the table below</w:t>
      </w:r>
      <w:r w:rsidR="00646822">
        <w:t xml:space="preserve"> but may also require further testing prior to widespread implementation.</w:t>
      </w:r>
    </w:p>
    <w:p w14:paraId="42B49447" w14:textId="77777777" w:rsidR="00F97DD3" w:rsidRPr="00B8476F" w:rsidRDefault="00F97DD3" w:rsidP="00D37049">
      <w:pPr>
        <w:ind w:left="720"/>
      </w:pPr>
    </w:p>
    <w:p w14:paraId="71E44B70" w14:textId="4536E7B8" w:rsidR="00A519BA" w:rsidRPr="00B8476F" w:rsidRDefault="00A519BA" w:rsidP="004E0E76">
      <w:pPr>
        <w:pStyle w:val="Heading4"/>
      </w:pPr>
      <w:r w:rsidRPr="00B8476F">
        <w:t xml:space="preserve">Issues to </w:t>
      </w:r>
      <w:r w:rsidR="009063A1" w:rsidRPr="00B8476F">
        <w:t>be resolved prior to implementation</w:t>
      </w:r>
    </w:p>
    <w:tbl>
      <w:tblPr>
        <w:tblStyle w:val="TableGrid"/>
        <w:tblW w:w="0" w:type="auto"/>
        <w:tblLook w:val="04A0" w:firstRow="1" w:lastRow="0" w:firstColumn="1" w:lastColumn="0" w:noHBand="0" w:noVBand="1"/>
      </w:tblPr>
      <w:tblGrid>
        <w:gridCol w:w="2547"/>
        <w:gridCol w:w="2977"/>
        <w:gridCol w:w="3492"/>
      </w:tblGrid>
      <w:tr w:rsidR="009063A1" w:rsidRPr="00B8476F" w14:paraId="3098667E" w14:textId="77777777" w:rsidTr="00F97DD3">
        <w:tc>
          <w:tcPr>
            <w:tcW w:w="2547" w:type="dxa"/>
          </w:tcPr>
          <w:p w14:paraId="5E3ABB3D" w14:textId="7F89C2E7" w:rsidR="009063A1" w:rsidRPr="00B8476F" w:rsidRDefault="009063A1" w:rsidP="009063A1">
            <w:pPr>
              <w:spacing w:line="240" w:lineRule="auto"/>
              <w:rPr>
                <w:b/>
              </w:rPr>
            </w:pPr>
            <w:r w:rsidRPr="00B8476F">
              <w:rPr>
                <w:b/>
              </w:rPr>
              <w:t>Issue</w:t>
            </w:r>
          </w:p>
        </w:tc>
        <w:tc>
          <w:tcPr>
            <w:tcW w:w="2977" w:type="dxa"/>
          </w:tcPr>
          <w:p w14:paraId="0E2DF8EB" w14:textId="63071280" w:rsidR="009063A1" w:rsidRPr="00B8476F" w:rsidRDefault="009063A1" w:rsidP="009063A1">
            <w:pPr>
              <w:spacing w:line="240" w:lineRule="auto"/>
              <w:rPr>
                <w:b/>
              </w:rPr>
            </w:pPr>
            <w:r w:rsidRPr="00B8476F">
              <w:rPr>
                <w:b/>
              </w:rPr>
              <w:t>Detail</w:t>
            </w:r>
          </w:p>
        </w:tc>
        <w:tc>
          <w:tcPr>
            <w:tcW w:w="3492" w:type="dxa"/>
          </w:tcPr>
          <w:p w14:paraId="14B2F61D" w14:textId="215D98A3" w:rsidR="009063A1" w:rsidRPr="00B8476F" w:rsidRDefault="009063A1" w:rsidP="009063A1">
            <w:pPr>
              <w:spacing w:line="240" w:lineRule="auto"/>
              <w:rPr>
                <w:b/>
              </w:rPr>
            </w:pPr>
            <w:r w:rsidRPr="00B8476F">
              <w:rPr>
                <w:b/>
              </w:rPr>
              <w:t>Mitigating activity</w:t>
            </w:r>
          </w:p>
        </w:tc>
      </w:tr>
      <w:tr w:rsidR="0042224C" w:rsidRPr="00B8476F" w14:paraId="6549DF68" w14:textId="77777777" w:rsidTr="00F97DD3">
        <w:tc>
          <w:tcPr>
            <w:tcW w:w="2547" w:type="dxa"/>
          </w:tcPr>
          <w:p w14:paraId="005C07F7" w14:textId="2C3E688B" w:rsidR="0042224C" w:rsidRPr="00BD08F6" w:rsidRDefault="00771C26" w:rsidP="00F97DD3">
            <w:pPr>
              <w:spacing w:before="40" w:line="240" w:lineRule="auto"/>
              <w:jc w:val="left"/>
              <w:rPr>
                <w:color w:val="000000" w:themeColor="text1"/>
              </w:rPr>
            </w:pPr>
            <w:r w:rsidRPr="00BD08F6">
              <w:rPr>
                <w:color w:val="000000" w:themeColor="text1"/>
              </w:rPr>
              <w:t>Practices / CCGs have established schemes already in place</w:t>
            </w:r>
          </w:p>
        </w:tc>
        <w:tc>
          <w:tcPr>
            <w:tcW w:w="2977" w:type="dxa"/>
          </w:tcPr>
          <w:p w14:paraId="53591849" w14:textId="0E1C0AB0" w:rsidR="00F02889" w:rsidRPr="00BD08F6" w:rsidRDefault="00F02889" w:rsidP="00F97DD3">
            <w:pPr>
              <w:spacing w:before="40" w:line="240" w:lineRule="auto"/>
              <w:jc w:val="left"/>
              <w:rPr>
                <w:color w:val="000000" w:themeColor="text1"/>
              </w:rPr>
            </w:pPr>
            <w:r w:rsidRPr="00BD08F6">
              <w:rPr>
                <w:color w:val="000000" w:themeColor="text1"/>
              </w:rPr>
              <w:t>Existing schemes mostly in frailty but some relating to multimorbidity (particularly medication review or single annual review)</w:t>
            </w:r>
            <w:r w:rsidR="00992412">
              <w:rPr>
                <w:color w:val="000000" w:themeColor="text1"/>
              </w:rPr>
              <w:t>.</w:t>
            </w:r>
          </w:p>
          <w:p w14:paraId="65AA4ABF" w14:textId="7FEFDFBD" w:rsidR="0042224C" w:rsidRPr="00BD08F6" w:rsidRDefault="00F02889" w:rsidP="00F97DD3">
            <w:pPr>
              <w:spacing w:before="40" w:line="240" w:lineRule="auto"/>
              <w:jc w:val="left"/>
              <w:rPr>
                <w:color w:val="000000" w:themeColor="text1"/>
              </w:rPr>
            </w:pPr>
            <w:r w:rsidRPr="00BD08F6">
              <w:rPr>
                <w:color w:val="000000" w:themeColor="text1"/>
              </w:rPr>
              <w:t>Potential l</w:t>
            </w:r>
            <w:r w:rsidR="00771C26" w:rsidRPr="00BD08F6">
              <w:rPr>
                <w:color w:val="000000" w:themeColor="text1"/>
              </w:rPr>
              <w:t>ack of buy-in from some practices</w:t>
            </w:r>
            <w:r w:rsidRPr="00BD08F6">
              <w:rPr>
                <w:color w:val="000000" w:themeColor="text1"/>
              </w:rPr>
              <w:t xml:space="preserve"> in existing schemes.</w:t>
            </w:r>
          </w:p>
        </w:tc>
        <w:tc>
          <w:tcPr>
            <w:tcW w:w="3492" w:type="dxa"/>
          </w:tcPr>
          <w:p w14:paraId="51026E2F" w14:textId="308DEEE4" w:rsidR="0042224C" w:rsidRPr="00BD08F6" w:rsidRDefault="00771C26" w:rsidP="00F97DD3">
            <w:pPr>
              <w:spacing w:before="40" w:line="240" w:lineRule="auto"/>
              <w:jc w:val="left"/>
              <w:rPr>
                <w:color w:val="000000" w:themeColor="text1"/>
              </w:rPr>
            </w:pPr>
            <w:r w:rsidRPr="00BD08F6">
              <w:rPr>
                <w:color w:val="000000" w:themeColor="text1"/>
              </w:rPr>
              <w:t>Review content of these for overlap / gaps – and opportunity to obtain lessons learned</w:t>
            </w:r>
            <w:r w:rsidR="00992412">
              <w:rPr>
                <w:color w:val="000000" w:themeColor="text1"/>
              </w:rPr>
              <w:t>.</w:t>
            </w:r>
          </w:p>
        </w:tc>
      </w:tr>
      <w:tr w:rsidR="0042224C" w:rsidRPr="00B8476F" w14:paraId="48679804" w14:textId="77777777" w:rsidTr="00F97DD3">
        <w:tc>
          <w:tcPr>
            <w:tcW w:w="2547" w:type="dxa"/>
          </w:tcPr>
          <w:p w14:paraId="20552B3E" w14:textId="77777777" w:rsidR="0042224C" w:rsidRDefault="004A7CE8" w:rsidP="00F97DD3">
            <w:pPr>
              <w:spacing w:before="40" w:line="240" w:lineRule="auto"/>
              <w:jc w:val="left"/>
              <w:rPr>
                <w:color w:val="000000" w:themeColor="text1"/>
              </w:rPr>
            </w:pPr>
            <w:r w:rsidRPr="00BD08F6">
              <w:rPr>
                <w:color w:val="000000" w:themeColor="text1"/>
              </w:rPr>
              <w:t>Multimorbidity (</w:t>
            </w:r>
            <w:r w:rsidR="00771C26" w:rsidRPr="00BD08F6">
              <w:rPr>
                <w:color w:val="000000" w:themeColor="text1"/>
              </w:rPr>
              <w:t>MM</w:t>
            </w:r>
            <w:r w:rsidRPr="00BD08F6">
              <w:rPr>
                <w:color w:val="000000" w:themeColor="text1"/>
              </w:rPr>
              <w:t>)</w:t>
            </w:r>
            <w:r w:rsidR="00771C26" w:rsidRPr="00BD08F6">
              <w:rPr>
                <w:color w:val="000000" w:themeColor="text1"/>
              </w:rPr>
              <w:t xml:space="preserve"> definition</w:t>
            </w:r>
          </w:p>
          <w:p w14:paraId="338EDF96" w14:textId="77777777" w:rsidR="00F97DD3" w:rsidRDefault="00F97DD3" w:rsidP="00F97DD3">
            <w:pPr>
              <w:spacing w:before="40" w:line="240" w:lineRule="auto"/>
              <w:jc w:val="left"/>
              <w:rPr>
                <w:color w:val="000000" w:themeColor="text1"/>
              </w:rPr>
            </w:pPr>
          </w:p>
          <w:p w14:paraId="56A2E6DC" w14:textId="77777777" w:rsidR="00F97DD3" w:rsidRDefault="00F97DD3" w:rsidP="00F97DD3">
            <w:pPr>
              <w:spacing w:before="40" w:line="240" w:lineRule="auto"/>
              <w:jc w:val="left"/>
              <w:rPr>
                <w:color w:val="000000" w:themeColor="text1"/>
              </w:rPr>
            </w:pPr>
          </w:p>
          <w:p w14:paraId="427F60A9" w14:textId="77777777" w:rsidR="00F97DD3" w:rsidRDefault="00F97DD3" w:rsidP="00F97DD3">
            <w:pPr>
              <w:spacing w:before="40" w:line="240" w:lineRule="auto"/>
              <w:jc w:val="left"/>
              <w:rPr>
                <w:color w:val="000000" w:themeColor="text1"/>
              </w:rPr>
            </w:pPr>
          </w:p>
          <w:p w14:paraId="2BAC0BF6" w14:textId="77777777" w:rsidR="00F97DD3" w:rsidRDefault="00F97DD3" w:rsidP="00F97DD3">
            <w:pPr>
              <w:spacing w:before="40" w:line="240" w:lineRule="auto"/>
              <w:jc w:val="left"/>
              <w:rPr>
                <w:color w:val="000000" w:themeColor="text1"/>
              </w:rPr>
            </w:pPr>
          </w:p>
          <w:p w14:paraId="0B245CBB" w14:textId="3F0FA7BE" w:rsidR="00F97DD3" w:rsidRDefault="00F97DD3" w:rsidP="00F97DD3">
            <w:pPr>
              <w:spacing w:before="40" w:line="240" w:lineRule="auto"/>
              <w:jc w:val="left"/>
              <w:rPr>
                <w:color w:val="000000" w:themeColor="text1"/>
              </w:rPr>
            </w:pPr>
            <w:r>
              <w:rPr>
                <w:color w:val="000000" w:themeColor="text1"/>
              </w:rPr>
              <w:lastRenderedPageBreak/>
              <w:t>Multimorbidity definition (continued)</w:t>
            </w:r>
          </w:p>
          <w:p w14:paraId="0E177E2F" w14:textId="1C85026E" w:rsidR="00F97DD3" w:rsidRPr="00BD08F6" w:rsidRDefault="00F97DD3" w:rsidP="00F97DD3">
            <w:pPr>
              <w:spacing w:before="40" w:line="240" w:lineRule="auto"/>
              <w:jc w:val="left"/>
              <w:rPr>
                <w:color w:val="000000" w:themeColor="text1"/>
              </w:rPr>
            </w:pPr>
          </w:p>
        </w:tc>
        <w:tc>
          <w:tcPr>
            <w:tcW w:w="2977" w:type="dxa"/>
          </w:tcPr>
          <w:p w14:paraId="36507F75" w14:textId="50127A4B" w:rsidR="0042224C" w:rsidRPr="00BD08F6" w:rsidRDefault="00771C26" w:rsidP="00F97DD3">
            <w:pPr>
              <w:spacing w:before="40" w:line="240" w:lineRule="auto"/>
              <w:jc w:val="left"/>
              <w:rPr>
                <w:color w:val="000000" w:themeColor="text1"/>
              </w:rPr>
            </w:pPr>
            <w:r w:rsidRPr="00BD08F6">
              <w:rPr>
                <w:color w:val="000000" w:themeColor="text1"/>
              </w:rPr>
              <w:lastRenderedPageBreak/>
              <w:t xml:space="preserve">Complex, </w:t>
            </w:r>
            <w:r w:rsidR="004A7CE8" w:rsidRPr="00BD08F6">
              <w:rPr>
                <w:color w:val="000000" w:themeColor="text1"/>
              </w:rPr>
              <w:t xml:space="preserve">may </w:t>
            </w:r>
            <w:r w:rsidRPr="00BD08F6">
              <w:rPr>
                <w:color w:val="000000" w:themeColor="text1"/>
              </w:rPr>
              <w:t xml:space="preserve">produce large patient numbers </w:t>
            </w:r>
            <w:r w:rsidR="004A7CE8" w:rsidRPr="00BD08F6">
              <w:rPr>
                <w:color w:val="000000" w:themeColor="text1"/>
              </w:rPr>
              <w:t>if searches run locally</w:t>
            </w:r>
            <w:r w:rsidR="00992412">
              <w:rPr>
                <w:color w:val="000000" w:themeColor="text1"/>
              </w:rPr>
              <w:t>.</w:t>
            </w:r>
          </w:p>
        </w:tc>
        <w:tc>
          <w:tcPr>
            <w:tcW w:w="3492" w:type="dxa"/>
          </w:tcPr>
          <w:p w14:paraId="747E1AB1" w14:textId="6FEA6470" w:rsidR="0042224C" w:rsidRDefault="0042224C" w:rsidP="00F97DD3">
            <w:pPr>
              <w:spacing w:before="40" w:line="240" w:lineRule="auto"/>
              <w:jc w:val="left"/>
              <w:rPr>
                <w:color w:val="000000" w:themeColor="text1"/>
              </w:rPr>
            </w:pPr>
            <w:r w:rsidRPr="00BD08F6">
              <w:rPr>
                <w:color w:val="000000" w:themeColor="text1"/>
              </w:rPr>
              <w:t>Clinical system s</w:t>
            </w:r>
            <w:r w:rsidR="00771C26" w:rsidRPr="00BD08F6">
              <w:rPr>
                <w:color w:val="000000" w:themeColor="text1"/>
              </w:rPr>
              <w:t>uppliers providing the searches or patient list for refinement / national template production (for consistency)</w:t>
            </w:r>
            <w:r w:rsidR="00D719EF" w:rsidRPr="00BD08F6">
              <w:rPr>
                <w:color w:val="000000" w:themeColor="text1"/>
              </w:rPr>
              <w:t xml:space="preserve">, </w:t>
            </w:r>
            <w:r w:rsidR="00992412">
              <w:rPr>
                <w:color w:val="000000" w:themeColor="text1"/>
              </w:rPr>
              <w:t xml:space="preserve">including the </w:t>
            </w:r>
            <w:r w:rsidR="00D719EF" w:rsidRPr="00BD08F6">
              <w:rPr>
                <w:color w:val="000000" w:themeColor="text1"/>
              </w:rPr>
              <w:t xml:space="preserve">availability of </w:t>
            </w:r>
            <w:r w:rsidR="00992412">
              <w:rPr>
                <w:color w:val="000000" w:themeColor="text1"/>
              </w:rPr>
              <w:t>a multimorbidity</w:t>
            </w:r>
            <w:r w:rsidR="00D719EF" w:rsidRPr="00BD08F6">
              <w:rPr>
                <w:color w:val="000000" w:themeColor="text1"/>
              </w:rPr>
              <w:t xml:space="preserve"> </w:t>
            </w:r>
            <w:r w:rsidR="005B6BD1" w:rsidRPr="00BD08F6">
              <w:rPr>
                <w:color w:val="000000" w:themeColor="text1"/>
              </w:rPr>
              <w:t xml:space="preserve">clinical </w:t>
            </w:r>
            <w:r w:rsidR="00D719EF" w:rsidRPr="00BD08F6">
              <w:rPr>
                <w:color w:val="000000" w:themeColor="text1"/>
              </w:rPr>
              <w:t>code to use as a ‘flag’</w:t>
            </w:r>
            <w:r w:rsidR="00992412">
              <w:rPr>
                <w:color w:val="000000" w:themeColor="text1"/>
              </w:rPr>
              <w:t>.</w:t>
            </w:r>
          </w:p>
          <w:p w14:paraId="067DFBD9" w14:textId="77777777" w:rsidR="00F97DD3" w:rsidRPr="00BD08F6" w:rsidRDefault="00F97DD3" w:rsidP="00F97DD3">
            <w:pPr>
              <w:spacing w:before="40" w:line="240" w:lineRule="auto"/>
              <w:jc w:val="left"/>
              <w:rPr>
                <w:color w:val="000000" w:themeColor="text1"/>
              </w:rPr>
            </w:pPr>
          </w:p>
          <w:p w14:paraId="49366FB0" w14:textId="1962E4E8" w:rsidR="002C15E1" w:rsidRPr="00BD08F6" w:rsidRDefault="002C15E1" w:rsidP="00F97DD3">
            <w:pPr>
              <w:spacing w:before="40" w:line="240" w:lineRule="auto"/>
              <w:jc w:val="left"/>
              <w:rPr>
                <w:color w:val="000000" w:themeColor="text1"/>
              </w:rPr>
            </w:pPr>
            <w:r w:rsidRPr="00BD08F6">
              <w:rPr>
                <w:color w:val="000000" w:themeColor="text1"/>
              </w:rPr>
              <w:lastRenderedPageBreak/>
              <w:t>A data validation exercise to improve coding accuracy and reduce data quality issues may be required in conjunction with the above.</w:t>
            </w:r>
          </w:p>
        </w:tc>
      </w:tr>
      <w:tr w:rsidR="0042224C" w:rsidRPr="00B8476F" w14:paraId="1E0F5BFA" w14:textId="77777777" w:rsidTr="00F97DD3">
        <w:tc>
          <w:tcPr>
            <w:tcW w:w="2547" w:type="dxa"/>
          </w:tcPr>
          <w:p w14:paraId="7498C3FD" w14:textId="3A435285" w:rsidR="0042224C" w:rsidRPr="00BD08F6" w:rsidRDefault="00BD08F6" w:rsidP="00F97DD3">
            <w:pPr>
              <w:spacing w:before="40" w:line="240" w:lineRule="auto"/>
              <w:jc w:val="left"/>
              <w:rPr>
                <w:color w:val="000000" w:themeColor="text1"/>
              </w:rPr>
            </w:pPr>
            <w:r w:rsidRPr="00BD08F6">
              <w:rPr>
                <w:color w:val="000000" w:themeColor="text1"/>
              </w:rPr>
              <w:lastRenderedPageBreak/>
              <w:t>If multimorbidity</w:t>
            </w:r>
            <w:r w:rsidR="00771C26" w:rsidRPr="00BD08F6">
              <w:rPr>
                <w:color w:val="000000" w:themeColor="text1"/>
              </w:rPr>
              <w:t xml:space="preserve"> list is produced by suppliers – </w:t>
            </w:r>
            <w:r w:rsidR="004A7CE8" w:rsidRPr="00BD08F6">
              <w:rPr>
                <w:color w:val="000000" w:themeColor="text1"/>
              </w:rPr>
              <w:t xml:space="preserve">may </w:t>
            </w:r>
            <w:r w:rsidR="00771C26" w:rsidRPr="00BD08F6">
              <w:rPr>
                <w:color w:val="000000" w:themeColor="text1"/>
              </w:rPr>
              <w:t xml:space="preserve">reduce ‘ownership’ by practices </w:t>
            </w:r>
          </w:p>
        </w:tc>
        <w:tc>
          <w:tcPr>
            <w:tcW w:w="2977" w:type="dxa"/>
          </w:tcPr>
          <w:p w14:paraId="23A3AEFB" w14:textId="042C3F88" w:rsidR="0042224C" w:rsidRPr="00BD08F6" w:rsidRDefault="00771C26" w:rsidP="00F97DD3">
            <w:pPr>
              <w:spacing w:before="40" w:line="240" w:lineRule="auto"/>
              <w:jc w:val="left"/>
              <w:rPr>
                <w:color w:val="000000" w:themeColor="text1"/>
              </w:rPr>
            </w:pPr>
            <w:r w:rsidRPr="00BD08F6">
              <w:rPr>
                <w:color w:val="000000" w:themeColor="text1"/>
              </w:rPr>
              <w:t xml:space="preserve">Practices may </w:t>
            </w:r>
            <w:r w:rsidR="004A7CE8" w:rsidRPr="00BD08F6">
              <w:rPr>
                <w:color w:val="000000" w:themeColor="text1"/>
              </w:rPr>
              <w:t xml:space="preserve">not </w:t>
            </w:r>
            <w:r w:rsidRPr="00BD08F6">
              <w:rPr>
                <w:color w:val="000000" w:themeColor="text1"/>
              </w:rPr>
              <w:t>‘accept’ the generated list as their register</w:t>
            </w:r>
            <w:r w:rsidR="004A7CE8" w:rsidRPr="00BD08F6">
              <w:rPr>
                <w:color w:val="000000" w:themeColor="text1"/>
              </w:rPr>
              <w:t xml:space="preserve">, if not following the guidance on </w:t>
            </w:r>
            <w:r w:rsidR="00AA35F0" w:rsidRPr="00BD08F6">
              <w:rPr>
                <w:color w:val="000000" w:themeColor="text1"/>
              </w:rPr>
              <w:t>review/</w:t>
            </w:r>
            <w:r w:rsidR="004A7CE8" w:rsidRPr="00BD08F6">
              <w:rPr>
                <w:color w:val="000000" w:themeColor="text1"/>
              </w:rPr>
              <w:t>refinement of the generated list and/or inclusion of additional patients not fitting the criteria but clinically judged to require register entry</w:t>
            </w:r>
            <w:r w:rsidR="00992412">
              <w:rPr>
                <w:color w:val="000000" w:themeColor="text1"/>
              </w:rPr>
              <w:t>.</w:t>
            </w:r>
          </w:p>
        </w:tc>
        <w:tc>
          <w:tcPr>
            <w:tcW w:w="3492" w:type="dxa"/>
          </w:tcPr>
          <w:p w14:paraId="542D4E6A" w14:textId="77777777" w:rsidR="00AA35F0" w:rsidRPr="00BD08F6" w:rsidRDefault="00AA35F0" w:rsidP="00F97DD3">
            <w:pPr>
              <w:spacing w:before="40" w:line="240" w:lineRule="auto"/>
              <w:jc w:val="left"/>
              <w:rPr>
                <w:color w:val="000000" w:themeColor="text1"/>
              </w:rPr>
            </w:pPr>
            <w:r w:rsidRPr="00BD08F6">
              <w:rPr>
                <w:color w:val="000000" w:themeColor="text1"/>
              </w:rPr>
              <w:t>Emphasise guidance on review/clinical judgement.</w:t>
            </w:r>
          </w:p>
          <w:p w14:paraId="71F4A2FA" w14:textId="73542EA2" w:rsidR="0042224C" w:rsidRPr="00BD08F6" w:rsidRDefault="00771C26" w:rsidP="00F97DD3">
            <w:pPr>
              <w:spacing w:before="40" w:line="240" w:lineRule="auto"/>
              <w:jc w:val="left"/>
              <w:rPr>
                <w:color w:val="000000" w:themeColor="text1"/>
              </w:rPr>
            </w:pPr>
            <w:r w:rsidRPr="00BD08F6">
              <w:rPr>
                <w:color w:val="000000" w:themeColor="text1"/>
              </w:rPr>
              <w:t>Validation exercise containing expected prevalence for each practice (based on an NHSD search)</w:t>
            </w:r>
            <w:r w:rsidR="00992412">
              <w:rPr>
                <w:color w:val="000000" w:themeColor="text1"/>
              </w:rPr>
              <w:t>.</w:t>
            </w:r>
          </w:p>
          <w:p w14:paraId="597CA694" w14:textId="3EACFA5D" w:rsidR="00D82410" w:rsidRPr="00BD08F6" w:rsidRDefault="00D82410" w:rsidP="00C85ECC">
            <w:pPr>
              <w:spacing w:before="40" w:line="240" w:lineRule="auto"/>
              <w:jc w:val="left"/>
              <w:rPr>
                <w:color w:val="000000" w:themeColor="text1"/>
              </w:rPr>
            </w:pPr>
            <w:r w:rsidRPr="00BD08F6">
              <w:rPr>
                <w:color w:val="000000" w:themeColor="text1"/>
              </w:rPr>
              <w:t>Include using Q</w:t>
            </w:r>
            <w:r w:rsidR="00035A5F" w:rsidRPr="00BD08F6">
              <w:rPr>
                <w:color w:val="000000" w:themeColor="text1"/>
              </w:rPr>
              <w:t xml:space="preserve">uarter </w:t>
            </w:r>
            <w:r w:rsidR="00C85ECC">
              <w:rPr>
                <w:color w:val="000000" w:themeColor="text1"/>
              </w:rPr>
              <w:t>1</w:t>
            </w:r>
            <w:r w:rsidRPr="00BD08F6">
              <w:rPr>
                <w:color w:val="000000" w:themeColor="text1"/>
              </w:rPr>
              <w:t xml:space="preserve"> in QOF in year 1</w:t>
            </w:r>
            <w:r w:rsidR="00AA35F0" w:rsidRPr="00BD08F6">
              <w:rPr>
                <w:color w:val="000000" w:themeColor="text1"/>
              </w:rPr>
              <w:t xml:space="preserve"> as a development period</w:t>
            </w:r>
            <w:r w:rsidR="00992412">
              <w:rPr>
                <w:color w:val="000000" w:themeColor="text1"/>
              </w:rPr>
              <w:t>.</w:t>
            </w:r>
          </w:p>
        </w:tc>
      </w:tr>
      <w:tr w:rsidR="00035A5F" w:rsidRPr="00B8476F" w14:paraId="5C194D38" w14:textId="77777777" w:rsidTr="00F97DD3">
        <w:tc>
          <w:tcPr>
            <w:tcW w:w="2547" w:type="dxa"/>
          </w:tcPr>
          <w:p w14:paraId="01D3DE3D" w14:textId="77777777" w:rsidR="00035A5F" w:rsidRPr="00BD08F6" w:rsidRDefault="00035A5F" w:rsidP="00F97DD3">
            <w:pPr>
              <w:spacing w:before="40" w:line="240" w:lineRule="auto"/>
              <w:jc w:val="left"/>
              <w:rPr>
                <w:color w:val="000000" w:themeColor="text1"/>
              </w:rPr>
            </w:pPr>
            <w:r w:rsidRPr="00BD08F6">
              <w:rPr>
                <w:color w:val="000000" w:themeColor="text1"/>
              </w:rPr>
              <w:t>Time frame for MM register</w:t>
            </w:r>
          </w:p>
        </w:tc>
        <w:tc>
          <w:tcPr>
            <w:tcW w:w="2977" w:type="dxa"/>
          </w:tcPr>
          <w:p w14:paraId="3801838E" w14:textId="2EB66B04" w:rsidR="00035A5F" w:rsidRPr="00BD08F6" w:rsidRDefault="00035A5F" w:rsidP="00F97DD3">
            <w:pPr>
              <w:spacing w:before="40" w:line="240" w:lineRule="auto"/>
              <w:jc w:val="left"/>
              <w:rPr>
                <w:color w:val="000000" w:themeColor="text1"/>
              </w:rPr>
            </w:pPr>
            <w:r w:rsidRPr="00BD08F6">
              <w:rPr>
                <w:color w:val="000000" w:themeColor="text1"/>
              </w:rPr>
              <w:t>Should this be an annually created register, set on 1</w:t>
            </w:r>
            <w:r w:rsidRPr="00BD08F6">
              <w:rPr>
                <w:color w:val="000000" w:themeColor="text1"/>
                <w:vertAlign w:val="superscript"/>
              </w:rPr>
              <w:t>st</w:t>
            </w:r>
            <w:r w:rsidRPr="00BD08F6">
              <w:rPr>
                <w:color w:val="000000" w:themeColor="text1"/>
              </w:rPr>
              <w:t xml:space="preserve"> April, or one that is constantly changing based on the population?</w:t>
            </w:r>
          </w:p>
        </w:tc>
        <w:tc>
          <w:tcPr>
            <w:tcW w:w="3492" w:type="dxa"/>
          </w:tcPr>
          <w:p w14:paraId="2D20BDAC" w14:textId="77777777" w:rsidR="00035A5F" w:rsidRPr="00BD08F6" w:rsidRDefault="00035A5F" w:rsidP="00F97DD3">
            <w:pPr>
              <w:spacing w:before="40" w:line="240" w:lineRule="auto"/>
              <w:jc w:val="left"/>
              <w:rPr>
                <w:color w:val="000000" w:themeColor="text1"/>
              </w:rPr>
            </w:pPr>
          </w:p>
        </w:tc>
      </w:tr>
    </w:tbl>
    <w:p w14:paraId="43C19800" w14:textId="77777777" w:rsidR="00BD08F6" w:rsidRDefault="00BD08F6" w:rsidP="0059573D">
      <w:pPr>
        <w:rPr>
          <w:u w:val="single"/>
        </w:rPr>
      </w:pPr>
    </w:p>
    <w:p w14:paraId="715BD13B" w14:textId="77777777" w:rsidR="00F245F7" w:rsidRDefault="00F245F7">
      <w:pPr>
        <w:spacing w:after="160" w:line="259" w:lineRule="auto"/>
        <w:jc w:val="left"/>
        <w:rPr>
          <w:u w:val="single"/>
        </w:rPr>
      </w:pPr>
      <w:r>
        <w:rPr>
          <w:u w:val="single"/>
        </w:rPr>
        <w:br w:type="page"/>
      </w:r>
    </w:p>
    <w:p w14:paraId="5E2EF77B" w14:textId="1A0FF5F7" w:rsidR="00A519BA" w:rsidRPr="00B8476F" w:rsidRDefault="00A519BA" w:rsidP="0059573D">
      <w:pPr>
        <w:rPr>
          <w:u w:val="single"/>
        </w:rPr>
      </w:pPr>
      <w:r w:rsidRPr="00B8476F">
        <w:rPr>
          <w:u w:val="single"/>
        </w:rPr>
        <w:lastRenderedPageBreak/>
        <w:t>Indicator 2</w:t>
      </w:r>
      <w:r w:rsidR="0059573D" w:rsidRPr="00B8476F">
        <w:rPr>
          <w:u w:val="single"/>
        </w:rPr>
        <w:t xml:space="preserve"> Frailty register</w:t>
      </w:r>
    </w:p>
    <w:p w14:paraId="1DD3D083" w14:textId="15345D3A" w:rsidR="00316D7E" w:rsidRPr="00B8476F" w:rsidRDefault="0059573D" w:rsidP="0059573D">
      <w:r w:rsidRPr="00B8476F">
        <w:t>The practice can produce a register of people with moderate or severe frailty, defined as those patients who have been diagnosed using an appropriate tool and applying clinical judgement (in accordance with the GP core contract data collection).</w:t>
      </w:r>
    </w:p>
    <w:p w14:paraId="68344722" w14:textId="3A9FD946" w:rsidR="00A519BA" w:rsidRPr="00992412" w:rsidRDefault="00A519BA" w:rsidP="00992412">
      <w:pPr>
        <w:spacing w:after="0"/>
        <w:ind w:firstLine="720"/>
        <w:rPr>
          <w:i/>
        </w:rPr>
      </w:pPr>
      <w:r w:rsidRPr="00992412">
        <w:rPr>
          <w:i/>
        </w:rPr>
        <w:t xml:space="preserve">Acceptability </w:t>
      </w:r>
      <w:r w:rsidR="00B14D06" w:rsidRPr="00992412">
        <w:rPr>
          <w:i/>
        </w:rPr>
        <w:t>assessment</w:t>
      </w:r>
    </w:p>
    <w:p w14:paraId="35DA2D28" w14:textId="71C7CAC7" w:rsidR="00B102B1" w:rsidRPr="00B8476F" w:rsidRDefault="00B102B1" w:rsidP="00992412">
      <w:pPr>
        <w:ind w:left="720"/>
      </w:pPr>
      <w:r>
        <w:t>6</w:t>
      </w:r>
      <w:r w:rsidR="0015742A">
        <w:t>6</w:t>
      </w:r>
      <w:r>
        <w:t>% of practices support inclusion</w:t>
      </w:r>
      <w:r w:rsidR="00992412">
        <w:t>, however there were more varied comments about the process of producing the register and the inclusion of people with moderate frailty.</w:t>
      </w:r>
    </w:p>
    <w:p w14:paraId="119C7A18" w14:textId="77777777" w:rsidR="00B14D06" w:rsidRPr="00992412" w:rsidRDefault="0059573D" w:rsidP="00992412">
      <w:pPr>
        <w:spacing w:after="0"/>
        <w:rPr>
          <w:i/>
        </w:rPr>
      </w:pPr>
      <w:r w:rsidRPr="00B8476F">
        <w:tab/>
      </w:r>
      <w:r w:rsidR="00A519BA" w:rsidRPr="00992412">
        <w:rPr>
          <w:i/>
        </w:rPr>
        <w:t xml:space="preserve">Implementation </w:t>
      </w:r>
      <w:r w:rsidR="00B14D06" w:rsidRPr="00992412">
        <w:rPr>
          <w:i/>
        </w:rPr>
        <w:t xml:space="preserve">assessment </w:t>
      </w:r>
    </w:p>
    <w:p w14:paraId="44CDED73" w14:textId="62EA474D" w:rsidR="00B102B1" w:rsidRPr="00B8476F" w:rsidRDefault="00B102B1" w:rsidP="00B14D06">
      <w:r>
        <w:t xml:space="preserve">Minor problems identified during piloting, potentially resolvable through the actions in </w:t>
      </w:r>
      <w:r w:rsidR="00992412">
        <w:t>the table below.</w:t>
      </w:r>
    </w:p>
    <w:p w14:paraId="7F041B10" w14:textId="50BE5373" w:rsidR="00A519BA" w:rsidRPr="00B8476F" w:rsidRDefault="009063A1" w:rsidP="00992412">
      <w:pPr>
        <w:pStyle w:val="Heading4"/>
        <w:spacing w:before="240"/>
      </w:pPr>
      <w:r w:rsidRPr="00B8476F">
        <w:t>Issues to be resolved prior to implementation</w:t>
      </w:r>
    </w:p>
    <w:tbl>
      <w:tblPr>
        <w:tblStyle w:val="TableGrid"/>
        <w:tblW w:w="0" w:type="auto"/>
        <w:tblLook w:val="04A0" w:firstRow="1" w:lastRow="0" w:firstColumn="1" w:lastColumn="0" w:noHBand="0" w:noVBand="1"/>
      </w:tblPr>
      <w:tblGrid>
        <w:gridCol w:w="3005"/>
        <w:gridCol w:w="3005"/>
        <w:gridCol w:w="3006"/>
      </w:tblGrid>
      <w:tr w:rsidR="009063A1" w:rsidRPr="00B8476F" w14:paraId="18B4C63C" w14:textId="77777777" w:rsidTr="007102A6">
        <w:tc>
          <w:tcPr>
            <w:tcW w:w="3005" w:type="dxa"/>
          </w:tcPr>
          <w:p w14:paraId="35CE8917" w14:textId="77777777" w:rsidR="009063A1" w:rsidRPr="00B8476F" w:rsidRDefault="009063A1" w:rsidP="007102A6">
            <w:pPr>
              <w:spacing w:line="240" w:lineRule="auto"/>
              <w:rPr>
                <w:b/>
              </w:rPr>
            </w:pPr>
            <w:r w:rsidRPr="00B8476F">
              <w:rPr>
                <w:b/>
              </w:rPr>
              <w:t>Issue</w:t>
            </w:r>
          </w:p>
        </w:tc>
        <w:tc>
          <w:tcPr>
            <w:tcW w:w="3005" w:type="dxa"/>
          </w:tcPr>
          <w:p w14:paraId="4F6E1A09" w14:textId="77777777" w:rsidR="009063A1" w:rsidRPr="00B8476F" w:rsidRDefault="009063A1" w:rsidP="007102A6">
            <w:pPr>
              <w:spacing w:line="240" w:lineRule="auto"/>
              <w:rPr>
                <w:b/>
              </w:rPr>
            </w:pPr>
            <w:r w:rsidRPr="00B8476F">
              <w:rPr>
                <w:b/>
              </w:rPr>
              <w:t>Detail</w:t>
            </w:r>
          </w:p>
        </w:tc>
        <w:tc>
          <w:tcPr>
            <w:tcW w:w="3006" w:type="dxa"/>
          </w:tcPr>
          <w:p w14:paraId="4DE9AD93" w14:textId="77777777" w:rsidR="009063A1" w:rsidRPr="00B8476F" w:rsidRDefault="009063A1" w:rsidP="007102A6">
            <w:pPr>
              <w:spacing w:line="240" w:lineRule="auto"/>
              <w:rPr>
                <w:b/>
              </w:rPr>
            </w:pPr>
            <w:r w:rsidRPr="00B8476F">
              <w:rPr>
                <w:b/>
              </w:rPr>
              <w:t>Mitigating activity</w:t>
            </w:r>
          </w:p>
        </w:tc>
      </w:tr>
      <w:tr w:rsidR="005E493C" w:rsidRPr="00B8476F" w14:paraId="39404EC5" w14:textId="77777777" w:rsidTr="007102A6">
        <w:tc>
          <w:tcPr>
            <w:tcW w:w="3005" w:type="dxa"/>
          </w:tcPr>
          <w:p w14:paraId="2F955B0E" w14:textId="40D0E255" w:rsidR="005E493C" w:rsidRPr="00BD08F6" w:rsidRDefault="00655F77" w:rsidP="00655F77">
            <w:pPr>
              <w:spacing w:line="240" w:lineRule="auto"/>
              <w:jc w:val="left"/>
              <w:rPr>
                <w:color w:val="000000" w:themeColor="text1"/>
              </w:rPr>
            </w:pPr>
            <w:r w:rsidRPr="00BD08F6">
              <w:rPr>
                <w:color w:val="000000" w:themeColor="text1"/>
              </w:rPr>
              <w:t>Frailty definition (moderate and severe)</w:t>
            </w:r>
          </w:p>
        </w:tc>
        <w:tc>
          <w:tcPr>
            <w:tcW w:w="3005" w:type="dxa"/>
          </w:tcPr>
          <w:p w14:paraId="0FD3036D" w14:textId="6449C985" w:rsidR="005E493C" w:rsidRPr="00BD08F6" w:rsidRDefault="00655F77" w:rsidP="00655F77">
            <w:pPr>
              <w:spacing w:line="240" w:lineRule="auto"/>
              <w:jc w:val="left"/>
              <w:rPr>
                <w:color w:val="000000" w:themeColor="text1"/>
              </w:rPr>
            </w:pPr>
            <w:r w:rsidRPr="00BD08F6">
              <w:rPr>
                <w:color w:val="000000" w:themeColor="text1"/>
              </w:rPr>
              <w:t>Produces large patient numbers, impact on appointment and admin</w:t>
            </w:r>
            <w:r w:rsidR="00992412">
              <w:rPr>
                <w:color w:val="000000" w:themeColor="text1"/>
              </w:rPr>
              <w:t>istrative</w:t>
            </w:r>
            <w:r w:rsidRPr="00BD08F6">
              <w:rPr>
                <w:color w:val="000000" w:themeColor="text1"/>
              </w:rPr>
              <w:t xml:space="preserve"> time</w:t>
            </w:r>
            <w:r w:rsidR="00992412">
              <w:rPr>
                <w:color w:val="000000" w:themeColor="text1"/>
              </w:rPr>
              <w:t>.</w:t>
            </w:r>
          </w:p>
        </w:tc>
        <w:tc>
          <w:tcPr>
            <w:tcW w:w="3006" w:type="dxa"/>
          </w:tcPr>
          <w:p w14:paraId="1A91BA0D" w14:textId="6B7BCFA5" w:rsidR="005E493C" w:rsidRPr="00BD08F6" w:rsidRDefault="0092529E" w:rsidP="00655F77">
            <w:pPr>
              <w:spacing w:line="240" w:lineRule="auto"/>
              <w:jc w:val="left"/>
              <w:rPr>
                <w:color w:val="000000" w:themeColor="text1"/>
              </w:rPr>
            </w:pPr>
            <w:r w:rsidRPr="00BD08F6">
              <w:rPr>
                <w:color w:val="000000" w:themeColor="text1"/>
              </w:rPr>
              <w:t xml:space="preserve">Further guidance on clinical assessment, in order that </w:t>
            </w:r>
            <w:r w:rsidR="00655F77" w:rsidRPr="00BD08F6">
              <w:rPr>
                <w:color w:val="000000" w:themeColor="text1"/>
              </w:rPr>
              <w:t>the practice validate</w:t>
            </w:r>
            <w:r w:rsidR="00967B22" w:rsidRPr="00BD08F6">
              <w:rPr>
                <w:color w:val="000000" w:themeColor="text1"/>
              </w:rPr>
              <w:t>s</w:t>
            </w:r>
            <w:r w:rsidR="00655F77" w:rsidRPr="00BD08F6">
              <w:rPr>
                <w:color w:val="000000" w:themeColor="text1"/>
              </w:rPr>
              <w:t xml:space="preserve"> the register using clinical judgement to assess suitability for the register</w:t>
            </w:r>
          </w:p>
          <w:p w14:paraId="2D37302F" w14:textId="28FC209C" w:rsidR="00E40419" w:rsidRPr="00BD08F6" w:rsidRDefault="00E40419" w:rsidP="00E40419">
            <w:pPr>
              <w:spacing w:line="240" w:lineRule="auto"/>
              <w:jc w:val="left"/>
              <w:rPr>
                <w:color w:val="000000" w:themeColor="text1"/>
              </w:rPr>
            </w:pPr>
          </w:p>
        </w:tc>
      </w:tr>
      <w:tr w:rsidR="00EC231D" w:rsidRPr="00B8476F" w14:paraId="05572F8C" w14:textId="77777777" w:rsidTr="003C232A">
        <w:tc>
          <w:tcPr>
            <w:tcW w:w="3005" w:type="dxa"/>
          </w:tcPr>
          <w:p w14:paraId="5C63D05D" w14:textId="77777777" w:rsidR="00EC231D" w:rsidRPr="00BD08F6" w:rsidRDefault="00EC231D" w:rsidP="003C232A">
            <w:pPr>
              <w:spacing w:line="240" w:lineRule="auto"/>
              <w:jc w:val="left"/>
              <w:rPr>
                <w:color w:val="000000" w:themeColor="text1"/>
              </w:rPr>
            </w:pPr>
            <w:r w:rsidRPr="00BD08F6">
              <w:rPr>
                <w:color w:val="000000" w:themeColor="text1"/>
              </w:rPr>
              <w:t>Time frame for frailty register</w:t>
            </w:r>
          </w:p>
        </w:tc>
        <w:tc>
          <w:tcPr>
            <w:tcW w:w="3005" w:type="dxa"/>
          </w:tcPr>
          <w:p w14:paraId="7C3D792A" w14:textId="77777777" w:rsidR="00EC231D" w:rsidRPr="00BD08F6" w:rsidRDefault="00EC231D" w:rsidP="003C232A">
            <w:pPr>
              <w:spacing w:line="240" w:lineRule="auto"/>
              <w:jc w:val="left"/>
              <w:rPr>
                <w:color w:val="000000" w:themeColor="text1"/>
              </w:rPr>
            </w:pPr>
            <w:r w:rsidRPr="00BD08F6">
              <w:rPr>
                <w:color w:val="000000" w:themeColor="text1"/>
              </w:rPr>
              <w:t>Once on the register, could it be feasible for the person to come off it again? Is this constantly changing?</w:t>
            </w:r>
          </w:p>
        </w:tc>
        <w:tc>
          <w:tcPr>
            <w:tcW w:w="3006" w:type="dxa"/>
          </w:tcPr>
          <w:p w14:paraId="5D5E4A59" w14:textId="77777777" w:rsidR="00EC231D" w:rsidRPr="00BD08F6" w:rsidRDefault="00EC231D" w:rsidP="003C232A">
            <w:pPr>
              <w:spacing w:line="240" w:lineRule="auto"/>
              <w:jc w:val="left"/>
              <w:rPr>
                <w:color w:val="000000" w:themeColor="text1"/>
              </w:rPr>
            </w:pPr>
            <w:r w:rsidRPr="00BD08F6">
              <w:rPr>
                <w:color w:val="000000" w:themeColor="text1"/>
              </w:rPr>
              <w:t>Further guidance for clinical assessment (to determine if, in these cases, the patient was suitable for the register initially?)</w:t>
            </w:r>
          </w:p>
        </w:tc>
      </w:tr>
    </w:tbl>
    <w:p w14:paraId="02747CD7" w14:textId="77777777" w:rsidR="00A519BA" w:rsidRPr="00B8476F" w:rsidRDefault="00A519BA" w:rsidP="00A519BA"/>
    <w:p w14:paraId="68D660CB" w14:textId="77777777" w:rsidR="005E493C" w:rsidRDefault="005E493C" w:rsidP="005E493C">
      <w:pPr>
        <w:spacing w:after="160" w:line="259" w:lineRule="auto"/>
        <w:jc w:val="left"/>
        <w:rPr>
          <w:u w:val="single"/>
        </w:rPr>
      </w:pPr>
    </w:p>
    <w:p w14:paraId="1B74858E" w14:textId="77777777" w:rsidR="00DD201A" w:rsidRDefault="00DD201A">
      <w:pPr>
        <w:spacing w:after="160" w:line="259" w:lineRule="auto"/>
        <w:jc w:val="left"/>
        <w:rPr>
          <w:u w:val="single"/>
        </w:rPr>
      </w:pPr>
      <w:r>
        <w:rPr>
          <w:u w:val="single"/>
        </w:rPr>
        <w:br w:type="page"/>
      </w:r>
    </w:p>
    <w:p w14:paraId="123E4547" w14:textId="46A3F82C" w:rsidR="0059573D" w:rsidRPr="00B8476F" w:rsidRDefault="0059573D" w:rsidP="005E493C">
      <w:pPr>
        <w:spacing w:after="160" w:line="259" w:lineRule="auto"/>
        <w:jc w:val="left"/>
        <w:rPr>
          <w:u w:val="single"/>
        </w:rPr>
      </w:pPr>
      <w:r w:rsidRPr="00B8476F">
        <w:rPr>
          <w:u w:val="single"/>
        </w:rPr>
        <w:lastRenderedPageBreak/>
        <w:t>Indicator 3 Structured medication review</w:t>
      </w:r>
    </w:p>
    <w:p w14:paraId="79F45CE0" w14:textId="624FEE9C" w:rsidR="0059573D" w:rsidRPr="00B8476F" w:rsidRDefault="0059573D" w:rsidP="0059573D">
      <w:r w:rsidRPr="00B8476F">
        <w:t>The percentage of patients with moderate or severe frailty and/or multimorbidity who have received a medication review in the last 12 months which is structured, has considered the use of a recognised tool and has taken place as a shared discussion.</w:t>
      </w:r>
    </w:p>
    <w:p w14:paraId="2E9C0466" w14:textId="68FC7A0F" w:rsidR="0059573D" w:rsidRPr="00992412" w:rsidRDefault="0059573D" w:rsidP="00992412">
      <w:pPr>
        <w:spacing w:after="0"/>
        <w:ind w:firstLine="720"/>
        <w:rPr>
          <w:i/>
        </w:rPr>
      </w:pPr>
      <w:r w:rsidRPr="00992412">
        <w:rPr>
          <w:i/>
        </w:rPr>
        <w:t xml:space="preserve">Acceptability </w:t>
      </w:r>
      <w:r w:rsidR="00B14D06" w:rsidRPr="00992412">
        <w:rPr>
          <w:i/>
        </w:rPr>
        <w:t>assessment</w:t>
      </w:r>
    </w:p>
    <w:p w14:paraId="1F83F761" w14:textId="3F3658F0" w:rsidR="00A321F3" w:rsidRPr="00B8476F" w:rsidRDefault="00A321F3" w:rsidP="0059573D">
      <w:pPr>
        <w:ind w:firstLine="720"/>
      </w:pPr>
      <w:r>
        <w:t xml:space="preserve">More than </w:t>
      </w:r>
      <w:r w:rsidR="005663D9">
        <w:t>80</w:t>
      </w:r>
      <w:r>
        <w:t>% practices support inclusion</w:t>
      </w:r>
      <w:r w:rsidR="009E2712">
        <w:t>.</w:t>
      </w:r>
    </w:p>
    <w:p w14:paraId="32617CD2" w14:textId="085B3EC4" w:rsidR="0059573D" w:rsidRPr="00992412" w:rsidRDefault="0059573D" w:rsidP="00992412">
      <w:pPr>
        <w:spacing w:after="0"/>
        <w:rPr>
          <w:i/>
        </w:rPr>
      </w:pPr>
      <w:r w:rsidRPr="00B8476F">
        <w:tab/>
      </w:r>
      <w:r w:rsidRPr="00992412">
        <w:rPr>
          <w:i/>
        </w:rPr>
        <w:t xml:space="preserve">Implementation </w:t>
      </w:r>
      <w:r w:rsidR="00B14D06" w:rsidRPr="00992412">
        <w:rPr>
          <w:i/>
        </w:rPr>
        <w:t>assessment</w:t>
      </w:r>
    </w:p>
    <w:p w14:paraId="76797BCB" w14:textId="57CD8B2D" w:rsidR="00A321F3" w:rsidRPr="00B8476F" w:rsidRDefault="00CD2C07" w:rsidP="009E2712">
      <w:pPr>
        <w:ind w:left="720"/>
      </w:pPr>
      <w:r>
        <w:t>M</w:t>
      </w:r>
      <w:r w:rsidR="00CB4455">
        <w:t>inor problems</w:t>
      </w:r>
      <w:r w:rsidR="00320F5C">
        <w:t xml:space="preserve"> </w:t>
      </w:r>
      <w:r w:rsidR="00CB4455">
        <w:t>identified during piloting</w:t>
      </w:r>
      <w:r>
        <w:t xml:space="preserve"> potentially resolvable as in </w:t>
      </w:r>
      <w:r w:rsidR="009E2712">
        <w:t>the table below</w:t>
      </w:r>
      <w:r>
        <w:t>.</w:t>
      </w:r>
    </w:p>
    <w:p w14:paraId="60FE4DDE" w14:textId="23520D28" w:rsidR="0059573D" w:rsidRPr="00B8476F" w:rsidRDefault="009063A1" w:rsidP="00992412">
      <w:pPr>
        <w:pStyle w:val="Heading4"/>
        <w:spacing w:before="240"/>
      </w:pPr>
      <w:r w:rsidRPr="00B8476F">
        <w:t>Issues to be resolved prior to implementation</w:t>
      </w:r>
    </w:p>
    <w:tbl>
      <w:tblPr>
        <w:tblStyle w:val="TableGrid"/>
        <w:tblW w:w="0" w:type="auto"/>
        <w:tblLook w:val="04A0" w:firstRow="1" w:lastRow="0" w:firstColumn="1" w:lastColumn="0" w:noHBand="0" w:noVBand="1"/>
      </w:tblPr>
      <w:tblGrid>
        <w:gridCol w:w="3005"/>
        <w:gridCol w:w="3005"/>
        <w:gridCol w:w="3006"/>
      </w:tblGrid>
      <w:tr w:rsidR="009063A1" w:rsidRPr="00B8476F" w14:paraId="6876EB2C" w14:textId="77777777" w:rsidTr="007102A6">
        <w:tc>
          <w:tcPr>
            <w:tcW w:w="3005" w:type="dxa"/>
          </w:tcPr>
          <w:p w14:paraId="73C22545" w14:textId="77777777" w:rsidR="009063A1" w:rsidRPr="00B8476F" w:rsidRDefault="009063A1" w:rsidP="007102A6">
            <w:pPr>
              <w:spacing w:line="240" w:lineRule="auto"/>
              <w:rPr>
                <w:b/>
              </w:rPr>
            </w:pPr>
            <w:r w:rsidRPr="00B8476F">
              <w:rPr>
                <w:b/>
              </w:rPr>
              <w:t>Issue</w:t>
            </w:r>
          </w:p>
        </w:tc>
        <w:tc>
          <w:tcPr>
            <w:tcW w:w="3005" w:type="dxa"/>
          </w:tcPr>
          <w:p w14:paraId="7A1CB861" w14:textId="77777777" w:rsidR="009063A1" w:rsidRPr="00B8476F" w:rsidRDefault="009063A1" w:rsidP="007102A6">
            <w:pPr>
              <w:spacing w:line="240" w:lineRule="auto"/>
              <w:rPr>
                <w:b/>
              </w:rPr>
            </w:pPr>
            <w:r w:rsidRPr="00B8476F">
              <w:rPr>
                <w:b/>
              </w:rPr>
              <w:t>Detail</w:t>
            </w:r>
          </w:p>
        </w:tc>
        <w:tc>
          <w:tcPr>
            <w:tcW w:w="3006" w:type="dxa"/>
          </w:tcPr>
          <w:p w14:paraId="3ADA6C3B" w14:textId="77777777" w:rsidR="009063A1" w:rsidRPr="00B8476F" w:rsidRDefault="009063A1" w:rsidP="007102A6">
            <w:pPr>
              <w:spacing w:line="240" w:lineRule="auto"/>
              <w:rPr>
                <w:b/>
              </w:rPr>
            </w:pPr>
            <w:r w:rsidRPr="00B8476F">
              <w:rPr>
                <w:b/>
              </w:rPr>
              <w:t>Mitigating activity</w:t>
            </w:r>
          </w:p>
        </w:tc>
      </w:tr>
      <w:tr w:rsidR="009063A1" w:rsidRPr="00B8476F" w14:paraId="650BA083" w14:textId="77777777" w:rsidTr="007102A6">
        <w:tc>
          <w:tcPr>
            <w:tcW w:w="3005" w:type="dxa"/>
          </w:tcPr>
          <w:p w14:paraId="3528EBB9" w14:textId="1DD19DF2" w:rsidR="009063A1" w:rsidRPr="007139CC" w:rsidRDefault="00D82410" w:rsidP="00D82410">
            <w:pPr>
              <w:spacing w:line="240" w:lineRule="auto"/>
              <w:jc w:val="left"/>
              <w:rPr>
                <w:color w:val="000000" w:themeColor="text1"/>
              </w:rPr>
            </w:pPr>
            <w:r w:rsidRPr="007139CC">
              <w:rPr>
                <w:color w:val="000000" w:themeColor="text1"/>
              </w:rPr>
              <w:t>Reporting of ‘de-prescribing’</w:t>
            </w:r>
          </w:p>
        </w:tc>
        <w:tc>
          <w:tcPr>
            <w:tcW w:w="3005" w:type="dxa"/>
          </w:tcPr>
          <w:p w14:paraId="7DE7F1E5" w14:textId="0A9AED5C" w:rsidR="009063A1" w:rsidRPr="007139CC" w:rsidRDefault="00D82410" w:rsidP="00D82410">
            <w:pPr>
              <w:spacing w:line="240" w:lineRule="auto"/>
              <w:jc w:val="left"/>
              <w:rPr>
                <w:color w:val="000000" w:themeColor="text1"/>
              </w:rPr>
            </w:pPr>
            <w:r w:rsidRPr="007139CC">
              <w:rPr>
                <w:color w:val="000000" w:themeColor="text1"/>
              </w:rPr>
              <w:t xml:space="preserve">Reducing treatment burden is a key part of this indicator and </w:t>
            </w:r>
            <w:r w:rsidR="003C232A" w:rsidRPr="007139CC">
              <w:rPr>
                <w:color w:val="000000" w:themeColor="text1"/>
              </w:rPr>
              <w:t xml:space="preserve">practices would like </w:t>
            </w:r>
            <w:r w:rsidRPr="007139CC">
              <w:rPr>
                <w:color w:val="000000" w:themeColor="text1"/>
              </w:rPr>
              <w:t>the ability to report this in the patient record</w:t>
            </w:r>
            <w:r w:rsidR="009E2712">
              <w:rPr>
                <w:color w:val="000000" w:themeColor="text1"/>
              </w:rPr>
              <w:t>.</w:t>
            </w:r>
          </w:p>
        </w:tc>
        <w:tc>
          <w:tcPr>
            <w:tcW w:w="3006" w:type="dxa"/>
          </w:tcPr>
          <w:p w14:paraId="4637C84A" w14:textId="51B2E542" w:rsidR="009063A1" w:rsidRPr="007139CC" w:rsidRDefault="00D82410" w:rsidP="005B6BD1">
            <w:pPr>
              <w:spacing w:line="240" w:lineRule="auto"/>
              <w:jc w:val="left"/>
              <w:rPr>
                <w:color w:val="000000" w:themeColor="text1"/>
              </w:rPr>
            </w:pPr>
            <w:r w:rsidRPr="007139CC">
              <w:rPr>
                <w:color w:val="000000" w:themeColor="text1"/>
              </w:rPr>
              <w:t xml:space="preserve">Relevant </w:t>
            </w:r>
            <w:r w:rsidR="005B6BD1" w:rsidRPr="007139CC">
              <w:rPr>
                <w:color w:val="000000" w:themeColor="text1"/>
              </w:rPr>
              <w:t xml:space="preserve">clinical </w:t>
            </w:r>
            <w:r w:rsidRPr="007139CC">
              <w:rPr>
                <w:color w:val="000000" w:themeColor="text1"/>
              </w:rPr>
              <w:t>codes?</w:t>
            </w:r>
          </w:p>
        </w:tc>
      </w:tr>
      <w:tr w:rsidR="005E493C" w:rsidRPr="00B8476F" w14:paraId="21B63BBE" w14:textId="77777777" w:rsidTr="005E493C">
        <w:tc>
          <w:tcPr>
            <w:tcW w:w="3005" w:type="dxa"/>
          </w:tcPr>
          <w:p w14:paraId="6B377827" w14:textId="5711E406" w:rsidR="005E493C" w:rsidRPr="009E2712" w:rsidRDefault="00CD2C07" w:rsidP="00CD2C07">
            <w:pPr>
              <w:spacing w:line="240" w:lineRule="auto"/>
              <w:jc w:val="left"/>
            </w:pPr>
            <w:r w:rsidRPr="009E2712">
              <w:t>Whether reviews have to be f</w:t>
            </w:r>
            <w:r w:rsidR="0063384C" w:rsidRPr="009E2712">
              <w:t>ace to face?</w:t>
            </w:r>
          </w:p>
        </w:tc>
        <w:tc>
          <w:tcPr>
            <w:tcW w:w="3005" w:type="dxa"/>
          </w:tcPr>
          <w:p w14:paraId="4A095805" w14:textId="74909931" w:rsidR="005E493C" w:rsidRPr="009E2712" w:rsidRDefault="00CD2C07" w:rsidP="00D82410">
            <w:pPr>
              <w:spacing w:line="240" w:lineRule="auto"/>
              <w:jc w:val="left"/>
            </w:pPr>
            <w:r w:rsidRPr="009E2712">
              <w:t>Reported as an issue by some practices, particularly for housebound patients</w:t>
            </w:r>
            <w:r w:rsidR="009E2712">
              <w:t>.</w:t>
            </w:r>
          </w:p>
        </w:tc>
        <w:tc>
          <w:tcPr>
            <w:tcW w:w="3006" w:type="dxa"/>
          </w:tcPr>
          <w:p w14:paraId="6382885D" w14:textId="77777777" w:rsidR="005E493C" w:rsidRPr="009E2712" w:rsidRDefault="005E493C" w:rsidP="00D82410">
            <w:pPr>
              <w:spacing w:line="240" w:lineRule="auto"/>
              <w:jc w:val="left"/>
            </w:pPr>
          </w:p>
        </w:tc>
      </w:tr>
      <w:tr w:rsidR="005E493C" w:rsidRPr="00B8476F" w14:paraId="76DBC522" w14:textId="77777777" w:rsidTr="005E493C">
        <w:tc>
          <w:tcPr>
            <w:tcW w:w="3005" w:type="dxa"/>
          </w:tcPr>
          <w:p w14:paraId="671EA756" w14:textId="314374CE" w:rsidR="005E493C" w:rsidRPr="009E2712" w:rsidRDefault="00933CCE" w:rsidP="00D82410">
            <w:pPr>
              <w:spacing w:line="240" w:lineRule="auto"/>
              <w:jc w:val="left"/>
            </w:pPr>
            <w:r w:rsidRPr="009E2712">
              <w:t>Use of ‘with patient’ codes for medication reviews</w:t>
            </w:r>
          </w:p>
        </w:tc>
        <w:tc>
          <w:tcPr>
            <w:tcW w:w="3005" w:type="dxa"/>
          </w:tcPr>
          <w:p w14:paraId="1E067ABE" w14:textId="6A51E489" w:rsidR="005E493C" w:rsidRPr="009E2712" w:rsidRDefault="00933CCE" w:rsidP="00D82410">
            <w:pPr>
              <w:spacing w:line="240" w:lineRule="auto"/>
              <w:jc w:val="left"/>
            </w:pPr>
            <w:r w:rsidRPr="009E2712">
              <w:t>Some practices reverted to their usual medication review codes rather than using the ‘with patient’ codes provided in the business rules</w:t>
            </w:r>
            <w:r w:rsidR="009E2712">
              <w:t>.</w:t>
            </w:r>
          </w:p>
        </w:tc>
        <w:tc>
          <w:tcPr>
            <w:tcW w:w="3006" w:type="dxa"/>
          </w:tcPr>
          <w:p w14:paraId="799F7F18" w14:textId="62B93FCC" w:rsidR="005E493C" w:rsidRPr="009E2712" w:rsidRDefault="00933CCE" w:rsidP="00D82410">
            <w:pPr>
              <w:spacing w:line="240" w:lineRule="auto"/>
              <w:jc w:val="left"/>
            </w:pPr>
            <w:r w:rsidRPr="009E2712">
              <w:t>Incentivisation of use of the desired codes</w:t>
            </w:r>
            <w:r w:rsidR="009E2712">
              <w:t>.</w:t>
            </w:r>
          </w:p>
        </w:tc>
      </w:tr>
    </w:tbl>
    <w:p w14:paraId="0B4F1415" w14:textId="77777777" w:rsidR="009063A1" w:rsidRPr="00B8476F" w:rsidRDefault="009063A1" w:rsidP="0059573D"/>
    <w:p w14:paraId="68CEF656" w14:textId="77777777" w:rsidR="005E493C" w:rsidRDefault="005E493C">
      <w:pPr>
        <w:spacing w:after="160" w:line="259" w:lineRule="auto"/>
        <w:jc w:val="left"/>
        <w:rPr>
          <w:u w:val="single"/>
        </w:rPr>
      </w:pPr>
      <w:r>
        <w:rPr>
          <w:u w:val="single"/>
        </w:rPr>
        <w:br w:type="page"/>
      </w:r>
    </w:p>
    <w:p w14:paraId="07980C15" w14:textId="045C6D04" w:rsidR="0059573D" w:rsidRPr="00B8476F" w:rsidRDefault="0059573D" w:rsidP="009063A1">
      <w:pPr>
        <w:spacing w:after="160" w:line="259" w:lineRule="auto"/>
        <w:jc w:val="left"/>
        <w:rPr>
          <w:u w:val="single"/>
        </w:rPr>
      </w:pPr>
      <w:r w:rsidRPr="00B8476F">
        <w:rPr>
          <w:u w:val="single"/>
        </w:rPr>
        <w:lastRenderedPageBreak/>
        <w:t>Indicator 4 Falls prevention</w:t>
      </w:r>
    </w:p>
    <w:p w14:paraId="6F142FC8" w14:textId="2B72513C" w:rsidR="0059573D" w:rsidRPr="00B8476F" w:rsidRDefault="0059573D" w:rsidP="0059573D">
      <w:r w:rsidRPr="00B8476F">
        <w:t>The percentage of patients (aged 65 years and over) with moderate or severe frailty who have been asked:</w:t>
      </w:r>
    </w:p>
    <w:p w14:paraId="76DD8633" w14:textId="2765BE85" w:rsidR="0059573D" w:rsidRPr="00B8476F" w:rsidRDefault="0059573D" w:rsidP="0059573D">
      <w:pPr>
        <w:pStyle w:val="ListParagraph"/>
        <w:numPr>
          <w:ilvl w:val="0"/>
          <w:numId w:val="35"/>
        </w:numPr>
      </w:pPr>
      <w:r w:rsidRPr="00B8476F">
        <w:t>Whether they have had a fall, about the total number of falls and about the type of falls, in the preceding 12 months.</w:t>
      </w:r>
    </w:p>
    <w:p w14:paraId="1CB32AC2" w14:textId="2554C52E" w:rsidR="0059573D" w:rsidRPr="00B8476F" w:rsidRDefault="0059573D" w:rsidP="0059573D">
      <w:pPr>
        <w:pStyle w:val="ListParagraph"/>
        <w:numPr>
          <w:ilvl w:val="0"/>
          <w:numId w:val="35"/>
        </w:numPr>
      </w:pPr>
      <w:r w:rsidRPr="00B8476F">
        <w:t>And, if at risk, have been provided with advice and guidance with regard to falls prevention (in the preceding 12 months).</w:t>
      </w:r>
    </w:p>
    <w:p w14:paraId="58318D63" w14:textId="77777777" w:rsidR="009063A1" w:rsidRPr="00B8476F" w:rsidRDefault="009063A1" w:rsidP="009063A1">
      <w:pPr>
        <w:pStyle w:val="ListParagraph"/>
      </w:pPr>
    </w:p>
    <w:p w14:paraId="747A07A9" w14:textId="64B371D5" w:rsidR="0059573D" w:rsidRPr="009E2712" w:rsidRDefault="0059573D" w:rsidP="009E2712">
      <w:pPr>
        <w:spacing w:after="0"/>
        <w:ind w:firstLine="720"/>
        <w:rPr>
          <w:i/>
        </w:rPr>
      </w:pPr>
      <w:r w:rsidRPr="009E2712">
        <w:rPr>
          <w:i/>
        </w:rPr>
        <w:t xml:space="preserve">Acceptability </w:t>
      </w:r>
      <w:r w:rsidR="00B14D06" w:rsidRPr="009E2712">
        <w:rPr>
          <w:i/>
        </w:rPr>
        <w:t>assessment</w:t>
      </w:r>
    </w:p>
    <w:p w14:paraId="665A55D2" w14:textId="5BD669B0" w:rsidR="00CB4455" w:rsidRPr="00B8476F" w:rsidRDefault="00CB4455" w:rsidP="0059573D">
      <w:pPr>
        <w:ind w:firstLine="720"/>
      </w:pPr>
      <w:r>
        <w:t>More than 70% practices supported inclusion</w:t>
      </w:r>
      <w:r w:rsidR="009E2712">
        <w:t>.</w:t>
      </w:r>
    </w:p>
    <w:p w14:paraId="0884CFEA" w14:textId="7C266626" w:rsidR="0059573D" w:rsidRPr="009E2712" w:rsidRDefault="0059573D" w:rsidP="009E2712">
      <w:pPr>
        <w:spacing w:after="0"/>
        <w:rPr>
          <w:i/>
        </w:rPr>
      </w:pPr>
      <w:r w:rsidRPr="00B8476F">
        <w:tab/>
      </w:r>
      <w:r w:rsidRPr="009E2712">
        <w:rPr>
          <w:i/>
        </w:rPr>
        <w:t xml:space="preserve">Implementation </w:t>
      </w:r>
      <w:r w:rsidR="00B14D06" w:rsidRPr="009E2712">
        <w:rPr>
          <w:i/>
        </w:rPr>
        <w:t>assessment</w:t>
      </w:r>
    </w:p>
    <w:p w14:paraId="0A13277D" w14:textId="1167952D" w:rsidR="00CB4455" w:rsidRPr="00B8476F" w:rsidRDefault="00AB58B6" w:rsidP="00AB58B6">
      <w:pPr>
        <w:ind w:left="720"/>
      </w:pPr>
      <w:r>
        <w:t>M</w:t>
      </w:r>
      <w:r w:rsidR="00CF7A56">
        <w:t>inor</w:t>
      </w:r>
      <w:r>
        <w:t xml:space="preserve"> problems identified through piloting, possibly resolvable through commissioning activity as identified in </w:t>
      </w:r>
      <w:r w:rsidR="009E2712">
        <w:t>the table below</w:t>
      </w:r>
      <w:r w:rsidR="007A0B50">
        <w:t>.</w:t>
      </w:r>
    </w:p>
    <w:p w14:paraId="6A28FEAD" w14:textId="4C6A7FD8" w:rsidR="0059573D" w:rsidRPr="00B8476F" w:rsidRDefault="009063A1" w:rsidP="009E2712">
      <w:pPr>
        <w:pStyle w:val="Heading4"/>
        <w:spacing w:before="240"/>
      </w:pPr>
      <w:r w:rsidRPr="00B8476F">
        <w:t>Issues to be resolved prior to implementation</w:t>
      </w:r>
    </w:p>
    <w:tbl>
      <w:tblPr>
        <w:tblStyle w:val="TableGrid"/>
        <w:tblW w:w="0" w:type="auto"/>
        <w:tblLook w:val="04A0" w:firstRow="1" w:lastRow="0" w:firstColumn="1" w:lastColumn="0" w:noHBand="0" w:noVBand="1"/>
      </w:tblPr>
      <w:tblGrid>
        <w:gridCol w:w="3005"/>
        <w:gridCol w:w="3005"/>
        <w:gridCol w:w="3006"/>
      </w:tblGrid>
      <w:tr w:rsidR="009063A1" w:rsidRPr="00B8476F" w14:paraId="3A965260" w14:textId="77777777" w:rsidTr="007102A6">
        <w:tc>
          <w:tcPr>
            <w:tcW w:w="3005" w:type="dxa"/>
          </w:tcPr>
          <w:p w14:paraId="4233544D" w14:textId="77777777" w:rsidR="009063A1" w:rsidRPr="00B8476F" w:rsidRDefault="009063A1" w:rsidP="007102A6">
            <w:pPr>
              <w:spacing w:line="240" w:lineRule="auto"/>
              <w:rPr>
                <w:b/>
              </w:rPr>
            </w:pPr>
            <w:r w:rsidRPr="00B8476F">
              <w:rPr>
                <w:b/>
              </w:rPr>
              <w:t>Issue</w:t>
            </w:r>
          </w:p>
        </w:tc>
        <w:tc>
          <w:tcPr>
            <w:tcW w:w="3005" w:type="dxa"/>
          </w:tcPr>
          <w:p w14:paraId="4635EB1C" w14:textId="77777777" w:rsidR="009063A1" w:rsidRPr="00B8476F" w:rsidRDefault="009063A1" w:rsidP="007102A6">
            <w:pPr>
              <w:spacing w:line="240" w:lineRule="auto"/>
              <w:rPr>
                <w:b/>
              </w:rPr>
            </w:pPr>
            <w:r w:rsidRPr="00B8476F">
              <w:rPr>
                <w:b/>
              </w:rPr>
              <w:t>Detail</w:t>
            </w:r>
          </w:p>
        </w:tc>
        <w:tc>
          <w:tcPr>
            <w:tcW w:w="3006" w:type="dxa"/>
          </w:tcPr>
          <w:p w14:paraId="1D89628C" w14:textId="77777777" w:rsidR="009063A1" w:rsidRPr="00B8476F" w:rsidRDefault="009063A1" w:rsidP="007102A6">
            <w:pPr>
              <w:spacing w:line="240" w:lineRule="auto"/>
              <w:rPr>
                <w:b/>
              </w:rPr>
            </w:pPr>
            <w:r w:rsidRPr="00B8476F">
              <w:rPr>
                <w:b/>
              </w:rPr>
              <w:t>Mitigating activity</w:t>
            </w:r>
          </w:p>
        </w:tc>
      </w:tr>
      <w:tr w:rsidR="009063A1" w:rsidRPr="00B8476F" w14:paraId="2A10B25B" w14:textId="77777777" w:rsidTr="007102A6">
        <w:tc>
          <w:tcPr>
            <w:tcW w:w="3005" w:type="dxa"/>
          </w:tcPr>
          <w:p w14:paraId="33E30B96" w14:textId="2B8CCBB8" w:rsidR="009063A1" w:rsidRPr="007139CC" w:rsidRDefault="00E40419" w:rsidP="00517205">
            <w:pPr>
              <w:spacing w:line="240" w:lineRule="auto"/>
              <w:jc w:val="left"/>
              <w:rPr>
                <w:color w:val="000000" w:themeColor="text1"/>
              </w:rPr>
            </w:pPr>
            <w:r w:rsidRPr="007139CC">
              <w:rPr>
                <w:color w:val="000000" w:themeColor="text1"/>
              </w:rPr>
              <w:t xml:space="preserve">Capacity </w:t>
            </w:r>
            <w:r w:rsidR="00517205" w:rsidRPr="007139CC">
              <w:rPr>
                <w:color w:val="000000" w:themeColor="text1"/>
              </w:rPr>
              <w:t>of</w:t>
            </w:r>
            <w:r w:rsidRPr="007139CC">
              <w:rPr>
                <w:color w:val="000000" w:themeColor="text1"/>
              </w:rPr>
              <w:t xml:space="preserve"> supporting services</w:t>
            </w:r>
          </w:p>
        </w:tc>
        <w:tc>
          <w:tcPr>
            <w:tcW w:w="3005" w:type="dxa"/>
          </w:tcPr>
          <w:p w14:paraId="284043BF" w14:textId="51D0F077" w:rsidR="009063A1" w:rsidRPr="007139CC" w:rsidRDefault="00E40419" w:rsidP="00E40419">
            <w:pPr>
              <w:spacing w:line="240" w:lineRule="auto"/>
              <w:jc w:val="left"/>
              <w:rPr>
                <w:color w:val="000000" w:themeColor="text1"/>
              </w:rPr>
            </w:pPr>
            <w:r w:rsidRPr="007139CC">
              <w:rPr>
                <w:color w:val="000000" w:themeColor="text1"/>
              </w:rPr>
              <w:t>Falls clinics</w:t>
            </w:r>
            <w:r w:rsidR="009E2712">
              <w:rPr>
                <w:color w:val="000000" w:themeColor="text1"/>
              </w:rPr>
              <w:t xml:space="preserve"> capacity</w:t>
            </w:r>
            <w:r w:rsidRPr="007139CC">
              <w:rPr>
                <w:color w:val="000000" w:themeColor="text1"/>
              </w:rPr>
              <w:t>, onward referrals, waiting</w:t>
            </w:r>
            <w:r w:rsidR="009E2712">
              <w:rPr>
                <w:color w:val="000000" w:themeColor="text1"/>
              </w:rPr>
              <w:t xml:space="preserve"> times.</w:t>
            </w:r>
          </w:p>
        </w:tc>
        <w:tc>
          <w:tcPr>
            <w:tcW w:w="3006" w:type="dxa"/>
          </w:tcPr>
          <w:p w14:paraId="0A5BB88D" w14:textId="57A5F28D" w:rsidR="009063A1" w:rsidRPr="007139CC" w:rsidRDefault="00E40419" w:rsidP="00E40419">
            <w:pPr>
              <w:spacing w:line="240" w:lineRule="auto"/>
              <w:jc w:val="left"/>
              <w:rPr>
                <w:color w:val="000000" w:themeColor="text1"/>
              </w:rPr>
            </w:pPr>
            <w:r w:rsidRPr="007139CC">
              <w:rPr>
                <w:color w:val="000000" w:themeColor="text1"/>
              </w:rPr>
              <w:t>Commissioners</w:t>
            </w:r>
            <w:r w:rsidR="009F01B0" w:rsidRPr="007139CC">
              <w:rPr>
                <w:color w:val="000000" w:themeColor="text1"/>
              </w:rPr>
              <w:t xml:space="preserve"> to resolve</w:t>
            </w:r>
            <w:r w:rsidR="009E2712">
              <w:rPr>
                <w:color w:val="000000" w:themeColor="text1"/>
              </w:rPr>
              <w:t>.</w:t>
            </w:r>
            <w:r w:rsidR="009F01B0" w:rsidRPr="007139CC">
              <w:rPr>
                <w:color w:val="000000" w:themeColor="text1"/>
              </w:rPr>
              <w:t xml:space="preserve"> </w:t>
            </w:r>
          </w:p>
          <w:p w14:paraId="4473D073" w14:textId="010EF95A" w:rsidR="00E40419" w:rsidRPr="007139CC" w:rsidRDefault="00E40419" w:rsidP="00E40419">
            <w:pPr>
              <w:spacing w:line="240" w:lineRule="auto"/>
              <w:jc w:val="left"/>
              <w:rPr>
                <w:color w:val="000000" w:themeColor="text1"/>
              </w:rPr>
            </w:pPr>
            <w:r w:rsidRPr="007139CC">
              <w:rPr>
                <w:color w:val="000000" w:themeColor="text1"/>
              </w:rPr>
              <w:t>Options to prioritise</w:t>
            </w:r>
            <w:r w:rsidR="00FF49CF" w:rsidRPr="007139CC">
              <w:rPr>
                <w:color w:val="000000" w:themeColor="text1"/>
              </w:rPr>
              <w:t xml:space="preserve"> those at the severe end of the moderately frail group</w:t>
            </w:r>
            <w:r w:rsidR="007A0B50" w:rsidRPr="007139CC">
              <w:rPr>
                <w:color w:val="000000" w:themeColor="text1"/>
              </w:rPr>
              <w:t xml:space="preserve"> for referral?</w:t>
            </w:r>
          </w:p>
        </w:tc>
      </w:tr>
    </w:tbl>
    <w:p w14:paraId="3DE01789" w14:textId="77777777" w:rsidR="00A519BA" w:rsidRPr="00B8476F" w:rsidRDefault="00A519BA">
      <w:pPr>
        <w:spacing w:after="160" w:line="259" w:lineRule="auto"/>
        <w:jc w:val="left"/>
        <w:rPr>
          <w:rFonts w:eastAsiaTheme="majorEastAsia" w:cstheme="majorBidi"/>
          <w:b/>
          <w:sz w:val="28"/>
          <w:szCs w:val="26"/>
        </w:rPr>
      </w:pPr>
      <w:r w:rsidRPr="00B8476F">
        <w:br w:type="page"/>
      </w:r>
    </w:p>
    <w:p w14:paraId="3642BC5C" w14:textId="7C478444" w:rsidR="00A519BA" w:rsidRPr="00B8476F" w:rsidRDefault="00FA454F" w:rsidP="00FA454F">
      <w:pPr>
        <w:pStyle w:val="Heading1"/>
      </w:pPr>
      <w:r w:rsidRPr="00B8476F">
        <w:lastRenderedPageBreak/>
        <w:t>Background</w:t>
      </w:r>
    </w:p>
    <w:p w14:paraId="183A07FF" w14:textId="494B3948" w:rsidR="00FA454F" w:rsidRPr="00B8476F" w:rsidRDefault="00FA454F" w:rsidP="00FA454F">
      <w:r w:rsidRPr="00B8476F">
        <w:t xml:space="preserve">As part of the NICE indicator development process, all clinical and health improvement indicators </w:t>
      </w:r>
      <w:r w:rsidR="00442C52" w:rsidRPr="00B8476F">
        <w:t xml:space="preserve">for general practice </w:t>
      </w:r>
      <w:r w:rsidRPr="00B8476F">
        <w:t>proposed for inclusion in the NICE Indicator Menu are piloted, using an agreed methodology, in a representative sample of GP practices across England.</w:t>
      </w:r>
    </w:p>
    <w:p w14:paraId="22D57663" w14:textId="77777777" w:rsidR="00FA454F" w:rsidRDefault="00FA454F" w:rsidP="00FA454F">
      <w:r w:rsidRPr="00B8476F">
        <w:t>The aim of piloting is to test whether indicators work in practice, have any unintended consequences and are fit for purpose.</w:t>
      </w:r>
    </w:p>
    <w:p w14:paraId="02CC0360" w14:textId="67AA2D80" w:rsidR="00693F49" w:rsidRPr="00B8476F" w:rsidRDefault="00693F49" w:rsidP="00693F49">
      <w:r>
        <w:t>A list of piloted indicators for this topic is shown in Appendix B.</w:t>
      </w:r>
    </w:p>
    <w:p w14:paraId="4D0E9748" w14:textId="77777777" w:rsidR="00FA454F" w:rsidRPr="00B8476F" w:rsidRDefault="00FA454F" w:rsidP="00FA454F">
      <w:pPr>
        <w:pStyle w:val="Heading2"/>
      </w:pPr>
      <w:r w:rsidRPr="00B8476F">
        <w:t>Practice recruitment</w:t>
      </w:r>
    </w:p>
    <w:p w14:paraId="43CE94E0" w14:textId="7CE12EEE" w:rsidR="00FA454F" w:rsidRPr="00B8476F" w:rsidRDefault="00FA454F" w:rsidP="00163DD1">
      <w:pPr>
        <w:spacing w:after="0"/>
      </w:pPr>
      <w:r w:rsidRPr="00B8476F">
        <w:t>Number of practices recruited</w:t>
      </w:r>
      <w:r w:rsidRPr="00B8476F">
        <w:tab/>
      </w:r>
      <w:r w:rsidRPr="00B8476F">
        <w:tab/>
      </w:r>
      <w:r w:rsidRPr="00B8476F">
        <w:tab/>
      </w:r>
      <w:r w:rsidR="009063A1" w:rsidRPr="00B8476F">
        <w:tab/>
      </w:r>
      <w:r w:rsidRPr="00B8476F">
        <w:t>30</w:t>
      </w:r>
      <w:r w:rsidRPr="00B8476F">
        <w:tab/>
      </w:r>
    </w:p>
    <w:p w14:paraId="6732288B" w14:textId="65D25A4B" w:rsidR="00FA454F" w:rsidRPr="00B8476F" w:rsidRDefault="00FA454F" w:rsidP="00163DD1">
      <w:pPr>
        <w:spacing w:after="0"/>
      </w:pPr>
      <w:r w:rsidRPr="00B8476F">
        <w:t>Numbe</w:t>
      </w:r>
      <w:r w:rsidR="00783B71" w:rsidRPr="00B8476F">
        <w:t>r of practices withdrawing</w:t>
      </w:r>
      <w:r w:rsidR="00783B71" w:rsidRPr="00B8476F">
        <w:tab/>
      </w:r>
      <w:r w:rsidR="00783B71" w:rsidRPr="00B8476F">
        <w:tab/>
      </w:r>
      <w:r w:rsidR="00783B71" w:rsidRPr="00B8476F">
        <w:tab/>
      </w:r>
      <w:r w:rsidR="009063A1" w:rsidRPr="00B8476F">
        <w:tab/>
      </w:r>
      <w:r w:rsidR="00783B71" w:rsidRPr="00B8476F">
        <w:t xml:space="preserve">  4</w:t>
      </w:r>
      <w:r w:rsidRPr="00B8476F">
        <w:t xml:space="preserve"> </w:t>
      </w:r>
    </w:p>
    <w:p w14:paraId="5FA569C9" w14:textId="51DED692" w:rsidR="00FA454F" w:rsidRPr="00B8476F" w:rsidRDefault="00FA454F" w:rsidP="00163DD1">
      <w:pPr>
        <w:spacing w:after="0"/>
        <w:rPr>
          <w:b/>
        </w:rPr>
      </w:pPr>
      <w:r w:rsidRPr="00B8476F">
        <w:rPr>
          <w:b/>
        </w:rPr>
        <w:t>Final numb</w:t>
      </w:r>
      <w:r w:rsidR="00783B71" w:rsidRPr="00B8476F">
        <w:rPr>
          <w:b/>
        </w:rPr>
        <w:t>er of practices in the pilot</w:t>
      </w:r>
      <w:r w:rsidR="00783B71" w:rsidRPr="00B8476F">
        <w:rPr>
          <w:b/>
        </w:rPr>
        <w:tab/>
      </w:r>
      <w:r w:rsidR="00783B71" w:rsidRPr="00B8476F">
        <w:rPr>
          <w:b/>
        </w:rPr>
        <w:tab/>
      </w:r>
      <w:r w:rsidR="009063A1" w:rsidRPr="00B8476F">
        <w:rPr>
          <w:b/>
        </w:rPr>
        <w:tab/>
      </w:r>
      <w:r w:rsidR="00783B71" w:rsidRPr="00B8476F">
        <w:rPr>
          <w:b/>
        </w:rPr>
        <w:t>26</w:t>
      </w:r>
    </w:p>
    <w:p w14:paraId="04FCF201" w14:textId="76DCBD9E" w:rsidR="006B167D" w:rsidRPr="00B8476F" w:rsidRDefault="006B167D" w:rsidP="00163DD1">
      <w:pPr>
        <w:spacing w:after="0"/>
        <w:rPr>
          <w:b/>
        </w:rPr>
      </w:pPr>
      <w:r w:rsidRPr="00B8476F">
        <w:rPr>
          <w:b/>
        </w:rPr>
        <w:t>Number of practices participating in feedback</w:t>
      </w:r>
      <w:r w:rsidRPr="00B8476F">
        <w:rPr>
          <w:b/>
        </w:rPr>
        <w:tab/>
        <w:t>25</w:t>
      </w:r>
    </w:p>
    <w:p w14:paraId="65E152B3" w14:textId="77777777" w:rsidR="00442C52" w:rsidRPr="00B8476F" w:rsidRDefault="00442C52" w:rsidP="00163DD1">
      <w:pPr>
        <w:spacing w:after="0"/>
        <w:rPr>
          <w:b/>
        </w:rPr>
      </w:pPr>
    </w:p>
    <w:p w14:paraId="649DF145" w14:textId="6032FD3C" w:rsidR="00442C52" w:rsidRPr="00B8476F" w:rsidRDefault="0014107E" w:rsidP="00163DD1">
      <w:pPr>
        <w:spacing w:after="0"/>
      </w:pPr>
      <w:r w:rsidRPr="00B8476F">
        <w:t>F</w:t>
      </w:r>
      <w:r w:rsidR="00442C52" w:rsidRPr="00B8476F">
        <w:t>eedback was obtained via interview</w:t>
      </w:r>
      <w:r w:rsidR="00F77A38">
        <w:t>s and</w:t>
      </w:r>
      <w:r w:rsidR="00442C52" w:rsidRPr="00B8476F">
        <w:t xml:space="preserve"> survey</w:t>
      </w:r>
      <w:r w:rsidR="006B167D" w:rsidRPr="00B8476F">
        <w:t>, and it was possible for individuals to participate in both the survey and the interviews.</w:t>
      </w:r>
    </w:p>
    <w:p w14:paraId="78C1BC50" w14:textId="00E4FBE4" w:rsidR="0014107E" w:rsidRPr="00B8476F" w:rsidRDefault="0014107E" w:rsidP="006B167D">
      <w:pPr>
        <w:pStyle w:val="Heading4"/>
      </w:pPr>
      <w:r w:rsidRPr="00B8476F">
        <w:t>Feedback participation by role and method</w:t>
      </w:r>
    </w:p>
    <w:tbl>
      <w:tblPr>
        <w:tblStyle w:val="TableGrid"/>
        <w:tblW w:w="0" w:type="auto"/>
        <w:tblLook w:val="04A0" w:firstRow="1" w:lastRow="0" w:firstColumn="1" w:lastColumn="0" w:noHBand="0" w:noVBand="1"/>
      </w:tblPr>
      <w:tblGrid>
        <w:gridCol w:w="3114"/>
        <w:gridCol w:w="1843"/>
        <w:gridCol w:w="1842"/>
        <w:gridCol w:w="2217"/>
      </w:tblGrid>
      <w:tr w:rsidR="006B167D" w:rsidRPr="00B8476F" w14:paraId="1C25ABF1" w14:textId="7A02893B" w:rsidTr="005E493C">
        <w:tc>
          <w:tcPr>
            <w:tcW w:w="3114" w:type="dxa"/>
          </w:tcPr>
          <w:p w14:paraId="3BE93A51" w14:textId="2331A893" w:rsidR="006B167D" w:rsidRPr="00B8476F" w:rsidRDefault="006B167D" w:rsidP="00A23218">
            <w:pPr>
              <w:spacing w:before="60" w:after="60" w:line="240" w:lineRule="auto"/>
              <w:jc w:val="left"/>
              <w:rPr>
                <w:b/>
              </w:rPr>
            </w:pPr>
            <w:r w:rsidRPr="00B8476F">
              <w:rPr>
                <w:b/>
              </w:rPr>
              <w:t>Staff role</w:t>
            </w:r>
          </w:p>
        </w:tc>
        <w:tc>
          <w:tcPr>
            <w:tcW w:w="1843" w:type="dxa"/>
          </w:tcPr>
          <w:p w14:paraId="7D6EFE67" w14:textId="47B057F0" w:rsidR="006B167D" w:rsidRPr="00B8476F" w:rsidRDefault="006B167D" w:rsidP="0014107E">
            <w:pPr>
              <w:spacing w:before="60" w:after="60" w:line="240" w:lineRule="auto"/>
              <w:jc w:val="center"/>
              <w:rPr>
                <w:b/>
              </w:rPr>
            </w:pPr>
            <w:r w:rsidRPr="00B8476F">
              <w:rPr>
                <w:b/>
              </w:rPr>
              <w:t>Survey</w:t>
            </w:r>
          </w:p>
        </w:tc>
        <w:tc>
          <w:tcPr>
            <w:tcW w:w="1842" w:type="dxa"/>
          </w:tcPr>
          <w:p w14:paraId="2622B27A" w14:textId="532A6E6C" w:rsidR="006B167D" w:rsidRPr="00B8476F" w:rsidRDefault="006B167D" w:rsidP="0014107E">
            <w:pPr>
              <w:spacing w:before="60" w:after="60" w:line="240" w:lineRule="auto"/>
              <w:jc w:val="center"/>
              <w:rPr>
                <w:b/>
              </w:rPr>
            </w:pPr>
            <w:r w:rsidRPr="00B8476F">
              <w:rPr>
                <w:b/>
              </w:rPr>
              <w:t>Interview</w:t>
            </w:r>
          </w:p>
        </w:tc>
        <w:tc>
          <w:tcPr>
            <w:tcW w:w="2217" w:type="dxa"/>
          </w:tcPr>
          <w:p w14:paraId="4E579D3C" w14:textId="3FA235BA" w:rsidR="006B167D" w:rsidRPr="00B8476F" w:rsidRDefault="006B167D" w:rsidP="006B167D">
            <w:pPr>
              <w:spacing w:before="60" w:after="60" w:line="240" w:lineRule="auto"/>
              <w:jc w:val="center"/>
              <w:rPr>
                <w:b/>
              </w:rPr>
            </w:pPr>
            <w:r w:rsidRPr="00B8476F">
              <w:rPr>
                <w:b/>
              </w:rPr>
              <w:t>Interviews for Multimorbidity &amp; frailty topic</w:t>
            </w:r>
          </w:p>
        </w:tc>
      </w:tr>
      <w:tr w:rsidR="006B167D" w:rsidRPr="00B8476F" w14:paraId="1FCD9A60" w14:textId="1237E9EE" w:rsidTr="005E493C">
        <w:tc>
          <w:tcPr>
            <w:tcW w:w="3114" w:type="dxa"/>
          </w:tcPr>
          <w:p w14:paraId="6C420A2D" w14:textId="0CF07115" w:rsidR="006B167D" w:rsidRPr="00B8476F" w:rsidRDefault="006B167D" w:rsidP="00A23218">
            <w:pPr>
              <w:spacing w:before="60" w:after="60" w:line="240" w:lineRule="auto"/>
              <w:jc w:val="left"/>
            </w:pPr>
            <w:r w:rsidRPr="00B8476F">
              <w:t xml:space="preserve">GP </w:t>
            </w:r>
          </w:p>
        </w:tc>
        <w:tc>
          <w:tcPr>
            <w:tcW w:w="1843" w:type="dxa"/>
          </w:tcPr>
          <w:p w14:paraId="3C8D4115" w14:textId="1DDB1614" w:rsidR="006B167D" w:rsidRPr="00B8476F" w:rsidRDefault="006B167D" w:rsidP="00A23218">
            <w:pPr>
              <w:spacing w:before="60" w:after="60" w:line="240" w:lineRule="auto"/>
              <w:jc w:val="center"/>
            </w:pPr>
            <w:r w:rsidRPr="00B8476F">
              <w:t>14</w:t>
            </w:r>
          </w:p>
        </w:tc>
        <w:tc>
          <w:tcPr>
            <w:tcW w:w="1842" w:type="dxa"/>
          </w:tcPr>
          <w:p w14:paraId="1206894A" w14:textId="3A3C4578" w:rsidR="006B167D" w:rsidRPr="00B8476F" w:rsidRDefault="006B167D" w:rsidP="00A23218">
            <w:pPr>
              <w:spacing w:before="60" w:after="60" w:line="240" w:lineRule="auto"/>
              <w:jc w:val="center"/>
            </w:pPr>
            <w:r w:rsidRPr="00B8476F">
              <w:t>18</w:t>
            </w:r>
          </w:p>
        </w:tc>
        <w:tc>
          <w:tcPr>
            <w:tcW w:w="2217" w:type="dxa"/>
          </w:tcPr>
          <w:p w14:paraId="06160EDB" w14:textId="6E16C533" w:rsidR="006B167D" w:rsidRPr="00B8476F" w:rsidRDefault="006B167D" w:rsidP="00A23218">
            <w:pPr>
              <w:spacing w:before="60" w:after="60" w:line="240" w:lineRule="auto"/>
              <w:jc w:val="center"/>
            </w:pPr>
            <w:r w:rsidRPr="00B8476F">
              <w:t>12</w:t>
            </w:r>
          </w:p>
        </w:tc>
      </w:tr>
      <w:tr w:rsidR="006B167D" w:rsidRPr="00B8476F" w14:paraId="53B0080C" w14:textId="17448E4D" w:rsidTr="005E493C">
        <w:tc>
          <w:tcPr>
            <w:tcW w:w="3114" w:type="dxa"/>
          </w:tcPr>
          <w:p w14:paraId="2DA81B16" w14:textId="7F2EFD07" w:rsidR="006B167D" w:rsidRPr="00B8476F" w:rsidRDefault="006B167D" w:rsidP="00A23218">
            <w:pPr>
              <w:spacing w:before="60" w:after="60" w:line="240" w:lineRule="auto"/>
              <w:jc w:val="left"/>
            </w:pPr>
            <w:r w:rsidRPr="00B8476F">
              <w:t>Practice Manager</w:t>
            </w:r>
          </w:p>
        </w:tc>
        <w:tc>
          <w:tcPr>
            <w:tcW w:w="1843" w:type="dxa"/>
          </w:tcPr>
          <w:p w14:paraId="2523D60A" w14:textId="78EAC5DE" w:rsidR="006B167D" w:rsidRPr="00B8476F" w:rsidRDefault="006B167D" w:rsidP="00A23218">
            <w:pPr>
              <w:spacing w:before="60" w:after="60" w:line="240" w:lineRule="auto"/>
              <w:jc w:val="center"/>
            </w:pPr>
            <w:r w:rsidRPr="00B8476F">
              <w:t>13</w:t>
            </w:r>
          </w:p>
        </w:tc>
        <w:tc>
          <w:tcPr>
            <w:tcW w:w="1842" w:type="dxa"/>
          </w:tcPr>
          <w:p w14:paraId="6AD6F634" w14:textId="3541DA4C" w:rsidR="006B167D" w:rsidRPr="00B8476F" w:rsidRDefault="006B167D" w:rsidP="00A23218">
            <w:pPr>
              <w:spacing w:before="60" w:after="60" w:line="240" w:lineRule="auto"/>
              <w:jc w:val="center"/>
            </w:pPr>
            <w:r w:rsidRPr="00B8476F">
              <w:t>15</w:t>
            </w:r>
          </w:p>
        </w:tc>
        <w:tc>
          <w:tcPr>
            <w:tcW w:w="2217" w:type="dxa"/>
          </w:tcPr>
          <w:p w14:paraId="3C13CFED" w14:textId="7A98288A" w:rsidR="006B167D" w:rsidRPr="00B8476F" w:rsidRDefault="006B167D" w:rsidP="00A23218">
            <w:pPr>
              <w:spacing w:before="60" w:after="60" w:line="240" w:lineRule="auto"/>
              <w:jc w:val="center"/>
            </w:pPr>
            <w:r w:rsidRPr="00B8476F">
              <w:t>10</w:t>
            </w:r>
          </w:p>
        </w:tc>
      </w:tr>
      <w:tr w:rsidR="006B167D" w:rsidRPr="00B8476F" w14:paraId="26EF2FF1" w14:textId="5F1C9A87" w:rsidTr="009C3182">
        <w:tc>
          <w:tcPr>
            <w:tcW w:w="3114" w:type="dxa"/>
          </w:tcPr>
          <w:p w14:paraId="4FBCE9B1" w14:textId="48AE03E8" w:rsidR="006B167D" w:rsidRPr="00B8476F" w:rsidRDefault="006B167D" w:rsidP="00A23218">
            <w:pPr>
              <w:spacing w:before="60" w:after="60" w:line="240" w:lineRule="auto"/>
              <w:jc w:val="left"/>
            </w:pPr>
            <w:r w:rsidRPr="00B114B3">
              <w:t>Other senior management</w:t>
            </w:r>
          </w:p>
        </w:tc>
        <w:tc>
          <w:tcPr>
            <w:tcW w:w="1843" w:type="dxa"/>
          </w:tcPr>
          <w:p w14:paraId="1D5E0AC3" w14:textId="61B5D639" w:rsidR="006B167D" w:rsidRPr="00B8476F" w:rsidRDefault="006B167D" w:rsidP="00A23218">
            <w:pPr>
              <w:spacing w:before="60" w:after="60" w:line="240" w:lineRule="auto"/>
              <w:jc w:val="center"/>
            </w:pPr>
            <w:r w:rsidRPr="00B8476F">
              <w:t>3</w:t>
            </w:r>
          </w:p>
        </w:tc>
        <w:tc>
          <w:tcPr>
            <w:tcW w:w="1842" w:type="dxa"/>
            <w:tcBorders>
              <w:bottom w:val="single" w:sz="4" w:space="0" w:color="FFFFFF" w:themeColor="background1"/>
            </w:tcBorders>
          </w:tcPr>
          <w:p w14:paraId="3BCF9E0D" w14:textId="4B2AE0B3" w:rsidR="006B167D" w:rsidRPr="00B8476F" w:rsidRDefault="006B167D" w:rsidP="00A23218">
            <w:pPr>
              <w:spacing w:before="240" w:after="60" w:line="240" w:lineRule="auto"/>
              <w:jc w:val="center"/>
            </w:pPr>
            <w:r w:rsidRPr="00B8476F">
              <w:t>4</w:t>
            </w:r>
          </w:p>
        </w:tc>
        <w:tc>
          <w:tcPr>
            <w:tcW w:w="2217" w:type="dxa"/>
            <w:tcBorders>
              <w:bottom w:val="single" w:sz="4" w:space="0" w:color="FFFFFF" w:themeColor="background1"/>
            </w:tcBorders>
          </w:tcPr>
          <w:p w14:paraId="6761084E" w14:textId="5A356B57" w:rsidR="006B167D" w:rsidRPr="00B8476F" w:rsidRDefault="006B167D" w:rsidP="00A23218">
            <w:pPr>
              <w:spacing w:before="240" w:after="60" w:line="240" w:lineRule="auto"/>
              <w:jc w:val="center"/>
            </w:pPr>
            <w:r w:rsidRPr="00B8476F">
              <w:t>4</w:t>
            </w:r>
          </w:p>
        </w:tc>
      </w:tr>
      <w:tr w:rsidR="006B167D" w:rsidRPr="00B8476F" w14:paraId="58F7146B" w14:textId="10887B52" w:rsidTr="009C3182">
        <w:tc>
          <w:tcPr>
            <w:tcW w:w="3114" w:type="dxa"/>
          </w:tcPr>
          <w:p w14:paraId="410EF483" w14:textId="5251960B" w:rsidR="006B167D" w:rsidRPr="00B8476F" w:rsidRDefault="005E493C" w:rsidP="005E493C">
            <w:pPr>
              <w:spacing w:before="60" w:after="60" w:line="240" w:lineRule="auto"/>
              <w:jc w:val="left"/>
            </w:pPr>
            <w:r>
              <w:t>A</w:t>
            </w:r>
            <w:r w:rsidR="006B167D" w:rsidRPr="00B8476F">
              <w:t>dmin staff (including finance, IT, performance)</w:t>
            </w:r>
          </w:p>
        </w:tc>
        <w:tc>
          <w:tcPr>
            <w:tcW w:w="1843" w:type="dxa"/>
          </w:tcPr>
          <w:p w14:paraId="75C715C3" w14:textId="17E83D39" w:rsidR="006B167D" w:rsidRPr="00B8476F" w:rsidRDefault="006B167D" w:rsidP="00A23218">
            <w:pPr>
              <w:spacing w:before="60" w:after="60" w:line="240" w:lineRule="auto"/>
              <w:jc w:val="center"/>
            </w:pPr>
            <w:r w:rsidRPr="00B8476F">
              <w:t>2</w:t>
            </w:r>
          </w:p>
        </w:tc>
        <w:tc>
          <w:tcPr>
            <w:tcW w:w="1842" w:type="dxa"/>
            <w:tcBorders>
              <w:top w:val="single" w:sz="4" w:space="0" w:color="FFFFFF" w:themeColor="background1"/>
            </w:tcBorders>
          </w:tcPr>
          <w:p w14:paraId="719AC150" w14:textId="77777777" w:rsidR="006B167D" w:rsidRPr="00B8476F" w:rsidRDefault="006B167D" w:rsidP="00A23218">
            <w:pPr>
              <w:spacing w:before="60" w:after="60" w:line="240" w:lineRule="auto"/>
              <w:jc w:val="center"/>
            </w:pPr>
          </w:p>
        </w:tc>
        <w:tc>
          <w:tcPr>
            <w:tcW w:w="2217" w:type="dxa"/>
            <w:tcBorders>
              <w:top w:val="single" w:sz="4" w:space="0" w:color="FFFFFF" w:themeColor="background1"/>
            </w:tcBorders>
          </w:tcPr>
          <w:p w14:paraId="5EEFAA3D" w14:textId="77777777" w:rsidR="006B167D" w:rsidRPr="00B8476F" w:rsidRDefault="006B167D" w:rsidP="00A23218">
            <w:pPr>
              <w:spacing w:before="60" w:after="60" w:line="240" w:lineRule="auto"/>
              <w:jc w:val="center"/>
            </w:pPr>
          </w:p>
        </w:tc>
      </w:tr>
      <w:tr w:rsidR="006B167D" w:rsidRPr="00B8476F" w14:paraId="2EB21059" w14:textId="2B62E1DE" w:rsidTr="005E493C">
        <w:tc>
          <w:tcPr>
            <w:tcW w:w="3114" w:type="dxa"/>
          </w:tcPr>
          <w:p w14:paraId="08970249" w14:textId="22D776FE" w:rsidR="006B167D" w:rsidRPr="00B8476F" w:rsidRDefault="006B167D" w:rsidP="0014107E">
            <w:pPr>
              <w:spacing w:before="60" w:after="60" w:line="240" w:lineRule="auto"/>
              <w:jc w:val="left"/>
              <w:rPr>
                <w:b/>
              </w:rPr>
            </w:pPr>
            <w:r w:rsidRPr="00B8476F">
              <w:rPr>
                <w:b/>
              </w:rPr>
              <w:t>Number of participants</w:t>
            </w:r>
          </w:p>
        </w:tc>
        <w:tc>
          <w:tcPr>
            <w:tcW w:w="1843" w:type="dxa"/>
          </w:tcPr>
          <w:p w14:paraId="4B2D4227" w14:textId="77777777" w:rsidR="006B167D" w:rsidRPr="00B8476F" w:rsidRDefault="006B167D" w:rsidP="001F5F2F">
            <w:pPr>
              <w:spacing w:before="60" w:after="60" w:line="240" w:lineRule="auto"/>
              <w:jc w:val="center"/>
              <w:rPr>
                <w:b/>
              </w:rPr>
            </w:pPr>
            <w:r w:rsidRPr="00B8476F">
              <w:rPr>
                <w:b/>
              </w:rPr>
              <w:t>32</w:t>
            </w:r>
          </w:p>
          <w:p w14:paraId="243F4CB0" w14:textId="038F02C3" w:rsidR="001F5F2F" w:rsidRPr="005E493C" w:rsidRDefault="005E493C" w:rsidP="005E493C">
            <w:pPr>
              <w:spacing w:before="60" w:after="60" w:line="240" w:lineRule="auto"/>
              <w:rPr>
                <w:b/>
              </w:rPr>
            </w:pPr>
            <w:r>
              <w:rPr>
                <w:b/>
              </w:rPr>
              <w:t>(25</w:t>
            </w:r>
            <w:r w:rsidRPr="005E493C">
              <w:rPr>
                <w:b/>
              </w:rPr>
              <w:t xml:space="preserve"> </w:t>
            </w:r>
            <w:r w:rsidR="001F5F2F" w:rsidRPr="005E493C">
              <w:rPr>
                <w:b/>
              </w:rPr>
              <w:t>practices)</w:t>
            </w:r>
          </w:p>
        </w:tc>
        <w:tc>
          <w:tcPr>
            <w:tcW w:w="1842" w:type="dxa"/>
          </w:tcPr>
          <w:p w14:paraId="3D6CC7A2" w14:textId="77777777" w:rsidR="006B167D" w:rsidRPr="00B8476F" w:rsidRDefault="006B167D" w:rsidP="00A23218">
            <w:pPr>
              <w:spacing w:before="60" w:after="60" w:line="240" w:lineRule="auto"/>
              <w:jc w:val="center"/>
              <w:rPr>
                <w:b/>
              </w:rPr>
            </w:pPr>
            <w:r w:rsidRPr="00B8476F">
              <w:rPr>
                <w:b/>
              </w:rPr>
              <w:t>37</w:t>
            </w:r>
          </w:p>
          <w:p w14:paraId="2B6DCF2F" w14:textId="15728344" w:rsidR="001F5F2F" w:rsidRPr="005E493C" w:rsidRDefault="0036141B" w:rsidP="005E493C">
            <w:pPr>
              <w:pStyle w:val="ListParagraph"/>
              <w:spacing w:before="60" w:after="60" w:line="240" w:lineRule="auto"/>
              <w:ind w:left="0"/>
              <w:rPr>
                <w:b/>
              </w:rPr>
            </w:pPr>
            <w:r>
              <w:rPr>
                <w:b/>
              </w:rPr>
              <w:t>(25</w:t>
            </w:r>
            <w:r w:rsidR="005E493C">
              <w:rPr>
                <w:b/>
              </w:rPr>
              <w:t xml:space="preserve"> practices)</w:t>
            </w:r>
          </w:p>
        </w:tc>
        <w:tc>
          <w:tcPr>
            <w:tcW w:w="2217" w:type="dxa"/>
          </w:tcPr>
          <w:p w14:paraId="40FBB8F2" w14:textId="77777777" w:rsidR="005E493C" w:rsidRDefault="006B167D" w:rsidP="005E493C">
            <w:pPr>
              <w:spacing w:before="60" w:after="60" w:line="240" w:lineRule="auto"/>
              <w:jc w:val="center"/>
              <w:rPr>
                <w:b/>
              </w:rPr>
            </w:pPr>
            <w:r w:rsidRPr="00B8476F">
              <w:rPr>
                <w:b/>
              </w:rPr>
              <w:t xml:space="preserve">26 </w:t>
            </w:r>
          </w:p>
          <w:p w14:paraId="0B7FD738" w14:textId="13F2FE13" w:rsidR="006B167D" w:rsidRPr="005E493C" w:rsidRDefault="005E493C" w:rsidP="005E493C">
            <w:pPr>
              <w:spacing w:before="60" w:after="60" w:line="240" w:lineRule="auto"/>
              <w:jc w:val="center"/>
              <w:rPr>
                <w:b/>
              </w:rPr>
            </w:pPr>
            <w:r>
              <w:rPr>
                <w:b/>
              </w:rPr>
              <w:t xml:space="preserve">(18 </w:t>
            </w:r>
            <w:r w:rsidRPr="005E493C">
              <w:rPr>
                <w:b/>
              </w:rPr>
              <w:t>p</w:t>
            </w:r>
            <w:r w:rsidR="006B167D" w:rsidRPr="005E493C">
              <w:rPr>
                <w:b/>
              </w:rPr>
              <w:t>ractices)</w:t>
            </w:r>
          </w:p>
        </w:tc>
      </w:tr>
    </w:tbl>
    <w:p w14:paraId="3B711C67" w14:textId="0EEBDBF9" w:rsidR="00FA454F" w:rsidRPr="00B8476F" w:rsidRDefault="00FA454F">
      <w:pPr>
        <w:spacing w:after="160" w:line="259" w:lineRule="auto"/>
        <w:jc w:val="left"/>
      </w:pPr>
      <w:r w:rsidRPr="00B8476F">
        <w:br w:type="page"/>
      </w:r>
    </w:p>
    <w:p w14:paraId="1C23E650" w14:textId="74A3C6FD" w:rsidR="005E493C" w:rsidRDefault="002C6D43" w:rsidP="005E493C">
      <w:pPr>
        <w:pStyle w:val="Heading1"/>
      </w:pPr>
      <w:r w:rsidRPr="00B8476F">
        <w:lastRenderedPageBreak/>
        <w:t xml:space="preserve">Assessment of feasibility, reliability and </w:t>
      </w:r>
      <w:r w:rsidR="00451580" w:rsidRPr="00B8476F">
        <w:t xml:space="preserve">acceptability </w:t>
      </w:r>
    </w:p>
    <w:p w14:paraId="5526C915" w14:textId="28475EE9" w:rsidR="008642CD" w:rsidRPr="005E493C" w:rsidRDefault="009063A1" w:rsidP="005E493C">
      <w:pPr>
        <w:pStyle w:val="Heading2"/>
        <w:rPr>
          <w:i/>
          <w:color w:val="7030A0"/>
        </w:rPr>
      </w:pPr>
      <w:r w:rsidRPr="00B8476F">
        <w:t>Feasibility and</w:t>
      </w:r>
      <w:r w:rsidR="008642CD" w:rsidRPr="00B8476F">
        <w:t xml:space="preserve"> reliability </w:t>
      </w:r>
    </w:p>
    <w:p w14:paraId="54F20A09" w14:textId="0D0D98EE" w:rsidR="008C5BC6" w:rsidRPr="00B8476F" w:rsidRDefault="0059573D" w:rsidP="00D4520D">
      <w:r w:rsidRPr="00B8476F">
        <w:t>It was possible to develop B</w:t>
      </w:r>
      <w:r w:rsidR="008C5BC6" w:rsidRPr="00B8476F">
        <w:t xml:space="preserve">usiness </w:t>
      </w:r>
      <w:r w:rsidRPr="00B8476F">
        <w:t>R</w:t>
      </w:r>
      <w:r w:rsidR="001E4773" w:rsidRPr="00B8476F">
        <w:t>ules to support this</w:t>
      </w:r>
      <w:r w:rsidRPr="00B8476F">
        <w:t xml:space="preserve"> topic and all indicators within it</w:t>
      </w:r>
      <w:r w:rsidR="00646822">
        <w:t>;</w:t>
      </w:r>
      <w:r w:rsidRPr="00B8476F">
        <w:t xml:space="preserve"> </w:t>
      </w:r>
      <w:r w:rsidR="009063A1" w:rsidRPr="00B8476F">
        <w:t>however</w:t>
      </w:r>
      <w:r w:rsidR="00C162AE">
        <w:t>,</w:t>
      </w:r>
      <w:r w:rsidR="009063A1" w:rsidRPr="00B8476F">
        <w:t xml:space="preserve"> due to the</w:t>
      </w:r>
      <w:r w:rsidR="001E4773" w:rsidRPr="00B8476F">
        <w:t xml:space="preserve"> relative complexity </w:t>
      </w:r>
      <w:r w:rsidR="009063A1" w:rsidRPr="00B8476F">
        <w:t xml:space="preserve">of the multimorbidity register definition </w:t>
      </w:r>
      <w:r w:rsidR="001E4773" w:rsidRPr="00B8476F">
        <w:t xml:space="preserve">and the </w:t>
      </w:r>
      <w:r w:rsidR="009063A1" w:rsidRPr="00B8476F">
        <w:t>variable</w:t>
      </w:r>
      <w:r w:rsidR="001E4773" w:rsidRPr="00B8476F">
        <w:t xml:space="preserve"> level of coding engagement </w:t>
      </w:r>
      <w:r w:rsidR="009063A1" w:rsidRPr="00B8476F">
        <w:t>by some practices during the pilot, this</w:t>
      </w:r>
      <w:r w:rsidR="001E4773" w:rsidRPr="00B8476F">
        <w:t xml:space="preserve"> </w:t>
      </w:r>
      <w:r w:rsidR="0014107E" w:rsidRPr="00B8476F">
        <w:t xml:space="preserve">indicator </w:t>
      </w:r>
      <w:r w:rsidR="009063A1" w:rsidRPr="00B8476F">
        <w:t xml:space="preserve">may </w:t>
      </w:r>
      <w:r w:rsidR="001E4773" w:rsidRPr="00B8476F">
        <w:t>require further testing prior to widespread implementation.</w:t>
      </w:r>
    </w:p>
    <w:p w14:paraId="402198F9" w14:textId="5C05DB24" w:rsidR="00985F0C" w:rsidRPr="00B8476F" w:rsidRDefault="004E0E76" w:rsidP="005E493C">
      <w:pPr>
        <w:pStyle w:val="Heading2"/>
      </w:pPr>
      <w:r w:rsidRPr="00B8476F">
        <w:t>Acceptability</w:t>
      </w:r>
      <w:r w:rsidR="00914610">
        <w:t xml:space="preserve"> (topic)</w:t>
      </w:r>
    </w:p>
    <w:p w14:paraId="04D8F2B0" w14:textId="26785A43" w:rsidR="00AC50C6" w:rsidRDefault="00AC50C6" w:rsidP="00D4520D">
      <w:r w:rsidRPr="00AC50C6">
        <w:t xml:space="preserve">Practices were strongly supportive of the importance of this topic and the potential for incentivised indicators in this area, but views were more mixed on </w:t>
      </w:r>
      <w:r w:rsidR="00693F49">
        <w:t>the suitability of the topic</w:t>
      </w:r>
      <w:r w:rsidRPr="00AC50C6">
        <w:t xml:space="preserve"> for non-incentivised improvement indicators. Other issues identified included the potential overlap with existing schemes, although respondents still saw benefit from the piloted indicators even where schemes were in place.</w:t>
      </w:r>
    </w:p>
    <w:p w14:paraId="71779792" w14:textId="4DFA66D7" w:rsidR="007D3E8D" w:rsidRPr="00B8476F" w:rsidRDefault="00003717" w:rsidP="00D4520D">
      <w:r w:rsidRPr="00B8476F">
        <w:t xml:space="preserve">The majority </w:t>
      </w:r>
      <w:r w:rsidR="001F5F2F" w:rsidRPr="00B8476F">
        <w:t>(91%, 29/32) of survey respondents</w:t>
      </w:r>
      <w:r w:rsidRPr="00B8476F">
        <w:t xml:space="preserve"> considered the topic of multimorbidity and frailty to represent what is important to patients, families and ca</w:t>
      </w:r>
      <w:r w:rsidR="00513F41" w:rsidRPr="00B8476F">
        <w:t>rers</w:t>
      </w:r>
      <w:r w:rsidRPr="00B8476F">
        <w:t>.</w:t>
      </w:r>
      <w:r w:rsidR="000B32E8" w:rsidRPr="00B8476F">
        <w:t xml:space="preserve"> There was </w:t>
      </w:r>
      <w:r w:rsidR="001A5443">
        <w:t xml:space="preserve">also </w:t>
      </w:r>
      <w:r w:rsidR="000B32E8" w:rsidRPr="00B8476F">
        <w:t>general agreement that the topic represents what it is i</w:t>
      </w:r>
      <w:r w:rsidR="00C5154F" w:rsidRPr="00B8476F">
        <w:t>mportant to clinical staff (88</w:t>
      </w:r>
      <w:r w:rsidR="000B32E8" w:rsidRPr="00B8476F">
        <w:t xml:space="preserve">%, 28), with 2 </w:t>
      </w:r>
      <w:r w:rsidR="00513F41" w:rsidRPr="00B8476F">
        <w:t>people</w:t>
      </w:r>
      <w:r w:rsidR="000B32E8" w:rsidRPr="00B8476F">
        <w:t xml:space="preserve"> disagreeing and the remaining 2 being unsure. </w:t>
      </w:r>
    </w:p>
    <w:p w14:paraId="3C224662" w14:textId="35F0482C" w:rsidR="00003717" w:rsidRPr="00CD646D" w:rsidRDefault="00003717" w:rsidP="00D4520D">
      <w:pPr>
        <w:rPr>
          <w:i/>
          <w:sz w:val="22"/>
        </w:rPr>
      </w:pPr>
      <w:r w:rsidRPr="00CD646D">
        <w:rPr>
          <w:i/>
          <w:sz w:val="22"/>
        </w:rPr>
        <w:t>“Multimorbidity and frailty puts a very big burden on families”. (GP</w:t>
      </w:r>
      <w:r w:rsidR="00513F41" w:rsidRPr="00CD646D">
        <w:rPr>
          <w:i/>
          <w:sz w:val="22"/>
        </w:rPr>
        <w:t>, survey</w:t>
      </w:r>
      <w:r w:rsidRPr="00CD646D">
        <w:rPr>
          <w:i/>
          <w:sz w:val="22"/>
        </w:rPr>
        <w:t>)</w:t>
      </w:r>
    </w:p>
    <w:p w14:paraId="6D87AE0B" w14:textId="064967D9" w:rsidR="00AD0A5C" w:rsidRPr="00CD646D" w:rsidRDefault="00AD0A5C" w:rsidP="00AD0A5C">
      <w:pPr>
        <w:rPr>
          <w:i/>
          <w:sz w:val="22"/>
        </w:rPr>
      </w:pPr>
      <w:r w:rsidRPr="00CD646D">
        <w:rPr>
          <w:i/>
          <w:sz w:val="22"/>
        </w:rPr>
        <w:t>“It’s about mainta</w:t>
      </w:r>
      <w:r w:rsidR="00DA04C6" w:rsidRPr="00CD646D">
        <w:rPr>
          <w:i/>
          <w:sz w:val="22"/>
        </w:rPr>
        <w:t>ining people independently”. (Practice manager</w:t>
      </w:r>
      <w:r w:rsidRPr="00CD646D">
        <w:rPr>
          <w:i/>
          <w:sz w:val="22"/>
        </w:rPr>
        <w:t>, interview)</w:t>
      </w:r>
    </w:p>
    <w:p w14:paraId="491772A2" w14:textId="77777777" w:rsidR="00C5154F" w:rsidRPr="00CD646D" w:rsidRDefault="00C5154F" w:rsidP="00C5154F">
      <w:pPr>
        <w:rPr>
          <w:i/>
          <w:sz w:val="22"/>
        </w:rPr>
      </w:pPr>
      <w:r w:rsidRPr="00CD646D">
        <w:rPr>
          <w:i/>
          <w:sz w:val="22"/>
        </w:rPr>
        <w:t>(These) “are important issues that need to be taken into consideration when treating patients holistically”. (Practice senior manager, survey).</w:t>
      </w:r>
    </w:p>
    <w:p w14:paraId="458F192D" w14:textId="5DAC1CE6" w:rsidR="000B32E8" w:rsidRPr="00CD646D" w:rsidRDefault="000B32E8" w:rsidP="00D4520D">
      <w:pPr>
        <w:rPr>
          <w:i/>
          <w:sz w:val="22"/>
        </w:rPr>
      </w:pPr>
      <w:r w:rsidRPr="00CD646D">
        <w:rPr>
          <w:i/>
          <w:sz w:val="22"/>
        </w:rPr>
        <w:t xml:space="preserve">“Frailty isn't a single thing. It is made up of multiple problems being managed incrementally and together. Sometimes juggling medications symptoms and blood results. Managing 'multi morbidity and frailty' is made out to be a single task and </w:t>
      </w:r>
      <w:r w:rsidR="00C55418" w:rsidRPr="00CD646D">
        <w:rPr>
          <w:i/>
          <w:sz w:val="22"/>
        </w:rPr>
        <w:t xml:space="preserve">(as if it) </w:t>
      </w:r>
      <w:r w:rsidRPr="00CD646D">
        <w:rPr>
          <w:i/>
          <w:sz w:val="22"/>
        </w:rPr>
        <w:t>can be managed in one consultation.</w:t>
      </w:r>
      <w:r w:rsidR="000A67C7" w:rsidRPr="00CD646D">
        <w:rPr>
          <w:i/>
          <w:sz w:val="22"/>
        </w:rPr>
        <w:t>” (GP</w:t>
      </w:r>
      <w:r w:rsidR="000010A5" w:rsidRPr="00CD646D">
        <w:rPr>
          <w:i/>
          <w:sz w:val="22"/>
        </w:rPr>
        <w:t>, survey</w:t>
      </w:r>
      <w:r w:rsidR="000A67C7" w:rsidRPr="00CD646D">
        <w:rPr>
          <w:i/>
          <w:sz w:val="22"/>
        </w:rPr>
        <w:t>).</w:t>
      </w:r>
    </w:p>
    <w:p w14:paraId="2EDD9094" w14:textId="77777777" w:rsidR="00693F49" w:rsidRPr="00CD646D" w:rsidRDefault="00693F49" w:rsidP="00D4520D">
      <w:pPr>
        <w:rPr>
          <w:i/>
          <w:sz w:val="22"/>
        </w:rPr>
      </w:pPr>
    </w:p>
    <w:p w14:paraId="26A0E984" w14:textId="1DAB5E5F" w:rsidR="00903D7E" w:rsidRPr="00313EE2" w:rsidRDefault="00903D7E" w:rsidP="00903D7E">
      <w:r>
        <w:t xml:space="preserve">Respondents varied in their </w:t>
      </w:r>
      <w:r w:rsidRPr="00B3440E">
        <w:rPr>
          <w:b/>
        </w:rPr>
        <w:t>overall views of the multimorbidity and frailty topic indicators</w:t>
      </w:r>
      <w:r>
        <w:t xml:space="preserve"> (as opposed to the topic as a whole) as measures of the quality of care for patients, with 3 practices </w:t>
      </w:r>
      <w:r w:rsidR="00643C7A">
        <w:t xml:space="preserve">(3/18, 17%) </w:t>
      </w:r>
      <w:r>
        <w:t xml:space="preserve">stating that the current indicators were satisfactory and more could be overwhelming, and another adding that they were useful prompts. </w:t>
      </w:r>
    </w:p>
    <w:p w14:paraId="0AF27381" w14:textId="525025CC" w:rsidR="00A60F95" w:rsidRPr="00B8476F" w:rsidRDefault="00A60F95" w:rsidP="000A67C7">
      <w:r w:rsidRPr="00B8476F">
        <w:lastRenderedPageBreak/>
        <w:t xml:space="preserve">Many </w:t>
      </w:r>
      <w:r w:rsidR="000010A5" w:rsidRPr="00B8476F">
        <w:t xml:space="preserve">participants </w:t>
      </w:r>
      <w:r w:rsidRPr="00B8476F">
        <w:t>were supportive of the indicators bein</w:t>
      </w:r>
      <w:r w:rsidR="00C55418" w:rsidRPr="00B8476F">
        <w:t xml:space="preserve">g </w:t>
      </w:r>
      <w:r w:rsidR="00C55418" w:rsidRPr="00B3440E">
        <w:rPr>
          <w:b/>
        </w:rPr>
        <w:t>financially incentivised</w:t>
      </w:r>
      <w:r w:rsidR="00C55418" w:rsidRPr="00B8476F">
        <w:t xml:space="preserve"> (88</w:t>
      </w:r>
      <w:r w:rsidRPr="00B8476F">
        <w:t>%, 28</w:t>
      </w:r>
      <w:r w:rsidR="00643C7A">
        <w:t>/32</w:t>
      </w:r>
      <w:r w:rsidRPr="00B8476F">
        <w:t xml:space="preserve">), but there were mixed opinions in terms of the indicators being suitable for quality improvement (without incentivisation). Only </w:t>
      </w:r>
      <w:r w:rsidR="00C55418" w:rsidRPr="00B8476F">
        <w:t>41</w:t>
      </w:r>
      <w:r w:rsidR="000010A5" w:rsidRPr="00B8476F">
        <w:t>% (13 participants)</w:t>
      </w:r>
      <w:r w:rsidRPr="00B8476F">
        <w:t xml:space="preserve"> were in favour of this, with </w:t>
      </w:r>
      <w:r w:rsidR="00FF5FD8" w:rsidRPr="00B8476F">
        <w:t xml:space="preserve">10 </w:t>
      </w:r>
      <w:r w:rsidR="000010A5" w:rsidRPr="00B8476F">
        <w:t>people</w:t>
      </w:r>
      <w:r w:rsidR="00FF5FD8" w:rsidRPr="00B8476F">
        <w:t xml:space="preserve"> not supportive and the remainder being unsure.</w:t>
      </w:r>
    </w:p>
    <w:p w14:paraId="460FBF32" w14:textId="4EC23C6A" w:rsidR="002D700A" w:rsidRDefault="00FF5FD8" w:rsidP="000A67C7">
      <w:r w:rsidRPr="00B8476F">
        <w:t>Almost 60%</w:t>
      </w:r>
      <w:r w:rsidR="00C5154F" w:rsidRPr="00B8476F">
        <w:t xml:space="preserve"> (19/32) of survey respondents</w:t>
      </w:r>
      <w:r w:rsidRPr="00B8476F">
        <w:t xml:space="preserve"> stated that there were </w:t>
      </w:r>
      <w:r w:rsidRPr="00B3440E">
        <w:rPr>
          <w:b/>
        </w:rPr>
        <w:t>existing schemes</w:t>
      </w:r>
      <w:r w:rsidRPr="00B8476F">
        <w:t xml:space="preserve"> in their local area </w:t>
      </w:r>
      <w:r w:rsidR="00294645" w:rsidRPr="00B8476F">
        <w:t>with the</w:t>
      </w:r>
      <w:r w:rsidRPr="00B8476F">
        <w:t xml:space="preserve"> majority </w:t>
      </w:r>
      <w:r w:rsidR="009A2C12">
        <w:t>of those who had</w:t>
      </w:r>
      <w:r w:rsidR="00C55418" w:rsidRPr="00B8476F">
        <w:t xml:space="preserve"> a scheme </w:t>
      </w:r>
      <w:r w:rsidRPr="00B8476F">
        <w:t>(16/</w:t>
      </w:r>
      <w:r w:rsidR="00294645" w:rsidRPr="00B8476F">
        <w:t xml:space="preserve">19) declaring </w:t>
      </w:r>
      <w:r w:rsidR="00DA04C6">
        <w:t xml:space="preserve">that the pilot had had </w:t>
      </w:r>
      <w:r w:rsidRPr="00B8476F">
        <w:t>a positive impact and the remaining respondents stating no</w:t>
      </w:r>
      <w:r w:rsidR="000010A5" w:rsidRPr="00B8476F">
        <w:t xml:space="preserve"> negative</w:t>
      </w:r>
      <w:r w:rsidRPr="00B8476F">
        <w:t xml:space="preserve"> impact.</w:t>
      </w:r>
      <w:r w:rsidR="008476EE" w:rsidRPr="00B8476F">
        <w:t xml:space="preserve"> </w:t>
      </w:r>
      <w:r w:rsidR="000010A5" w:rsidRPr="00B8476F">
        <w:t>Existing schemes were i</w:t>
      </w:r>
      <w:r w:rsidR="00294645" w:rsidRPr="00B8476F">
        <w:t>n place at both CCG and practice level</w:t>
      </w:r>
      <w:r w:rsidR="00C55418" w:rsidRPr="00B8476F">
        <w:t>, mostly in relation to frailty;</w:t>
      </w:r>
      <w:r w:rsidR="00294645" w:rsidRPr="00B8476F">
        <w:t xml:space="preserve"> however </w:t>
      </w:r>
      <w:r w:rsidR="00C5154F" w:rsidRPr="00B8476F">
        <w:t xml:space="preserve">in the interviews </w:t>
      </w:r>
      <w:r w:rsidR="006C270F" w:rsidRPr="00B8476F">
        <w:t>5</w:t>
      </w:r>
      <w:r w:rsidR="00294645" w:rsidRPr="00B8476F">
        <w:t xml:space="preserve"> practices specifically described work relating to multimorbidity</w:t>
      </w:r>
      <w:r w:rsidR="00AD0A5C" w:rsidRPr="00B8476F">
        <w:t xml:space="preserve">. This included </w:t>
      </w:r>
      <w:r w:rsidR="002D700A" w:rsidRPr="00B8476F">
        <w:t>a focus on patients on multiple medications,</w:t>
      </w:r>
      <w:r w:rsidR="00BC45C3" w:rsidRPr="00B8476F">
        <w:t xml:space="preserve"> and</w:t>
      </w:r>
      <w:r w:rsidR="002D700A" w:rsidRPr="00B8476F">
        <w:t xml:space="preserve"> </w:t>
      </w:r>
      <w:r w:rsidR="00AD0A5C" w:rsidRPr="00B8476F">
        <w:t>‘one stop shops’ or single annual reviews for people with multiple chronic conditions</w:t>
      </w:r>
      <w:r w:rsidR="002D700A" w:rsidRPr="00B8476F">
        <w:t xml:space="preserve">, with 89% of practices interviewed referring to </w:t>
      </w:r>
      <w:r w:rsidR="00BC45C3" w:rsidRPr="00B8476F">
        <w:t>optimis</w:t>
      </w:r>
      <w:r w:rsidR="002D700A" w:rsidRPr="00B8476F">
        <w:t xml:space="preserve">ation of care using fewer, longer appointments. </w:t>
      </w:r>
    </w:p>
    <w:p w14:paraId="6CB058BA" w14:textId="77777777" w:rsidR="008F6BDF" w:rsidRPr="00CD646D" w:rsidRDefault="008F6BDF" w:rsidP="008F6BDF">
      <w:pPr>
        <w:rPr>
          <w:i/>
          <w:sz w:val="22"/>
        </w:rPr>
      </w:pPr>
      <w:r w:rsidRPr="00CD646D">
        <w:rPr>
          <w:i/>
          <w:sz w:val="22"/>
        </w:rPr>
        <w:t>“We are already using YOC (Year of Care) system for multimorbidity and this has helped the patient look at their condition collectively rather than separately”. (Practice senior manager, survey)</w:t>
      </w:r>
    </w:p>
    <w:p w14:paraId="1245D8DC" w14:textId="6526ACC4" w:rsidR="00A60F95" w:rsidRPr="00B8476F" w:rsidRDefault="00AD0A5C" w:rsidP="000A67C7">
      <w:r w:rsidRPr="00B8476F">
        <w:t xml:space="preserve">One practice </w:t>
      </w:r>
      <w:r w:rsidR="006C270F" w:rsidRPr="00B8476F">
        <w:t>referred to</w:t>
      </w:r>
      <w:r w:rsidRPr="00B8476F">
        <w:t xml:space="preserve"> </w:t>
      </w:r>
      <w:r w:rsidR="006C270F" w:rsidRPr="00B8476F">
        <w:t xml:space="preserve">their ‘coordinated care list’, containing patients with frailty, dementia, those with palliative care needs and patients of any age classed as vulnerable (clinically or socially), and another practice described </w:t>
      </w:r>
      <w:r w:rsidR="000010A5" w:rsidRPr="00B8476F">
        <w:t xml:space="preserve">a long-established </w:t>
      </w:r>
      <w:r w:rsidR="000010A5" w:rsidRPr="00793CD7">
        <w:t>programme</w:t>
      </w:r>
      <w:r w:rsidR="001E4FB1" w:rsidRPr="00793CD7">
        <w:t xml:space="preserve"> in the</w:t>
      </w:r>
      <w:r w:rsidR="006C270F" w:rsidRPr="00793CD7">
        <w:t>ir</w:t>
      </w:r>
      <w:r w:rsidR="001E4FB1" w:rsidRPr="00793CD7">
        <w:t xml:space="preserve"> local area</w:t>
      </w:r>
      <w:r w:rsidR="00294645" w:rsidRPr="00793CD7">
        <w:t>.</w:t>
      </w:r>
      <w:r w:rsidR="005635F3" w:rsidRPr="00B8476F">
        <w:t xml:space="preserve"> </w:t>
      </w:r>
    </w:p>
    <w:p w14:paraId="753BF8A7" w14:textId="3099C9F5" w:rsidR="000010A5" w:rsidRPr="00CD646D" w:rsidRDefault="000010A5" w:rsidP="00793CD7">
      <w:pPr>
        <w:spacing w:after="100" w:afterAutospacing="1"/>
        <w:rPr>
          <w:i/>
          <w:sz w:val="22"/>
        </w:rPr>
      </w:pPr>
      <w:r w:rsidRPr="00CD646D">
        <w:rPr>
          <w:i/>
          <w:sz w:val="22"/>
        </w:rPr>
        <w:t>“</w:t>
      </w:r>
      <w:r w:rsidR="004D7A19" w:rsidRPr="00CD646D">
        <w:rPr>
          <w:rFonts w:cs="Arial"/>
          <w:i/>
          <w:sz w:val="22"/>
        </w:rPr>
        <w:t xml:space="preserve">…. we've got a CCG wide scheme </w:t>
      </w:r>
      <w:r w:rsidR="00693F49" w:rsidRPr="00CD646D">
        <w:rPr>
          <w:rFonts w:cs="Arial"/>
          <w:i/>
          <w:sz w:val="22"/>
        </w:rPr>
        <w:t>…</w:t>
      </w:r>
      <w:r w:rsidR="004D7A19" w:rsidRPr="00CD646D">
        <w:rPr>
          <w:rFonts w:cs="Arial"/>
          <w:i/>
          <w:sz w:val="22"/>
        </w:rPr>
        <w:t xml:space="preserve"> It's called PACT, so it's ‘Planning All Care Together’. That is all about morbidity and frailty. We identify patients using a risk tool, which is what was used nationally with the unplanned admissions before. But PACT has been going in Wandsworth for</w:t>
      </w:r>
      <w:r w:rsidR="00693F49" w:rsidRPr="00CD646D">
        <w:rPr>
          <w:rFonts w:cs="Arial"/>
          <w:i/>
          <w:sz w:val="22"/>
        </w:rPr>
        <w:t xml:space="preserve"> I think about eight years now….</w:t>
      </w:r>
      <w:r w:rsidR="004D7A19" w:rsidRPr="00CD646D">
        <w:rPr>
          <w:rFonts w:cs="Arial"/>
          <w:i/>
          <w:sz w:val="22"/>
        </w:rPr>
        <w:t xml:space="preserve"> so it's preceded the national changes. So we identify patients with multimorbidities but also other indications which include hospital admissions or the number of medications </w:t>
      </w:r>
      <w:r w:rsidR="00693F49" w:rsidRPr="00CD646D">
        <w:rPr>
          <w:rFonts w:cs="Arial"/>
          <w:i/>
          <w:sz w:val="22"/>
        </w:rPr>
        <w:t>…</w:t>
      </w:r>
      <w:r w:rsidR="004D7A19" w:rsidRPr="00CD646D">
        <w:rPr>
          <w:rFonts w:cs="Arial"/>
          <w:i/>
          <w:sz w:val="22"/>
        </w:rPr>
        <w:t xml:space="preserve">. That data is from hospitals as well as primary care. So that identifies a group of patients and we have, in Wandsworth, an allocation per practice as to how many should be on that list. We review that list every year. We included, in that list, anyone that was in the severe frailty area….So we do a lot of what was in your quality indicator but with different codes and with a template that Wandsworth </w:t>
      </w:r>
      <w:r w:rsidR="00C31D43" w:rsidRPr="00CD646D">
        <w:rPr>
          <w:rFonts w:cs="Arial"/>
          <w:i/>
          <w:sz w:val="22"/>
        </w:rPr>
        <w:t xml:space="preserve">(CCG) </w:t>
      </w:r>
      <w:r w:rsidR="004D7A19" w:rsidRPr="00CD646D">
        <w:rPr>
          <w:rFonts w:cs="Arial"/>
          <w:i/>
          <w:sz w:val="22"/>
        </w:rPr>
        <w:t>created which we can’t edit either</w:t>
      </w:r>
      <w:r w:rsidRPr="00CD646D">
        <w:rPr>
          <w:i/>
          <w:sz w:val="22"/>
        </w:rPr>
        <w:t>”. (GP, interview)</w:t>
      </w:r>
    </w:p>
    <w:p w14:paraId="0758B865" w14:textId="0DC0F787" w:rsidR="0042224C" w:rsidRDefault="008E018F" w:rsidP="0042224C">
      <w:r>
        <w:t>Another</w:t>
      </w:r>
      <w:r w:rsidR="0042224C">
        <w:t xml:space="preserve"> practice did express some concern at the </w:t>
      </w:r>
      <w:r>
        <w:t xml:space="preserve">potential for the </w:t>
      </w:r>
      <w:r w:rsidR="0042224C">
        <w:t>provision of a nationally generated list and the potential overlap with an existing CCG scheme for multimorbidity.</w:t>
      </w:r>
    </w:p>
    <w:p w14:paraId="71A6ACF7" w14:textId="087200C9" w:rsidR="0042224C" w:rsidRPr="00CD646D" w:rsidRDefault="0042224C" w:rsidP="0042224C">
      <w:pPr>
        <w:rPr>
          <w:i/>
          <w:sz w:val="22"/>
        </w:rPr>
      </w:pPr>
      <w:r w:rsidRPr="00CD646D">
        <w:rPr>
          <w:i/>
          <w:sz w:val="22"/>
        </w:rPr>
        <w:lastRenderedPageBreak/>
        <w:t xml:space="preserve">“Yes, if it’s not duplicating all the similar things that are already being done on this level. There have been a lot of thoughts, a lot of </w:t>
      </w:r>
      <w:r w:rsidR="004D7A19" w:rsidRPr="00CD646D">
        <w:rPr>
          <w:i/>
          <w:sz w:val="22"/>
        </w:rPr>
        <w:t>tools that</w:t>
      </w:r>
      <w:r w:rsidRPr="00CD646D">
        <w:rPr>
          <w:i/>
          <w:sz w:val="22"/>
        </w:rPr>
        <w:t xml:space="preserve"> we can use to search the most vulnerable patients, the most costly patients, etc. And this just seems to be another one on top of that. Do we drop one that we’ve been doing up to now, do we use this? What happens if we have a conflict between the two systems? Which is the most important measure, is it high frailty or is it other scores, are they the most important?” (GP, interview)</w:t>
      </w:r>
    </w:p>
    <w:p w14:paraId="4A56F4A2" w14:textId="77777777" w:rsidR="00C31D43" w:rsidRPr="00CD646D" w:rsidRDefault="00C31D43" w:rsidP="0042224C">
      <w:pPr>
        <w:rPr>
          <w:i/>
          <w:sz w:val="22"/>
        </w:rPr>
      </w:pPr>
    </w:p>
    <w:p w14:paraId="3319ED1D" w14:textId="2970A098" w:rsidR="00E61C0E" w:rsidRPr="00B8476F" w:rsidRDefault="00F2766B" w:rsidP="004C0415">
      <w:pPr>
        <w:pStyle w:val="Heading3"/>
      </w:pPr>
      <w:r w:rsidRPr="00B8476F">
        <w:t>Indicator 1 Multimorbidity register</w:t>
      </w:r>
    </w:p>
    <w:p w14:paraId="691F3E18" w14:textId="2B3236B8" w:rsidR="00DD1E0F" w:rsidRDefault="00DD1E0F" w:rsidP="004C0415">
      <w:pPr>
        <w:pStyle w:val="Heading4"/>
      </w:pPr>
      <w:r>
        <w:t>Acceptability</w:t>
      </w:r>
    </w:p>
    <w:p w14:paraId="60CDAEA0" w14:textId="618D4015" w:rsidR="003F5940" w:rsidRPr="00B8476F" w:rsidRDefault="00B41EB5" w:rsidP="003F5940">
      <w:r w:rsidRPr="00B8476F">
        <w:t>Whilst the majority (75%, 24) of</w:t>
      </w:r>
      <w:r w:rsidR="00DD0D59" w:rsidRPr="00B8476F">
        <w:t xml:space="preserve"> survey respondents </w:t>
      </w:r>
      <w:r w:rsidR="003F5940" w:rsidRPr="00B8476F">
        <w:t>stated that the multimorbidity register would make the qual</w:t>
      </w:r>
      <w:r w:rsidRPr="00B8476F">
        <w:t xml:space="preserve">ity of care for patients better, </w:t>
      </w:r>
      <w:r w:rsidR="00D47AED" w:rsidRPr="00B8476F">
        <w:t xml:space="preserve">the feedback comments from individuals were more varied. </w:t>
      </w:r>
    </w:p>
    <w:p w14:paraId="0003FC81" w14:textId="2275ABA0" w:rsidR="00397C25" w:rsidRPr="00CD646D" w:rsidRDefault="004D7A19" w:rsidP="00397C25">
      <w:pPr>
        <w:rPr>
          <w:i/>
          <w:sz w:val="22"/>
        </w:rPr>
      </w:pPr>
      <w:r w:rsidRPr="00CD646D">
        <w:rPr>
          <w:i/>
          <w:sz w:val="22"/>
        </w:rPr>
        <w:t>“So I think i</w:t>
      </w:r>
      <w:r w:rsidR="00397C25" w:rsidRPr="00CD646D">
        <w:rPr>
          <w:i/>
          <w:sz w:val="22"/>
        </w:rPr>
        <w:t>f there was a multimorbidity register, you may well find that you would want to know who’s on your other registers as well but I think having that information to focus on as your high end users if you like would be quite positive”. (Practice manager, interview)</w:t>
      </w:r>
    </w:p>
    <w:p w14:paraId="79B92F34" w14:textId="5D7906E1" w:rsidR="00B41EB5" w:rsidRPr="00CD646D" w:rsidRDefault="008F6BDF" w:rsidP="00B41EB5">
      <w:pPr>
        <w:rPr>
          <w:i/>
          <w:sz w:val="22"/>
        </w:rPr>
      </w:pPr>
      <w:r w:rsidRPr="00CD646D" w:rsidDel="008F6BDF">
        <w:rPr>
          <w:i/>
          <w:sz w:val="22"/>
        </w:rPr>
        <w:t xml:space="preserve"> </w:t>
      </w:r>
      <w:r w:rsidR="00B41EB5" w:rsidRPr="00CD646D">
        <w:rPr>
          <w:i/>
          <w:sz w:val="22"/>
        </w:rPr>
        <w:t>“</w:t>
      </w:r>
      <w:r w:rsidR="00C31D43" w:rsidRPr="00CD646D">
        <w:rPr>
          <w:i/>
          <w:sz w:val="22"/>
        </w:rPr>
        <w:t>..There is a holistic aspect…</w:t>
      </w:r>
      <w:r w:rsidR="00B41EB5" w:rsidRPr="00CD646D">
        <w:rPr>
          <w:i/>
          <w:sz w:val="22"/>
        </w:rPr>
        <w:t>There is a (system) prompt to identify patients, what their targets are, what their aims are, and trying to enable them to achieve it</w:t>
      </w:r>
      <w:r w:rsidR="00C31D43" w:rsidRPr="00CD646D">
        <w:rPr>
          <w:i/>
          <w:sz w:val="22"/>
        </w:rPr>
        <w:t xml:space="preserve">…. It’s not necessarily just about the medical aspects that would improve their </w:t>
      </w:r>
      <w:proofErr w:type="gramStart"/>
      <w:r w:rsidR="00C31D43" w:rsidRPr="00CD646D">
        <w:rPr>
          <w:i/>
          <w:sz w:val="22"/>
        </w:rPr>
        <w:t>care..</w:t>
      </w:r>
      <w:proofErr w:type="gramEnd"/>
      <w:r w:rsidR="00B41EB5" w:rsidRPr="00CD646D">
        <w:rPr>
          <w:i/>
          <w:sz w:val="22"/>
        </w:rPr>
        <w:t>”. (GP, interview)</w:t>
      </w:r>
    </w:p>
    <w:p w14:paraId="3349FE7B" w14:textId="77777777" w:rsidR="00483B82" w:rsidRPr="00CD646D" w:rsidRDefault="00483B82" w:rsidP="00483B82">
      <w:pPr>
        <w:rPr>
          <w:i/>
          <w:sz w:val="22"/>
          <w:lang w:eastAsia="en-GB"/>
        </w:rPr>
      </w:pPr>
      <w:r w:rsidRPr="00CD646D">
        <w:rPr>
          <w:i/>
          <w:sz w:val="22"/>
          <w:lang w:eastAsia="en-GB"/>
        </w:rPr>
        <w:t>“But what we were thinking, actually, we probably need to do both ends of that work and then we think it will start to switch from being multi-morbidity as you get older to prevention when you're younger”. (Practice manager, interview)</w:t>
      </w:r>
    </w:p>
    <w:p w14:paraId="4E2639BB" w14:textId="62553403" w:rsidR="003F5940" w:rsidRPr="00CD646D" w:rsidRDefault="00B41EB5" w:rsidP="00B41EB5">
      <w:pPr>
        <w:rPr>
          <w:i/>
          <w:sz w:val="22"/>
        </w:rPr>
      </w:pPr>
      <w:r w:rsidRPr="00CD646D">
        <w:rPr>
          <w:i/>
          <w:sz w:val="22"/>
        </w:rPr>
        <w:t xml:space="preserve"> </w:t>
      </w:r>
      <w:r w:rsidR="003F5940" w:rsidRPr="00CD646D">
        <w:rPr>
          <w:i/>
          <w:sz w:val="22"/>
        </w:rPr>
        <w:t>“Not sure whether the register itself would necessarily directly improve the care patients receive, nevertheless the fact of severe frailty / multimorbidities is worth highlighting to staff”. (GP</w:t>
      </w:r>
      <w:r w:rsidR="001E4FB1" w:rsidRPr="00CD646D">
        <w:rPr>
          <w:i/>
          <w:sz w:val="22"/>
        </w:rPr>
        <w:t>, survey)</w:t>
      </w:r>
    </w:p>
    <w:p w14:paraId="03824534" w14:textId="44C63482" w:rsidR="003F5940" w:rsidRPr="00CD646D" w:rsidRDefault="00B41EB5" w:rsidP="003F5940">
      <w:pPr>
        <w:rPr>
          <w:i/>
          <w:sz w:val="22"/>
        </w:rPr>
      </w:pPr>
      <w:r w:rsidRPr="00CD646D">
        <w:rPr>
          <w:i/>
          <w:sz w:val="22"/>
        </w:rPr>
        <w:t xml:space="preserve"> </w:t>
      </w:r>
      <w:r w:rsidR="003F5940" w:rsidRPr="00CD646D">
        <w:rPr>
          <w:i/>
          <w:sz w:val="22"/>
        </w:rPr>
        <w:t>“Registers do not improve care by themselves. Especially with contentious thresholds like frailty. It is what can be done that makes the difference.</w:t>
      </w:r>
      <w:r w:rsidR="003B5A18" w:rsidRPr="00CD646D">
        <w:rPr>
          <w:i/>
          <w:sz w:val="22"/>
        </w:rPr>
        <w:t xml:space="preserve"> </w:t>
      </w:r>
      <w:r w:rsidR="003F5940" w:rsidRPr="00CD646D">
        <w:rPr>
          <w:i/>
          <w:sz w:val="22"/>
        </w:rPr>
        <w:t>A multi morbidity register is almost pointless as the front screen of any records would give you that information”.</w:t>
      </w:r>
      <w:r w:rsidR="001E4FB1" w:rsidRPr="00CD646D">
        <w:rPr>
          <w:i/>
          <w:sz w:val="22"/>
        </w:rPr>
        <w:t xml:space="preserve"> </w:t>
      </w:r>
      <w:r w:rsidR="003B5A18" w:rsidRPr="00CD646D">
        <w:rPr>
          <w:i/>
          <w:sz w:val="22"/>
        </w:rPr>
        <w:t>(GP</w:t>
      </w:r>
      <w:r w:rsidR="001E4FB1" w:rsidRPr="00CD646D">
        <w:rPr>
          <w:i/>
          <w:sz w:val="22"/>
        </w:rPr>
        <w:t>, survey</w:t>
      </w:r>
      <w:r w:rsidR="003B5A18" w:rsidRPr="00CD646D">
        <w:rPr>
          <w:i/>
          <w:sz w:val="22"/>
        </w:rPr>
        <w:t>)</w:t>
      </w:r>
    </w:p>
    <w:p w14:paraId="6506063C" w14:textId="56D9CAF8" w:rsidR="00167D56" w:rsidRPr="00CD646D" w:rsidRDefault="00167D56" w:rsidP="00167D56">
      <w:pPr>
        <w:rPr>
          <w:i/>
          <w:sz w:val="22"/>
        </w:rPr>
      </w:pPr>
      <w:r w:rsidRPr="00CD646D">
        <w:rPr>
          <w:i/>
          <w:sz w:val="22"/>
        </w:rPr>
        <w:t xml:space="preserve">“I don’t think it’s going to make much difference </w:t>
      </w:r>
      <w:r w:rsidR="004570F3" w:rsidRPr="00CD646D">
        <w:rPr>
          <w:i/>
          <w:sz w:val="22"/>
        </w:rPr>
        <w:t>because</w:t>
      </w:r>
      <w:r w:rsidRPr="00CD646D">
        <w:rPr>
          <w:i/>
          <w:sz w:val="22"/>
        </w:rPr>
        <w:t xml:space="preserve"> the patients with several morbidities, that are frail, are regulars so we see them anyway. We’ll tick the boxes </w:t>
      </w:r>
      <w:r w:rsidR="004570F3" w:rsidRPr="00CD646D">
        <w:rPr>
          <w:i/>
          <w:sz w:val="22"/>
        </w:rPr>
        <w:t>that we have</w:t>
      </w:r>
      <w:r w:rsidRPr="00CD646D">
        <w:rPr>
          <w:i/>
          <w:sz w:val="22"/>
        </w:rPr>
        <w:t xml:space="preserve"> to tick. I can’t see much difference”. (Practice manager, interview)</w:t>
      </w:r>
    </w:p>
    <w:p w14:paraId="0831C706" w14:textId="77777777" w:rsidR="00EF648D" w:rsidRDefault="00EF648D" w:rsidP="00EF648D"/>
    <w:p w14:paraId="5984967A" w14:textId="00C2A0C3" w:rsidR="00DD1E0F" w:rsidRDefault="00DD1E0F" w:rsidP="00C31D43">
      <w:pPr>
        <w:pStyle w:val="Heading4"/>
      </w:pPr>
      <w:r>
        <w:lastRenderedPageBreak/>
        <w:t>Feasibility and reliability</w:t>
      </w:r>
    </w:p>
    <w:p w14:paraId="5884C971" w14:textId="57B9CA4C" w:rsidR="00EF648D" w:rsidDel="0002560A" w:rsidRDefault="00EF648D" w:rsidP="00EF648D">
      <w:r w:rsidDel="0002560A">
        <w:t xml:space="preserve">Of the 18 practices interviewed on this topic, </w:t>
      </w:r>
      <w:r w:rsidR="00E72A09">
        <w:t xml:space="preserve">not all were able to describe </w:t>
      </w:r>
      <w:r w:rsidDel="0002560A">
        <w:t xml:space="preserve">the </w:t>
      </w:r>
      <w:r w:rsidRPr="001D6056" w:rsidDel="0002560A">
        <w:rPr>
          <w:b/>
        </w:rPr>
        <w:t>process</w:t>
      </w:r>
      <w:r w:rsidDel="0002560A">
        <w:t xml:space="preserve"> they had </w:t>
      </w:r>
      <w:r w:rsidRPr="001D6056" w:rsidDel="0002560A">
        <w:rPr>
          <w:b/>
        </w:rPr>
        <w:t>undertaken to identify patients who were eligible for the multimorbidity register</w:t>
      </w:r>
      <w:r w:rsidDel="0002560A">
        <w:t xml:space="preserve">. </w:t>
      </w:r>
      <w:r w:rsidR="00E72A09">
        <w:t>Those who were able to describe the process used a variety of approaches to create the multimorbidity register</w:t>
      </w:r>
      <w:r w:rsidR="0058201C">
        <w:t>. Overall,</w:t>
      </w:r>
      <w:r w:rsidR="00E72A09">
        <w:t xml:space="preserve"> very few practices appeared to have applied the implementation guidance provided by the pilot</w:t>
      </w:r>
      <w:r w:rsidR="00B26303">
        <w:t>.</w:t>
      </w:r>
    </w:p>
    <w:p w14:paraId="7930D860" w14:textId="0D92987C" w:rsidR="00EF648D" w:rsidRDefault="00EF648D" w:rsidP="00EF648D">
      <w:r w:rsidDel="0002560A">
        <w:t>There was a widespread view (from the practices</w:t>
      </w:r>
      <w:r w:rsidR="0058201C">
        <w:t xml:space="preserve"> able to describe the process</w:t>
      </w:r>
      <w:r w:rsidDel="0002560A">
        <w:t xml:space="preserve">) that the task had been </w:t>
      </w:r>
      <w:r w:rsidR="00552705">
        <w:t>‘</w:t>
      </w:r>
      <w:r w:rsidDel="0002560A">
        <w:t>huge</w:t>
      </w:r>
      <w:r w:rsidR="00552705">
        <w:t>’</w:t>
      </w:r>
      <w:r w:rsidDel="0002560A">
        <w:t xml:space="preserve">, complex and time consuming, and there were concerns that the searches had generated large numbers of patients. </w:t>
      </w:r>
    </w:p>
    <w:p w14:paraId="21716086" w14:textId="77777777" w:rsidR="00F31953" w:rsidRPr="00CD646D" w:rsidRDefault="00F31953" w:rsidP="00F31953">
      <w:pPr>
        <w:rPr>
          <w:i/>
          <w:sz w:val="22"/>
        </w:rPr>
      </w:pPr>
      <w:r w:rsidRPr="00CD646D">
        <w:rPr>
          <w:i/>
          <w:sz w:val="22"/>
        </w:rPr>
        <w:t>“Multimorbidity - large patient cohort. Time factor to complete effective reviews”. (GP, survey)</w:t>
      </w:r>
    </w:p>
    <w:p w14:paraId="6D0DCFFB" w14:textId="0E8DFDF3" w:rsidR="00F31953" w:rsidRPr="00CD646D" w:rsidRDefault="00F31953" w:rsidP="00F31953">
      <w:pPr>
        <w:rPr>
          <w:i/>
          <w:sz w:val="22"/>
        </w:rPr>
      </w:pPr>
      <w:r w:rsidRPr="00CD646D">
        <w:rPr>
          <w:i/>
          <w:sz w:val="22"/>
        </w:rPr>
        <w:t>“Yes morbidity was too large a criteria to manage”. (Practice senior management, survey)</w:t>
      </w:r>
    </w:p>
    <w:p w14:paraId="400D3371" w14:textId="78541775" w:rsidR="00F31953" w:rsidRDefault="00F31953" w:rsidP="00F31953">
      <w:pPr>
        <w:tabs>
          <w:tab w:val="left" w:pos="2880"/>
        </w:tabs>
      </w:pPr>
      <w:r w:rsidRPr="00CD646D">
        <w:rPr>
          <w:i/>
          <w:sz w:val="22"/>
        </w:rPr>
        <w:t>“Very heavy workload”. (GP, survey)</w:t>
      </w:r>
      <w:r>
        <w:tab/>
      </w:r>
    </w:p>
    <w:p w14:paraId="61E9E365" w14:textId="30A77E71" w:rsidR="00EF648D" w:rsidDel="0002560A" w:rsidRDefault="00611DE2" w:rsidP="00EF648D">
      <w:r>
        <w:t>Three</w:t>
      </w:r>
      <w:r w:rsidR="00EF648D" w:rsidRPr="00B26303" w:rsidDel="0002560A">
        <w:t xml:space="preserve"> of the 18 practices</w:t>
      </w:r>
      <w:r w:rsidR="00EF648D" w:rsidDel="0002560A">
        <w:t xml:space="preserve"> </w:t>
      </w:r>
      <w:r w:rsidR="00E61161">
        <w:t xml:space="preserve">(17%) </w:t>
      </w:r>
      <w:r w:rsidR="00EF648D" w:rsidDel="0002560A">
        <w:t xml:space="preserve">participating in the interview for this topic </w:t>
      </w:r>
      <w:r w:rsidR="00E61161">
        <w:t xml:space="preserve">described </w:t>
      </w:r>
      <w:r w:rsidR="00EF648D" w:rsidDel="0002560A">
        <w:t>generat</w:t>
      </w:r>
      <w:r w:rsidR="00E61161">
        <w:t>ing</w:t>
      </w:r>
      <w:r w:rsidR="00EF648D" w:rsidDel="0002560A">
        <w:t xml:space="preserve"> a patient list as per the </w:t>
      </w:r>
      <w:r w:rsidR="00E61161">
        <w:t xml:space="preserve">pilot </w:t>
      </w:r>
      <w:r w:rsidR="00EF648D" w:rsidDel="0002560A">
        <w:t>implementation guidance</w:t>
      </w:r>
      <w:r w:rsidR="00E61161">
        <w:t>,</w:t>
      </w:r>
      <w:r w:rsidR="00EF648D" w:rsidRPr="008E108C" w:rsidDel="0002560A">
        <w:t xml:space="preserve"> </w:t>
      </w:r>
      <w:r w:rsidR="00EF648D" w:rsidDel="0002560A">
        <w:t xml:space="preserve">with one </w:t>
      </w:r>
      <w:r w:rsidR="0031024E">
        <w:t xml:space="preserve">of the 3 practices </w:t>
      </w:r>
      <w:r w:rsidR="00EF648D" w:rsidDel="0002560A">
        <w:t>describing it as a ‘reasonable headache’. Aside from these 3 practices and one practice who reported that they had tried to follow a simplified version of this process, 11 practices (61%) stated that they had used existing practice searches (or in one case reinstated an archived search) to create the multimorbidity register, and at least two others had used the output files from the pilot baseline queries to try and identify the relevant patient cohort. The remaining practice had not created an electronic search but instead had just included patients opportunistically when the practice felt they were appropriate.</w:t>
      </w:r>
    </w:p>
    <w:p w14:paraId="64C571BB" w14:textId="69ADEC41" w:rsidR="00EF648D" w:rsidRPr="00CD646D" w:rsidDel="0002560A" w:rsidRDefault="00EF648D" w:rsidP="00EF648D">
      <w:pPr>
        <w:rPr>
          <w:i/>
          <w:sz w:val="22"/>
        </w:rPr>
      </w:pPr>
      <w:r w:rsidRPr="00CD646D" w:rsidDel="0002560A">
        <w:rPr>
          <w:i/>
          <w:sz w:val="22"/>
        </w:rPr>
        <w:t>“It was extremely difficult to identify a multimorbidity register due to the complexity of domains included”. (Practice manager, survey)</w:t>
      </w:r>
    </w:p>
    <w:p w14:paraId="3D7DBAE8" w14:textId="77777777" w:rsidR="00611DE2" w:rsidRPr="00CD646D" w:rsidRDefault="00EF648D" w:rsidP="0031024E">
      <w:pPr>
        <w:rPr>
          <w:i/>
          <w:sz w:val="22"/>
        </w:rPr>
      </w:pPr>
      <w:r w:rsidRPr="00CD646D" w:rsidDel="0002560A">
        <w:rPr>
          <w:i/>
          <w:sz w:val="22"/>
        </w:rPr>
        <w:t>“I think out of all the indicators, this was probably the one that we struggled with, if I’m honest. It was the volume of searches that were on there and just making sure we were trying to identify the correct patients. It was quite frustrating</w:t>
      </w:r>
      <w:r w:rsidR="004570F3" w:rsidRPr="00CD646D">
        <w:rPr>
          <w:i/>
          <w:sz w:val="22"/>
        </w:rPr>
        <w:t>…</w:t>
      </w:r>
      <w:r w:rsidRPr="00CD646D" w:rsidDel="0002560A">
        <w:rPr>
          <w:i/>
          <w:sz w:val="22"/>
        </w:rPr>
        <w:t>”. (Practice manager, interview)</w:t>
      </w:r>
    </w:p>
    <w:p w14:paraId="45365A05" w14:textId="1B782F00" w:rsidR="0031024E" w:rsidRPr="00CD646D" w:rsidRDefault="0031024E" w:rsidP="0031024E">
      <w:pPr>
        <w:rPr>
          <w:i/>
          <w:sz w:val="22"/>
          <w:lang w:eastAsia="en-GB"/>
        </w:rPr>
      </w:pPr>
      <w:r w:rsidRPr="00CD646D">
        <w:rPr>
          <w:i/>
          <w:sz w:val="22"/>
          <w:lang w:eastAsia="en-GB"/>
        </w:rPr>
        <w:t>“Difficult to remember to use the templates provided”. (GP, survey)</w:t>
      </w:r>
    </w:p>
    <w:p w14:paraId="3F05BD48" w14:textId="33AB3DBB" w:rsidR="00EF648D" w:rsidRPr="00CD646D" w:rsidDel="0002560A" w:rsidRDefault="00EF648D" w:rsidP="00EF648D">
      <w:pPr>
        <w:rPr>
          <w:i/>
          <w:sz w:val="22"/>
        </w:rPr>
      </w:pPr>
      <w:r w:rsidRPr="00CD646D" w:rsidDel="0002560A">
        <w:rPr>
          <w:i/>
          <w:sz w:val="22"/>
        </w:rPr>
        <w:t>“I mean obviously looking at the handbook and what was included in there, it's fine, but in terms of actually breaking down those registers on the system through the search that was on the system or what was designed by yourselves, it was actually quite tough to validate to make sure that those numbers were accurate and that we were happy with those so we just went off it rather than validating it as such”. (Practice senior manager, interview)</w:t>
      </w:r>
    </w:p>
    <w:p w14:paraId="2EBA03DB" w14:textId="77777777" w:rsidR="00611DE2" w:rsidRPr="00CD646D" w:rsidRDefault="00EF648D" w:rsidP="00EF648D">
      <w:pPr>
        <w:rPr>
          <w:i/>
          <w:sz w:val="22"/>
        </w:rPr>
      </w:pPr>
      <w:r w:rsidRPr="00CD646D" w:rsidDel="0002560A">
        <w:rPr>
          <w:i/>
          <w:sz w:val="22"/>
        </w:rPr>
        <w:lastRenderedPageBreak/>
        <w:t>“</w:t>
      </w:r>
      <w:r w:rsidR="004570F3" w:rsidRPr="00CD646D">
        <w:rPr>
          <w:i/>
          <w:sz w:val="22"/>
        </w:rPr>
        <w:t>The one problem is that the l</w:t>
      </w:r>
      <w:r w:rsidRPr="00CD646D" w:rsidDel="0002560A">
        <w:rPr>
          <w:i/>
          <w:sz w:val="22"/>
        </w:rPr>
        <w:t xml:space="preserve">ast time </w:t>
      </w:r>
      <w:r w:rsidR="009B2295" w:rsidRPr="00CD646D" w:rsidDel="0002560A">
        <w:rPr>
          <w:i/>
          <w:sz w:val="22"/>
        </w:rPr>
        <w:t>we were</w:t>
      </w:r>
      <w:r w:rsidRPr="00CD646D" w:rsidDel="0002560A">
        <w:rPr>
          <w:i/>
          <w:sz w:val="22"/>
        </w:rPr>
        <w:t xml:space="preserve"> mandated</w:t>
      </w:r>
      <w:r w:rsidR="009B2295" w:rsidRPr="00CD646D" w:rsidDel="0002560A">
        <w:rPr>
          <w:i/>
          <w:sz w:val="22"/>
        </w:rPr>
        <w:t xml:space="preserve"> to create one of these (admission avoidance) registers</w:t>
      </w:r>
      <w:r w:rsidR="007B001B" w:rsidRPr="00CD646D" w:rsidDel="0002560A">
        <w:rPr>
          <w:i/>
          <w:sz w:val="22"/>
        </w:rPr>
        <w:t>..</w:t>
      </w:r>
      <w:r w:rsidR="009B2295" w:rsidRPr="00CD646D" w:rsidDel="0002560A">
        <w:rPr>
          <w:i/>
          <w:sz w:val="22"/>
        </w:rPr>
        <w:t>..</w:t>
      </w:r>
      <w:r w:rsidRPr="00CD646D" w:rsidDel="0002560A">
        <w:rPr>
          <w:i/>
          <w:sz w:val="22"/>
        </w:rPr>
        <w:t>we spent more time managing the list tha</w:t>
      </w:r>
      <w:r w:rsidR="009B2295" w:rsidRPr="00CD646D" w:rsidDel="0002560A">
        <w:rPr>
          <w:i/>
          <w:sz w:val="22"/>
        </w:rPr>
        <w:t xml:space="preserve">n the actual patients themselves. So </w:t>
      </w:r>
      <w:r w:rsidRPr="00CD646D" w:rsidDel="0002560A">
        <w:rPr>
          <w:i/>
          <w:sz w:val="22"/>
        </w:rPr>
        <w:t xml:space="preserve">they </w:t>
      </w:r>
      <w:r w:rsidR="009B2295" w:rsidRPr="00CD646D" w:rsidDel="0002560A">
        <w:rPr>
          <w:i/>
          <w:sz w:val="22"/>
        </w:rPr>
        <w:t>kind of became secondary; t</w:t>
      </w:r>
      <w:r w:rsidRPr="00CD646D" w:rsidDel="0002560A">
        <w:rPr>
          <w:i/>
          <w:sz w:val="22"/>
        </w:rPr>
        <w:t>he list was more important than the patient at that point”. (GP, interview)</w:t>
      </w:r>
      <w:r w:rsidR="00611DE2" w:rsidRPr="00CD646D">
        <w:rPr>
          <w:i/>
          <w:sz w:val="22"/>
        </w:rPr>
        <w:t xml:space="preserve"> </w:t>
      </w:r>
    </w:p>
    <w:p w14:paraId="41982DE4" w14:textId="77777777" w:rsidR="00611DE2" w:rsidRPr="00CD646D" w:rsidRDefault="00611DE2" w:rsidP="00EF648D">
      <w:pPr>
        <w:rPr>
          <w:i/>
          <w:sz w:val="22"/>
        </w:rPr>
      </w:pPr>
    </w:p>
    <w:p w14:paraId="3E150AFB" w14:textId="77777777" w:rsidR="00611DE2" w:rsidRDefault="006C39D2" w:rsidP="00611DE2">
      <w:r>
        <w:t>Overall, i</w:t>
      </w:r>
      <w:r w:rsidR="00EF648D" w:rsidDel="0002560A">
        <w:t xml:space="preserve">t was difficult to ascertain </w:t>
      </w:r>
      <w:r w:rsidR="00EF648D" w:rsidRPr="000848DE" w:rsidDel="0002560A">
        <w:t>from the practices interviewed</w:t>
      </w:r>
      <w:r w:rsidR="00EF648D" w:rsidDel="0002560A">
        <w:t xml:space="preserve"> what had been done differently with regard to a multimorbidity register as a result of the pilot, compared to what practices had been doing beforehand.</w:t>
      </w:r>
    </w:p>
    <w:p w14:paraId="4CAFCCD2" w14:textId="48530A43" w:rsidR="00EF648D" w:rsidRPr="00CD646D" w:rsidDel="0002560A" w:rsidRDefault="00EF648D" w:rsidP="00611DE2">
      <w:pPr>
        <w:rPr>
          <w:i/>
          <w:sz w:val="22"/>
        </w:rPr>
      </w:pPr>
      <w:r w:rsidRPr="00CD646D" w:rsidDel="0002560A">
        <w:rPr>
          <w:i/>
          <w:sz w:val="22"/>
        </w:rPr>
        <w:t>“Because we've got this list of people that we review regularly and keep our eye on and manage in that way and because we've already got that case management structure in place, I utilised that to be honest. Most of those patients we'll meet with a multimorbidity definition that you had anyway. So I was thinking, ‘well let's just carry on with what we're currently doing and our current ways of working to identify those patients’”. (Practice manager, interview)</w:t>
      </w:r>
    </w:p>
    <w:p w14:paraId="0F51697C" w14:textId="403C6225" w:rsidR="00EF648D" w:rsidRPr="00CD646D" w:rsidDel="0002560A" w:rsidRDefault="00EF648D" w:rsidP="00EF648D">
      <w:pPr>
        <w:rPr>
          <w:i/>
          <w:sz w:val="22"/>
        </w:rPr>
      </w:pPr>
      <w:r w:rsidRPr="00CD646D" w:rsidDel="0002560A">
        <w:rPr>
          <w:i/>
          <w:sz w:val="22"/>
        </w:rPr>
        <w:t>“I think once a year we run the… it w</w:t>
      </w:r>
      <w:r w:rsidR="004570F3" w:rsidRPr="00CD646D">
        <w:rPr>
          <w:i/>
          <w:sz w:val="22"/>
        </w:rPr>
        <w:t xml:space="preserve">as a risk tool…. which draws </w:t>
      </w:r>
      <w:r w:rsidRPr="00CD646D" w:rsidDel="0002560A">
        <w:rPr>
          <w:i/>
          <w:sz w:val="22"/>
        </w:rPr>
        <w:t>all that data and then we get a list of patients that we review. Some of those will go on to the list and some of them won’t because we’ll look at them and say, ‘no, they’re someone that needs more time’, and ‘they’re completely fine’. So that’s one way. Then any clinician, if they identify a patient that needs more input, they would also get put onto the list as well”. (GP, interview)</w:t>
      </w:r>
    </w:p>
    <w:p w14:paraId="36CA55C3" w14:textId="6F87742D" w:rsidR="00EF648D" w:rsidDel="0002560A" w:rsidRDefault="00EF648D" w:rsidP="00EF648D">
      <w:pPr>
        <w:rPr>
          <w:color w:val="7030A0"/>
        </w:rPr>
      </w:pPr>
    </w:p>
    <w:p w14:paraId="08600FE5" w14:textId="69B155C6" w:rsidR="00EF648D" w:rsidRPr="00CD646D" w:rsidDel="0002560A" w:rsidRDefault="00EF648D" w:rsidP="00DF50F4">
      <w:pPr>
        <w:rPr>
          <w:i/>
          <w:sz w:val="22"/>
        </w:rPr>
      </w:pPr>
      <w:r w:rsidRPr="00C21E51" w:rsidDel="0002560A">
        <w:t xml:space="preserve">A number of practices </w:t>
      </w:r>
      <w:r w:rsidDel="0002560A">
        <w:t xml:space="preserve">raised concerns about potential </w:t>
      </w:r>
      <w:r w:rsidRPr="001D6056" w:rsidDel="0002560A">
        <w:rPr>
          <w:b/>
        </w:rPr>
        <w:t>variations in the quality of clinical coding</w:t>
      </w:r>
      <w:r w:rsidDel="0002560A">
        <w:t xml:space="preserve"> and lack of consistency across the various diseases and conditions contained in the mul</w:t>
      </w:r>
      <w:r w:rsidR="00611DE2">
        <w:t>timorbidity register definition. Ways to mitigate this were suggested,</w:t>
      </w:r>
      <w:r w:rsidDel="0002560A">
        <w:t xml:space="preserve"> such as a validation </w:t>
      </w:r>
      <w:r w:rsidRPr="006C351F" w:rsidDel="0002560A">
        <w:t xml:space="preserve">exercise to ensure all patients are captured, potentially by trying to set an estimated practice prevalence for multimorbidity for each practice to compare to, or by sending out a national search to all practices containing the codes to be included in the register. </w:t>
      </w:r>
    </w:p>
    <w:p w14:paraId="684E83E1" w14:textId="2714F0A8" w:rsidR="00EF648D" w:rsidDel="0002560A" w:rsidRDefault="00EF648D" w:rsidP="00EF648D">
      <w:r w:rsidDel="0002560A">
        <w:t xml:space="preserve">Fourteen of the practices interviewed </w:t>
      </w:r>
      <w:r w:rsidR="009B2295" w:rsidDel="0002560A">
        <w:t xml:space="preserve">(78%) </w:t>
      </w:r>
      <w:r w:rsidDel="0002560A">
        <w:t xml:space="preserve">agreed that a </w:t>
      </w:r>
      <w:r w:rsidRPr="001D6056" w:rsidDel="0002560A">
        <w:rPr>
          <w:b/>
        </w:rPr>
        <w:t>search built into the clinical system</w:t>
      </w:r>
      <w:r w:rsidDel="0002560A">
        <w:t xml:space="preserve"> to generate a multimorbidity patient list to enable the practice to do the validation stage (in a similar way to </w:t>
      </w:r>
      <w:r w:rsidR="008E018F" w:rsidDel="0002560A">
        <w:t>the electronic frailty index indicates potential</w:t>
      </w:r>
      <w:r w:rsidDel="0002560A">
        <w:t xml:space="preserve"> </w:t>
      </w:r>
      <w:r w:rsidR="008E018F" w:rsidDel="0002560A">
        <w:t xml:space="preserve">patients with </w:t>
      </w:r>
      <w:r w:rsidDel="0002560A">
        <w:t xml:space="preserve">frailty) would be very helpful, but that substantial time would still be required to go through this list to create the register. One practice suggested that it would be useful to be able to </w:t>
      </w:r>
      <w:r w:rsidRPr="00DF50F4" w:rsidDel="0002560A">
        <w:t>exclude patients</w:t>
      </w:r>
      <w:r w:rsidDel="0002560A">
        <w:t xml:space="preserve"> if applicable.</w:t>
      </w:r>
    </w:p>
    <w:p w14:paraId="272637B7" w14:textId="53348C28" w:rsidR="00EF648D" w:rsidDel="0002560A" w:rsidRDefault="00EF648D" w:rsidP="00EF648D">
      <w:r w:rsidRPr="00CD646D" w:rsidDel="0002560A">
        <w:rPr>
          <w:i/>
          <w:sz w:val="22"/>
        </w:rPr>
        <w:lastRenderedPageBreak/>
        <w:t>“</w:t>
      </w:r>
      <w:r w:rsidR="00F52097" w:rsidRPr="00CD646D">
        <w:rPr>
          <w:i/>
          <w:sz w:val="22"/>
        </w:rPr>
        <w:t>….</w:t>
      </w:r>
      <w:r w:rsidRPr="00CD646D" w:rsidDel="0002560A">
        <w:rPr>
          <w:i/>
          <w:sz w:val="22"/>
        </w:rPr>
        <w:t>if we're identifying people or if people are being identified through various internal searches, it would be important for us to have the ability to exclude people who were felt this wasn't appropriate for, much like in the QOF measurements, you can exempt some patients from. I think it would be very useful, rather than looking at a list and having it come up every time where there's ten people that you've decided not to do something about but they keep on coming up and you're then almost like getting prompts to do things</w:t>
      </w:r>
      <w:r w:rsidRPr="00E03BA0" w:rsidDel="0002560A">
        <w:t>”</w:t>
      </w:r>
      <w:r w:rsidRPr="00CD646D" w:rsidDel="0002560A">
        <w:rPr>
          <w:i/>
          <w:sz w:val="22"/>
        </w:rPr>
        <w:t>. (GP, interview)</w:t>
      </w:r>
    </w:p>
    <w:p w14:paraId="77DA8848" w14:textId="77777777" w:rsidR="004216F9" w:rsidRPr="00B8476F" w:rsidDel="0002560A" w:rsidRDefault="004216F9" w:rsidP="004216F9">
      <w:r w:rsidRPr="00B8476F" w:rsidDel="0002560A">
        <w:t xml:space="preserve">Seven practices </w:t>
      </w:r>
      <w:r w:rsidDel="0002560A">
        <w:t xml:space="preserve">(39%) </w:t>
      </w:r>
      <w:r w:rsidRPr="00B8476F" w:rsidDel="0002560A">
        <w:t xml:space="preserve">did acknowledge the ability to </w:t>
      </w:r>
      <w:r w:rsidRPr="001D6056" w:rsidDel="0002560A">
        <w:rPr>
          <w:b/>
        </w:rPr>
        <w:t>add patients manually to the multimorbidity register</w:t>
      </w:r>
      <w:r w:rsidRPr="00B8476F" w:rsidDel="0002560A">
        <w:t xml:space="preserve"> who were not identified directly by the definition (</w:t>
      </w:r>
      <w:r>
        <w:t>but</w:t>
      </w:r>
      <w:r w:rsidRPr="00B8476F" w:rsidDel="0002560A">
        <w:t xml:space="preserve"> who </w:t>
      </w:r>
      <w:r>
        <w:t xml:space="preserve">in their judgement </w:t>
      </w:r>
      <w:r w:rsidRPr="00B8476F" w:rsidDel="0002560A">
        <w:t xml:space="preserve">would </w:t>
      </w:r>
      <w:r>
        <w:t>‘</w:t>
      </w:r>
      <w:r w:rsidRPr="00B8476F" w:rsidDel="0002560A">
        <w:t>benefit from a tailored approach to care</w:t>
      </w:r>
      <w:r>
        <w:t>’</w:t>
      </w:r>
      <w:r w:rsidRPr="00B8476F" w:rsidDel="0002560A">
        <w:t>), and gave examples of patients with specific conditions such as cystic fibrosis or degenerative conditions, or those who were under 65 years old but where their condition had caused them to be frail.</w:t>
      </w:r>
    </w:p>
    <w:p w14:paraId="15AB2FE4" w14:textId="77777777" w:rsidR="004216F9" w:rsidRPr="00CD646D" w:rsidDel="0002560A" w:rsidRDefault="004216F9" w:rsidP="004216F9">
      <w:pPr>
        <w:rPr>
          <w:i/>
          <w:sz w:val="22"/>
        </w:rPr>
      </w:pPr>
      <w:r w:rsidRPr="00CD646D" w:rsidDel="0002560A">
        <w:rPr>
          <w:i/>
          <w:sz w:val="22"/>
        </w:rPr>
        <w:t>“I can think of one or two patients where they’ve got perhaps one quite significant condition that’s made them very frail so they wouldn’t hit the multimorbidity and they wouldn’t hit the 65 and over for the frailty. But actually the need is still the same”. (Practice manager, interview)</w:t>
      </w:r>
    </w:p>
    <w:p w14:paraId="6838FA72" w14:textId="7ED3874F" w:rsidR="00EF648D" w:rsidRPr="00CD646D" w:rsidDel="0002560A" w:rsidRDefault="00EF648D" w:rsidP="00EF648D">
      <w:pPr>
        <w:rPr>
          <w:i/>
          <w:sz w:val="22"/>
        </w:rPr>
      </w:pPr>
    </w:p>
    <w:p w14:paraId="5E922FB2" w14:textId="77777777" w:rsidR="00611DE2" w:rsidRDefault="00EF648D" w:rsidP="00F52097">
      <w:r w:rsidDel="0002560A">
        <w:t xml:space="preserve">The general view from practices was that a </w:t>
      </w:r>
      <w:r w:rsidRPr="001D6056" w:rsidDel="0002560A">
        <w:rPr>
          <w:b/>
        </w:rPr>
        <w:t xml:space="preserve">standard clinical code to identify (flag) people on the multimorbidity register </w:t>
      </w:r>
      <w:r w:rsidDel="0002560A">
        <w:t>would be useful.</w:t>
      </w:r>
    </w:p>
    <w:p w14:paraId="55576049" w14:textId="293CAE8F" w:rsidR="00F52097" w:rsidRPr="00CD646D" w:rsidDel="0002560A" w:rsidRDefault="00F52097" w:rsidP="00F52097">
      <w:pPr>
        <w:rPr>
          <w:i/>
          <w:sz w:val="22"/>
        </w:rPr>
      </w:pPr>
      <w:r w:rsidRPr="00CD646D" w:rsidDel="0002560A">
        <w:rPr>
          <w:i/>
          <w:sz w:val="22"/>
        </w:rPr>
        <w:t>“Could do with a multimorbidity code as this is very different from frailty”. (GP, survey).</w:t>
      </w:r>
    </w:p>
    <w:p w14:paraId="579848E8" w14:textId="7BBCEEB3" w:rsidR="00EF648D" w:rsidRPr="00CD646D" w:rsidDel="0002560A" w:rsidRDefault="00EF648D" w:rsidP="00EF648D">
      <w:pPr>
        <w:rPr>
          <w:i/>
          <w:sz w:val="22"/>
        </w:rPr>
      </w:pPr>
      <w:r w:rsidRPr="00CD646D" w:rsidDel="0002560A">
        <w:rPr>
          <w:i/>
          <w:sz w:val="22"/>
        </w:rPr>
        <w:t>“I think obviously usually with the national QOF we would get our group of patients if you like usually identified for us. Flags on the system are always a help. If it's a system wide approach, it's helpful for sharing how people are working, making sure we've got a standardised approach. I think one of the main things with this type of work</w:t>
      </w:r>
      <w:r w:rsidR="00E03BA0" w:rsidRPr="00CD646D">
        <w:rPr>
          <w:i/>
          <w:sz w:val="22"/>
        </w:rPr>
        <w:t>…..</w:t>
      </w:r>
      <w:r w:rsidRPr="00CD646D" w:rsidDel="0002560A">
        <w:rPr>
          <w:i/>
          <w:sz w:val="22"/>
        </w:rPr>
        <w:t xml:space="preserve"> is the work that goes on behind. The system identifies a patient but, as we've talked about with this group of patients, it's all about making sure it's not just a computer saying it's you. It's the clinical side of it of being able to go through those patients and make sure that the flag is on the right patients and it's not just they haven't had a random read code somewhere that's pulled them through.</w:t>
      </w:r>
      <w:r w:rsidR="00E03BA0" w:rsidRPr="00CD646D">
        <w:rPr>
          <w:i/>
          <w:sz w:val="22"/>
        </w:rPr>
        <w:t>..</w:t>
      </w:r>
      <w:r w:rsidRPr="00CD646D" w:rsidDel="0002560A">
        <w:rPr>
          <w:i/>
          <w:sz w:val="22"/>
        </w:rPr>
        <w:t>?” (Practice manager, interview)</w:t>
      </w:r>
    </w:p>
    <w:p w14:paraId="49873F74" w14:textId="15C37FD7" w:rsidR="00D07B5E" w:rsidRPr="00CD646D" w:rsidRDefault="00D07B5E" w:rsidP="003F5940">
      <w:pPr>
        <w:rPr>
          <w:i/>
          <w:sz w:val="22"/>
        </w:rPr>
      </w:pPr>
    </w:p>
    <w:p w14:paraId="3852EBC3" w14:textId="26BD5038" w:rsidR="00094433" w:rsidRPr="00B8476F" w:rsidDel="0002560A" w:rsidRDefault="00094433" w:rsidP="00611DE2">
      <w:pPr>
        <w:pStyle w:val="Heading4"/>
      </w:pPr>
      <w:r>
        <w:t>Suggested amendments to indicator definition</w:t>
      </w:r>
      <w:r w:rsidR="0087270A">
        <w:t xml:space="preserve"> (including wording)</w:t>
      </w:r>
    </w:p>
    <w:p w14:paraId="3CFF4340" w14:textId="1AD8F932" w:rsidR="00611DE2" w:rsidRDefault="00BF0D4B" w:rsidP="00F52097">
      <w:r w:rsidRPr="00B8476F" w:rsidDel="0002560A">
        <w:t>There were varied views w</w:t>
      </w:r>
      <w:r w:rsidR="0090719A" w:rsidRPr="00B8476F" w:rsidDel="0002560A">
        <w:t xml:space="preserve">ith regard to the </w:t>
      </w:r>
      <w:r w:rsidR="0090719A" w:rsidRPr="001D6056" w:rsidDel="0002560A">
        <w:rPr>
          <w:b/>
        </w:rPr>
        <w:t>list of conditions included within the mult</w:t>
      </w:r>
      <w:r w:rsidR="003E732C" w:rsidRPr="001D6056" w:rsidDel="0002560A">
        <w:rPr>
          <w:b/>
        </w:rPr>
        <w:t>imorbidity register definition</w:t>
      </w:r>
      <w:r w:rsidR="00F52097">
        <w:t>:</w:t>
      </w:r>
      <w:r w:rsidR="003E732C" w:rsidRPr="00B8476F" w:rsidDel="0002560A">
        <w:t xml:space="preserve"> </w:t>
      </w:r>
      <w:r w:rsidR="00DA04C6" w:rsidDel="0002560A">
        <w:t>6</w:t>
      </w:r>
      <w:r w:rsidR="003E732C" w:rsidRPr="00B8476F" w:rsidDel="0002560A">
        <w:t xml:space="preserve">/18 </w:t>
      </w:r>
      <w:r w:rsidR="001D6056">
        <w:t xml:space="preserve">(33%) </w:t>
      </w:r>
      <w:r w:rsidR="003E732C" w:rsidRPr="00B8476F" w:rsidDel="0002560A">
        <w:t>practices said they would accept this</w:t>
      </w:r>
      <w:r w:rsidRPr="00B8476F" w:rsidDel="0002560A">
        <w:t xml:space="preserve"> list</w:t>
      </w:r>
      <w:r w:rsidR="003E732C" w:rsidRPr="00B8476F" w:rsidDel="0002560A">
        <w:t xml:space="preserve">, with a further 5 practices recommending that the list needed refinement, either by </w:t>
      </w:r>
      <w:r w:rsidR="003E732C" w:rsidRPr="00B8476F" w:rsidDel="0002560A">
        <w:lastRenderedPageBreak/>
        <w:t>reducing the total number of conditions within the register definition or by increasing the count of conditions (clusters) criteria from four or more, in order to reduce the number of eligible patients to a manageable number. Two practices stated that the condition list was just too comple</w:t>
      </w:r>
      <w:r w:rsidR="00DA04C6" w:rsidDel="0002560A">
        <w:t>x and the remaining practices (5</w:t>
      </w:r>
      <w:r w:rsidR="003E732C" w:rsidRPr="00B8476F" w:rsidDel="0002560A">
        <w:t xml:space="preserve">) did not comment. </w:t>
      </w:r>
    </w:p>
    <w:p w14:paraId="5126054B" w14:textId="1DB4A276" w:rsidR="00F52097" w:rsidRPr="00CD646D" w:rsidRDefault="00F52097" w:rsidP="00F52097">
      <w:pPr>
        <w:rPr>
          <w:i/>
          <w:sz w:val="22"/>
        </w:rPr>
      </w:pPr>
      <w:r w:rsidRPr="00CD646D">
        <w:rPr>
          <w:i/>
          <w:sz w:val="22"/>
        </w:rPr>
        <w:t>“</w:t>
      </w:r>
      <w:r w:rsidR="004570F3" w:rsidRPr="00CD646D">
        <w:rPr>
          <w:i/>
          <w:sz w:val="22"/>
        </w:rPr>
        <w:t xml:space="preserve">…Where </w:t>
      </w:r>
      <w:r w:rsidRPr="00CD646D">
        <w:rPr>
          <w:i/>
          <w:sz w:val="22"/>
        </w:rPr>
        <w:t xml:space="preserve">someone has actually identified something then we’re probably just going to run with </w:t>
      </w:r>
      <w:r w:rsidR="004570F3" w:rsidRPr="00CD646D">
        <w:rPr>
          <w:i/>
          <w:sz w:val="22"/>
        </w:rPr>
        <w:t>that rather than try to</w:t>
      </w:r>
      <w:r w:rsidRPr="00CD646D">
        <w:rPr>
          <w:i/>
          <w:sz w:val="22"/>
        </w:rPr>
        <w:t xml:space="preserve"> reinvent the wheel”. (GP, interview)</w:t>
      </w:r>
    </w:p>
    <w:p w14:paraId="4936AA09" w14:textId="77777777" w:rsidR="00F52097" w:rsidRPr="00B8476F" w:rsidDel="0002560A" w:rsidRDefault="00F52097" w:rsidP="00D4520D"/>
    <w:p w14:paraId="5CDADAEC" w14:textId="0F662749" w:rsidR="003E732C" w:rsidRPr="00B8476F" w:rsidRDefault="00BF0D4B" w:rsidP="00D4520D">
      <w:r w:rsidRPr="00B8476F">
        <w:t xml:space="preserve">In terms of conditions to remove from the register definition, diverticular disease and patients with treated constipation were suggested by three practices, with another practice </w:t>
      </w:r>
      <w:r w:rsidR="00771C26">
        <w:t>proposin</w:t>
      </w:r>
      <w:r w:rsidRPr="00B8476F">
        <w:t xml:space="preserve">g </w:t>
      </w:r>
      <w:r w:rsidR="00771C26">
        <w:t xml:space="preserve">that </w:t>
      </w:r>
      <w:r w:rsidRPr="00B8476F">
        <w:t>any conditions with low prevalence should be removed.</w:t>
      </w:r>
    </w:p>
    <w:p w14:paraId="11596E24" w14:textId="74C6AC99" w:rsidR="00BF0D4B" w:rsidRPr="00CD646D" w:rsidRDefault="00BF0D4B" w:rsidP="00D4520D">
      <w:pPr>
        <w:rPr>
          <w:i/>
          <w:sz w:val="22"/>
        </w:rPr>
      </w:pPr>
      <w:r w:rsidRPr="00CD646D">
        <w:rPr>
          <w:i/>
          <w:sz w:val="22"/>
        </w:rPr>
        <w:t>“It’s thinking about the conditions that maybe are not nece</w:t>
      </w:r>
      <w:r w:rsidR="009E5E6E" w:rsidRPr="00CD646D">
        <w:rPr>
          <w:i/>
          <w:sz w:val="22"/>
        </w:rPr>
        <w:t xml:space="preserve">ssarily </w:t>
      </w:r>
      <w:r w:rsidRPr="00CD646D">
        <w:rPr>
          <w:i/>
          <w:sz w:val="22"/>
        </w:rPr>
        <w:t xml:space="preserve">impacting on people as much as others and whether we can refine the list and </w:t>
      </w:r>
      <w:r w:rsidR="009E5E6E" w:rsidRPr="00CD646D">
        <w:rPr>
          <w:i/>
          <w:sz w:val="22"/>
        </w:rPr>
        <w:t xml:space="preserve">that might </w:t>
      </w:r>
      <w:r w:rsidRPr="00CD646D">
        <w:rPr>
          <w:i/>
          <w:sz w:val="22"/>
        </w:rPr>
        <w:t xml:space="preserve">bring down the </w:t>
      </w:r>
      <w:r w:rsidR="009E5E6E" w:rsidRPr="00CD646D">
        <w:rPr>
          <w:i/>
          <w:sz w:val="22"/>
        </w:rPr>
        <w:t xml:space="preserve">total </w:t>
      </w:r>
      <w:r w:rsidRPr="00CD646D">
        <w:rPr>
          <w:i/>
          <w:sz w:val="22"/>
        </w:rPr>
        <w:t xml:space="preserve">number </w:t>
      </w:r>
      <w:r w:rsidR="009E5E6E" w:rsidRPr="00CD646D">
        <w:rPr>
          <w:i/>
          <w:sz w:val="22"/>
        </w:rPr>
        <w:t xml:space="preserve">of people with a theoretical term of multimorbidity down and make it </w:t>
      </w:r>
      <w:r w:rsidRPr="00CD646D">
        <w:rPr>
          <w:i/>
          <w:sz w:val="22"/>
        </w:rPr>
        <w:t xml:space="preserve">a </w:t>
      </w:r>
      <w:r w:rsidR="009E5E6E" w:rsidRPr="00CD646D">
        <w:rPr>
          <w:i/>
          <w:sz w:val="22"/>
        </w:rPr>
        <w:t xml:space="preserve">more </w:t>
      </w:r>
      <w:r w:rsidRPr="00CD646D">
        <w:rPr>
          <w:i/>
          <w:sz w:val="22"/>
        </w:rPr>
        <w:t>sensible number to deal with”. (GP, interview)</w:t>
      </w:r>
    </w:p>
    <w:p w14:paraId="74C4B11F" w14:textId="67F4BF1C" w:rsidR="00B56566" w:rsidRPr="00CD646D" w:rsidRDefault="009E5E6E" w:rsidP="00D4520D">
      <w:pPr>
        <w:rPr>
          <w:i/>
          <w:sz w:val="22"/>
        </w:rPr>
      </w:pPr>
      <w:r w:rsidRPr="00CD646D">
        <w:rPr>
          <w:i/>
          <w:sz w:val="22"/>
        </w:rPr>
        <w:t>“..I</w:t>
      </w:r>
      <w:r w:rsidR="00B56566" w:rsidRPr="00CD646D">
        <w:rPr>
          <w:i/>
          <w:sz w:val="22"/>
        </w:rPr>
        <w:t>t’s not the number of conditions often that determine</w:t>
      </w:r>
      <w:r w:rsidRPr="00CD646D">
        <w:rPr>
          <w:i/>
          <w:sz w:val="22"/>
        </w:rPr>
        <w:t>s how much input patients need but just we</w:t>
      </w:r>
      <w:r w:rsidR="00B56566" w:rsidRPr="00CD646D">
        <w:rPr>
          <w:i/>
          <w:sz w:val="22"/>
        </w:rPr>
        <w:t xml:space="preserve"> may </w:t>
      </w:r>
      <w:r w:rsidRPr="00CD646D">
        <w:rPr>
          <w:i/>
          <w:sz w:val="22"/>
        </w:rPr>
        <w:t xml:space="preserve">as well </w:t>
      </w:r>
      <w:r w:rsidR="00B56566" w:rsidRPr="00CD646D">
        <w:rPr>
          <w:i/>
          <w:sz w:val="22"/>
        </w:rPr>
        <w:t xml:space="preserve">have </w:t>
      </w:r>
      <w:r w:rsidRPr="00CD646D">
        <w:rPr>
          <w:i/>
          <w:sz w:val="22"/>
        </w:rPr>
        <w:t>patients with 3 comorbidities but</w:t>
      </w:r>
      <w:r w:rsidR="00B56566" w:rsidRPr="00CD646D">
        <w:rPr>
          <w:i/>
          <w:sz w:val="22"/>
        </w:rPr>
        <w:t xml:space="preserve"> n</w:t>
      </w:r>
      <w:r w:rsidRPr="00CD646D">
        <w:rPr>
          <w:i/>
          <w:sz w:val="22"/>
        </w:rPr>
        <w:t>eed much more support than others</w:t>
      </w:r>
      <w:r w:rsidR="00B56566" w:rsidRPr="00CD646D">
        <w:rPr>
          <w:i/>
          <w:sz w:val="22"/>
        </w:rPr>
        <w:t xml:space="preserve"> with 6 comorbidities </w:t>
      </w:r>
      <w:r w:rsidRPr="00CD646D">
        <w:rPr>
          <w:i/>
          <w:sz w:val="22"/>
        </w:rPr>
        <w:t xml:space="preserve">because they’re managed well and they just </w:t>
      </w:r>
      <w:r w:rsidR="00B56566" w:rsidRPr="00CD646D">
        <w:rPr>
          <w:i/>
          <w:sz w:val="22"/>
        </w:rPr>
        <w:t xml:space="preserve">don’t need </w:t>
      </w:r>
      <w:r w:rsidRPr="00CD646D">
        <w:rPr>
          <w:i/>
          <w:sz w:val="22"/>
        </w:rPr>
        <w:t xml:space="preserve">as much </w:t>
      </w:r>
      <w:r w:rsidR="00B56566" w:rsidRPr="00CD646D">
        <w:rPr>
          <w:i/>
          <w:sz w:val="22"/>
        </w:rPr>
        <w:t>support</w:t>
      </w:r>
      <w:r w:rsidRPr="00CD646D">
        <w:rPr>
          <w:i/>
          <w:sz w:val="22"/>
        </w:rPr>
        <w:t>…. i</w:t>
      </w:r>
      <w:r w:rsidR="00B56566" w:rsidRPr="00CD646D">
        <w:rPr>
          <w:i/>
          <w:sz w:val="22"/>
        </w:rPr>
        <w:t xml:space="preserve">t’s </w:t>
      </w:r>
      <w:r w:rsidR="008D2635" w:rsidRPr="00CD646D">
        <w:rPr>
          <w:i/>
          <w:sz w:val="22"/>
        </w:rPr>
        <w:t xml:space="preserve">an assessment </w:t>
      </w:r>
      <w:r w:rsidRPr="00CD646D">
        <w:rPr>
          <w:i/>
          <w:sz w:val="22"/>
        </w:rPr>
        <w:t>about how well they’</w:t>
      </w:r>
      <w:r w:rsidR="00B56566" w:rsidRPr="00CD646D">
        <w:rPr>
          <w:i/>
          <w:sz w:val="22"/>
        </w:rPr>
        <w:t>re controlled”.</w:t>
      </w:r>
      <w:r w:rsidR="008D2635" w:rsidRPr="00CD646D">
        <w:rPr>
          <w:i/>
          <w:sz w:val="22"/>
        </w:rPr>
        <w:t xml:space="preserve"> (Practice senior manager, interview).</w:t>
      </w:r>
    </w:p>
    <w:p w14:paraId="32F1F453" w14:textId="77777777" w:rsidR="008D2635" w:rsidRPr="00CD646D" w:rsidRDefault="008D2635" w:rsidP="00D4520D">
      <w:pPr>
        <w:rPr>
          <w:i/>
          <w:sz w:val="22"/>
        </w:rPr>
      </w:pPr>
    </w:p>
    <w:p w14:paraId="567A2E99" w14:textId="5D266B44" w:rsidR="00D23C5C" w:rsidRPr="00B8476F" w:rsidRDefault="00D23C5C" w:rsidP="00D4520D">
      <w:r w:rsidRPr="00B8476F">
        <w:t xml:space="preserve">Respondents varied in their views about the </w:t>
      </w:r>
      <w:r w:rsidRPr="001D6056">
        <w:rPr>
          <w:b/>
        </w:rPr>
        <w:t>age range</w:t>
      </w:r>
      <w:r w:rsidRPr="00B8476F">
        <w:t xml:space="preserve"> to include in the multimorbidity register definition (which was defined in the pilot as those aged 18 years and over), with 6/18 practices suggesting all patients should be eligible, 1 practice </w:t>
      </w:r>
      <w:r w:rsidR="009B55FB" w:rsidRPr="00B8476F">
        <w:t xml:space="preserve">was </w:t>
      </w:r>
      <w:r w:rsidRPr="00B8476F">
        <w:t>in agreement with the pilot def</w:t>
      </w:r>
      <w:r w:rsidR="001A5443">
        <w:t>inition and 1 practice proposed</w:t>
      </w:r>
      <w:r w:rsidRPr="00B8476F">
        <w:t xml:space="preserve"> that 18 years old was too young and the focus should be those aged 40 years and over. The remaining 10 practices did not comment.</w:t>
      </w:r>
    </w:p>
    <w:p w14:paraId="46DE6EB3" w14:textId="7E508AE6" w:rsidR="00397C25" w:rsidRPr="00CD646D" w:rsidRDefault="00397C25" w:rsidP="00397C25">
      <w:pPr>
        <w:rPr>
          <w:i/>
          <w:color w:val="000000" w:themeColor="text1"/>
          <w:sz w:val="22"/>
        </w:rPr>
      </w:pPr>
      <w:r w:rsidRPr="00CD646D">
        <w:rPr>
          <w:i/>
          <w:color w:val="000000" w:themeColor="text1"/>
          <w:sz w:val="22"/>
        </w:rPr>
        <w:t>“</w:t>
      </w:r>
      <w:r w:rsidR="009E5E6E" w:rsidRPr="00CD646D">
        <w:rPr>
          <w:i/>
          <w:color w:val="000000" w:themeColor="text1"/>
          <w:sz w:val="22"/>
        </w:rPr>
        <w:t>…</w:t>
      </w:r>
      <w:r w:rsidRPr="00CD646D">
        <w:rPr>
          <w:i/>
          <w:color w:val="000000" w:themeColor="text1"/>
          <w:sz w:val="22"/>
        </w:rPr>
        <w:t>I don’t see ther</w:t>
      </w:r>
      <w:r w:rsidR="009E5E6E" w:rsidRPr="00CD646D">
        <w:rPr>
          <w:i/>
          <w:color w:val="000000" w:themeColor="text1"/>
          <w:sz w:val="22"/>
        </w:rPr>
        <w:t>e needs to be a lower age limit because</w:t>
      </w:r>
      <w:r w:rsidRPr="00CD646D">
        <w:rPr>
          <w:i/>
          <w:color w:val="000000" w:themeColor="text1"/>
          <w:sz w:val="22"/>
        </w:rPr>
        <w:t xml:space="preserve"> if you meet the criteria, you meet the criteria. </w:t>
      </w:r>
      <w:r w:rsidR="009E5E6E" w:rsidRPr="00CD646D">
        <w:rPr>
          <w:i/>
          <w:color w:val="000000" w:themeColor="text1"/>
          <w:sz w:val="22"/>
        </w:rPr>
        <w:t>But I would also say that applies</w:t>
      </w:r>
      <w:r w:rsidRPr="00CD646D">
        <w:rPr>
          <w:i/>
          <w:color w:val="000000" w:themeColor="text1"/>
          <w:sz w:val="22"/>
        </w:rPr>
        <w:t xml:space="preserve"> to frailty as well</w:t>
      </w:r>
      <w:r w:rsidR="009E5E6E" w:rsidRPr="00CD646D">
        <w:rPr>
          <w:i/>
          <w:color w:val="000000" w:themeColor="text1"/>
          <w:sz w:val="22"/>
        </w:rPr>
        <w:t>…</w:t>
      </w:r>
      <w:r w:rsidR="00611DE2" w:rsidRPr="00CD646D">
        <w:rPr>
          <w:i/>
          <w:color w:val="000000" w:themeColor="text1"/>
          <w:sz w:val="22"/>
        </w:rPr>
        <w:t>”</w:t>
      </w:r>
      <w:r w:rsidRPr="00CD646D">
        <w:rPr>
          <w:i/>
          <w:color w:val="000000" w:themeColor="text1"/>
          <w:sz w:val="22"/>
        </w:rPr>
        <w:t xml:space="preserve"> (Practice manager, interview)</w:t>
      </w:r>
    </w:p>
    <w:p w14:paraId="6473BF92" w14:textId="77777777" w:rsidR="00397C25" w:rsidRPr="00CD646D" w:rsidRDefault="00397C25" w:rsidP="00397C25">
      <w:pPr>
        <w:rPr>
          <w:i/>
          <w:sz w:val="22"/>
        </w:rPr>
      </w:pPr>
    </w:p>
    <w:p w14:paraId="1F1CA64A" w14:textId="59563288" w:rsidR="00E61C0E" w:rsidRPr="00B8476F" w:rsidRDefault="00E61C0E" w:rsidP="00611DE2">
      <w:pPr>
        <w:pStyle w:val="Heading3"/>
      </w:pPr>
      <w:r w:rsidRPr="00B8476F">
        <w:lastRenderedPageBreak/>
        <w:t>Indicator 2 Frailty register</w:t>
      </w:r>
    </w:p>
    <w:p w14:paraId="57A8838E" w14:textId="77C7EACD" w:rsidR="00D06C2A" w:rsidRDefault="00D06C2A" w:rsidP="00611DE2">
      <w:pPr>
        <w:pStyle w:val="Heading4"/>
      </w:pPr>
      <w:r>
        <w:t>Acceptability</w:t>
      </w:r>
    </w:p>
    <w:p w14:paraId="21080F9A" w14:textId="5BC1FF3F" w:rsidR="00611DE2" w:rsidRDefault="000537D4" w:rsidP="00BE1499">
      <w:r w:rsidRPr="00B8476F">
        <w:t>Two-thirds of survey respondents (66%, 21) thought that the frailty register could make the quality of care for patients better</w:t>
      </w:r>
      <w:r w:rsidR="00104D68">
        <w:t>;</w:t>
      </w:r>
      <w:r w:rsidRPr="00B8476F">
        <w:t xml:space="preserve"> however a further 10 respondents </w:t>
      </w:r>
      <w:r w:rsidR="00E331E6">
        <w:t xml:space="preserve">(31%) </w:t>
      </w:r>
      <w:r w:rsidRPr="00B8476F">
        <w:t xml:space="preserve">were unsure. </w:t>
      </w:r>
    </w:p>
    <w:p w14:paraId="4C14B749" w14:textId="4D4B45CF" w:rsidR="00BE1499" w:rsidRPr="00CD646D" w:rsidRDefault="00BE1499" w:rsidP="00BE1499">
      <w:pPr>
        <w:rPr>
          <w:i/>
          <w:sz w:val="22"/>
        </w:rPr>
      </w:pPr>
      <w:r w:rsidRPr="00CD646D">
        <w:rPr>
          <w:i/>
          <w:sz w:val="22"/>
        </w:rPr>
        <w:t>“Assessing frailty gave a timely prompt for an over 75 check and medication review”. (GP, survey)</w:t>
      </w:r>
    </w:p>
    <w:p w14:paraId="5A5D65BC" w14:textId="77777777" w:rsidR="00BE1499" w:rsidRDefault="00BE1499" w:rsidP="00E61C0E"/>
    <w:p w14:paraId="32EFEEB7" w14:textId="39A5B0C8" w:rsidR="00D06C2A" w:rsidRPr="00B8476F" w:rsidRDefault="00D06C2A" w:rsidP="00611DE2">
      <w:pPr>
        <w:pStyle w:val="Heading4"/>
      </w:pPr>
      <w:r>
        <w:t>Feasibility and reliability</w:t>
      </w:r>
    </w:p>
    <w:p w14:paraId="70BC3F38" w14:textId="2F434D4B" w:rsidR="00131E43" w:rsidRDefault="00E928B1" w:rsidP="003745E5">
      <w:r>
        <w:t xml:space="preserve">Concerns </w:t>
      </w:r>
      <w:r w:rsidR="00763A3F">
        <w:t xml:space="preserve">were raised by respondents </w:t>
      </w:r>
      <w:r w:rsidR="00131E43">
        <w:t xml:space="preserve">about the </w:t>
      </w:r>
      <w:r w:rsidR="00763A3F" w:rsidRPr="001D6056">
        <w:rPr>
          <w:b/>
        </w:rPr>
        <w:t>process</w:t>
      </w:r>
      <w:r w:rsidR="00131E43" w:rsidRPr="001D6056">
        <w:rPr>
          <w:b/>
        </w:rPr>
        <w:t xml:space="preserve"> of producing </w:t>
      </w:r>
      <w:r w:rsidR="00763A3F" w:rsidRPr="001D6056">
        <w:rPr>
          <w:b/>
        </w:rPr>
        <w:t>the register</w:t>
      </w:r>
      <w:r w:rsidR="00763A3F">
        <w:t>.</w:t>
      </w:r>
    </w:p>
    <w:p w14:paraId="5C66D43F" w14:textId="77777777" w:rsidR="00E928B1" w:rsidRPr="00CD646D" w:rsidRDefault="00E928B1" w:rsidP="00E928B1">
      <w:pPr>
        <w:rPr>
          <w:i/>
          <w:sz w:val="22"/>
        </w:rPr>
      </w:pPr>
      <w:r w:rsidRPr="00CD646D">
        <w:rPr>
          <w:i/>
          <w:sz w:val="22"/>
        </w:rPr>
        <w:t xml:space="preserve">“When we ran the frailty searches we were coming up with far too many people… there were two people that were actually working still”. (GP and Practice Manager, interview) </w:t>
      </w:r>
    </w:p>
    <w:p w14:paraId="4A9D5E88" w14:textId="77777777" w:rsidR="00611DE2" w:rsidRPr="00CD646D" w:rsidRDefault="00E928B1" w:rsidP="00552705">
      <w:pPr>
        <w:rPr>
          <w:i/>
          <w:sz w:val="22"/>
        </w:rPr>
      </w:pPr>
      <w:r w:rsidRPr="00CD646D">
        <w:rPr>
          <w:i/>
          <w:sz w:val="22"/>
        </w:rPr>
        <w:t>“The Read codes used were challenging and how it fits alongside both community and practice based frailty services”. (GP, survey)</w:t>
      </w:r>
    </w:p>
    <w:p w14:paraId="3F81798C" w14:textId="124054F6" w:rsidR="00552705" w:rsidRPr="00CD646D" w:rsidRDefault="00552705" w:rsidP="00552705">
      <w:pPr>
        <w:rPr>
          <w:i/>
          <w:sz w:val="22"/>
        </w:rPr>
      </w:pPr>
      <w:r w:rsidRPr="00CD646D">
        <w:rPr>
          <w:i/>
          <w:sz w:val="22"/>
        </w:rPr>
        <w:t>“Searches showed larger number of "frail" than expected”. (GP, survey)</w:t>
      </w:r>
    </w:p>
    <w:p w14:paraId="490814C5" w14:textId="77777777" w:rsidR="00611DE2" w:rsidRDefault="00611DE2" w:rsidP="003745E5"/>
    <w:p w14:paraId="7B71F893" w14:textId="77777777" w:rsidR="00611DE2" w:rsidRDefault="003745E5" w:rsidP="00104D68">
      <w:r w:rsidRPr="00B8476F">
        <w:t xml:space="preserve">Comments and concerns were raised about what practices do if the level of frailty for a patient improves and they ‘come off the list’, and the accuracy of the level of frailty calculated for some patients, some of which was linked to clinical coding issues due to patients transferring from a practice with a different clinical system. </w:t>
      </w:r>
      <w:r w:rsidR="00611DE2">
        <w:t xml:space="preserve"> </w:t>
      </w:r>
    </w:p>
    <w:p w14:paraId="12452E68" w14:textId="77777777" w:rsidR="00611DE2" w:rsidRPr="00CD646D" w:rsidRDefault="00104D68" w:rsidP="003745E5">
      <w:pPr>
        <w:rPr>
          <w:i/>
          <w:sz w:val="22"/>
        </w:rPr>
      </w:pPr>
      <w:r w:rsidRPr="00CD646D">
        <w:rPr>
          <w:i/>
          <w:sz w:val="22"/>
        </w:rPr>
        <w:t>“</w:t>
      </w:r>
      <w:r w:rsidR="00990A4F" w:rsidRPr="00CD646D">
        <w:rPr>
          <w:i/>
          <w:sz w:val="22"/>
        </w:rPr>
        <w:t>…Not everyone understands the concept of frailty, how you score frailty….we don’t know what frailty is enough in the team. We need to work harder on that</w:t>
      </w:r>
      <w:r w:rsidR="00611DE2" w:rsidRPr="00CD646D">
        <w:rPr>
          <w:i/>
          <w:sz w:val="22"/>
        </w:rPr>
        <w:t>”. (GP, interview)</w:t>
      </w:r>
    </w:p>
    <w:p w14:paraId="3AD3CC23" w14:textId="031211D8" w:rsidR="003745E5" w:rsidRPr="00B8476F" w:rsidRDefault="003745E5" w:rsidP="003745E5">
      <w:r w:rsidRPr="00A1775E">
        <w:t xml:space="preserve">It </w:t>
      </w:r>
      <w:r>
        <w:t>was also not clear from some practice comments whether they had</w:t>
      </w:r>
      <w:r w:rsidRPr="00A1775E">
        <w:t xml:space="preserve"> based frailty severity </w:t>
      </w:r>
      <w:r>
        <w:t>assessments</w:t>
      </w:r>
      <w:r w:rsidRPr="00A1775E">
        <w:t xml:space="preserve"> solely on the results of a frailty risk stratification tool without </w:t>
      </w:r>
      <w:r w:rsidRPr="001D6056">
        <w:rPr>
          <w:b/>
        </w:rPr>
        <w:t>applying clinical judgement</w:t>
      </w:r>
      <w:r w:rsidRPr="00A1775E">
        <w:t xml:space="preserve"> to confirm the </w:t>
      </w:r>
      <w:r>
        <w:t>assessment</w:t>
      </w:r>
      <w:r w:rsidRPr="00A1775E">
        <w:t>.</w:t>
      </w:r>
    </w:p>
    <w:p w14:paraId="6A4B1BFA" w14:textId="5EA57604" w:rsidR="003745E5" w:rsidRPr="00CD646D" w:rsidRDefault="003745E5" w:rsidP="003745E5">
      <w:pPr>
        <w:rPr>
          <w:i/>
          <w:sz w:val="22"/>
        </w:rPr>
      </w:pPr>
      <w:r w:rsidRPr="00CD646D">
        <w:rPr>
          <w:i/>
          <w:sz w:val="22"/>
        </w:rPr>
        <w:t>“</w:t>
      </w:r>
      <w:r w:rsidR="009E5E6E" w:rsidRPr="00CD646D">
        <w:rPr>
          <w:i/>
          <w:sz w:val="22"/>
        </w:rPr>
        <w:t>Our (f</w:t>
      </w:r>
      <w:r w:rsidRPr="00CD646D">
        <w:rPr>
          <w:i/>
          <w:sz w:val="22"/>
        </w:rPr>
        <w:t>railty</w:t>
      </w:r>
      <w:r w:rsidR="009E5E6E" w:rsidRPr="00CD646D">
        <w:rPr>
          <w:i/>
          <w:sz w:val="22"/>
        </w:rPr>
        <w:t>)</w:t>
      </w:r>
      <w:r w:rsidRPr="00CD646D">
        <w:rPr>
          <w:i/>
          <w:sz w:val="22"/>
        </w:rPr>
        <w:t xml:space="preserve"> calculator</w:t>
      </w:r>
      <w:r w:rsidR="009E5E6E" w:rsidRPr="00CD646D">
        <w:rPr>
          <w:i/>
          <w:sz w:val="22"/>
        </w:rPr>
        <w:t xml:space="preserve"> sits there and it</w:t>
      </w:r>
      <w:r w:rsidRPr="00CD646D">
        <w:rPr>
          <w:i/>
          <w:sz w:val="22"/>
        </w:rPr>
        <w:t xml:space="preserve"> gives me the territories</w:t>
      </w:r>
      <w:r w:rsidR="009E5E6E" w:rsidRPr="00CD646D">
        <w:rPr>
          <w:i/>
          <w:sz w:val="22"/>
        </w:rPr>
        <w:t>,</w:t>
      </w:r>
      <w:r w:rsidRPr="00CD646D">
        <w:rPr>
          <w:i/>
          <w:sz w:val="22"/>
        </w:rPr>
        <w:t xml:space="preserve"> but</w:t>
      </w:r>
      <w:r w:rsidR="009E5E6E" w:rsidRPr="00CD646D">
        <w:rPr>
          <w:i/>
          <w:sz w:val="22"/>
        </w:rPr>
        <w:t xml:space="preserve"> then it doesn’t </w:t>
      </w:r>
      <w:r w:rsidRPr="00CD646D">
        <w:rPr>
          <w:i/>
          <w:sz w:val="22"/>
        </w:rPr>
        <w:t>actually just label them for frailty</w:t>
      </w:r>
      <w:r w:rsidR="009E5E6E" w:rsidRPr="00CD646D">
        <w:rPr>
          <w:i/>
          <w:sz w:val="22"/>
        </w:rPr>
        <w:t>….But you know i</w:t>
      </w:r>
      <w:r w:rsidRPr="00CD646D">
        <w:rPr>
          <w:i/>
          <w:sz w:val="22"/>
        </w:rPr>
        <w:t>f you sit and ask them</w:t>
      </w:r>
      <w:r w:rsidR="009E5E6E" w:rsidRPr="00CD646D">
        <w:rPr>
          <w:i/>
          <w:sz w:val="22"/>
        </w:rPr>
        <w:t xml:space="preserve"> (the patient)</w:t>
      </w:r>
      <w:r w:rsidRPr="00CD646D">
        <w:rPr>
          <w:i/>
          <w:sz w:val="22"/>
        </w:rPr>
        <w:t>, they’re not that frail</w:t>
      </w:r>
      <w:r w:rsidR="009E5E6E" w:rsidRPr="00CD646D">
        <w:rPr>
          <w:i/>
          <w:sz w:val="22"/>
        </w:rPr>
        <w:t>. Y</w:t>
      </w:r>
      <w:r w:rsidRPr="00CD646D">
        <w:rPr>
          <w:i/>
          <w:sz w:val="22"/>
        </w:rPr>
        <w:t xml:space="preserve">ou could </w:t>
      </w:r>
      <w:r w:rsidR="009E5E6E" w:rsidRPr="00CD646D">
        <w:rPr>
          <w:i/>
          <w:sz w:val="22"/>
        </w:rPr>
        <w:t xml:space="preserve">then </w:t>
      </w:r>
      <w:r w:rsidRPr="00CD646D">
        <w:rPr>
          <w:i/>
          <w:sz w:val="22"/>
        </w:rPr>
        <w:t>downgrade them a level. Or if they were sicker</w:t>
      </w:r>
      <w:r w:rsidR="009E5E6E" w:rsidRPr="00CD646D">
        <w:rPr>
          <w:i/>
          <w:sz w:val="22"/>
        </w:rPr>
        <w:t xml:space="preserve"> than they actually appeared</w:t>
      </w:r>
      <w:r w:rsidRPr="00CD646D">
        <w:rPr>
          <w:i/>
          <w:sz w:val="22"/>
        </w:rPr>
        <w:t xml:space="preserve">, you could </w:t>
      </w:r>
      <w:r w:rsidR="009E5E6E" w:rsidRPr="00CD646D">
        <w:rPr>
          <w:i/>
          <w:sz w:val="22"/>
        </w:rPr>
        <w:t xml:space="preserve">then </w:t>
      </w:r>
      <w:r w:rsidRPr="00CD646D">
        <w:rPr>
          <w:i/>
          <w:sz w:val="22"/>
        </w:rPr>
        <w:t>make them more severe. You have to go through (the coding) and find out what is going on to generate the severity level”. (GP, interview)</w:t>
      </w:r>
    </w:p>
    <w:p w14:paraId="37EDA2C3" w14:textId="18DE4695" w:rsidR="00A2609E" w:rsidRPr="00CD646D" w:rsidRDefault="00A2609E" w:rsidP="00A2609E">
      <w:pPr>
        <w:rPr>
          <w:i/>
          <w:sz w:val="22"/>
        </w:rPr>
      </w:pPr>
      <w:r w:rsidRPr="00B8476F">
        <w:lastRenderedPageBreak/>
        <w:t xml:space="preserve">One practice suggested that there </w:t>
      </w:r>
      <w:r w:rsidR="00104D68">
        <w:t>should be</w:t>
      </w:r>
      <w:r w:rsidRPr="00B8476F">
        <w:t xml:space="preserve"> a focus on patients with moderate frailty with a score closer to the severe end of the scale, and to prioritise those where the severity score has changed. </w:t>
      </w:r>
    </w:p>
    <w:p w14:paraId="3289F06D" w14:textId="4CD1D380" w:rsidR="00A2609E" w:rsidRPr="00CD646D" w:rsidRDefault="00A2609E" w:rsidP="00A2609E">
      <w:pPr>
        <w:rPr>
          <w:i/>
          <w:sz w:val="22"/>
        </w:rPr>
      </w:pPr>
      <w:r w:rsidRPr="00CD646D">
        <w:rPr>
          <w:i/>
          <w:sz w:val="22"/>
        </w:rPr>
        <w:t>“</w:t>
      </w:r>
      <w:r w:rsidR="009E5E6E" w:rsidRPr="00CD646D">
        <w:rPr>
          <w:i/>
          <w:sz w:val="22"/>
        </w:rPr>
        <w:t>…</w:t>
      </w:r>
      <w:r w:rsidRPr="00CD646D">
        <w:rPr>
          <w:i/>
          <w:sz w:val="22"/>
        </w:rPr>
        <w:t>Sometimes you look at the people who are being put on the moderate and they could go on the severe…. Because I know them”. (GP, interview)</w:t>
      </w:r>
    </w:p>
    <w:p w14:paraId="70D95A6A" w14:textId="6E517E74" w:rsidR="00A2609E" w:rsidRPr="00CD646D" w:rsidRDefault="00A2609E" w:rsidP="00A2609E">
      <w:pPr>
        <w:rPr>
          <w:i/>
          <w:sz w:val="22"/>
        </w:rPr>
      </w:pPr>
      <w:r w:rsidRPr="00CD646D">
        <w:rPr>
          <w:i/>
          <w:sz w:val="22"/>
        </w:rPr>
        <w:t xml:space="preserve"> “I think it’s identifying them (moderate frailty) that’s the issue </w:t>
      </w:r>
      <w:r w:rsidR="00990A4F" w:rsidRPr="00CD646D">
        <w:rPr>
          <w:i/>
          <w:sz w:val="22"/>
        </w:rPr>
        <w:t>…</w:t>
      </w:r>
      <w:r w:rsidRPr="00CD646D">
        <w:rPr>
          <w:i/>
          <w:sz w:val="22"/>
        </w:rPr>
        <w:t>and coming up with th</w:t>
      </w:r>
      <w:r w:rsidR="00990A4F" w:rsidRPr="00CD646D">
        <w:rPr>
          <w:i/>
          <w:sz w:val="22"/>
        </w:rPr>
        <w:t>e register…c</w:t>
      </w:r>
      <w:r w:rsidRPr="00CD646D">
        <w:rPr>
          <w:i/>
          <w:sz w:val="22"/>
        </w:rPr>
        <w:t>oming up with an accurate register would be my main issue to get sorted before we can move on</w:t>
      </w:r>
      <w:r w:rsidR="00990A4F" w:rsidRPr="00CD646D">
        <w:rPr>
          <w:i/>
          <w:sz w:val="22"/>
        </w:rPr>
        <w:t xml:space="preserve"> with it</w:t>
      </w:r>
      <w:r w:rsidRPr="00CD646D">
        <w:rPr>
          <w:i/>
          <w:sz w:val="22"/>
        </w:rPr>
        <w:t>”. (Practice manager, interview)</w:t>
      </w:r>
    </w:p>
    <w:p w14:paraId="5D6E8606" w14:textId="7708EFB8" w:rsidR="00A2609E" w:rsidRPr="00CD646D" w:rsidRDefault="00A2609E" w:rsidP="00A2609E">
      <w:pPr>
        <w:rPr>
          <w:i/>
          <w:sz w:val="22"/>
        </w:rPr>
      </w:pPr>
      <w:r w:rsidRPr="00CD646D">
        <w:rPr>
          <w:i/>
          <w:sz w:val="22"/>
        </w:rPr>
        <w:t>“</w:t>
      </w:r>
      <w:r w:rsidR="00990A4F" w:rsidRPr="00CD646D">
        <w:rPr>
          <w:i/>
          <w:sz w:val="22"/>
        </w:rPr>
        <w:t>…</w:t>
      </w:r>
      <w:r w:rsidRPr="00CD646D">
        <w:rPr>
          <w:i/>
          <w:sz w:val="22"/>
        </w:rPr>
        <w:t>Trying to identify people with the appropriate level of frailty from some of the EMIS codes was pretty useless at best”. (GP, interview)</w:t>
      </w:r>
    </w:p>
    <w:p w14:paraId="4B87BA4D" w14:textId="77777777" w:rsidR="00D06C2A" w:rsidRDefault="00D06C2A" w:rsidP="00E61C0E"/>
    <w:p w14:paraId="3102F151" w14:textId="1F8F234C" w:rsidR="00D06C2A" w:rsidRDefault="00D06C2A" w:rsidP="00611DE2">
      <w:pPr>
        <w:pStyle w:val="Heading4"/>
      </w:pPr>
      <w:r>
        <w:t>Suggested amendments to indicator definition</w:t>
      </w:r>
      <w:r w:rsidR="00FB7062">
        <w:t xml:space="preserve"> (including wording)</w:t>
      </w:r>
    </w:p>
    <w:p w14:paraId="3FDDFF24" w14:textId="254498C7" w:rsidR="0007672C" w:rsidRPr="00B8476F" w:rsidRDefault="00C5543C" w:rsidP="00E61C0E">
      <w:r w:rsidRPr="00B8476F">
        <w:t xml:space="preserve">Of the 18 practices interviewed on this topic, 9 (50%) agreed that both moderate and severely frail patients should be included in the register, </w:t>
      </w:r>
      <w:r w:rsidR="00F93DC3">
        <w:t>with one of these suggesting</w:t>
      </w:r>
      <w:r w:rsidRPr="00B8476F">
        <w:t xml:space="preserve"> that mild frailty could also be included</w:t>
      </w:r>
      <w:r w:rsidR="00F93DC3">
        <w:t>. One practice was unsure and a</w:t>
      </w:r>
      <w:r w:rsidRPr="00B8476F">
        <w:t>nother stated that they agreed</w:t>
      </w:r>
      <w:r w:rsidR="0059571E" w:rsidRPr="00B8476F">
        <w:t xml:space="preserve"> with the definition</w:t>
      </w:r>
      <w:r w:rsidRPr="00B8476F">
        <w:t xml:space="preserve"> in principle but not in practice</w:t>
      </w:r>
      <w:r w:rsidR="009B1519">
        <w:t xml:space="preserve"> due to the potential size of the register</w:t>
      </w:r>
      <w:r w:rsidRPr="00B8476F">
        <w:t xml:space="preserve">. Six practices </w:t>
      </w:r>
      <w:r w:rsidR="00D06C2A" w:rsidRPr="00FB7062">
        <w:t>(</w:t>
      </w:r>
      <w:r w:rsidR="00FB7062" w:rsidRPr="00FB7062">
        <w:t>33</w:t>
      </w:r>
      <w:r w:rsidR="00D06C2A" w:rsidRPr="00FB7062">
        <w:t>%)</w:t>
      </w:r>
      <w:r w:rsidR="00D06C2A">
        <w:t xml:space="preserve"> </w:t>
      </w:r>
      <w:r w:rsidR="0059571E" w:rsidRPr="00B8476F">
        <w:t>propos</w:t>
      </w:r>
      <w:r w:rsidRPr="00B8476F">
        <w:t>ed that moderate frailty was not included</w:t>
      </w:r>
      <w:r w:rsidR="00F93DC3">
        <w:t xml:space="preserve">, reasons </w:t>
      </w:r>
      <w:r w:rsidR="00D06C2A">
        <w:t xml:space="preserve">given </w:t>
      </w:r>
      <w:r w:rsidR="00F93DC3">
        <w:t>for this were t</w:t>
      </w:r>
      <w:r w:rsidRPr="00B8476F">
        <w:t xml:space="preserve">he potentially large increase in the register size and impact on practice time, including </w:t>
      </w:r>
      <w:r w:rsidRPr="00D06C2A">
        <w:t>admin</w:t>
      </w:r>
      <w:r w:rsidR="00D06C2A">
        <w:t>istration</w:t>
      </w:r>
      <w:r w:rsidRPr="00B8476F">
        <w:t xml:space="preserve"> time to identify the patients and the additional appointments required </w:t>
      </w:r>
      <w:r w:rsidR="0007672C" w:rsidRPr="00B8476F">
        <w:t xml:space="preserve">for patients </w:t>
      </w:r>
      <w:r w:rsidRPr="00B8476F">
        <w:t>(unless there was a significant uplift in funding).</w:t>
      </w:r>
      <w:r w:rsidR="0007672C" w:rsidRPr="00B8476F">
        <w:t xml:space="preserve"> </w:t>
      </w:r>
    </w:p>
    <w:p w14:paraId="76F66912" w14:textId="77777777" w:rsidR="00211170" w:rsidRDefault="00211170" w:rsidP="00211170">
      <w:r>
        <w:t>Two practices suggested that the register definitions were further refined to focus on the people that are going to most benefit, and potentially to exclude those at the end stage of life. A preventative approach was acknowledged, in order to care for the patient before they become ill.</w:t>
      </w:r>
    </w:p>
    <w:p w14:paraId="590A8275" w14:textId="77777777" w:rsidR="00195E0D" w:rsidRDefault="00195E0D" w:rsidP="00211170"/>
    <w:p w14:paraId="2F81A0BD" w14:textId="2246912E" w:rsidR="003B5A18" w:rsidRPr="00B8476F" w:rsidRDefault="009B1519" w:rsidP="00E61C0E">
      <w:r>
        <w:t>In the interviews, w</w:t>
      </w:r>
      <w:r w:rsidR="00670453" w:rsidRPr="00B8476F">
        <w:t xml:space="preserve">hen asked their views regarding a </w:t>
      </w:r>
      <w:r w:rsidR="00670453" w:rsidRPr="001D6056">
        <w:rPr>
          <w:b/>
        </w:rPr>
        <w:t>combined multimorbidity and frailty register</w:t>
      </w:r>
      <w:r w:rsidR="00670453" w:rsidRPr="00B8476F">
        <w:t xml:space="preserve">, </w:t>
      </w:r>
      <w:r w:rsidR="00A2609E">
        <w:t xml:space="preserve">rather than the </w:t>
      </w:r>
      <w:r w:rsidR="00670453" w:rsidRPr="00B8476F">
        <w:t>two separate registers</w:t>
      </w:r>
      <w:r w:rsidR="00A2609E">
        <w:t xml:space="preserve"> piloted</w:t>
      </w:r>
      <w:r w:rsidR="00670453" w:rsidRPr="00B8476F">
        <w:t xml:space="preserve">, practices varied in their opinion. Six practices </w:t>
      </w:r>
      <w:r w:rsidR="00A2609E">
        <w:t>(</w:t>
      </w:r>
      <w:r w:rsidR="00833E37" w:rsidRPr="00833E37">
        <w:t>33</w:t>
      </w:r>
      <w:r w:rsidR="00A2609E" w:rsidRPr="00833E37">
        <w:t>%</w:t>
      </w:r>
      <w:r w:rsidR="00A2609E">
        <w:t xml:space="preserve">) </w:t>
      </w:r>
      <w:r w:rsidR="00670453" w:rsidRPr="00B8476F">
        <w:t xml:space="preserve">preferred two separate registers, a further 7 </w:t>
      </w:r>
      <w:r w:rsidR="00A2609E">
        <w:t>(</w:t>
      </w:r>
      <w:r w:rsidR="00833E37" w:rsidRPr="00833E37">
        <w:t>39</w:t>
      </w:r>
      <w:r w:rsidR="00A2609E" w:rsidRPr="00833E37">
        <w:t>%</w:t>
      </w:r>
      <w:r w:rsidR="00A2609E">
        <w:t xml:space="preserve">) </w:t>
      </w:r>
      <w:r w:rsidR="00670453" w:rsidRPr="00B8476F">
        <w:t>prac</w:t>
      </w:r>
      <w:r w:rsidR="001F3F33">
        <w:t>tices wanted a</w:t>
      </w:r>
      <w:r w:rsidR="00670453" w:rsidRPr="00B8476F">
        <w:t xml:space="preserve"> combined multimorbidity and frailty register and 3 practices raised concerns about the potential size of any combined register due to patient numbers. </w:t>
      </w:r>
      <w:r w:rsidR="00670453" w:rsidRPr="00B8476F">
        <w:lastRenderedPageBreak/>
        <w:t>One practice did not have a strong opinion and the remaining practice did not comment.</w:t>
      </w:r>
    </w:p>
    <w:p w14:paraId="6262CA9F" w14:textId="4E896D7B" w:rsidR="005264F7" w:rsidRPr="00B8476F" w:rsidRDefault="005264F7" w:rsidP="00E61C0E">
      <w:r w:rsidRPr="00B8476F">
        <w:t xml:space="preserve">Suggested benefits for having a single multimorbidity </w:t>
      </w:r>
      <w:r w:rsidR="00280844" w:rsidRPr="00B8476F">
        <w:t xml:space="preserve">and frailty </w:t>
      </w:r>
      <w:r w:rsidRPr="00B8476F">
        <w:t>register included practices being able to manage the patients together as one list</w:t>
      </w:r>
      <w:r w:rsidR="00AB5EB8" w:rsidRPr="00B8476F">
        <w:t xml:space="preserve">, which helped with a multidisciplinary </w:t>
      </w:r>
      <w:r w:rsidR="00E44118" w:rsidRPr="00B8476F">
        <w:t xml:space="preserve">or holistic </w:t>
      </w:r>
      <w:r w:rsidR="00AB5EB8" w:rsidRPr="00B8476F">
        <w:t>approach to care</w:t>
      </w:r>
      <w:r w:rsidR="00B17756">
        <w:t xml:space="preserve"> and with the patient/GP relationship</w:t>
      </w:r>
      <w:r w:rsidR="00A2609E">
        <w:t>;</w:t>
      </w:r>
      <w:r w:rsidR="00B17756">
        <w:t xml:space="preserve"> </w:t>
      </w:r>
      <w:r w:rsidR="00D719EF">
        <w:t>one register was considered</w:t>
      </w:r>
      <w:r w:rsidR="00B17756">
        <w:t xml:space="preserve"> </w:t>
      </w:r>
      <w:r w:rsidR="00833E37">
        <w:t xml:space="preserve">by those in favour </w:t>
      </w:r>
      <w:r w:rsidR="00B17756">
        <w:t>to be a more</w:t>
      </w:r>
      <w:r w:rsidR="008D5B71">
        <w:t xml:space="preserve"> efficient use of resources</w:t>
      </w:r>
      <w:r w:rsidR="00AB5EB8" w:rsidRPr="00B8476F">
        <w:t>, and that this would prioritise those with most need.</w:t>
      </w:r>
    </w:p>
    <w:p w14:paraId="71DF9837" w14:textId="271DF6DA" w:rsidR="00E44118" w:rsidRPr="00CD646D" w:rsidRDefault="00E44118" w:rsidP="00E44118">
      <w:pPr>
        <w:rPr>
          <w:i/>
          <w:sz w:val="22"/>
        </w:rPr>
      </w:pPr>
      <w:r w:rsidRPr="00CD646D">
        <w:rPr>
          <w:i/>
          <w:sz w:val="22"/>
        </w:rPr>
        <w:t xml:space="preserve">“I think a combined </w:t>
      </w:r>
      <w:r w:rsidR="004A40A4" w:rsidRPr="00CD646D">
        <w:rPr>
          <w:i/>
          <w:sz w:val="22"/>
        </w:rPr>
        <w:t>one (</w:t>
      </w:r>
      <w:r w:rsidRPr="00CD646D">
        <w:rPr>
          <w:i/>
          <w:sz w:val="22"/>
        </w:rPr>
        <w:t>register</w:t>
      </w:r>
      <w:r w:rsidR="004A40A4" w:rsidRPr="00CD646D">
        <w:rPr>
          <w:i/>
          <w:sz w:val="22"/>
        </w:rPr>
        <w:t>) is probably the most used….</w:t>
      </w:r>
      <w:r w:rsidRPr="00CD646D">
        <w:rPr>
          <w:i/>
          <w:sz w:val="22"/>
        </w:rPr>
        <w:t xml:space="preserve"> they can have multiple diseases yet be fine, but</w:t>
      </w:r>
      <w:r w:rsidR="004A40A4" w:rsidRPr="00CD646D">
        <w:rPr>
          <w:i/>
          <w:sz w:val="22"/>
        </w:rPr>
        <w:t xml:space="preserve"> then when you start adding age…adding they</w:t>
      </w:r>
      <w:r w:rsidRPr="00CD646D">
        <w:rPr>
          <w:i/>
          <w:sz w:val="22"/>
        </w:rPr>
        <w:t xml:space="preserve"> have to use </w:t>
      </w:r>
      <w:r w:rsidR="004A40A4" w:rsidRPr="00CD646D">
        <w:rPr>
          <w:i/>
          <w:sz w:val="22"/>
        </w:rPr>
        <w:t>aids to walk</w:t>
      </w:r>
      <w:r w:rsidRPr="00CD646D">
        <w:rPr>
          <w:i/>
          <w:sz w:val="22"/>
        </w:rPr>
        <w:t>,</w:t>
      </w:r>
      <w:r w:rsidR="004A40A4" w:rsidRPr="00CD646D">
        <w:rPr>
          <w:i/>
          <w:sz w:val="22"/>
        </w:rPr>
        <w:t xml:space="preserve"> well,</w:t>
      </w:r>
      <w:r w:rsidRPr="00CD646D">
        <w:rPr>
          <w:i/>
          <w:sz w:val="22"/>
        </w:rPr>
        <w:t xml:space="preserve"> then all of a sudden they are far sicker</w:t>
      </w:r>
      <w:r w:rsidR="004A40A4" w:rsidRPr="00CD646D">
        <w:rPr>
          <w:i/>
          <w:sz w:val="22"/>
        </w:rPr>
        <w:t>…</w:t>
      </w:r>
      <w:r w:rsidRPr="00CD646D">
        <w:rPr>
          <w:i/>
          <w:sz w:val="22"/>
        </w:rPr>
        <w:t>”. (GP, interview)</w:t>
      </w:r>
    </w:p>
    <w:p w14:paraId="69FA796A" w14:textId="354063E5" w:rsidR="00C41AD4" w:rsidRPr="00CD646D" w:rsidRDefault="00C41AD4" w:rsidP="00E44118">
      <w:pPr>
        <w:rPr>
          <w:i/>
          <w:sz w:val="22"/>
        </w:rPr>
      </w:pPr>
      <w:r w:rsidRPr="00CD646D">
        <w:rPr>
          <w:i/>
          <w:sz w:val="22"/>
        </w:rPr>
        <w:t>“</w:t>
      </w:r>
      <w:r w:rsidR="004A40A4" w:rsidRPr="00CD646D">
        <w:rPr>
          <w:i/>
          <w:sz w:val="22"/>
        </w:rPr>
        <w:t>…</w:t>
      </w:r>
      <w:r w:rsidRPr="00CD646D">
        <w:rPr>
          <w:i/>
          <w:sz w:val="22"/>
        </w:rPr>
        <w:t xml:space="preserve">If a frailty assessment is tagged on to the multimorbidity, </w:t>
      </w:r>
      <w:r w:rsidR="004A40A4" w:rsidRPr="00CD646D">
        <w:rPr>
          <w:i/>
          <w:sz w:val="22"/>
        </w:rPr>
        <w:t xml:space="preserve">they will come to see </w:t>
      </w:r>
      <w:r w:rsidRPr="00CD646D">
        <w:rPr>
          <w:i/>
          <w:sz w:val="22"/>
        </w:rPr>
        <w:t xml:space="preserve">a nurse practitioner </w:t>
      </w:r>
      <w:r w:rsidR="004A40A4" w:rsidRPr="00CD646D">
        <w:rPr>
          <w:i/>
          <w:sz w:val="22"/>
        </w:rPr>
        <w:t xml:space="preserve">who </w:t>
      </w:r>
      <w:r w:rsidRPr="00CD646D">
        <w:rPr>
          <w:i/>
          <w:sz w:val="22"/>
        </w:rPr>
        <w:t>would do a full frailty assessment parallel to the multimorbidity review and have a</w:t>
      </w:r>
      <w:r w:rsidR="004A40A4" w:rsidRPr="00CD646D">
        <w:rPr>
          <w:i/>
          <w:sz w:val="22"/>
        </w:rPr>
        <w:t xml:space="preserve"> more comprehensive assessment….that would mean that you’ve looked at all of it</w:t>
      </w:r>
      <w:r w:rsidRPr="00CD646D">
        <w:rPr>
          <w:i/>
          <w:sz w:val="22"/>
        </w:rPr>
        <w:t xml:space="preserve"> in a nutshell at lea</w:t>
      </w:r>
      <w:r w:rsidR="004A40A4" w:rsidRPr="00CD646D">
        <w:rPr>
          <w:i/>
          <w:sz w:val="22"/>
        </w:rPr>
        <w:t>st on an annual basis and mad</w:t>
      </w:r>
      <w:r w:rsidRPr="00CD646D">
        <w:rPr>
          <w:i/>
          <w:sz w:val="22"/>
        </w:rPr>
        <w:t xml:space="preserve">e sure </w:t>
      </w:r>
      <w:r w:rsidR="004A40A4" w:rsidRPr="00CD646D">
        <w:rPr>
          <w:i/>
          <w:sz w:val="22"/>
        </w:rPr>
        <w:t xml:space="preserve">that </w:t>
      </w:r>
      <w:r w:rsidRPr="00CD646D">
        <w:rPr>
          <w:i/>
          <w:sz w:val="22"/>
        </w:rPr>
        <w:t>the person is ok</w:t>
      </w:r>
      <w:r w:rsidR="004A40A4" w:rsidRPr="00CD646D">
        <w:rPr>
          <w:i/>
          <w:sz w:val="22"/>
        </w:rPr>
        <w:t>ay…</w:t>
      </w:r>
      <w:r w:rsidRPr="00CD646D">
        <w:rPr>
          <w:i/>
          <w:sz w:val="22"/>
        </w:rPr>
        <w:t>”. (GP, interview)</w:t>
      </w:r>
    </w:p>
    <w:p w14:paraId="5592EAB3" w14:textId="5113BC3B" w:rsidR="00E44118" w:rsidRPr="00B8476F" w:rsidRDefault="00E44118" w:rsidP="00E61C0E">
      <w:r w:rsidRPr="00B8476F">
        <w:t>The rationale for supporting two separate registers included suggestions that the two patient groups were distinct and viewed differently from a clinical perspective.</w:t>
      </w:r>
    </w:p>
    <w:p w14:paraId="29DF640D" w14:textId="3D69AF57" w:rsidR="00E44118" w:rsidRPr="00CD646D" w:rsidRDefault="00E44118" w:rsidP="00E61C0E">
      <w:pPr>
        <w:rPr>
          <w:i/>
          <w:sz w:val="22"/>
        </w:rPr>
      </w:pPr>
      <w:r w:rsidRPr="00CD646D">
        <w:rPr>
          <w:i/>
          <w:sz w:val="22"/>
        </w:rPr>
        <w:t>“</w:t>
      </w:r>
      <w:r w:rsidR="004A40A4" w:rsidRPr="00CD646D">
        <w:rPr>
          <w:i/>
          <w:sz w:val="22"/>
        </w:rPr>
        <w:t>I think it’s b</w:t>
      </w:r>
      <w:r w:rsidRPr="00CD646D">
        <w:rPr>
          <w:i/>
          <w:sz w:val="22"/>
        </w:rPr>
        <w:t xml:space="preserve">etter </w:t>
      </w:r>
      <w:r w:rsidR="004A40A4" w:rsidRPr="00CD646D">
        <w:rPr>
          <w:i/>
          <w:sz w:val="22"/>
        </w:rPr>
        <w:t xml:space="preserve">being separate (registers) because </w:t>
      </w:r>
      <w:r w:rsidRPr="00CD646D">
        <w:rPr>
          <w:i/>
          <w:sz w:val="22"/>
        </w:rPr>
        <w:t>the two reviews hav</w:t>
      </w:r>
      <w:r w:rsidR="004A40A4" w:rsidRPr="00CD646D">
        <w:rPr>
          <w:i/>
          <w:sz w:val="22"/>
        </w:rPr>
        <w:t>e got different elements to it</w:t>
      </w:r>
      <w:r w:rsidRPr="00CD646D">
        <w:rPr>
          <w:i/>
          <w:sz w:val="22"/>
        </w:rPr>
        <w:t>… it allows the frailty review to have extra time allocated</w:t>
      </w:r>
      <w:r w:rsidR="00EA7705" w:rsidRPr="00CD646D">
        <w:rPr>
          <w:i/>
          <w:sz w:val="22"/>
        </w:rPr>
        <w:t xml:space="preserve">….so that we can do </w:t>
      </w:r>
      <w:r w:rsidRPr="00CD646D">
        <w:rPr>
          <w:i/>
          <w:sz w:val="22"/>
        </w:rPr>
        <w:t>a proper falls assessment and the</w:t>
      </w:r>
      <w:r w:rsidR="00EA7705" w:rsidRPr="00CD646D">
        <w:rPr>
          <w:i/>
          <w:sz w:val="22"/>
        </w:rPr>
        <w:t>n</w:t>
      </w:r>
      <w:r w:rsidRPr="00CD646D">
        <w:rPr>
          <w:i/>
          <w:sz w:val="22"/>
        </w:rPr>
        <w:t xml:space="preserve"> various referra</w:t>
      </w:r>
      <w:r w:rsidR="00EA7705" w:rsidRPr="00CD646D">
        <w:rPr>
          <w:i/>
          <w:sz w:val="22"/>
        </w:rPr>
        <w:t>ls that come about after that, whereas t</w:t>
      </w:r>
      <w:r w:rsidRPr="00CD646D">
        <w:rPr>
          <w:i/>
          <w:sz w:val="22"/>
        </w:rPr>
        <w:t>he multimorbidity review is more of a pure medication related review”. (GP, interview)</w:t>
      </w:r>
    </w:p>
    <w:p w14:paraId="7A0E1A1D" w14:textId="47FF20F5" w:rsidR="00E44118" w:rsidRPr="00CD646D" w:rsidRDefault="00E44118" w:rsidP="00E61C0E">
      <w:pPr>
        <w:rPr>
          <w:i/>
          <w:sz w:val="22"/>
        </w:rPr>
      </w:pPr>
      <w:r w:rsidRPr="00CD646D">
        <w:rPr>
          <w:i/>
          <w:sz w:val="22"/>
        </w:rPr>
        <w:t xml:space="preserve">“That’s </w:t>
      </w:r>
      <w:r w:rsidR="00EA7705" w:rsidRPr="00CD646D">
        <w:rPr>
          <w:i/>
          <w:sz w:val="22"/>
        </w:rPr>
        <w:t xml:space="preserve">quite </w:t>
      </w:r>
      <w:r w:rsidRPr="00CD646D">
        <w:rPr>
          <w:i/>
          <w:sz w:val="22"/>
        </w:rPr>
        <w:t>a big question because it’s how frailty links to multimorbidity</w:t>
      </w:r>
      <w:r w:rsidR="00EA7705" w:rsidRPr="00CD646D">
        <w:rPr>
          <w:i/>
          <w:sz w:val="22"/>
        </w:rPr>
        <w:t>…</w:t>
      </w:r>
      <w:r w:rsidRPr="00CD646D">
        <w:rPr>
          <w:i/>
          <w:sz w:val="22"/>
        </w:rPr>
        <w:t>. I’ve got quite a lot of patients who are 90+ who are cy</w:t>
      </w:r>
      <w:r w:rsidR="00EA7705" w:rsidRPr="00CD646D">
        <w:rPr>
          <w:i/>
          <w:sz w:val="22"/>
        </w:rPr>
        <w:t>cling, fit and active, but they’v</w:t>
      </w:r>
      <w:r w:rsidRPr="00CD646D">
        <w:rPr>
          <w:i/>
          <w:sz w:val="22"/>
        </w:rPr>
        <w:t>e</w:t>
      </w:r>
      <w:r w:rsidR="00EA7705" w:rsidRPr="00CD646D">
        <w:rPr>
          <w:i/>
          <w:sz w:val="22"/>
        </w:rPr>
        <w:t xml:space="preserve"> had</w:t>
      </w:r>
      <w:r w:rsidRPr="00CD646D">
        <w:rPr>
          <w:i/>
          <w:sz w:val="22"/>
        </w:rPr>
        <w:t xml:space="preserve"> diabetes, </w:t>
      </w:r>
      <w:r w:rsidR="00EA7705" w:rsidRPr="00CD646D">
        <w:rPr>
          <w:i/>
          <w:sz w:val="22"/>
        </w:rPr>
        <w:t>they’ve got ischaemic heart disease</w:t>
      </w:r>
      <w:r w:rsidRPr="00CD646D">
        <w:rPr>
          <w:i/>
          <w:sz w:val="22"/>
        </w:rPr>
        <w:t xml:space="preserve">, </w:t>
      </w:r>
      <w:r w:rsidR="00EA7705" w:rsidRPr="00CD646D">
        <w:rPr>
          <w:i/>
          <w:sz w:val="22"/>
        </w:rPr>
        <w:t xml:space="preserve">chronic kidney disease so that’s </w:t>
      </w:r>
      <w:r w:rsidRPr="00CD646D">
        <w:rPr>
          <w:i/>
          <w:sz w:val="22"/>
        </w:rPr>
        <w:t>the multi</w:t>
      </w:r>
      <w:r w:rsidR="00EA7705" w:rsidRPr="00CD646D">
        <w:rPr>
          <w:i/>
          <w:sz w:val="22"/>
        </w:rPr>
        <w:t>morbidity. Actually they’re not frail….</w:t>
      </w:r>
      <w:r w:rsidRPr="00CD646D">
        <w:rPr>
          <w:i/>
          <w:sz w:val="22"/>
        </w:rPr>
        <w:t xml:space="preserve">The two aren’t always linked together </w:t>
      </w:r>
      <w:r w:rsidR="00EA7705" w:rsidRPr="00CD646D">
        <w:rPr>
          <w:i/>
          <w:sz w:val="22"/>
        </w:rPr>
        <w:t>…but</w:t>
      </w:r>
      <w:r w:rsidRPr="00CD646D">
        <w:rPr>
          <w:i/>
          <w:sz w:val="22"/>
        </w:rPr>
        <w:t xml:space="preserve"> </w:t>
      </w:r>
      <w:r w:rsidR="00EA7705" w:rsidRPr="00CD646D">
        <w:rPr>
          <w:i/>
          <w:sz w:val="22"/>
        </w:rPr>
        <w:t xml:space="preserve">certainly </w:t>
      </w:r>
      <w:r w:rsidRPr="00CD646D">
        <w:rPr>
          <w:i/>
          <w:sz w:val="22"/>
        </w:rPr>
        <w:t xml:space="preserve">for my practice </w:t>
      </w:r>
      <w:r w:rsidR="00EA7705" w:rsidRPr="00CD646D">
        <w:rPr>
          <w:i/>
          <w:sz w:val="22"/>
        </w:rPr>
        <w:t xml:space="preserve">population, I’m not sure the two will </w:t>
      </w:r>
      <w:r w:rsidRPr="00CD646D">
        <w:rPr>
          <w:i/>
          <w:sz w:val="22"/>
        </w:rPr>
        <w:t>go hand in hand quite clearly”.</w:t>
      </w:r>
      <w:r w:rsidR="00E301E2" w:rsidRPr="00CD646D">
        <w:rPr>
          <w:i/>
          <w:sz w:val="22"/>
        </w:rPr>
        <w:t xml:space="preserve"> (GP, interview)</w:t>
      </w:r>
    </w:p>
    <w:p w14:paraId="7D6748EC" w14:textId="561D8A5B" w:rsidR="005264F7" w:rsidRPr="00B8476F" w:rsidRDefault="00E301E2" w:rsidP="00E61C0E">
      <w:r w:rsidRPr="00B8476F">
        <w:t xml:space="preserve">A number of practices raised concerns that if a </w:t>
      </w:r>
      <w:r w:rsidR="00C56FD0">
        <w:t xml:space="preserve">combined </w:t>
      </w:r>
      <w:r w:rsidRPr="00B8476F">
        <w:t xml:space="preserve">multimorbidity register was created, they may still wish to view patient care at individual condition level, and that when treating a patient for one condition it did prompt them to look at the patient as a whole anyway. </w:t>
      </w:r>
    </w:p>
    <w:p w14:paraId="54FF0235" w14:textId="1C132BFE" w:rsidR="00987F9D" w:rsidRPr="00CD646D" w:rsidRDefault="00987F9D" w:rsidP="00987F9D">
      <w:pPr>
        <w:rPr>
          <w:i/>
          <w:sz w:val="22"/>
        </w:rPr>
      </w:pPr>
      <w:r w:rsidRPr="00CD646D">
        <w:rPr>
          <w:i/>
          <w:sz w:val="22"/>
        </w:rPr>
        <w:t xml:space="preserve">“If (registers were combined) we </w:t>
      </w:r>
      <w:r w:rsidR="00EA7705" w:rsidRPr="00CD646D">
        <w:rPr>
          <w:i/>
          <w:sz w:val="22"/>
        </w:rPr>
        <w:t>do</w:t>
      </w:r>
      <w:r w:rsidRPr="00CD646D">
        <w:rPr>
          <w:i/>
          <w:sz w:val="22"/>
        </w:rPr>
        <w:t>n’t want to lose some of the long term condition</w:t>
      </w:r>
      <w:r w:rsidR="00EA7705" w:rsidRPr="00CD646D">
        <w:rPr>
          <w:i/>
          <w:sz w:val="22"/>
        </w:rPr>
        <w:t xml:space="preserve">s in our earlier patients because those are the patients who </w:t>
      </w:r>
      <w:r w:rsidRPr="00CD646D">
        <w:rPr>
          <w:i/>
          <w:sz w:val="22"/>
        </w:rPr>
        <w:t>tend to develop into our frail patients and those with multimorbidity, so we need a way to keep these even if we keep the registers together</w:t>
      </w:r>
      <w:r w:rsidR="00EA7705" w:rsidRPr="00CD646D">
        <w:rPr>
          <w:i/>
          <w:sz w:val="22"/>
        </w:rPr>
        <w:t>..</w:t>
      </w:r>
      <w:r w:rsidRPr="00CD646D">
        <w:rPr>
          <w:i/>
          <w:sz w:val="22"/>
        </w:rPr>
        <w:t>”. (Practice manager, interview)</w:t>
      </w:r>
    </w:p>
    <w:p w14:paraId="04C836E1" w14:textId="083C5D64" w:rsidR="00B56566" w:rsidRPr="00CD646D" w:rsidRDefault="00B56566" w:rsidP="00397C25">
      <w:pPr>
        <w:rPr>
          <w:rFonts w:eastAsiaTheme="majorEastAsia" w:cstheme="majorBidi"/>
          <w:i/>
          <w:iCs/>
          <w:color w:val="000000" w:themeColor="text1"/>
          <w:sz w:val="22"/>
          <w:u w:val="single"/>
        </w:rPr>
      </w:pPr>
    </w:p>
    <w:p w14:paraId="05A2B717" w14:textId="3D01AFF6" w:rsidR="003B5A18" w:rsidRPr="00B8476F" w:rsidRDefault="003B5A18" w:rsidP="00611DE2">
      <w:pPr>
        <w:pStyle w:val="Heading3"/>
      </w:pPr>
      <w:r w:rsidRPr="00B8476F">
        <w:t>Indicator 3</w:t>
      </w:r>
      <w:r w:rsidR="001E4FB1" w:rsidRPr="00B8476F">
        <w:t xml:space="preserve"> Structured medication review</w:t>
      </w:r>
    </w:p>
    <w:p w14:paraId="7AA90A36" w14:textId="42098165" w:rsidR="00B677D5" w:rsidRDefault="00B677D5" w:rsidP="00611DE2">
      <w:pPr>
        <w:pStyle w:val="Heading4"/>
      </w:pPr>
      <w:r>
        <w:t>Acceptability</w:t>
      </w:r>
    </w:p>
    <w:p w14:paraId="2E521A42" w14:textId="7F0C0D3A" w:rsidR="001A30BD" w:rsidRPr="00B8476F" w:rsidRDefault="001A30BD" w:rsidP="001A30BD">
      <w:pPr>
        <w:rPr>
          <w:color w:val="7030A0"/>
        </w:rPr>
      </w:pPr>
      <w:r w:rsidRPr="00B8476F">
        <w:rPr>
          <w:color w:val="000000" w:themeColor="text1"/>
        </w:rPr>
        <w:t xml:space="preserve">The majority of survey </w:t>
      </w:r>
      <w:r w:rsidRPr="00B8476F">
        <w:t>respondents (81%, 26) thought that the structured medication review indicator could make the quality of care for patients better.</w:t>
      </w:r>
      <w:r w:rsidR="00C41AD4" w:rsidRPr="00B8476F">
        <w:t xml:space="preserve"> </w:t>
      </w:r>
      <w:r w:rsidRPr="00B8476F">
        <w:t>Of the 18 practi</w:t>
      </w:r>
      <w:r w:rsidR="006216C9" w:rsidRPr="00B8476F">
        <w:t xml:space="preserve">ces </w:t>
      </w:r>
      <w:r w:rsidR="00DF29C3">
        <w:t>interviewed on this topic, 7 (39</w:t>
      </w:r>
      <w:r w:rsidRPr="00B8476F">
        <w:t xml:space="preserve">%) </w:t>
      </w:r>
      <w:r w:rsidR="006216C9" w:rsidRPr="00B8476F">
        <w:t xml:space="preserve">specifically referred to </w:t>
      </w:r>
      <w:r w:rsidR="00C41AD4" w:rsidRPr="00B8476F">
        <w:t>aiming to reduce the treatment burden on patients.</w:t>
      </w:r>
      <w:r w:rsidR="00520B17" w:rsidRPr="00B8476F">
        <w:t xml:space="preserve"> </w:t>
      </w:r>
    </w:p>
    <w:p w14:paraId="1EC62B3F" w14:textId="486648A9" w:rsidR="001A30BD" w:rsidRPr="00CD646D" w:rsidRDefault="006216C9" w:rsidP="001E4FB1">
      <w:pPr>
        <w:rPr>
          <w:i/>
          <w:color w:val="000000" w:themeColor="text1"/>
          <w:sz w:val="22"/>
        </w:rPr>
      </w:pPr>
      <w:r w:rsidRPr="00CD646D">
        <w:rPr>
          <w:i/>
          <w:color w:val="000000" w:themeColor="text1"/>
          <w:sz w:val="22"/>
        </w:rPr>
        <w:t xml:space="preserve">“Structured medication review would always have a positive impact on patient care - regardless of patient being on multimorbidity/frailty register. Taking </w:t>
      </w:r>
      <w:r w:rsidR="00655F77" w:rsidRPr="00CD646D">
        <w:rPr>
          <w:i/>
          <w:color w:val="000000" w:themeColor="text1"/>
          <w:sz w:val="22"/>
        </w:rPr>
        <w:t xml:space="preserve">a </w:t>
      </w:r>
      <w:r w:rsidRPr="00CD646D">
        <w:rPr>
          <w:i/>
          <w:color w:val="000000" w:themeColor="text1"/>
          <w:sz w:val="22"/>
        </w:rPr>
        <w:t xml:space="preserve">few more minutes when discussing medication with patients, to ensure they </w:t>
      </w:r>
      <w:r w:rsidR="001F3F33" w:rsidRPr="00CD646D">
        <w:rPr>
          <w:i/>
          <w:color w:val="000000" w:themeColor="text1"/>
          <w:sz w:val="22"/>
        </w:rPr>
        <w:t xml:space="preserve">are </w:t>
      </w:r>
      <w:r w:rsidRPr="00CD646D">
        <w:rPr>
          <w:i/>
          <w:color w:val="000000" w:themeColor="text1"/>
          <w:sz w:val="22"/>
        </w:rPr>
        <w:t>aware what medication they should be taki</w:t>
      </w:r>
      <w:r w:rsidR="001E1EC5" w:rsidRPr="00CD646D">
        <w:rPr>
          <w:i/>
          <w:color w:val="000000" w:themeColor="text1"/>
          <w:sz w:val="22"/>
        </w:rPr>
        <w:t>ng and why they are taking it</w:t>
      </w:r>
      <w:r w:rsidRPr="00CD646D">
        <w:rPr>
          <w:i/>
          <w:color w:val="000000" w:themeColor="text1"/>
          <w:sz w:val="22"/>
        </w:rPr>
        <w:t>, as well as discussing any side effects, etc. will always have a positive impact on patient care and benefit patient long term. It could also save money by stopping prescribing meds which patients are not taking</w:t>
      </w:r>
      <w:r w:rsidR="00F601E5" w:rsidRPr="00CD646D">
        <w:rPr>
          <w:i/>
          <w:color w:val="000000" w:themeColor="text1"/>
          <w:sz w:val="22"/>
        </w:rPr>
        <w:t>…</w:t>
      </w:r>
      <w:r w:rsidRPr="00CD646D">
        <w:rPr>
          <w:i/>
          <w:color w:val="000000" w:themeColor="text1"/>
          <w:sz w:val="22"/>
        </w:rPr>
        <w:t xml:space="preserve"> (Practice senior manager, survey)</w:t>
      </w:r>
    </w:p>
    <w:p w14:paraId="7ED21755" w14:textId="77777777" w:rsidR="0041344E" w:rsidRPr="00CD646D" w:rsidRDefault="00195E0D" w:rsidP="0041344E">
      <w:pPr>
        <w:rPr>
          <w:i/>
          <w:sz w:val="22"/>
        </w:rPr>
      </w:pPr>
      <w:r w:rsidRPr="00CD646D">
        <w:rPr>
          <w:i/>
          <w:sz w:val="22"/>
        </w:rPr>
        <w:t>“Multimorbidity / frailty reviews - clinical pharmacist feedback that several medication changes identified by having time with</w:t>
      </w:r>
      <w:r w:rsidR="00F601E5" w:rsidRPr="00CD646D">
        <w:rPr>
          <w:i/>
          <w:sz w:val="22"/>
        </w:rPr>
        <w:t xml:space="preserve"> (to)</w:t>
      </w:r>
      <w:r w:rsidRPr="00CD646D">
        <w:rPr>
          <w:i/>
          <w:sz w:val="22"/>
        </w:rPr>
        <w:t xml:space="preserve"> assess and review with patient”. (GP, survey)</w:t>
      </w:r>
    </w:p>
    <w:p w14:paraId="3148B46B" w14:textId="5CD60DF7" w:rsidR="0041344E" w:rsidRDefault="00B677D5" w:rsidP="0041344E">
      <w:pPr>
        <w:pStyle w:val="Heading4"/>
      </w:pPr>
      <w:r>
        <w:t>Feasibi</w:t>
      </w:r>
      <w:r w:rsidR="00762631">
        <w:t>l</w:t>
      </w:r>
      <w:r>
        <w:t>ity and reliability</w:t>
      </w:r>
      <w:r w:rsidR="0041344E">
        <w:t xml:space="preserve"> </w:t>
      </w:r>
    </w:p>
    <w:p w14:paraId="7441B1E8" w14:textId="4D3E4702" w:rsidR="00FA1B0D" w:rsidRDefault="00FA1B0D" w:rsidP="0041344E">
      <w:r w:rsidRPr="00B8476F">
        <w:t>Half of the practices interviewed (9/18</w:t>
      </w:r>
      <w:r w:rsidR="00F601E5">
        <w:t>, 50%</w:t>
      </w:r>
      <w:r w:rsidRPr="00B8476F">
        <w:t xml:space="preserve">) mentioned that they had </w:t>
      </w:r>
      <w:r w:rsidRPr="00D26EE5">
        <w:t>support from a clinical pharmacist</w:t>
      </w:r>
      <w:r w:rsidRPr="00B8476F">
        <w:t xml:space="preserve"> with regard to medicines </w:t>
      </w:r>
      <w:r>
        <w:t>optimis</w:t>
      </w:r>
      <w:r w:rsidRPr="00B8476F">
        <w:t xml:space="preserve">ation </w:t>
      </w:r>
      <w:r>
        <w:t xml:space="preserve">and waste, and some practices described </w:t>
      </w:r>
      <w:r w:rsidRPr="00D26EE5">
        <w:t>communication issues</w:t>
      </w:r>
      <w:r>
        <w:t xml:space="preserve"> when patients were taken off medication.</w:t>
      </w:r>
    </w:p>
    <w:p w14:paraId="1752FD8E" w14:textId="75671F7C" w:rsidR="00FA1B0D" w:rsidRPr="00C70A8F" w:rsidRDefault="00FA1B0D" w:rsidP="00FA1B0D">
      <w:pPr>
        <w:rPr>
          <w:color w:val="000000" w:themeColor="text1"/>
        </w:rPr>
      </w:pPr>
      <w:r w:rsidRPr="00CD646D">
        <w:rPr>
          <w:i/>
          <w:color w:val="000000" w:themeColor="text1"/>
          <w:sz w:val="22"/>
        </w:rPr>
        <w:t>“</w:t>
      </w:r>
      <w:r w:rsidR="00EA7705" w:rsidRPr="00CD646D">
        <w:rPr>
          <w:i/>
          <w:color w:val="000000" w:themeColor="text1"/>
          <w:sz w:val="22"/>
        </w:rPr>
        <w:t>I reviewed some of the cases with the clinical pharmacist earlier in the week and yes, she’d stopped quite a few of the medications and also made two referrals of the patients she’d seen in the clinic that day</w:t>
      </w:r>
      <w:r w:rsidRPr="00CD646D">
        <w:rPr>
          <w:i/>
          <w:color w:val="000000" w:themeColor="text1"/>
          <w:sz w:val="22"/>
        </w:rPr>
        <w:t>. It’s a good idea,</w:t>
      </w:r>
      <w:r w:rsidR="00EA7705" w:rsidRPr="00CD646D">
        <w:rPr>
          <w:i/>
          <w:color w:val="000000" w:themeColor="text1"/>
          <w:sz w:val="22"/>
        </w:rPr>
        <w:t xml:space="preserve"> I think</w:t>
      </w:r>
      <w:r w:rsidRPr="00CD646D">
        <w:rPr>
          <w:i/>
          <w:color w:val="000000" w:themeColor="text1"/>
          <w:sz w:val="22"/>
        </w:rPr>
        <w:t xml:space="preserve"> it’s great”. (GP, interview)</w:t>
      </w:r>
    </w:p>
    <w:p w14:paraId="65D5F631" w14:textId="378C692A" w:rsidR="00FA1B0D" w:rsidRPr="00CD646D" w:rsidRDefault="00FA1B0D" w:rsidP="00FA1B0D">
      <w:pPr>
        <w:rPr>
          <w:i/>
          <w:sz w:val="22"/>
        </w:rPr>
      </w:pPr>
      <w:r w:rsidRPr="00CD646D">
        <w:rPr>
          <w:i/>
          <w:sz w:val="22"/>
        </w:rPr>
        <w:t>“</w:t>
      </w:r>
      <w:r w:rsidR="00EA7705" w:rsidRPr="00CD646D">
        <w:rPr>
          <w:i/>
          <w:sz w:val="22"/>
        </w:rPr>
        <w:t>Often you can get people off medication and they tend to feel better for it. But if they don’t believe they’re going to, it’s quite hard to get them to comply, isn’t it?</w:t>
      </w:r>
      <w:r w:rsidRPr="00CD646D">
        <w:rPr>
          <w:i/>
          <w:sz w:val="22"/>
        </w:rPr>
        <w:t>” (Practice manager, interview)</w:t>
      </w:r>
    </w:p>
    <w:p w14:paraId="5C52AC30" w14:textId="28D884D5" w:rsidR="00FA1B0D" w:rsidRPr="00CD646D" w:rsidRDefault="00FA1B0D" w:rsidP="00FA1B0D">
      <w:pPr>
        <w:rPr>
          <w:i/>
          <w:color w:val="000000" w:themeColor="text1"/>
          <w:sz w:val="22"/>
        </w:rPr>
      </w:pPr>
      <w:r w:rsidRPr="00CD646D">
        <w:rPr>
          <w:i/>
          <w:color w:val="000000" w:themeColor="text1"/>
          <w:sz w:val="22"/>
        </w:rPr>
        <w:t>“</w:t>
      </w:r>
      <w:r w:rsidR="00EA7705" w:rsidRPr="00CD646D">
        <w:rPr>
          <w:i/>
          <w:color w:val="000000" w:themeColor="text1"/>
          <w:sz w:val="22"/>
        </w:rPr>
        <w:t>….</w:t>
      </w:r>
      <w:r w:rsidRPr="00CD646D">
        <w:rPr>
          <w:i/>
          <w:color w:val="000000" w:themeColor="text1"/>
          <w:sz w:val="22"/>
        </w:rPr>
        <w:t xml:space="preserve">Either the patients are too eager to get off the wrong drugs, or not eager enough to get off the right drugs. They (clinical pharmacists) tend to work it so that our older people who are on drugs that </w:t>
      </w:r>
      <w:r w:rsidR="00EA7705" w:rsidRPr="00CD646D">
        <w:rPr>
          <w:i/>
          <w:color w:val="000000" w:themeColor="text1"/>
          <w:sz w:val="22"/>
        </w:rPr>
        <w:t>can cause falls etc.</w:t>
      </w:r>
      <w:r w:rsidRPr="00CD646D">
        <w:rPr>
          <w:i/>
          <w:color w:val="000000" w:themeColor="text1"/>
          <w:sz w:val="22"/>
        </w:rPr>
        <w:t>, we try and get them off those”. (Practice manager, interview)</w:t>
      </w:r>
    </w:p>
    <w:p w14:paraId="6AA486F9" w14:textId="004CA877" w:rsidR="00FA1B0D" w:rsidRPr="00CD646D" w:rsidRDefault="00FA1B0D" w:rsidP="00FA1B0D">
      <w:pPr>
        <w:rPr>
          <w:i/>
          <w:color w:val="000000" w:themeColor="text1"/>
          <w:sz w:val="22"/>
        </w:rPr>
      </w:pPr>
      <w:r w:rsidRPr="00CD646D">
        <w:rPr>
          <w:i/>
          <w:color w:val="000000" w:themeColor="text1"/>
          <w:sz w:val="22"/>
        </w:rPr>
        <w:t xml:space="preserve">“We find it's all new territory when we withdraw medicines and it gets very complicated. </w:t>
      </w:r>
      <w:r w:rsidR="00EA7705" w:rsidRPr="00CD646D">
        <w:rPr>
          <w:i/>
          <w:color w:val="000000" w:themeColor="text1"/>
          <w:sz w:val="22"/>
        </w:rPr>
        <w:t>And we get problems quite often with the chemists phoning up and saying</w:t>
      </w:r>
      <w:r w:rsidR="00206F3A" w:rsidRPr="00CD646D">
        <w:rPr>
          <w:i/>
          <w:color w:val="000000" w:themeColor="text1"/>
          <w:sz w:val="22"/>
        </w:rPr>
        <w:t xml:space="preserve"> 'why has that</w:t>
      </w:r>
      <w:r w:rsidRPr="00CD646D">
        <w:rPr>
          <w:i/>
          <w:color w:val="000000" w:themeColor="text1"/>
          <w:sz w:val="22"/>
        </w:rPr>
        <w:t xml:space="preserve"> been stopped?' </w:t>
      </w:r>
      <w:r w:rsidR="00206F3A" w:rsidRPr="00CD646D">
        <w:rPr>
          <w:i/>
          <w:color w:val="000000" w:themeColor="text1"/>
          <w:sz w:val="22"/>
        </w:rPr>
        <w:t>…</w:t>
      </w:r>
      <w:r w:rsidRPr="00CD646D">
        <w:rPr>
          <w:i/>
          <w:color w:val="000000" w:themeColor="text1"/>
          <w:sz w:val="22"/>
        </w:rPr>
        <w:t xml:space="preserve">You have to have </w:t>
      </w:r>
      <w:r w:rsidR="00206F3A" w:rsidRPr="00CD646D">
        <w:rPr>
          <w:i/>
          <w:color w:val="000000" w:themeColor="text1"/>
          <w:sz w:val="22"/>
        </w:rPr>
        <w:t xml:space="preserve">very </w:t>
      </w:r>
      <w:r w:rsidRPr="00CD646D">
        <w:rPr>
          <w:i/>
          <w:color w:val="000000" w:themeColor="text1"/>
          <w:sz w:val="22"/>
        </w:rPr>
        <w:t xml:space="preserve">clear clinical notes written so </w:t>
      </w:r>
      <w:r w:rsidR="00206F3A" w:rsidRPr="00CD646D">
        <w:rPr>
          <w:i/>
          <w:color w:val="000000" w:themeColor="text1"/>
          <w:sz w:val="22"/>
        </w:rPr>
        <w:t xml:space="preserve">when you stop something, </w:t>
      </w:r>
      <w:r w:rsidRPr="00CD646D">
        <w:rPr>
          <w:i/>
          <w:color w:val="000000" w:themeColor="text1"/>
          <w:sz w:val="22"/>
        </w:rPr>
        <w:t>everyone knows exactly why you've stopped it”. (GP, interview)</w:t>
      </w:r>
    </w:p>
    <w:p w14:paraId="1ADBA3E6" w14:textId="1893F85C" w:rsidR="00B677D5" w:rsidRPr="00CD646D" w:rsidRDefault="00B677D5" w:rsidP="001E4FB1">
      <w:pPr>
        <w:rPr>
          <w:i/>
          <w:color w:val="000000" w:themeColor="text1"/>
          <w:sz w:val="22"/>
        </w:rPr>
      </w:pPr>
      <w:r w:rsidRPr="00B8476F">
        <w:lastRenderedPageBreak/>
        <w:t xml:space="preserve">Some practices stated that they already performed a thorough medication review on all patients </w:t>
      </w:r>
      <w:r w:rsidRPr="00B677D5">
        <w:t xml:space="preserve">on </w:t>
      </w:r>
      <w:r w:rsidRPr="00D26EE5">
        <w:rPr>
          <w:b/>
        </w:rPr>
        <w:t>repeat medications</w:t>
      </w:r>
      <w:r w:rsidR="00F601E5">
        <w:t>, whereas others reported not having had time to do this</w:t>
      </w:r>
      <w:r w:rsidRPr="00B8476F">
        <w:t>.</w:t>
      </w:r>
    </w:p>
    <w:p w14:paraId="170F1016" w14:textId="67BF9497" w:rsidR="00C41AD4" w:rsidRPr="00CD646D" w:rsidRDefault="00B8476F" w:rsidP="001E4FB1">
      <w:pPr>
        <w:rPr>
          <w:i/>
          <w:color w:val="000000" w:themeColor="text1"/>
          <w:sz w:val="22"/>
        </w:rPr>
      </w:pPr>
      <w:r w:rsidRPr="00CD646D">
        <w:rPr>
          <w:i/>
          <w:color w:val="000000" w:themeColor="text1"/>
          <w:sz w:val="22"/>
        </w:rPr>
        <w:t xml:space="preserve"> </w:t>
      </w:r>
      <w:r w:rsidR="00C41AD4" w:rsidRPr="00CD646D">
        <w:rPr>
          <w:i/>
          <w:color w:val="000000" w:themeColor="text1"/>
          <w:sz w:val="22"/>
        </w:rPr>
        <w:t>“</w:t>
      </w:r>
      <w:r w:rsidR="00206F3A" w:rsidRPr="00CD646D">
        <w:rPr>
          <w:i/>
          <w:color w:val="000000" w:themeColor="text1"/>
          <w:sz w:val="22"/>
        </w:rPr>
        <w:t xml:space="preserve">I think what </w:t>
      </w:r>
      <w:r w:rsidR="00C41AD4" w:rsidRPr="00CD646D">
        <w:rPr>
          <w:i/>
          <w:color w:val="000000" w:themeColor="text1"/>
          <w:sz w:val="22"/>
        </w:rPr>
        <w:t xml:space="preserve">we’re looking at with multimorbidity is </w:t>
      </w:r>
      <w:r w:rsidR="00206F3A" w:rsidRPr="00CD646D">
        <w:rPr>
          <w:i/>
          <w:color w:val="000000" w:themeColor="text1"/>
          <w:sz w:val="22"/>
        </w:rPr>
        <w:t>mainly polypharmacy…</w:t>
      </w:r>
      <w:r w:rsidR="00C41AD4" w:rsidRPr="00CD646D">
        <w:rPr>
          <w:i/>
          <w:color w:val="000000" w:themeColor="text1"/>
          <w:sz w:val="22"/>
        </w:rPr>
        <w:t xml:space="preserve"> often </w:t>
      </w:r>
      <w:r w:rsidR="00206F3A" w:rsidRPr="00CD646D">
        <w:rPr>
          <w:i/>
          <w:color w:val="000000" w:themeColor="text1"/>
          <w:sz w:val="22"/>
        </w:rPr>
        <w:t xml:space="preserve">what we don’t </w:t>
      </w:r>
      <w:r w:rsidR="00C41AD4" w:rsidRPr="00CD646D">
        <w:rPr>
          <w:i/>
          <w:color w:val="000000" w:themeColor="text1"/>
          <w:sz w:val="22"/>
        </w:rPr>
        <w:t xml:space="preserve">have time to do is a really good detailed medication review with </w:t>
      </w:r>
      <w:proofErr w:type="gramStart"/>
      <w:r w:rsidR="00C41AD4" w:rsidRPr="00CD646D">
        <w:rPr>
          <w:i/>
          <w:color w:val="000000" w:themeColor="text1"/>
          <w:sz w:val="22"/>
        </w:rPr>
        <w:t>patients</w:t>
      </w:r>
      <w:r w:rsidR="00206F3A" w:rsidRPr="00CD646D">
        <w:rPr>
          <w:i/>
          <w:color w:val="000000" w:themeColor="text1"/>
          <w:sz w:val="22"/>
        </w:rPr>
        <w:t>..</w:t>
      </w:r>
      <w:proofErr w:type="gramEnd"/>
      <w:r w:rsidR="007D2A64" w:rsidRPr="00CD646D">
        <w:rPr>
          <w:i/>
          <w:color w:val="000000" w:themeColor="text1"/>
          <w:sz w:val="22"/>
        </w:rPr>
        <w:t>”</w:t>
      </w:r>
      <w:r w:rsidR="00C41AD4" w:rsidRPr="00CD646D">
        <w:rPr>
          <w:i/>
          <w:color w:val="000000" w:themeColor="text1"/>
          <w:sz w:val="22"/>
        </w:rPr>
        <w:t xml:space="preserve"> (GP, interview)</w:t>
      </w:r>
    </w:p>
    <w:p w14:paraId="4511AA5E" w14:textId="3190B6E2" w:rsidR="00366FB4" w:rsidRPr="00CD646D" w:rsidRDefault="00D70041" w:rsidP="001E4FB1">
      <w:pPr>
        <w:rPr>
          <w:i/>
          <w:color w:val="000000" w:themeColor="text1"/>
          <w:sz w:val="22"/>
        </w:rPr>
      </w:pPr>
      <w:r w:rsidRPr="00CD646D" w:rsidDel="00D70041">
        <w:rPr>
          <w:i/>
          <w:color w:val="000000" w:themeColor="text1"/>
          <w:sz w:val="22"/>
        </w:rPr>
        <w:t xml:space="preserve"> </w:t>
      </w:r>
      <w:r w:rsidR="00703CBB" w:rsidRPr="00703CBB">
        <w:rPr>
          <w:color w:val="000000" w:themeColor="text1"/>
        </w:rPr>
        <w:t>“</w:t>
      </w:r>
      <w:r w:rsidR="00703CBB" w:rsidRPr="00CD646D">
        <w:rPr>
          <w:i/>
          <w:color w:val="000000" w:themeColor="text1"/>
          <w:sz w:val="22"/>
        </w:rPr>
        <w:t>As treatment with bone sparing agents have been taken out of QOF 19/20 then potentially there could be patients not being treated appropriately. Care plans need to be a national template that all use as there are so many being used for frailty”. (Practice senior management, survey)</w:t>
      </w:r>
    </w:p>
    <w:p w14:paraId="51C1A7B9" w14:textId="3BB45613" w:rsidR="00366FB4" w:rsidRPr="00B8476F" w:rsidRDefault="00017285" w:rsidP="00366FB4">
      <w:r w:rsidRPr="00B8476F">
        <w:t>A number of practices stat</w:t>
      </w:r>
      <w:r w:rsidR="00366FB4" w:rsidRPr="00B8476F">
        <w:t xml:space="preserve">ed that it could be difficult to persuade patients to come in for a </w:t>
      </w:r>
      <w:r w:rsidR="00366FB4" w:rsidRPr="00D26EE5">
        <w:rPr>
          <w:b/>
        </w:rPr>
        <w:t>review on an annual basis</w:t>
      </w:r>
      <w:r w:rsidR="00366FB4" w:rsidRPr="00B8476F">
        <w:t xml:space="preserve">, with some patients being happy to come in </w:t>
      </w:r>
      <w:r w:rsidR="00C91E2C" w:rsidRPr="00B8476F">
        <w:t>when they want, and highlighted</w:t>
      </w:r>
      <w:r w:rsidR="00366FB4" w:rsidRPr="00B8476F">
        <w:t xml:space="preserve"> the difficulty with attendances for </w:t>
      </w:r>
      <w:r w:rsidR="00E331E6">
        <w:t xml:space="preserve">patients with </w:t>
      </w:r>
      <w:r w:rsidR="00366FB4" w:rsidRPr="00B8476F">
        <w:t>mental health p</w:t>
      </w:r>
      <w:r w:rsidR="00E331E6">
        <w:t>roblem</w:t>
      </w:r>
      <w:r w:rsidR="00366FB4" w:rsidRPr="00B8476F">
        <w:t>s</w:t>
      </w:r>
      <w:r w:rsidR="00C91E2C" w:rsidRPr="00B8476F">
        <w:t xml:space="preserve"> and those who are very frail or poorly</w:t>
      </w:r>
      <w:r w:rsidR="00366FB4" w:rsidRPr="00B8476F">
        <w:t>.</w:t>
      </w:r>
      <w:r w:rsidR="00C91E2C" w:rsidRPr="00B8476F">
        <w:t xml:space="preserve"> For the latter group one practice suggested that a </w:t>
      </w:r>
      <w:r w:rsidRPr="00B8476F">
        <w:t xml:space="preserve">follow up </w:t>
      </w:r>
      <w:r w:rsidR="00C91E2C" w:rsidRPr="00B8476F">
        <w:t>phone call was preferable than seeing the patient face to face.</w:t>
      </w:r>
    </w:p>
    <w:p w14:paraId="59FD6319" w14:textId="6B35411A" w:rsidR="00366FB4" w:rsidRPr="00CD646D" w:rsidRDefault="00366FB4" w:rsidP="00366FB4">
      <w:pPr>
        <w:rPr>
          <w:i/>
          <w:sz w:val="22"/>
        </w:rPr>
      </w:pPr>
      <w:r w:rsidRPr="00CD646D">
        <w:rPr>
          <w:i/>
          <w:sz w:val="22"/>
        </w:rPr>
        <w:t>“</w:t>
      </w:r>
      <w:r w:rsidR="00206F3A" w:rsidRPr="00CD646D">
        <w:rPr>
          <w:i/>
          <w:sz w:val="22"/>
        </w:rPr>
        <w:t>…</w:t>
      </w:r>
      <w:r w:rsidRPr="00CD646D">
        <w:rPr>
          <w:i/>
          <w:sz w:val="22"/>
        </w:rPr>
        <w:t xml:space="preserve">Some patients are so difficult to get in, you </w:t>
      </w:r>
      <w:r w:rsidR="00206F3A" w:rsidRPr="00CD646D">
        <w:rPr>
          <w:i/>
          <w:sz w:val="22"/>
        </w:rPr>
        <w:t xml:space="preserve">just </w:t>
      </w:r>
      <w:r w:rsidRPr="00CD646D">
        <w:rPr>
          <w:i/>
          <w:sz w:val="22"/>
        </w:rPr>
        <w:t>end up exemption coding them</w:t>
      </w:r>
      <w:r w:rsidR="00206F3A" w:rsidRPr="00CD646D">
        <w:rPr>
          <w:i/>
          <w:sz w:val="22"/>
        </w:rPr>
        <w:t xml:space="preserve"> because you can’t get them to come in.</w:t>
      </w:r>
      <w:r w:rsidRPr="00CD646D">
        <w:rPr>
          <w:i/>
          <w:sz w:val="22"/>
        </w:rPr>
        <w:t xml:space="preserve"> You’re actually playing with the data just to make sure you get what you need. </w:t>
      </w:r>
      <w:r w:rsidR="00206F3A" w:rsidRPr="00CD646D">
        <w:rPr>
          <w:i/>
          <w:sz w:val="22"/>
        </w:rPr>
        <w:t>I mean the prime example is patients with arthritis or osteoporosis who</w:t>
      </w:r>
      <w:r w:rsidRPr="00CD646D">
        <w:rPr>
          <w:i/>
          <w:sz w:val="22"/>
        </w:rPr>
        <w:t xml:space="preserve"> struggle in their daily lives to get around</w:t>
      </w:r>
      <w:r w:rsidR="00206F3A" w:rsidRPr="00CD646D">
        <w:rPr>
          <w:i/>
          <w:sz w:val="22"/>
        </w:rPr>
        <w:t>. Y</w:t>
      </w:r>
      <w:r w:rsidRPr="00CD646D">
        <w:rPr>
          <w:i/>
          <w:sz w:val="22"/>
        </w:rPr>
        <w:t>et we’re putting an extra burden on them saying ‘come in and have a review’”. (Practice manager, interview)</w:t>
      </w:r>
    </w:p>
    <w:p w14:paraId="28CAD7B9" w14:textId="64C0B7C2" w:rsidR="00C70A8F" w:rsidRPr="00CD646D" w:rsidRDefault="00C70A8F" w:rsidP="00C70A8F">
      <w:pPr>
        <w:rPr>
          <w:i/>
          <w:sz w:val="22"/>
        </w:rPr>
      </w:pPr>
      <w:r w:rsidRPr="00CD646D">
        <w:rPr>
          <w:i/>
          <w:sz w:val="22"/>
        </w:rPr>
        <w:t>“When working with numbers of patients on the registers there is a risk that reviews would become a tick box exercise due to time constraints and amount of work required. This would be of no value and/or benefit to any patients”. (Practice senior manager</w:t>
      </w:r>
      <w:r w:rsidR="009B2295" w:rsidRPr="00CD646D">
        <w:rPr>
          <w:i/>
          <w:sz w:val="22"/>
        </w:rPr>
        <w:t>, survey</w:t>
      </w:r>
      <w:r w:rsidRPr="00CD646D">
        <w:rPr>
          <w:i/>
          <w:sz w:val="22"/>
        </w:rPr>
        <w:t>).</w:t>
      </w:r>
    </w:p>
    <w:p w14:paraId="78E481B8" w14:textId="77777777" w:rsidR="00FA1B0D" w:rsidRDefault="00FA1B0D" w:rsidP="007D2A64">
      <w:pPr>
        <w:pStyle w:val="Heading4"/>
      </w:pPr>
      <w:r>
        <w:t>Suggested amendments to indicator definition (including wording)</w:t>
      </w:r>
    </w:p>
    <w:p w14:paraId="5ED0DD4C" w14:textId="7940901A" w:rsidR="00B8476F" w:rsidRPr="00CD646D" w:rsidRDefault="00C91E2C" w:rsidP="00383389">
      <w:pPr>
        <w:rPr>
          <w:i/>
          <w:sz w:val="22"/>
        </w:rPr>
      </w:pPr>
      <w:r w:rsidRPr="00B8476F">
        <w:rPr>
          <w:color w:val="000000" w:themeColor="text1"/>
        </w:rPr>
        <w:t xml:space="preserve">The </w:t>
      </w:r>
      <w:r w:rsidRPr="00D26EE5">
        <w:rPr>
          <w:b/>
          <w:color w:val="000000" w:themeColor="text1"/>
        </w:rPr>
        <w:t>use of specific tools</w:t>
      </w:r>
      <w:r w:rsidRPr="00B8476F">
        <w:rPr>
          <w:color w:val="000000" w:themeColor="text1"/>
        </w:rPr>
        <w:t xml:space="preserve"> within medication reviews was discussed in the interviews, with most practices using a</w:t>
      </w:r>
      <w:r w:rsidR="00282984" w:rsidRPr="00B8476F">
        <w:rPr>
          <w:color w:val="000000" w:themeColor="text1"/>
        </w:rPr>
        <w:t>n internal process, either exclusively</w:t>
      </w:r>
      <w:r w:rsidRPr="00B8476F">
        <w:rPr>
          <w:color w:val="000000" w:themeColor="text1"/>
        </w:rPr>
        <w:t xml:space="preserve"> (</w:t>
      </w:r>
      <w:r w:rsidR="00282984" w:rsidRPr="00B8476F">
        <w:rPr>
          <w:color w:val="000000" w:themeColor="text1"/>
        </w:rPr>
        <w:t>72%, 13</w:t>
      </w:r>
      <w:r w:rsidR="00C653BD">
        <w:rPr>
          <w:color w:val="000000" w:themeColor="text1"/>
        </w:rPr>
        <w:t>/18</w:t>
      </w:r>
      <w:r w:rsidR="00282984" w:rsidRPr="00B8476F">
        <w:rPr>
          <w:color w:val="000000" w:themeColor="text1"/>
        </w:rPr>
        <w:t>) or together with a standard tool such as STOPP START</w:t>
      </w:r>
      <w:r w:rsidR="005E15AA">
        <w:rPr>
          <w:rStyle w:val="FootnoteReference"/>
          <w:color w:val="000000" w:themeColor="text1"/>
        </w:rPr>
        <w:footnoteReference w:id="1"/>
      </w:r>
      <w:r w:rsidR="00282984" w:rsidRPr="00B8476F">
        <w:rPr>
          <w:color w:val="000000" w:themeColor="text1"/>
        </w:rPr>
        <w:t xml:space="preserve"> or ECLIPSE</w:t>
      </w:r>
      <w:r w:rsidR="005E15AA">
        <w:rPr>
          <w:rStyle w:val="FootnoteReference"/>
          <w:color w:val="000000" w:themeColor="text1"/>
        </w:rPr>
        <w:footnoteReference w:id="2"/>
      </w:r>
      <w:r w:rsidR="00282984" w:rsidRPr="00B8476F">
        <w:rPr>
          <w:color w:val="000000" w:themeColor="text1"/>
        </w:rPr>
        <w:t xml:space="preserve"> (22%, 4</w:t>
      </w:r>
      <w:r w:rsidR="00C653BD">
        <w:rPr>
          <w:color w:val="000000" w:themeColor="text1"/>
        </w:rPr>
        <w:t>/18</w:t>
      </w:r>
      <w:r w:rsidR="00282984" w:rsidRPr="00B8476F">
        <w:rPr>
          <w:color w:val="000000" w:themeColor="text1"/>
        </w:rPr>
        <w:t>). One practice used solely STOPP START</w:t>
      </w:r>
      <w:r w:rsidR="005B1B43">
        <w:rPr>
          <w:color w:val="000000" w:themeColor="text1"/>
        </w:rPr>
        <w:t>;</w:t>
      </w:r>
      <w:r w:rsidR="00282984" w:rsidRPr="00B8476F">
        <w:rPr>
          <w:color w:val="000000" w:themeColor="text1"/>
        </w:rPr>
        <w:t xml:space="preserve"> however, in general</w:t>
      </w:r>
      <w:r w:rsidR="00383389">
        <w:rPr>
          <w:color w:val="000000" w:themeColor="text1"/>
        </w:rPr>
        <w:t>,</w:t>
      </w:r>
      <w:r w:rsidR="00282984" w:rsidRPr="00B8476F">
        <w:rPr>
          <w:color w:val="000000" w:themeColor="text1"/>
        </w:rPr>
        <w:t xml:space="preserve"> the practices who did not use a standard tool were aware of or familiar with the</w:t>
      </w:r>
      <w:r w:rsidR="00B8476F" w:rsidRPr="00B8476F">
        <w:rPr>
          <w:color w:val="000000" w:themeColor="text1"/>
        </w:rPr>
        <w:t>se</w:t>
      </w:r>
      <w:r w:rsidR="00282984" w:rsidRPr="00B8476F">
        <w:rPr>
          <w:color w:val="000000" w:themeColor="text1"/>
        </w:rPr>
        <w:t>.</w:t>
      </w:r>
      <w:r w:rsidR="00017285" w:rsidRPr="00B8476F">
        <w:rPr>
          <w:color w:val="000000" w:themeColor="text1"/>
        </w:rPr>
        <w:t xml:space="preserve"> </w:t>
      </w:r>
    </w:p>
    <w:p w14:paraId="5CEFE2D9" w14:textId="1E4BD87D" w:rsidR="00B8476F" w:rsidRPr="00CD646D" w:rsidRDefault="00B8476F" w:rsidP="001E4FB1">
      <w:pPr>
        <w:rPr>
          <w:i/>
          <w:color w:val="000000" w:themeColor="text1"/>
          <w:sz w:val="22"/>
        </w:rPr>
      </w:pPr>
      <w:r w:rsidRPr="00CD646D">
        <w:rPr>
          <w:i/>
          <w:color w:val="000000" w:themeColor="text1"/>
          <w:sz w:val="22"/>
        </w:rPr>
        <w:lastRenderedPageBreak/>
        <w:t>“</w:t>
      </w:r>
      <w:r w:rsidR="00206F3A" w:rsidRPr="00CD646D">
        <w:rPr>
          <w:i/>
          <w:color w:val="000000" w:themeColor="text1"/>
          <w:sz w:val="22"/>
        </w:rPr>
        <w:t>…</w:t>
      </w:r>
      <w:r w:rsidRPr="00CD646D">
        <w:rPr>
          <w:i/>
          <w:color w:val="000000" w:themeColor="text1"/>
          <w:sz w:val="22"/>
        </w:rPr>
        <w:t>With things like the STOPP START tool, it actually takes quite a long time to do that properly. It’s not something you can do as part of consultation, to do a STOPP START tool properly, depending on the number of medications somebody is taking, that can potentially take half an hour”. (Practice manager, interview)</w:t>
      </w:r>
    </w:p>
    <w:p w14:paraId="49DC7791" w14:textId="77777777" w:rsidR="00383389" w:rsidRDefault="00383389" w:rsidP="00383389">
      <w:pPr>
        <w:rPr>
          <w:color w:val="000000" w:themeColor="text1"/>
        </w:rPr>
      </w:pPr>
      <w:r w:rsidRPr="00B8476F">
        <w:rPr>
          <w:color w:val="000000" w:themeColor="text1"/>
        </w:rPr>
        <w:t xml:space="preserve">It was </w:t>
      </w:r>
      <w:r>
        <w:rPr>
          <w:color w:val="000000" w:themeColor="text1"/>
        </w:rPr>
        <w:t xml:space="preserve">also </w:t>
      </w:r>
      <w:r w:rsidRPr="00B8476F">
        <w:rPr>
          <w:color w:val="000000" w:themeColor="text1"/>
        </w:rPr>
        <w:t>clear that practices wanted to be able to demonstrate via clinical coding that they had de-prescribed</w:t>
      </w:r>
      <w:r>
        <w:rPr>
          <w:color w:val="000000" w:themeColor="text1"/>
        </w:rPr>
        <w:t xml:space="preserve"> as a result of using a tool</w:t>
      </w:r>
      <w:r w:rsidRPr="00B8476F">
        <w:rPr>
          <w:color w:val="000000" w:themeColor="text1"/>
        </w:rPr>
        <w:t xml:space="preserve">. </w:t>
      </w:r>
    </w:p>
    <w:p w14:paraId="273AEF0D" w14:textId="11E0CDE5" w:rsidR="00383389" w:rsidRPr="00CD646D" w:rsidRDefault="00383389" w:rsidP="00383389">
      <w:pPr>
        <w:rPr>
          <w:i/>
          <w:color w:val="000000" w:themeColor="text1"/>
          <w:sz w:val="22"/>
        </w:rPr>
      </w:pPr>
      <w:r w:rsidRPr="00CD646D">
        <w:rPr>
          <w:i/>
          <w:color w:val="000000" w:themeColor="text1"/>
          <w:sz w:val="22"/>
        </w:rPr>
        <w:t>“</w:t>
      </w:r>
      <w:r w:rsidR="007D2A64" w:rsidRPr="00CD646D">
        <w:rPr>
          <w:i/>
          <w:color w:val="000000" w:themeColor="text1"/>
          <w:sz w:val="22"/>
        </w:rPr>
        <w:t>..T</w:t>
      </w:r>
      <w:r w:rsidR="00206F3A" w:rsidRPr="00CD646D">
        <w:rPr>
          <w:i/>
          <w:color w:val="000000" w:themeColor="text1"/>
          <w:sz w:val="22"/>
        </w:rPr>
        <w:t>he one</w:t>
      </w:r>
      <w:r w:rsidRPr="00CD646D">
        <w:rPr>
          <w:i/>
          <w:color w:val="000000" w:themeColor="text1"/>
          <w:sz w:val="22"/>
        </w:rPr>
        <w:t xml:space="preserve"> problem </w:t>
      </w:r>
      <w:r w:rsidR="00206F3A" w:rsidRPr="00CD646D">
        <w:rPr>
          <w:i/>
          <w:color w:val="000000" w:themeColor="text1"/>
          <w:sz w:val="22"/>
        </w:rPr>
        <w:t>I have with it (</w:t>
      </w:r>
      <w:r w:rsidRPr="00CD646D">
        <w:rPr>
          <w:i/>
          <w:color w:val="000000" w:themeColor="text1"/>
          <w:sz w:val="22"/>
        </w:rPr>
        <w:t>STOPP START</w:t>
      </w:r>
      <w:r w:rsidR="00206F3A" w:rsidRPr="00CD646D">
        <w:rPr>
          <w:i/>
          <w:color w:val="000000" w:themeColor="text1"/>
          <w:sz w:val="22"/>
        </w:rPr>
        <w:t>)</w:t>
      </w:r>
      <w:r w:rsidRPr="00CD646D">
        <w:rPr>
          <w:i/>
          <w:color w:val="000000" w:themeColor="text1"/>
          <w:sz w:val="22"/>
        </w:rPr>
        <w:t xml:space="preserve"> is that I’ve got nowhere that I can actually code ‘I have done this’, you know, ‘I have de-prescribed’ neatly”. (GP, interview)</w:t>
      </w:r>
    </w:p>
    <w:p w14:paraId="29E3C0A5" w14:textId="77777777" w:rsidR="00383389" w:rsidRPr="00CD646D" w:rsidRDefault="00383389" w:rsidP="00383389">
      <w:pPr>
        <w:rPr>
          <w:i/>
          <w:sz w:val="22"/>
        </w:rPr>
      </w:pPr>
      <w:r w:rsidRPr="00CD646D" w:rsidDel="00383389">
        <w:rPr>
          <w:i/>
          <w:sz w:val="22"/>
        </w:rPr>
        <w:t xml:space="preserve"> </w:t>
      </w:r>
      <w:r w:rsidRPr="00CD646D">
        <w:rPr>
          <w:i/>
          <w:sz w:val="22"/>
        </w:rPr>
        <w:t>“At present there is no incentive to de-prescribing with QOF rewarding treatment. Even bisphosphonate holidays are very difficult to record and certainly not registered in QOF”. (GP, survey)</w:t>
      </w:r>
    </w:p>
    <w:p w14:paraId="2B2BC976" w14:textId="77777777" w:rsidR="00383389" w:rsidRDefault="00383389" w:rsidP="00903D7E"/>
    <w:p w14:paraId="7510D945" w14:textId="670B66A2" w:rsidR="00903D7E" w:rsidRDefault="00903D7E" w:rsidP="00903D7E">
      <w:r>
        <w:t xml:space="preserve">Other comments on </w:t>
      </w:r>
      <w:r w:rsidRPr="00D26EE5">
        <w:rPr>
          <w:b/>
        </w:rPr>
        <w:t>indicator wording</w:t>
      </w:r>
      <w:r>
        <w:t xml:space="preserve"> included support for inclusion of the term ‘consider’:</w:t>
      </w:r>
    </w:p>
    <w:p w14:paraId="226C3197" w14:textId="77777777" w:rsidR="00903D7E" w:rsidRPr="00CD646D" w:rsidRDefault="00903D7E" w:rsidP="00903D7E">
      <w:pPr>
        <w:rPr>
          <w:i/>
          <w:sz w:val="22"/>
        </w:rPr>
      </w:pPr>
      <w:r w:rsidRPr="00CD646D">
        <w:rPr>
          <w:i/>
          <w:sz w:val="22"/>
        </w:rPr>
        <w:t>“Actually some of the ways that they’re worded is ‘consider the approach’, ‘consider if you need to’, which is very helpful because of course you might consider it or not but then it’s still another thing to think about, isn’t it?” (Practice manager, interview)</w:t>
      </w:r>
    </w:p>
    <w:p w14:paraId="3D13D41A" w14:textId="32E25871" w:rsidR="00D82410" w:rsidRDefault="00056FDF" w:rsidP="001E4FB1">
      <w:pPr>
        <w:rPr>
          <w:color w:val="000000" w:themeColor="text1"/>
        </w:rPr>
      </w:pPr>
      <w:r>
        <w:rPr>
          <w:color w:val="000000" w:themeColor="text1"/>
        </w:rPr>
        <w:t>Related to the part of the indicator definition that states ‘</w:t>
      </w:r>
      <w:r w:rsidRPr="00056FDF">
        <w:rPr>
          <w:color w:val="000000" w:themeColor="text1"/>
        </w:rPr>
        <w:t>and has taken place as a shared discussion</w:t>
      </w:r>
      <w:r>
        <w:rPr>
          <w:color w:val="000000" w:themeColor="text1"/>
        </w:rPr>
        <w:t>’, an issue with the coding used in the pilot was identified during one of the telephone interview/focus groups: while the codes provided in the business rules specifically related to medication reviews that have taken place ‘with the patient’</w:t>
      </w:r>
      <w:r w:rsidR="003F2A92">
        <w:rPr>
          <w:color w:val="000000" w:themeColor="text1"/>
        </w:rPr>
        <w:t xml:space="preserve">, </w:t>
      </w:r>
      <w:r w:rsidR="007D2650">
        <w:rPr>
          <w:color w:val="000000" w:themeColor="text1"/>
        </w:rPr>
        <w:t xml:space="preserve">some </w:t>
      </w:r>
      <w:r>
        <w:rPr>
          <w:color w:val="000000" w:themeColor="text1"/>
        </w:rPr>
        <w:t>practices reported that they had reverted to their usual codes for medication reviews</w:t>
      </w:r>
      <w:r w:rsidR="007D2650">
        <w:rPr>
          <w:color w:val="000000" w:themeColor="text1"/>
        </w:rPr>
        <w:t>:</w:t>
      </w:r>
    </w:p>
    <w:p w14:paraId="0C9C34A9" w14:textId="7315FE33" w:rsidR="007D2650" w:rsidRPr="00CD646D" w:rsidRDefault="00C85ECC" w:rsidP="001E4FB1">
      <w:pPr>
        <w:rPr>
          <w:i/>
          <w:color w:val="000000" w:themeColor="text1"/>
          <w:sz w:val="22"/>
        </w:rPr>
      </w:pPr>
      <w:r>
        <w:rPr>
          <w:i/>
          <w:color w:val="000000" w:themeColor="text1"/>
          <w:sz w:val="22"/>
        </w:rPr>
        <w:t>“</w:t>
      </w:r>
      <w:r w:rsidR="007D2650" w:rsidRPr="00CD646D">
        <w:rPr>
          <w:i/>
          <w:color w:val="000000" w:themeColor="text1"/>
          <w:sz w:val="22"/>
        </w:rPr>
        <w:t>……which is XAF8</w:t>
      </w:r>
      <w:r w:rsidR="002B6183" w:rsidRPr="00CD646D">
        <w:rPr>
          <w:i/>
          <w:color w:val="000000" w:themeColor="text1"/>
          <w:sz w:val="22"/>
        </w:rPr>
        <w:t>d</w:t>
      </w:r>
      <w:r w:rsidR="006639D0">
        <w:rPr>
          <w:i/>
          <w:color w:val="000000" w:themeColor="text1"/>
          <w:sz w:val="22"/>
        </w:rPr>
        <w:t xml:space="preserve"> and it's programmed into Syst</w:t>
      </w:r>
      <w:r w:rsidR="007D2650" w:rsidRPr="00CD646D">
        <w:rPr>
          <w:i/>
          <w:color w:val="000000" w:themeColor="text1"/>
          <w:sz w:val="22"/>
        </w:rPr>
        <w:t>m</w:t>
      </w:r>
      <w:r w:rsidR="006639D0">
        <w:rPr>
          <w:i/>
          <w:color w:val="000000" w:themeColor="text1"/>
          <w:sz w:val="22"/>
        </w:rPr>
        <w:t>One</w:t>
      </w:r>
      <w:r w:rsidR="007D2650" w:rsidRPr="00CD646D">
        <w:rPr>
          <w:i/>
          <w:color w:val="000000" w:themeColor="text1"/>
          <w:sz w:val="22"/>
        </w:rPr>
        <w:t>. So when you do a review of repeats, which is where you’d see all these multiple medications all our clinicians automatically click on that</w:t>
      </w:r>
      <w:r>
        <w:rPr>
          <w:i/>
          <w:color w:val="000000" w:themeColor="text1"/>
          <w:sz w:val="22"/>
        </w:rPr>
        <w:t>”.</w:t>
      </w:r>
      <w:r w:rsidR="007D2650" w:rsidRPr="00CD646D">
        <w:rPr>
          <w:i/>
          <w:color w:val="000000" w:themeColor="text1"/>
          <w:sz w:val="22"/>
        </w:rPr>
        <w:t xml:space="preserve"> (</w:t>
      </w:r>
      <w:r w:rsidRPr="00CD646D">
        <w:rPr>
          <w:i/>
          <w:color w:val="000000" w:themeColor="text1"/>
          <w:sz w:val="22"/>
        </w:rPr>
        <w:t>Practice</w:t>
      </w:r>
      <w:r w:rsidR="007D2650" w:rsidRPr="00CD646D">
        <w:rPr>
          <w:i/>
          <w:color w:val="000000" w:themeColor="text1"/>
          <w:sz w:val="22"/>
        </w:rPr>
        <w:t xml:space="preserve"> manager, interview)</w:t>
      </w:r>
    </w:p>
    <w:p w14:paraId="148E6DF3" w14:textId="77777777" w:rsidR="007D2A64" w:rsidRPr="00CD646D" w:rsidRDefault="007D2A64" w:rsidP="001E4FB1">
      <w:pPr>
        <w:rPr>
          <w:i/>
          <w:color w:val="000000" w:themeColor="text1"/>
          <w:sz w:val="22"/>
        </w:rPr>
      </w:pPr>
    </w:p>
    <w:p w14:paraId="0154744B" w14:textId="77777777" w:rsidR="007D2A64" w:rsidRDefault="00383389" w:rsidP="00383389">
      <w:r>
        <w:t xml:space="preserve">However, there were practices that had found the more precise coding </w:t>
      </w:r>
      <w:r w:rsidR="003F2A92">
        <w:t xml:space="preserve">within the indicator definition (in general) </w:t>
      </w:r>
      <w:r>
        <w:t>useful.</w:t>
      </w:r>
    </w:p>
    <w:p w14:paraId="7F79281A" w14:textId="1FFE1D6A" w:rsidR="00383389" w:rsidRDefault="00383389" w:rsidP="00383389">
      <w:pPr>
        <w:rPr>
          <w:i/>
          <w:color w:val="000000" w:themeColor="text1"/>
          <w:sz w:val="22"/>
        </w:rPr>
      </w:pPr>
      <w:r w:rsidRPr="00CD646D">
        <w:rPr>
          <w:i/>
          <w:color w:val="000000" w:themeColor="text1"/>
          <w:sz w:val="22"/>
        </w:rPr>
        <w:t>“</w:t>
      </w:r>
      <w:r w:rsidR="00206F3A" w:rsidRPr="00CD646D">
        <w:rPr>
          <w:i/>
          <w:color w:val="000000" w:themeColor="text1"/>
          <w:sz w:val="22"/>
        </w:rPr>
        <w:t>…</w:t>
      </w:r>
      <w:r w:rsidRPr="00CD646D">
        <w:rPr>
          <w:i/>
          <w:color w:val="000000" w:themeColor="text1"/>
          <w:sz w:val="22"/>
        </w:rPr>
        <w:t xml:space="preserve">This pilot has shown that you can be more specific with your coding in terms of the way you’re doing a medication review”. (GP, interview) </w:t>
      </w:r>
    </w:p>
    <w:p w14:paraId="397DD749" w14:textId="77777777" w:rsidR="00793CD7" w:rsidRPr="00CD646D" w:rsidRDefault="00793CD7" w:rsidP="00383389">
      <w:pPr>
        <w:rPr>
          <w:i/>
          <w:color w:val="000000" w:themeColor="text1"/>
          <w:sz w:val="22"/>
        </w:rPr>
      </w:pPr>
    </w:p>
    <w:p w14:paraId="3ECC1ECC" w14:textId="2BD215B3" w:rsidR="00E23FB0" w:rsidRPr="00B8476F" w:rsidRDefault="00BC45C3" w:rsidP="007D2A64">
      <w:pPr>
        <w:pStyle w:val="Heading3"/>
      </w:pPr>
      <w:r w:rsidRPr="00B8476F">
        <w:lastRenderedPageBreak/>
        <w:t>Indicator 4</w:t>
      </w:r>
      <w:r w:rsidR="00B44FC0" w:rsidRPr="00B8476F">
        <w:t xml:space="preserve"> Falls prevention</w:t>
      </w:r>
    </w:p>
    <w:p w14:paraId="3DF7F952" w14:textId="7BB7C4F0" w:rsidR="00AE7402" w:rsidRDefault="00AE7402" w:rsidP="007D2A64">
      <w:pPr>
        <w:pStyle w:val="Heading4"/>
      </w:pPr>
      <w:r>
        <w:t>Acceptability</w:t>
      </w:r>
    </w:p>
    <w:p w14:paraId="540B1D87" w14:textId="241E3852" w:rsidR="00AE7402" w:rsidRDefault="00C70A8F" w:rsidP="00D4520D">
      <w:r>
        <w:rPr>
          <w:color w:val="000000" w:themeColor="text1"/>
        </w:rPr>
        <w:t>Seventy-two percent of</w:t>
      </w:r>
      <w:r w:rsidRPr="00B8476F">
        <w:rPr>
          <w:color w:val="000000" w:themeColor="text1"/>
        </w:rPr>
        <w:t xml:space="preserve"> survey </w:t>
      </w:r>
      <w:r>
        <w:t>respondents (23</w:t>
      </w:r>
      <w:r w:rsidR="00AD418A">
        <w:t>/32</w:t>
      </w:r>
      <w:r w:rsidRPr="00B8476F">
        <w:t xml:space="preserve">) thought that the </w:t>
      </w:r>
      <w:r>
        <w:t xml:space="preserve">falls prevention </w:t>
      </w:r>
      <w:r w:rsidRPr="00B8476F">
        <w:t>indicator could make the quality of care for patients better</w:t>
      </w:r>
      <w:r>
        <w:t>, with a further 8 practices being unsure</w:t>
      </w:r>
      <w:r w:rsidRPr="00B8476F">
        <w:t xml:space="preserve">. </w:t>
      </w:r>
    </w:p>
    <w:p w14:paraId="17EEF7EA" w14:textId="63E6DE90" w:rsidR="00A023FF" w:rsidRPr="00223993" w:rsidRDefault="00A023FF" w:rsidP="00A023FF">
      <w:r>
        <w:t xml:space="preserve">However, one respondent mentioned a potential drawback of asking the falls questions to everyone who is classed as moderate or severely frail, as </w:t>
      </w:r>
      <w:r w:rsidRPr="00CD646D">
        <w:rPr>
          <w:i/>
          <w:sz w:val="22"/>
        </w:rPr>
        <w:t xml:space="preserve">“this means you </w:t>
      </w:r>
      <w:r w:rsidR="00206F3A" w:rsidRPr="00CD646D">
        <w:rPr>
          <w:i/>
          <w:sz w:val="22"/>
        </w:rPr>
        <w:t>have</w:t>
      </w:r>
      <w:r w:rsidRPr="00CD646D">
        <w:rPr>
          <w:i/>
          <w:sz w:val="22"/>
        </w:rPr>
        <w:t xml:space="preserve"> a very flippant reply!” (GP, interview)</w:t>
      </w:r>
    </w:p>
    <w:p w14:paraId="5A01F3B3" w14:textId="77777777" w:rsidR="00A023FF" w:rsidRDefault="00A023FF" w:rsidP="00D4520D"/>
    <w:p w14:paraId="3461AC5C" w14:textId="1F170217" w:rsidR="00AE7402" w:rsidRDefault="00AE7402" w:rsidP="007D2A64">
      <w:pPr>
        <w:pStyle w:val="Heading4"/>
      </w:pPr>
      <w:r>
        <w:t>Feasibility and reliability</w:t>
      </w:r>
    </w:p>
    <w:p w14:paraId="3AD4FF98" w14:textId="420E1E9E" w:rsidR="00C70A8F" w:rsidRDefault="00C70A8F" w:rsidP="00D4520D">
      <w:r w:rsidRPr="00AE29CE">
        <w:t>Of the 18 practices interviewed</w:t>
      </w:r>
      <w:r w:rsidR="00AE29CE" w:rsidRPr="00AE29CE">
        <w:t>,</w:t>
      </w:r>
      <w:r w:rsidR="00AE29CE">
        <w:t xml:space="preserve"> 10 </w:t>
      </w:r>
      <w:r w:rsidR="002F6ED4">
        <w:t>practices</w:t>
      </w:r>
      <w:r w:rsidR="00C653BD">
        <w:t xml:space="preserve"> (56%)</w:t>
      </w:r>
      <w:r w:rsidR="002F6ED4">
        <w:t xml:space="preserve"> commented </w:t>
      </w:r>
      <w:r w:rsidR="00AE29CE" w:rsidRPr="00223993">
        <w:t>on their experience of falls prevention</w:t>
      </w:r>
      <w:r w:rsidR="00ED7F9C" w:rsidRPr="00223993">
        <w:t xml:space="preserve"> in the pilot period</w:t>
      </w:r>
      <w:r w:rsidR="00AE29CE" w:rsidRPr="00223993">
        <w:t>.</w:t>
      </w:r>
      <w:r w:rsidR="00ED7F9C" w:rsidRPr="00223993">
        <w:t xml:space="preserve"> The comments </w:t>
      </w:r>
      <w:r w:rsidR="00223993" w:rsidRPr="00223993">
        <w:t>included</w:t>
      </w:r>
      <w:r w:rsidR="00ED7F9C" w:rsidRPr="00223993">
        <w:t xml:space="preserve"> </w:t>
      </w:r>
      <w:r w:rsidR="00ED7F9C">
        <w:t xml:space="preserve">describing the benefits </w:t>
      </w:r>
      <w:r w:rsidR="007D2A64">
        <w:t xml:space="preserve">and problems </w:t>
      </w:r>
      <w:r w:rsidR="00ED7F9C">
        <w:t>of including the moderate</w:t>
      </w:r>
      <w:r w:rsidR="002F6ED4">
        <w:t>ly</w:t>
      </w:r>
      <w:r w:rsidR="00ED7F9C">
        <w:t xml:space="preserve"> frail patients in terms of falls risk</w:t>
      </w:r>
      <w:r w:rsidR="00B46351">
        <w:t>, and the danger of viewing this indicator (and others) in isolation from the patient’s social circumstances</w:t>
      </w:r>
      <w:r w:rsidR="0051366B">
        <w:t>.</w:t>
      </w:r>
    </w:p>
    <w:p w14:paraId="2937AE51" w14:textId="46630799" w:rsidR="007C7E4A" w:rsidRPr="00CD646D" w:rsidRDefault="007C7E4A" w:rsidP="007C7E4A">
      <w:pPr>
        <w:rPr>
          <w:i/>
          <w:sz w:val="22"/>
        </w:rPr>
      </w:pPr>
      <w:r w:rsidRPr="00CD646D">
        <w:rPr>
          <w:i/>
          <w:sz w:val="22"/>
        </w:rPr>
        <w:t xml:space="preserve"> “</w:t>
      </w:r>
      <w:r w:rsidR="007D2A64" w:rsidRPr="00CD646D">
        <w:rPr>
          <w:i/>
          <w:sz w:val="22"/>
        </w:rPr>
        <w:t xml:space="preserve">The moderate ones… the </w:t>
      </w:r>
      <w:r w:rsidR="00206F3A" w:rsidRPr="00CD646D">
        <w:rPr>
          <w:i/>
          <w:sz w:val="22"/>
        </w:rPr>
        <w:t>problem I have is</w:t>
      </w:r>
      <w:r w:rsidR="007D2A64" w:rsidRPr="00CD646D">
        <w:rPr>
          <w:i/>
          <w:sz w:val="22"/>
        </w:rPr>
        <w:t>….</w:t>
      </w:r>
      <w:r w:rsidR="00206F3A" w:rsidRPr="00CD646D">
        <w:rPr>
          <w:i/>
          <w:sz w:val="22"/>
        </w:rPr>
        <w:t xml:space="preserve">you ask these questions and then it almost diverts you away from the actual problem that they're there for. The severely frail, the falls are useful because then you pick up a lot of these tiny little falls that they’ve been doing. The moderate ones, when they fall it’s normally a bigger </w:t>
      </w:r>
      <w:r w:rsidRPr="00CD646D">
        <w:rPr>
          <w:i/>
          <w:sz w:val="22"/>
        </w:rPr>
        <w:t>event …you</w:t>
      </w:r>
      <w:r w:rsidR="00206F3A" w:rsidRPr="00CD646D">
        <w:rPr>
          <w:i/>
          <w:sz w:val="22"/>
        </w:rPr>
        <w:t xml:space="preserve"> ask the moderate frailty </w:t>
      </w:r>
      <w:r w:rsidR="007D2A64" w:rsidRPr="00CD646D">
        <w:rPr>
          <w:i/>
          <w:sz w:val="22"/>
        </w:rPr>
        <w:t xml:space="preserve">(about falls) </w:t>
      </w:r>
      <w:r w:rsidR="00206F3A" w:rsidRPr="00CD646D">
        <w:rPr>
          <w:i/>
          <w:sz w:val="22"/>
        </w:rPr>
        <w:t xml:space="preserve">and they’ll say ‘No’ because either they’ve forgotten it because it was inconsequential when they’ve fallen over. Or they’ve typically done it when </w:t>
      </w:r>
      <w:r w:rsidRPr="00CD646D">
        <w:rPr>
          <w:i/>
          <w:sz w:val="22"/>
        </w:rPr>
        <w:t>…</w:t>
      </w:r>
      <w:r w:rsidR="00206F3A" w:rsidRPr="00CD646D">
        <w:rPr>
          <w:i/>
          <w:sz w:val="22"/>
        </w:rPr>
        <w:t xml:space="preserve"> they're up and down the garden and they’ve tripped doing it. Which they consider themselves as, you know, over-activity so they just take it in their stride. And then it deviates you away from the main reason they're in</w:t>
      </w:r>
      <w:r w:rsidRPr="00CD646D">
        <w:rPr>
          <w:i/>
          <w:sz w:val="22"/>
        </w:rPr>
        <w:t>…”</w:t>
      </w:r>
      <w:r w:rsidR="00206F3A" w:rsidRPr="00CD646D">
        <w:rPr>
          <w:i/>
          <w:sz w:val="22"/>
        </w:rPr>
        <w:t xml:space="preserve"> </w:t>
      </w:r>
      <w:r w:rsidRPr="00CD646D">
        <w:rPr>
          <w:i/>
          <w:sz w:val="22"/>
        </w:rPr>
        <w:t>(GP, interview)</w:t>
      </w:r>
    </w:p>
    <w:p w14:paraId="65157F02" w14:textId="77777777" w:rsidR="007C7E4A" w:rsidRPr="00CD646D" w:rsidRDefault="00206F3A" w:rsidP="003E4766">
      <w:pPr>
        <w:spacing w:before="100" w:beforeAutospacing="1" w:after="100" w:afterAutospacing="1"/>
        <w:rPr>
          <w:i/>
          <w:sz w:val="22"/>
        </w:rPr>
      </w:pPr>
      <w:r w:rsidRPr="00CD646D">
        <w:rPr>
          <w:i/>
          <w:sz w:val="22"/>
        </w:rPr>
        <w:t xml:space="preserve">“Quite a few (moderate frailty </w:t>
      </w:r>
      <w:r w:rsidR="00ED7F9C" w:rsidRPr="00CD646D">
        <w:rPr>
          <w:i/>
          <w:sz w:val="22"/>
        </w:rPr>
        <w:t>patients</w:t>
      </w:r>
      <w:r w:rsidRPr="00CD646D">
        <w:rPr>
          <w:i/>
          <w:sz w:val="22"/>
        </w:rPr>
        <w:t>)</w:t>
      </w:r>
      <w:r w:rsidR="00ED7F9C" w:rsidRPr="00CD646D">
        <w:rPr>
          <w:i/>
          <w:sz w:val="22"/>
        </w:rPr>
        <w:t xml:space="preserve"> have been identified </w:t>
      </w:r>
      <w:r w:rsidR="002F6ED4" w:rsidRPr="00CD646D">
        <w:rPr>
          <w:i/>
          <w:sz w:val="22"/>
        </w:rPr>
        <w:t xml:space="preserve">(by the pilot) </w:t>
      </w:r>
      <w:r w:rsidR="00ED7F9C" w:rsidRPr="00CD646D">
        <w:rPr>
          <w:i/>
          <w:sz w:val="22"/>
        </w:rPr>
        <w:t xml:space="preserve">as at risk of falls and needing an onward referral – </w:t>
      </w:r>
      <w:r w:rsidRPr="00CD646D">
        <w:rPr>
          <w:i/>
          <w:sz w:val="22"/>
        </w:rPr>
        <w:t xml:space="preserve">which </w:t>
      </w:r>
      <w:r w:rsidR="00ED7F9C" w:rsidRPr="00CD646D">
        <w:rPr>
          <w:i/>
          <w:sz w:val="22"/>
        </w:rPr>
        <w:t>we wouldn’t have picked up in any other way”. (GP, interview)</w:t>
      </w:r>
    </w:p>
    <w:p w14:paraId="6FCD957F" w14:textId="373FF481" w:rsidR="007C7E4A" w:rsidRPr="00CD646D" w:rsidRDefault="00483B82" w:rsidP="003E4766">
      <w:pPr>
        <w:spacing w:before="100" w:beforeAutospacing="1" w:after="100" w:afterAutospacing="1"/>
        <w:rPr>
          <w:i/>
          <w:sz w:val="22"/>
        </w:rPr>
      </w:pPr>
      <w:r w:rsidRPr="00CD646D">
        <w:rPr>
          <w:i/>
          <w:sz w:val="22"/>
        </w:rPr>
        <w:t>“We’ve ticked every box, they’ve had us all screen. They’ve</w:t>
      </w:r>
      <w:r w:rsidR="00206F3A" w:rsidRPr="00CD646D">
        <w:rPr>
          <w:i/>
          <w:sz w:val="22"/>
        </w:rPr>
        <w:t xml:space="preserve"> had their meds review but they’</w:t>
      </w:r>
      <w:r w:rsidRPr="00CD646D">
        <w:rPr>
          <w:i/>
          <w:sz w:val="22"/>
        </w:rPr>
        <w:t xml:space="preserve">re still falling over and they’re still going into hospital. </w:t>
      </w:r>
      <w:r w:rsidR="00206F3A" w:rsidRPr="00CD646D">
        <w:rPr>
          <w:i/>
          <w:sz w:val="22"/>
        </w:rPr>
        <w:t>What we’ve worked out is with</w:t>
      </w:r>
      <w:r w:rsidRPr="00CD646D">
        <w:rPr>
          <w:i/>
          <w:sz w:val="22"/>
        </w:rPr>
        <w:t xml:space="preserve"> a lot of them it’s because the care isn’t in place as it could be and they’re socially isolated”. (GP, interview)</w:t>
      </w:r>
    </w:p>
    <w:p w14:paraId="61A9FE38" w14:textId="77777777" w:rsidR="00DB6D61" w:rsidRPr="00CD646D" w:rsidRDefault="00DB6D61" w:rsidP="003E4766">
      <w:pPr>
        <w:spacing w:before="100" w:beforeAutospacing="1" w:after="100" w:afterAutospacing="1"/>
        <w:rPr>
          <w:i/>
          <w:sz w:val="22"/>
        </w:rPr>
      </w:pPr>
    </w:p>
    <w:p w14:paraId="4B279C85" w14:textId="64B74402" w:rsidR="002F6ED4" w:rsidRPr="00037AE0" w:rsidRDefault="002F6ED4" w:rsidP="003E4766">
      <w:pPr>
        <w:pStyle w:val="Heading4"/>
      </w:pPr>
      <w:r>
        <w:lastRenderedPageBreak/>
        <w:t>Suggested amendments to indication definition (including wording)</w:t>
      </w:r>
    </w:p>
    <w:p w14:paraId="519C1B39" w14:textId="0B38294C" w:rsidR="002F6ED4" w:rsidRPr="00037AE0" w:rsidRDefault="002F6ED4">
      <w:r>
        <w:t xml:space="preserve">There were no comments provided suggesting any amendments </w:t>
      </w:r>
      <w:r w:rsidR="00177E2B">
        <w:t xml:space="preserve">are required </w:t>
      </w:r>
      <w:r>
        <w:t>to the indicator definition.</w:t>
      </w:r>
    </w:p>
    <w:p w14:paraId="2FEE3A37" w14:textId="77777777" w:rsidR="00037AE0" w:rsidRDefault="00037AE0" w:rsidP="00037AE0">
      <w:pPr>
        <w:pStyle w:val="Heading3"/>
      </w:pPr>
    </w:p>
    <w:p w14:paraId="3540728F" w14:textId="77777777" w:rsidR="00037AE0" w:rsidRDefault="00037AE0">
      <w:pPr>
        <w:spacing w:after="160" w:line="259" w:lineRule="auto"/>
        <w:jc w:val="left"/>
        <w:rPr>
          <w:rFonts w:eastAsiaTheme="majorEastAsia" w:cstheme="majorBidi"/>
          <w:b/>
          <w:szCs w:val="24"/>
        </w:rPr>
      </w:pPr>
      <w:r>
        <w:br w:type="page"/>
      </w:r>
    </w:p>
    <w:p w14:paraId="60DF07BD" w14:textId="5CF4C543" w:rsidR="003F42F7" w:rsidRPr="002B6183" w:rsidRDefault="003F42F7" w:rsidP="002B6183">
      <w:pPr>
        <w:pStyle w:val="Heading3"/>
      </w:pPr>
      <w:r w:rsidRPr="002B6183">
        <w:lastRenderedPageBreak/>
        <w:t>Additional areas explored by the pilot</w:t>
      </w:r>
      <w:r w:rsidR="000D2875" w:rsidRPr="002B6183">
        <w:t xml:space="preserve"> (coding of polypharmacy, vulnerable patients and residential status)</w:t>
      </w:r>
    </w:p>
    <w:p w14:paraId="62020078" w14:textId="62B48B6B" w:rsidR="004B246C" w:rsidRDefault="004B246C" w:rsidP="00D4520D">
      <w:pPr>
        <w:rPr>
          <w:color w:val="000000" w:themeColor="text1"/>
          <w:lang w:val="en-US"/>
        </w:rPr>
      </w:pPr>
      <w:r>
        <w:t xml:space="preserve">The pilot was </w:t>
      </w:r>
      <w:r w:rsidR="00E15319">
        <w:t xml:space="preserve">also </w:t>
      </w:r>
      <w:r>
        <w:t xml:space="preserve">used to explore the ability of practices to </w:t>
      </w:r>
      <w:r w:rsidRPr="003F42F7">
        <w:t>improve polypharmacy coding, to identify patient groups such as complex or vulnerable patients, or to report</w:t>
      </w:r>
      <w:r w:rsidR="001C3CFD" w:rsidRPr="003F42F7">
        <w:t xml:space="preserve"> their residential status</w:t>
      </w:r>
      <w:r w:rsidR="001C3CFD">
        <w:t>, and</w:t>
      </w:r>
      <w:r>
        <w:t xml:space="preserve"> the </w:t>
      </w:r>
      <w:r w:rsidR="001C3CFD">
        <w:t xml:space="preserve">pilot </w:t>
      </w:r>
      <w:r>
        <w:t xml:space="preserve">guidance documentation provided to practices contained </w:t>
      </w:r>
      <w:r>
        <w:rPr>
          <w:color w:val="000000" w:themeColor="text1"/>
          <w:lang w:val="en-US"/>
        </w:rPr>
        <w:t xml:space="preserve">codes </w:t>
      </w:r>
      <w:r w:rsidR="003F2A7B">
        <w:rPr>
          <w:color w:val="000000" w:themeColor="text1"/>
          <w:lang w:val="en-US"/>
        </w:rPr>
        <w:t>that could be</w:t>
      </w:r>
      <w:r>
        <w:rPr>
          <w:color w:val="000000" w:themeColor="text1"/>
          <w:lang w:val="en-US"/>
        </w:rPr>
        <w:t xml:space="preserve"> use</w:t>
      </w:r>
      <w:r w:rsidR="003F2A7B">
        <w:rPr>
          <w:color w:val="000000" w:themeColor="text1"/>
          <w:lang w:val="en-US"/>
        </w:rPr>
        <w:t>d</w:t>
      </w:r>
      <w:r>
        <w:rPr>
          <w:color w:val="000000" w:themeColor="text1"/>
          <w:lang w:val="en-US"/>
        </w:rPr>
        <w:t xml:space="preserve"> to identify specific patient </w:t>
      </w:r>
      <w:r w:rsidRPr="00AE1B27">
        <w:rPr>
          <w:color w:val="000000" w:themeColor="text1"/>
          <w:lang w:val="en-US"/>
        </w:rPr>
        <w:t>groups</w:t>
      </w:r>
      <w:r>
        <w:rPr>
          <w:color w:val="000000" w:themeColor="text1"/>
          <w:lang w:val="en-US"/>
        </w:rPr>
        <w:t xml:space="preserve">. There appeared to be a widespread view that </w:t>
      </w:r>
      <w:r w:rsidR="003F2A7B">
        <w:rPr>
          <w:color w:val="000000" w:themeColor="text1"/>
          <w:lang w:val="en-US"/>
        </w:rPr>
        <w:t xml:space="preserve">the use of these codes was useful, </w:t>
      </w:r>
      <w:r w:rsidR="001C3CFD">
        <w:rPr>
          <w:color w:val="000000" w:themeColor="text1"/>
          <w:lang w:val="en-US"/>
        </w:rPr>
        <w:t xml:space="preserve">both </w:t>
      </w:r>
      <w:r w:rsidR="003F2A7B">
        <w:rPr>
          <w:color w:val="000000" w:themeColor="text1"/>
          <w:lang w:val="en-US"/>
        </w:rPr>
        <w:t>in principle and in practice.</w:t>
      </w:r>
      <w:r w:rsidRPr="00AE1B27">
        <w:rPr>
          <w:color w:val="000000" w:themeColor="text1"/>
          <w:lang w:val="en-US"/>
        </w:rPr>
        <w:t xml:space="preserve"> </w:t>
      </w:r>
      <w:r w:rsidR="003F2A7B">
        <w:rPr>
          <w:color w:val="000000" w:themeColor="text1"/>
          <w:lang w:val="en-US"/>
        </w:rPr>
        <w:t xml:space="preserve">Eleven practices </w:t>
      </w:r>
      <w:r w:rsidR="003F42F7">
        <w:rPr>
          <w:color w:val="000000" w:themeColor="text1"/>
          <w:lang w:val="en-US"/>
        </w:rPr>
        <w:t>(</w:t>
      </w:r>
      <w:r w:rsidR="007F629C">
        <w:rPr>
          <w:color w:val="000000" w:themeColor="text1"/>
          <w:lang w:val="en-US"/>
        </w:rPr>
        <w:t xml:space="preserve">11/18, </w:t>
      </w:r>
      <w:r w:rsidR="00DB6D61">
        <w:rPr>
          <w:color w:val="000000" w:themeColor="text1"/>
          <w:lang w:val="en-US"/>
        </w:rPr>
        <w:t>6</w:t>
      </w:r>
      <w:r w:rsidR="00DB6D61" w:rsidRPr="00DB6D61">
        <w:rPr>
          <w:color w:val="000000" w:themeColor="text1"/>
          <w:lang w:val="en-US"/>
        </w:rPr>
        <w:t>1</w:t>
      </w:r>
      <w:r w:rsidR="003F42F7" w:rsidRPr="00DB6D61">
        <w:rPr>
          <w:color w:val="000000" w:themeColor="text1"/>
          <w:lang w:val="en-US"/>
        </w:rPr>
        <w:t>%)</w:t>
      </w:r>
      <w:r w:rsidR="003F42F7">
        <w:rPr>
          <w:color w:val="000000" w:themeColor="text1"/>
          <w:lang w:val="en-US"/>
        </w:rPr>
        <w:t xml:space="preserve"> </w:t>
      </w:r>
      <w:r w:rsidR="003F2A7B">
        <w:rPr>
          <w:color w:val="000000" w:themeColor="text1"/>
          <w:lang w:val="en-US"/>
        </w:rPr>
        <w:t>reported that they had used codes to identify the resident</w:t>
      </w:r>
      <w:r w:rsidR="00DB6D61">
        <w:rPr>
          <w:color w:val="000000" w:themeColor="text1"/>
          <w:lang w:val="en-US"/>
        </w:rPr>
        <w:t>ial status of patients (suc</w:t>
      </w:r>
      <w:r w:rsidR="003F2A7B">
        <w:rPr>
          <w:color w:val="000000" w:themeColor="text1"/>
          <w:lang w:val="en-US"/>
        </w:rPr>
        <w:t>h as housebound patients or care home type)</w:t>
      </w:r>
      <w:r w:rsidR="00246FB6">
        <w:rPr>
          <w:color w:val="000000" w:themeColor="text1"/>
          <w:lang w:val="en-US"/>
        </w:rPr>
        <w:t xml:space="preserve"> and six practices </w:t>
      </w:r>
      <w:r w:rsidR="007331A6">
        <w:rPr>
          <w:color w:val="000000" w:themeColor="text1"/>
          <w:lang w:val="en-US"/>
        </w:rPr>
        <w:t>(</w:t>
      </w:r>
      <w:r w:rsidR="007F629C">
        <w:rPr>
          <w:color w:val="000000" w:themeColor="text1"/>
          <w:lang w:val="en-US"/>
        </w:rPr>
        <w:t xml:space="preserve">6/18, </w:t>
      </w:r>
      <w:r w:rsidR="00DB6D61" w:rsidRPr="00DB6D61">
        <w:rPr>
          <w:color w:val="000000" w:themeColor="text1"/>
          <w:lang w:val="en-US"/>
        </w:rPr>
        <w:t>33</w:t>
      </w:r>
      <w:r w:rsidR="007331A6" w:rsidRPr="00DB6D61">
        <w:rPr>
          <w:color w:val="000000" w:themeColor="text1"/>
          <w:lang w:val="en-US"/>
        </w:rPr>
        <w:t>%)</w:t>
      </w:r>
      <w:r w:rsidR="007331A6">
        <w:rPr>
          <w:color w:val="000000" w:themeColor="text1"/>
          <w:lang w:val="en-US"/>
        </w:rPr>
        <w:t xml:space="preserve"> </w:t>
      </w:r>
      <w:r w:rsidR="00246FB6">
        <w:rPr>
          <w:color w:val="000000" w:themeColor="text1"/>
          <w:lang w:val="en-US"/>
        </w:rPr>
        <w:t>mentioned that the codes for polypharmacy would be useful, but in general these had not been used within the pilot.</w:t>
      </w:r>
      <w:r w:rsidR="00CA6E5D">
        <w:rPr>
          <w:color w:val="000000" w:themeColor="text1"/>
          <w:lang w:val="en-US"/>
        </w:rPr>
        <w:t xml:space="preserve"> </w:t>
      </w:r>
    </w:p>
    <w:p w14:paraId="46BC3A01" w14:textId="2DC28698" w:rsidR="00CA6E5D" w:rsidRPr="00CD646D" w:rsidRDefault="00CA6E5D" w:rsidP="00D4520D">
      <w:pPr>
        <w:rPr>
          <w:i/>
          <w:sz w:val="22"/>
        </w:rPr>
      </w:pPr>
      <w:r w:rsidRPr="00CD646D">
        <w:rPr>
          <w:i/>
          <w:sz w:val="22"/>
        </w:rPr>
        <w:t xml:space="preserve"> “I think the answer is anything that makes life easier in terms of identifying patients, that would be helpful”. (GP, interview)</w:t>
      </w:r>
    </w:p>
    <w:p w14:paraId="63A4A137" w14:textId="5B6DCAAC" w:rsidR="00CA6E5D" w:rsidRPr="00CD646D" w:rsidRDefault="00CA6E5D" w:rsidP="00D4520D">
      <w:pPr>
        <w:rPr>
          <w:i/>
          <w:sz w:val="22"/>
        </w:rPr>
      </w:pPr>
      <w:r w:rsidRPr="00CD646D">
        <w:rPr>
          <w:i/>
          <w:sz w:val="22"/>
        </w:rPr>
        <w:t>“…I think if you’ve got something to code people with so you’re clear about who that group is, it’s never going to be a disadvantage”. (GP, interview)</w:t>
      </w:r>
    </w:p>
    <w:p w14:paraId="1AB24F96" w14:textId="5CFA0DAF" w:rsidR="00CA6E5D" w:rsidRPr="00CD646D" w:rsidRDefault="00CA6E5D" w:rsidP="00D4520D">
      <w:pPr>
        <w:rPr>
          <w:i/>
          <w:sz w:val="22"/>
        </w:rPr>
      </w:pPr>
      <w:r w:rsidRPr="00CD646D">
        <w:rPr>
          <w:i/>
          <w:sz w:val="22"/>
        </w:rPr>
        <w:t>“I think that probably will be useful, the polypharmacy bit because actually it was, going forward, still thinking about…. The push now I think is about de-prescribing. I think that would be helpful actually”. (GP, interview)</w:t>
      </w:r>
    </w:p>
    <w:p w14:paraId="1B2B2C94" w14:textId="77777777" w:rsidR="002B6183" w:rsidRDefault="002B6183" w:rsidP="00517205">
      <w:pPr>
        <w:rPr>
          <w:color w:val="000000" w:themeColor="text1"/>
          <w:lang w:val="en-US"/>
        </w:rPr>
      </w:pPr>
    </w:p>
    <w:p w14:paraId="3139D7F9" w14:textId="33AB648B" w:rsidR="00517205" w:rsidRPr="00313EE2" w:rsidRDefault="007F629C" w:rsidP="00517205">
      <w:r>
        <w:rPr>
          <w:color w:val="000000" w:themeColor="text1"/>
          <w:lang w:val="en-US"/>
        </w:rPr>
        <w:t>From the r</w:t>
      </w:r>
      <w:r w:rsidR="00517205">
        <w:rPr>
          <w:color w:val="000000" w:themeColor="text1"/>
          <w:lang w:val="en-US"/>
        </w:rPr>
        <w:t>esponses about the overall value of the frailty and multimorbidity topic</w:t>
      </w:r>
      <w:r w:rsidR="002B6183">
        <w:rPr>
          <w:color w:val="000000" w:themeColor="text1"/>
          <w:lang w:val="en-US"/>
        </w:rPr>
        <w:t xml:space="preserve"> in the interview/focus groups</w:t>
      </w:r>
      <w:r w:rsidR="00517205">
        <w:rPr>
          <w:color w:val="000000" w:themeColor="text1"/>
          <w:lang w:val="en-US"/>
        </w:rPr>
        <w:t xml:space="preserve">, </w:t>
      </w:r>
      <w:r w:rsidR="00517205">
        <w:t>six practices (6/</w:t>
      </w:r>
      <w:r w:rsidR="00D5443A">
        <w:t>18</w:t>
      </w:r>
      <w:r w:rsidR="00517205">
        <w:t xml:space="preserve">, </w:t>
      </w:r>
      <w:r w:rsidR="00D5443A">
        <w:t>33</w:t>
      </w:r>
      <w:r w:rsidR="00517205">
        <w:t xml:space="preserve">%) proposed that </w:t>
      </w:r>
      <w:r w:rsidR="00517205" w:rsidRPr="008401F6">
        <w:rPr>
          <w:b/>
        </w:rPr>
        <w:t>more information on quality of care</w:t>
      </w:r>
      <w:r w:rsidR="00517205">
        <w:t xml:space="preserve"> needed to be collected, including creation of a healthcare plan, shared care record and Do Not Attempt Resuscitation status (for frail patients), in addition to social factors such as fuel poverty, housing, living alone or mobility issues.</w:t>
      </w:r>
    </w:p>
    <w:p w14:paraId="5C741BDB" w14:textId="49A213B6" w:rsidR="00CA6E5D" w:rsidRDefault="00CA6E5D" w:rsidP="00D4520D">
      <w:pPr>
        <w:rPr>
          <w:color w:val="000000" w:themeColor="text1"/>
          <w:lang w:val="en-US"/>
        </w:rPr>
      </w:pPr>
      <w:r>
        <w:rPr>
          <w:color w:val="000000" w:themeColor="text1"/>
          <w:lang w:val="en-US"/>
        </w:rPr>
        <w:t xml:space="preserve">One practice raised concerns about data quality and ensuring the accuracy of codes </w:t>
      </w:r>
      <w:r w:rsidR="00AD370C">
        <w:rPr>
          <w:color w:val="000000" w:themeColor="text1"/>
          <w:lang w:val="en-US"/>
        </w:rPr>
        <w:t xml:space="preserve">currently </w:t>
      </w:r>
      <w:r>
        <w:rPr>
          <w:color w:val="000000" w:themeColor="text1"/>
          <w:lang w:val="en-US"/>
        </w:rPr>
        <w:t>used to define a patient group or type.</w:t>
      </w:r>
    </w:p>
    <w:p w14:paraId="57D05AAC" w14:textId="77777777" w:rsidR="009F703C" w:rsidRPr="00CD646D" w:rsidRDefault="009F703C" w:rsidP="00D4520D">
      <w:pPr>
        <w:rPr>
          <w:i/>
          <w:color w:val="000000" w:themeColor="text1"/>
          <w:sz w:val="22"/>
          <w:lang w:val="en-US"/>
        </w:rPr>
      </w:pPr>
    </w:p>
    <w:p w14:paraId="364EC4F7" w14:textId="77777777" w:rsidR="00D5443A" w:rsidRDefault="00D5443A">
      <w:pPr>
        <w:spacing w:after="160" w:line="259" w:lineRule="auto"/>
        <w:jc w:val="left"/>
        <w:rPr>
          <w:rStyle w:val="Heading2Char"/>
        </w:rPr>
      </w:pPr>
      <w:r>
        <w:rPr>
          <w:rStyle w:val="Heading2Char"/>
        </w:rPr>
        <w:br w:type="page"/>
      </w:r>
    </w:p>
    <w:p w14:paraId="7C2E6FFE" w14:textId="70382E22" w:rsidR="00D4520D" w:rsidRPr="00B8476F" w:rsidRDefault="008642CD" w:rsidP="00391E51">
      <w:pPr>
        <w:spacing w:after="160" w:line="259" w:lineRule="auto"/>
        <w:jc w:val="left"/>
      </w:pPr>
      <w:r w:rsidRPr="00B8476F">
        <w:rPr>
          <w:rStyle w:val="Heading2Char"/>
        </w:rPr>
        <w:lastRenderedPageBreak/>
        <w:t>Assessment of implementation</w:t>
      </w:r>
      <w:r w:rsidRPr="00B8476F">
        <w:t xml:space="preserve">: </w:t>
      </w:r>
    </w:p>
    <w:p w14:paraId="6C514491" w14:textId="1B103B6D" w:rsidR="008642CD" w:rsidRDefault="008642CD" w:rsidP="008642CD">
      <w:pPr>
        <w:rPr>
          <w:b/>
        </w:rPr>
      </w:pPr>
      <w:r w:rsidRPr="00B8476F">
        <w:rPr>
          <w:rStyle w:val="Heading3Char"/>
        </w:rPr>
        <w:t>Assessment of piloting achievement</w:t>
      </w:r>
      <w:r w:rsidR="00985F0C" w:rsidRPr="00B8476F">
        <w:rPr>
          <w:b/>
        </w:rPr>
        <w:t xml:space="preserve"> </w:t>
      </w:r>
    </w:p>
    <w:p w14:paraId="041C0410" w14:textId="41D48A37" w:rsidR="0098234E" w:rsidRPr="0098234E" w:rsidRDefault="0098234E" w:rsidP="008642CD">
      <w:r w:rsidRPr="0098234E">
        <w:t>The baseline extraction covers a 12 month time period and the final extraction a 4 month time period.</w:t>
      </w:r>
    </w:p>
    <w:p w14:paraId="5E19C76D" w14:textId="77777777" w:rsidR="002E7EDF" w:rsidRDefault="002E7EDF" w:rsidP="002E7EDF">
      <w:pPr>
        <w:rPr>
          <w:u w:val="single"/>
        </w:rPr>
      </w:pPr>
      <w:r w:rsidRPr="00B8476F">
        <w:rPr>
          <w:u w:val="single"/>
        </w:rPr>
        <w:t>Indicator 1 Multimorbidity register</w:t>
      </w:r>
    </w:p>
    <w:p w14:paraId="03ED3110" w14:textId="3D3C9445" w:rsidR="002E7EDF" w:rsidRDefault="002E7EDF" w:rsidP="002E7EDF">
      <w:r w:rsidRPr="000C0098">
        <w:t xml:space="preserve">As </w:t>
      </w:r>
      <w:r w:rsidR="000C0098" w:rsidRPr="000C0098">
        <w:t xml:space="preserve">a register there is no achievement data to report. </w:t>
      </w:r>
      <w:r w:rsidR="000C0098">
        <w:t>Prevalence of multimorbidity (as defined by the presence of four or more condition clusters) across the c</w:t>
      </w:r>
      <w:r w:rsidR="000C0098" w:rsidRPr="00F75BD4">
        <w:t xml:space="preserve">ohort </w:t>
      </w:r>
      <w:r w:rsidR="00F75BD4" w:rsidRPr="00F75BD4">
        <w:t>was 4.53</w:t>
      </w:r>
      <w:r w:rsidR="000C0098" w:rsidRPr="00F75BD4">
        <w:t xml:space="preserve">% at the baseline extraction </w:t>
      </w:r>
      <w:r w:rsidR="00F75BD4" w:rsidRPr="00F75BD4">
        <w:t>and 5.24</w:t>
      </w:r>
      <w:r w:rsidR="000C0098" w:rsidRPr="00F75BD4">
        <w:t>% at the final extraction</w:t>
      </w:r>
      <w:r w:rsidR="00F34676">
        <w:t>.</w:t>
      </w:r>
    </w:p>
    <w:p w14:paraId="22B820F1" w14:textId="16F1FFA0" w:rsidR="000C0098" w:rsidRDefault="000C0098" w:rsidP="002E7EDF">
      <w:pPr>
        <w:rPr>
          <w:color w:val="7030A0"/>
        </w:rPr>
      </w:pPr>
      <w:r>
        <w:t xml:space="preserve">Based on the final extraction data, the variation in the prevalence of multimorbidity at practice level ranged </w:t>
      </w:r>
      <w:r w:rsidRPr="00F75BD4">
        <w:t xml:space="preserve">from </w:t>
      </w:r>
      <w:r w:rsidR="00F75BD4" w:rsidRPr="00F75BD4">
        <w:t>1.6</w:t>
      </w:r>
      <w:r w:rsidRPr="00F75BD4">
        <w:t xml:space="preserve">% to </w:t>
      </w:r>
      <w:r w:rsidR="00F75BD4" w:rsidRPr="00F75BD4">
        <w:t>9.4%, (median 5.4</w:t>
      </w:r>
      <w:r w:rsidRPr="00F75BD4">
        <w:t>%).</w:t>
      </w:r>
    </w:p>
    <w:p w14:paraId="7A35BAF6" w14:textId="77777777" w:rsidR="000C0098" w:rsidRPr="000C0098" w:rsidRDefault="000C0098" w:rsidP="002E7EDF"/>
    <w:p w14:paraId="2DBD0225" w14:textId="77777777" w:rsidR="002E7EDF" w:rsidRDefault="002E7EDF" w:rsidP="002E7EDF">
      <w:pPr>
        <w:rPr>
          <w:u w:val="single"/>
        </w:rPr>
      </w:pPr>
      <w:r w:rsidRPr="00B8476F">
        <w:rPr>
          <w:u w:val="single"/>
        </w:rPr>
        <w:t>Indicator 2 Frailty register</w:t>
      </w:r>
    </w:p>
    <w:p w14:paraId="1DEABD39" w14:textId="07B43D42" w:rsidR="000C0098" w:rsidRDefault="000C0098" w:rsidP="000C0098">
      <w:r w:rsidRPr="000C0098">
        <w:t xml:space="preserve">As a register there is no achievement data to report. </w:t>
      </w:r>
      <w:r>
        <w:t>The proportion of patients with moderate or severe frailty across th</w:t>
      </w:r>
      <w:r w:rsidRPr="00E756D2">
        <w:t xml:space="preserve">e cohort was </w:t>
      </w:r>
      <w:r w:rsidR="00E756D2" w:rsidRPr="00E756D2">
        <w:t>2.36</w:t>
      </w:r>
      <w:r w:rsidRPr="00E756D2">
        <w:t xml:space="preserve">% at the baseline extraction and </w:t>
      </w:r>
      <w:r w:rsidR="00E756D2" w:rsidRPr="00E756D2">
        <w:t>2.61</w:t>
      </w:r>
      <w:r w:rsidR="00F34676">
        <w:t>% at the final extraction.</w:t>
      </w:r>
    </w:p>
    <w:p w14:paraId="24F62876" w14:textId="574FFF60" w:rsidR="0098234E" w:rsidRDefault="000C0098" w:rsidP="00F34676">
      <w:r>
        <w:t>Based on the final extraction data, the variation in the proportion of patients with moderate or seve</w:t>
      </w:r>
      <w:r w:rsidRPr="0023682E">
        <w:t xml:space="preserve">re frailty at practice level ranged from </w:t>
      </w:r>
      <w:r w:rsidR="00E756D2" w:rsidRPr="0023682E">
        <w:t>0.0</w:t>
      </w:r>
      <w:r w:rsidR="0023682E" w:rsidRPr="0023682E">
        <w:t>3</w:t>
      </w:r>
      <w:r w:rsidR="00E756D2" w:rsidRPr="0023682E">
        <w:t>% to 8.</w:t>
      </w:r>
      <w:r w:rsidR="0023682E" w:rsidRPr="0023682E">
        <w:t>6</w:t>
      </w:r>
      <w:r w:rsidR="00E756D2" w:rsidRPr="0023682E">
        <w:t>7%, (median 2.51</w:t>
      </w:r>
      <w:r w:rsidRPr="0023682E">
        <w:t>%).</w:t>
      </w:r>
    </w:p>
    <w:p w14:paraId="3304F705" w14:textId="77777777" w:rsidR="00F34676" w:rsidRPr="00F34676" w:rsidRDefault="00F34676" w:rsidP="00F34676"/>
    <w:p w14:paraId="1AC7DFCF" w14:textId="11C746DC" w:rsidR="002E7EDF" w:rsidRPr="00B8476F" w:rsidRDefault="002E7EDF" w:rsidP="002E7EDF">
      <w:pPr>
        <w:pStyle w:val="Heading4"/>
      </w:pPr>
      <w:r w:rsidRPr="00B8476F">
        <w:t>Indicator 3 Structured medication review</w:t>
      </w:r>
      <w:r w:rsidR="000C0098" w:rsidRPr="000C0098">
        <w:rPr>
          <w:u w:val="none"/>
        </w:rPr>
        <w:t xml:space="preserve"> (patients with multimorbidity and/or moderate or severe frailty)</w:t>
      </w:r>
    </w:p>
    <w:tbl>
      <w:tblPr>
        <w:tblStyle w:val="TableGrid"/>
        <w:tblW w:w="0" w:type="auto"/>
        <w:tblLook w:val="04A0" w:firstRow="1" w:lastRow="0" w:firstColumn="1" w:lastColumn="0" w:noHBand="0" w:noVBand="1"/>
      </w:tblPr>
      <w:tblGrid>
        <w:gridCol w:w="5807"/>
        <w:gridCol w:w="1701"/>
        <w:gridCol w:w="1508"/>
      </w:tblGrid>
      <w:tr w:rsidR="008642CD" w:rsidRPr="00B8476F" w14:paraId="7758D56E" w14:textId="77777777" w:rsidTr="008642CD">
        <w:tc>
          <w:tcPr>
            <w:tcW w:w="5807" w:type="dxa"/>
          </w:tcPr>
          <w:p w14:paraId="06E4AF64" w14:textId="52351F1D" w:rsidR="008642CD" w:rsidRPr="000C0098" w:rsidRDefault="000C0098" w:rsidP="000C0098">
            <w:pPr>
              <w:spacing w:before="40" w:after="40" w:line="240" w:lineRule="auto"/>
              <w:rPr>
                <w:b/>
              </w:rPr>
            </w:pPr>
            <w:r w:rsidRPr="000C0098">
              <w:rPr>
                <w:b/>
              </w:rPr>
              <w:t>% patients receiving a medication review</w:t>
            </w:r>
          </w:p>
        </w:tc>
        <w:tc>
          <w:tcPr>
            <w:tcW w:w="1701" w:type="dxa"/>
          </w:tcPr>
          <w:p w14:paraId="0E29491A" w14:textId="5AC14EB5" w:rsidR="008642CD" w:rsidRPr="000C0098" w:rsidRDefault="007F240E" w:rsidP="000C0098">
            <w:pPr>
              <w:spacing w:before="40" w:after="40" w:line="240" w:lineRule="auto"/>
              <w:jc w:val="center"/>
              <w:rPr>
                <w:b/>
              </w:rPr>
            </w:pPr>
            <w:r w:rsidRPr="000C0098">
              <w:rPr>
                <w:b/>
              </w:rPr>
              <w:t>Baseline</w:t>
            </w:r>
          </w:p>
        </w:tc>
        <w:tc>
          <w:tcPr>
            <w:tcW w:w="1508" w:type="dxa"/>
          </w:tcPr>
          <w:p w14:paraId="60E61FA5" w14:textId="44F55D14" w:rsidR="008642CD" w:rsidRPr="000C0098" w:rsidRDefault="007F240E" w:rsidP="000C0098">
            <w:pPr>
              <w:spacing w:before="40" w:after="40" w:line="240" w:lineRule="auto"/>
              <w:jc w:val="center"/>
              <w:rPr>
                <w:b/>
              </w:rPr>
            </w:pPr>
            <w:r w:rsidRPr="000C0098">
              <w:rPr>
                <w:b/>
              </w:rPr>
              <w:t>Final</w:t>
            </w:r>
          </w:p>
        </w:tc>
      </w:tr>
      <w:tr w:rsidR="00E756D2" w:rsidRPr="00B8476F" w14:paraId="53F6FB56" w14:textId="77777777" w:rsidTr="0023682E">
        <w:tc>
          <w:tcPr>
            <w:tcW w:w="5807" w:type="dxa"/>
            <w:vAlign w:val="bottom"/>
          </w:tcPr>
          <w:p w14:paraId="2600CAA8" w14:textId="3AEF9AAE" w:rsidR="00E756D2" w:rsidRPr="00E756D2" w:rsidRDefault="00E756D2" w:rsidP="00E756D2">
            <w:pPr>
              <w:spacing w:before="40" w:after="40" w:line="240" w:lineRule="auto"/>
              <w:rPr>
                <w:rFonts w:cs="Arial"/>
                <w:b/>
              </w:rPr>
            </w:pPr>
            <w:r w:rsidRPr="00E756D2">
              <w:rPr>
                <w:rFonts w:cs="Arial"/>
                <w:b/>
                <w:color w:val="000000"/>
                <w:sz w:val="22"/>
              </w:rPr>
              <w:t>Practices</w:t>
            </w:r>
          </w:p>
        </w:tc>
        <w:tc>
          <w:tcPr>
            <w:tcW w:w="1701" w:type="dxa"/>
            <w:vAlign w:val="bottom"/>
          </w:tcPr>
          <w:p w14:paraId="076B65E0" w14:textId="150DD0BE" w:rsidR="00E756D2" w:rsidRPr="00E756D2" w:rsidRDefault="00E756D2" w:rsidP="00E756D2">
            <w:pPr>
              <w:spacing w:before="40" w:after="40" w:line="240" w:lineRule="auto"/>
              <w:jc w:val="center"/>
              <w:rPr>
                <w:rFonts w:cs="Arial"/>
                <w:b/>
              </w:rPr>
            </w:pPr>
            <w:r w:rsidRPr="00E756D2">
              <w:rPr>
                <w:rFonts w:cs="Arial"/>
                <w:b/>
                <w:color w:val="000000"/>
                <w:sz w:val="22"/>
              </w:rPr>
              <w:t>26</w:t>
            </w:r>
          </w:p>
        </w:tc>
        <w:tc>
          <w:tcPr>
            <w:tcW w:w="1508" w:type="dxa"/>
            <w:vAlign w:val="bottom"/>
          </w:tcPr>
          <w:p w14:paraId="3E3009DB" w14:textId="4E0DC018" w:rsidR="00E756D2" w:rsidRPr="00E756D2" w:rsidRDefault="00E756D2" w:rsidP="00E756D2">
            <w:pPr>
              <w:spacing w:before="40" w:after="40" w:line="240" w:lineRule="auto"/>
              <w:jc w:val="center"/>
              <w:rPr>
                <w:rFonts w:cs="Arial"/>
                <w:b/>
              </w:rPr>
            </w:pPr>
            <w:r w:rsidRPr="00E756D2">
              <w:rPr>
                <w:rFonts w:cs="Arial"/>
                <w:b/>
                <w:color w:val="000000"/>
                <w:sz w:val="22"/>
              </w:rPr>
              <w:t>26</w:t>
            </w:r>
          </w:p>
        </w:tc>
      </w:tr>
      <w:tr w:rsidR="00E756D2" w:rsidRPr="00B8476F" w14:paraId="1F226FD9" w14:textId="77777777" w:rsidTr="0023682E">
        <w:tc>
          <w:tcPr>
            <w:tcW w:w="5807" w:type="dxa"/>
            <w:vAlign w:val="bottom"/>
          </w:tcPr>
          <w:p w14:paraId="4514F7D8" w14:textId="137BE821" w:rsidR="00E756D2" w:rsidRPr="00E756D2" w:rsidRDefault="00E756D2" w:rsidP="00E756D2">
            <w:pPr>
              <w:spacing w:before="40" w:after="40" w:line="240" w:lineRule="auto"/>
              <w:rPr>
                <w:rFonts w:cs="Arial"/>
                <w:b/>
              </w:rPr>
            </w:pPr>
            <w:r w:rsidRPr="00E756D2">
              <w:rPr>
                <w:rFonts w:cs="Arial"/>
                <w:b/>
                <w:color w:val="000000"/>
                <w:sz w:val="22"/>
              </w:rPr>
              <w:t xml:space="preserve">Practice population </w:t>
            </w:r>
          </w:p>
        </w:tc>
        <w:tc>
          <w:tcPr>
            <w:tcW w:w="1701" w:type="dxa"/>
            <w:vAlign w:val="bottom"/>
          </w:tcPr>
          <w:p w14:paraId="5074FEFF" w14:textId="225D7B74" w:rsidR="00E756D2" w:rsidRPr="00E756D2" w:rsidRDefault="00E756D2" w:rsidP="00E756D2">
            <w:pPr>
              <w:spacing w:before="40" w:after="40" w:line="240" w:lineRule="auto"/>
              <w:jc w:val="center"/>
              <w:rPr>
                <w:rFonts w:cs="Arial"/>
                <w:b/>
              </w:rPr>
            </w:pPr>
            <w:r w:rsidRPr="00E756D2">
              <w:rPr>
                <w:rFonts w:cs="Arial"/>
                <w:b/>
                <w:color w:val="000000"/>
                <w:sz w:val="22"/>
              </w:rPr>
              <w:t>321</w:t>
            </w:r>
            <w:r>
              <w:rPr>
                <w:rFonts w:cs="Arial"/>
                <w:b/>
                <w:color w:val="000000"/>
                <w:sz w:val="22"/>
              </w:rPr>
              <w:t>,</w:t>
            </w:r>
            <w:r w:rsidRPr="00E756D2">
              <w:rPr>
                <w:rFonts w:cs="Arial"/>
                <w:b/>
                <w:color w:val="000000"/>
                <w:sz w:val="22"/>
              </w:rPr>
              <w:t>651</w:t>
            </w:r>
          </w:p>
        </w:tc>
        <w:tc>
          <w:tcPr>
            <w:tcW w:w="1508" w:type="dxa"/>
            <w:vAlign w:val="bottom"/>
          </w:tcPr>
          <w:p w14:paraId="33675B33" w14:textId="7755CEBB" w:rsidR="00E756D2" w:rsidRPr="00E756D2" w:rsidRDefault="00E756D2" w:rsidP="00E756D2">
            <w:pPr>
              <w:spacing w:before="40" w:after="40" w:line="240" w:lineRule="auto"/>
              <w:jc w:val="center"/>
              <w:rPr>
                <w:rFonts w:cs="Arial"/>
                <w:b/>
              </w:rPr>
            </w:pPr>
            <w:r w:rsidRPr="00E756D2">
              <w:rPr>
                <w:rFonts w:cs="Arial"/>
                <w:b/>
                <w:color w:val="000000"/>
                <w:sz w:val="22"/>
              </w:rPr>
              <w:t>321</w:t>
            </w:r>
            <w:r>
              <w:rPr>
                <w:rFonts w:cs="Arial"/>
                <w:b/>
                <w:color w:val="000000"/>
                <w:sz w:val="22"/>
              </w:rPr>
              <w:t>,</w:t>
            </w:r>
            <w:r w:rsidRPr="00E756D2">
              <w:rPr>
                <w:rFonts w:cs="Arial"/>
                <w:b/>
                <w:color w:val="000000"/>
                <w:sz w:val="22"/>
              </w:rPr>
              <w:t>815</w:t>
            </w:r>
          </w:p>
        </w:tc>
      </w:tr>
      <w:tr w:rsidR="00E756D2" w:rsidRPr="00B8476F" w14:paraId="699F130E" w14:textId="77777777" w:rsidTr="0023682E">
        <w:tc>
          <w:tcPr>
            <w:tcW w:w="5807" w:type="dxa"/>
            <w:vAlign w:val="bottom"/>
          </w:tcPr>
          <w:p w14:paraId="072993C7" w14:textId="6A673F29" w:rsidR="00E756D2" w:rsidRPr="00E756D2" w:rsidRDefault="00E756D2" w:rsidP="00E756D2">
            <w:pPr>
              <w:spacing w:before="40" w:after="40" w:line="240" w:lineRule="auto"/>
              <w:rPr>
                <w:rFonts w:cs="Arial"/>
              </w:rPr>
            </w:pPr>
            <w:r w:rsidRPr="00E756D2">
              <w:rPr>
                <w:rFonts w:cs="Arial"/>
                <w:color w:val="000000"/>
                <w:sz w:val="22"/>
              </w:rPr>
              <w:t>Generated (MM or F)</w:t>
            </w:r>
          </w:p>
        </w:tc>
        <w:tc>
          <w:tcPr>
            <w:tcW w:w="1701" w:type="dxa"/>
            <w:vAlign w:val="bottom"/>
          </w:tcPr>
          <w:p w14:paraId="6116F8C1" w14:textId="31E8C19D" w:rsidR="00E756D2" w:rsidRPr="00E756D2" w:rsidRDefault="00E756D2" w:rsidP="00E756D2">
            <w:pPr>
              <w:spacing w:before="40" w:after="40" w:line="240" w:lineRule="auto"/>
              <w:jc w:val="center"/>
              <w:rPr>
                <w:rFonts w:cs="Arial"/>
              </w:rPr>
            </w:pPr>
            <w:r w:rsidRPr="00E756D2">
              <w:rPr>
                <w:rFonts w:cs="Arial"/>
                <w:bCs/>
                <w:color w:val="000000"/>
                <w:sz w:val="22"/>
              </w:rPr>
              <w:t>18</w:t>
            </w:r>
            <w:r>
              <w:rPr>
                <w:rFonts w:cs="Arial"/>
                <w:bCs/>
                <w:color w:val="000000"/>
                <w:sz w:val="22"/>
              </w:rPr>
              <w:t>,</w:t>
            </w:r>
            <w:r w:rsidRPr="00E756D2">
              <w:rPr>
                <w:rFonts w:cs="Arial"/>
                <w:bCs/>
                <w:color w:val="000000"/>
                <w:sz w:val="22"/>
              </w:rPr>
              <w:t>232</w:t>
            </w:r>
          </w:p>
        </w:tc>
        <w:tc>
          <w:tcPr>
            <w:tcW w:w="1508" w:type="dxa"/>
            <w:vAlign w:val="bottom"/>
          </w:tcPr>
          <w:p w14:paraId="4951FE8C" w14:textId="49586A3E" w:rsidR="00E756D2" w:rsidRPr="00E756D2" w:rsidRDefault="00E756D2" w:rsidP="00E756D2">
            <w:pPr>
              <w:spacing w:before="40" w:after="40" w:line="240" w:lineRule="auto"/>
              <w:jc w:val="center"/>
              <w:rPr>
                <w:rFonts w:cs="Arial"/>
              </w:rPr>
            </w:pPr>
            <w:r w:rsidRPr="00E756D2">
              <w:rPr>
                <w:rFonts w:cs="Arial"/>
                <w:bCs/>
                <w:color w:val="000000"/>
                <w:sz w:val="22"/>
              </w:rPr>
              <w:t>20</w:t>
            </w:r>
            <w:r>
              <w:rPr>
                <w:rFonts w:cs="Arial"/>
                <w:bCs/>
                <w:color w:val="000000"/>
                <w:sz w:val="22"/>
              </w:rPr>
              <w:t>,</w:t>
            </w:r>
            <w:r w:rsidRPr="00E756D2">
              <w:rPr>
                <w:rFonts w:cs="Arial"/>
                <w:bCs/>
                <w:color w:val="000000"/>
                <w:sz w:val="22"/>
              </w:rPr>
              <w:t>818</w:t>
            </w:r>
          </w:p>
        </w:tc>
      </w:tr>
      <w:tr w:rsidR="00E756D2" w:rsidRPr="00B8476F" w14:paraId="32C15033" w14:textId="77777777" w:rsidTr="0023682E">
        <w:tc>
          <w:tcPr>
            <w:tcW w:w="5807" w:type="dxa"/>
            <w:vAlign w:val="bottom"/>
          </w:tcPr>
          <w:p w14:paraId="16AAE3E5" w14:textId="506CFC3C" w:rsidR="00E756D2" w:rsidRPr="00E756D2" w:rsidRDefault="00E756D2" w:rsidP="00E756D2">
            <w:pPr>
              <w:spacing w:before="40" w:after="40" w:line="240" w:lineRule="auto"/>
              <w:rPr>
                <w:rFonts w:cs="Arial"/>
              </w:rPr>
            </w:pPr>
            <w:r w:rsidRPr="00E756D2">
              <w:rPr>
                <w:rFonts w:cs="Arial"/>
                <w:color w:val="000000"/>
                <w:sz w:val="22"/>
              </w:rPr>
              <w:t xml:space="preserve">Exception: declined </w:t>
            </w:r>
          </w:p>
        </w:tc>
        <w:tc>
          <w:tcPr>
            <w:tcW w:w="1701" w:type="dxa"/>
            <w:vAlign w:val="bottom"/>
          </w:tcPr>
          <w:p w14:paraId="34F57992" w14:textId="00156F07" w:rsidR="00E756D2" w:rsidRPr="00E756D2" w:rsidRDefault="00E756D2" w:rsidP="00E756D2">
            <w:pPr>
              <w:spacing w:before="40" w:after="40" w:line="240" w:lineRule="auto"/>
              <w:jc w:val="center"/>
              <w:rPr>
                <w:rFonts w:cs="Arial"/>
              </w:rPr>
            </w:pPr>
            <w:r w:rsidRPr="00E756D2">
              <w:rPr>
                <w:rFonts w:cs="Arial"/>
                <w:color w:val="000000"/>
                <w:sz w:val="22"/>
              </w:rPr>
              <w:t>3</w:t>
            </w:r>
          </w:p>
        </w:tc>
        <w:tc>
          <w:tcPr>
            <w:tcW w:w="1508" w:type="dxa"/>
            <w:vAlign w:val="bottom"/>
          </w:tcPr>
          <w:p w14:paraId="4845A46A" w14:textId="5151223A" w:rsidR="00E756D2" w:rsidRPr="00E756D2" w:rsidRDefault="00E756D2" w:rsidP="00E756D2">
            <w:pPr>
              <w:spacing w:before="40" w:after="40" w:line="240" w:lineRule="auto"/>
              <w:jc w:val="center"/>
              <w:rPr>
                <w:rFonts w:cs="Arial"/>
              </w:rPr>
            </w:pPr>
            <w:r w:rsidRPr="00E756D2">
              <w:rPr>
                <w:rFonts w:cs="Arial"/>
                <w:color w:val="000000"/>
                <w:sz w:val="22"/>
              </w:rPr>
              <w:t>3</w:t>
            </w:r>
          </w:p>
        </w:tc>
      </w:tr>
      <w:tr w:rsidR="00E756D2" w:rsidRPr="00B8476F" w14:paraId="59D9079E" w14:textId="77777777" w:rsidTr="0023682E">
        <w:tc>
          <w:tcPr>
            <w:tcW w:w="5807" w:type="dxa"/>
            <w:vAlign w:val="bottom"/>
          </w:tcPr>
          <w:p w14:paraId="3D2E7843" w14:textId="4518323E" w:rsidR="00E756D2" w:rsidRPr="00E756D2" w:rsidRDefault="00E756D2" w:rsidP="00E756D2">
            <w:pPr>
              <w:spacing w:before="40" w:after="40" w:line="240" w:lineRule="auto"/>
              <w:rPr>
                <w:rFonts w:cs="Arial"/>
              </w:rPr>
            </w:pPr>
            <w:r w:rsidRPr="00E756D2">
              <w:rPr>
                <w:rFonts w:cs="Arial"/>
                <w:color w:val="000000"/>
                <w:sz w:val="22"/>
              </w:rPr>
              <w:t>Exception: new registration</w:t>
            </w:r>
          </w:p>
        </w:tc>
        <w:tc>
          <w:tcPr>
            <w:tcW w:w="1701" w:type="dxa"/>
            <w:vAlign w:val="bottom"/>
          </w:tcPr>
          <w:p w14:paraId="3AC883F9" w14:textId="5FF0ADEE" w:rsidR="00E756D2" w:rsidRPr="00E756D2" w:rsidRDefault="00E756D2" w:rsidP="00E756D2">
            <w:pPr>
              <w:spacing w:before="40" w:after="40" w:line="240" w:lineRule="auto"/>
              <w:jc w:val="center"/>
              <w:rPr>
                <w:rFonts w:cs="Arial"/>
              </w:rPr>
            </w:pPr>
            <w:r w:rsidRPr="00E756D2">
              <w:rPr>
                <w:rFonts w:cs="Arial"/>
                <w:color w:val="000000"/>
                <w:sz w:val="22"/>
              </w:rPr>
              <w:t>8</w:t>
            </w:r>
            <w:r>
              <w:rPr>
                <w:rFonts w:cs="Arial"/>
                <w:color w:val="000000"/>
                <w:sz w:val="22"/>
              </w:rPr>
              <w:t>,</w:t>
            </w:r>
            <w:r w:rsidRPr="00E756D2">
              <w:rPr>
                <w:rFonts w:cs="Arial"/>
                <w:color w:val="000000"/>
                <w:sz w:val="22"/>
              </w:rPr>
              <w:t>087</w:t>
            </w:r>
          </w:p>
        </w:tc>
        <w:tc>
          <w:tcPr>
            <w:tcW w:w="1508" w:type="dxa"/>
            <w:vAlign w:val="bottom"/>
          </w:tcPr>
          <w:p w14:paraId="397BB4EF" w14:textId="2F4D6265" w:rsidR="00E756D2" w:rsidRPr="00E756D2" w:rsidRDefault="00E756D2" w:rsidP="00E756D2">
            <w:pPr>
              <w:spacing w:before="40" w:after="40" w:line="240" w:lineRule="auto"/>
              <w:jc w:val="center"/>
              <w:rPr>
                <w:rFonts w:cs="Arial"/>
              </w:rPr>
            </w:pPr>
            <w:r w:rsidRPr="00E756D2">
              <w:rPr>
                <w:rFonts w:cs="Arial"/>
                <w:color w:val="000000"/>
                <w:sz w:val="22"/>
              </w:rPr>
              <w:t>10</w:t>
            </w:r>
            <w:r>
              <w:rPr>
                <w:rFonts w:cs="Arial"/>
                <w:color w:val="000000"/>
                <w:sz w:val="22"/>
              </w:rPr>
              <w:t>,</w:t>
            </w:r>
            <w:r w:rsidRPr="00E756D2">
              <w:rPr>
                <w:rFonts w:cs="Arial"/>
                <w:color w:val="000000"/>
                <w:sz w:val="22"/>
              </w:rPr>
              <w:t>610</w:t>
            </w:r>
          </w:p>
        </w:tc>
      </w:tr>
      <w:tr w:rsidR="00E756D2" w:rsidRPr="00B8476F" w14:paraId="12C5A318" w14:textId="77777777" w:rsidTr="0023682E">
        <w:tc>
          <w:tcPr>
            <w:tcW w:w="5807" w:type="dxa"/>
            <w:vAlign w:val="bottom"/>
          </w:tcPr>
          <w:p w14:paraId="46FF495A" w14:textId="2998703F" w:rsidR="00E756D2" w:rsidRPr="00E756D2" w:rsidRDefault="00E756D2" w:rsidP="00E756D2">
            <w:pPr>
              <w:spacing w:before="40" w:after="40" w:line="240" w:lineRule="auto"/>
              <w:rPr>
                <w:rFonts w:cs="Arial"/>
              </w:rPr>
            </w:pPr>
            <w:r w:rsidRPr="00E756D2">
              <w:rPr>
                <w:rFonts w:cs="Arial"/>
                <w:color w:val="000000"/>
                <w:sz w:val="22"/>
              </w:rPr>
              <w:t>Exceptions as a percentage</w:t>
            </w:r>
          </w:p>
        </w:tc>
        <w:tc>
          <w:tcPr>
            <w:tcW w:w="1701" w:type="dxa"/>
            <w:vAlign w:val="bottom"/>
          </w:tcPr>
          <w:p w14:paraId="4AADD17E" w14:textId="5816F82D" w:rsidR="00E756D2" w:rsidRPr="00E756D2" w:rsidRDefault="00E756D2" w:rsidP="00E756D2">
            <w:pPr>
              <w:spacing w:before="40" w:after="40" w:line="240" w:lineRule="auto"/>
              <w:jc w:val="center"/>
              <w:rPr>
                <w:rFonts w:cs="Arial"/>
              </w:rPr>
            </w:pPr>
            <w:r w:rsidRPr="00E756D2">
              <w:rPr>
                <w:rFonts w:cs="Arial"/>
                <w:color w:val="000000"/>
                <w:sz w:val="22"/>
              </w:rPr>
              <w:t>55.64%</w:t>
            </w:r>
          </w:p>
        </w:tc>
        <w:tc>
          <w:tcPr>
            <w:tcW w:w="1508" w:type="dxa"/>
            <w:vAlign w:val="bottom"/>
          </w:tcPr>
          <w:p w14:paraId="094AB9C6" w14:textId="71E5F28D" w:rsidR="00E756D2" w:rsidRPr="00E756D2" w:rsidRDefault="00E756D2" w:rsidP="00E756D2">
            <w:pPr>
              <w:spacing w:before="40" w:after="40" w:line="240" w:lineRule="auto"/>
              <w:jc w:val="center"/>
              <w:rPr>
                <w:rFonts w:cs="Arial"/>
              </w:rPr>
            </w:pPr>
            <w:r w:rsidRPr="00E756D2">
              <w:rPr>
                <w:rFonts w:cs="Arial"/>
                <w:color w:val="000000"/>
                <w:sz w:val="22"/>
              </w:rPr>
              <w:t>49.03%</w:t>
            </w:r>
            <w:r w:rsidR="00F34676">
              <w:rPr>
                <w:rFonts w:cs="Arial"/>
                <w:color w:val="000000"/>
                <w:sz w:val="22"/>
              </w:rPr>
              <w:t xml:space="preserve"> </w:t>
            </w:r>
          </w:p>
        </w:tc>
      </w:tr>
      <w:tr w:rsidR="00E756D2" w:rsidRPr="00B8476F" w14:paraId="067D33EE" w14:textId="77777777" w:rsidTr="0023682E">
        <w:tc>
          <w:tcPr>
            <w:tcW w:w="5807" w:type="dxa"/>
            <w:vAlign w:val="bottom"/>
          </w:tcPr>
          <w:p w14:paraId="430E921B" w14:textId="71ACCA56" w:rsidR="00E756D2" w:rsidRPr="00E756D2" w:rsidRDefault="00E756D2" w:rsidP="00E756D2">
            <w:pPr>
              <w:spacing w:before="40" w:after="40" w:line="240" w:lineRule="auto"/>
              <w:rPr>
                <w:rFonts w:cs="Arial"/>
                <w:b/>
              </w:rPr>
            </w:pPr>
            <w:r w:rsidRPr="00E756D2">
              <w:rPr>
                <w:rFonts w:cs="Arial"/>
                <w:b/>
                <w:color w:val="000000"/>
                <w:sz w:val="22"/>
              </w:rPr>
              <w:t xml:space="preserve">Denominator </w:t>
            </w:r>
          </w:p>
        </w:tc>
        <w:tc>
          <w:tcPr>
            <w:tcW w:w="1701" w:type="dxa"/>
            <w:vAlign w:val="bottom"/>
          </w:tcPr>
          <w:p w14:paraId="2107ED1A" w14:textId="7F9BC7E4" w:rsidR="00E756D2" w:rsidRPr="00E756D2" w:rsidRDefault="00E756D2" w:rsidP="00E756D2">
            <w:pPr>
              <w:spacing w:before="40" w:after="40" w:line="240" w:lineRule="auto"/>
              <w:jc w:val="center"/>
              <w:rPr>
                <w:rFonts w:cs="Arial"/>
                <w:b/>
              </w:rPr>
            </w:pPr>
            <w:r w:rsidRPr="00E756D2">
              <w:rPr>
                <w:rFonts w:cs="Arial"/>
                <w:b/>
                <w:color w:val="000000"/>
                <w:sz w:val="22"/>
              </w:rPr>
              <w:t>10</w:t>
            </w:r>
            <w:r>
              <w:rPr>
                <w:rFonts w:cs="Arial"/>
                <w:b/>
                <w:color w:val="000000"/>
                <w:sz w:val="22"/>
              </w:rPr>
              <w:t>,</w:t>
            </w:r>
            <w:r w:rsidRPr="00E756D2">
              <w:rPr>
                <w:rFonts w:cs="Arial"/>
                <w:b/>
                <w:color w:val="000000"/>
                <w:sz w:val="22"/>
              </w:rPr>
              <w:t>142</w:t>
            </w:r>
          </w:p>
        </w:tc>
        <w:tc>
          <w:tcPr>
            <w:tcW w:w="1508" w:type="dxa"/>
            <w:vAlign w:val="bottom"/>
          </w:tcPr>
          <w:p w14:paraId="481FC960" w14:textId="46C49BDA" w:rsidR="00E756D2" w:rsidRPr="00E756D2" w:rsidRDefault="00E756D2" w:rsidP="00E756D2">
            <w:pPr>
              <w:spacing w:before="40" w:after="40" w:line="240" w:lineRule="auto"/>
              <w:jc w:val="center"/>
              <w:rPr>
                <w:rFonts w:cs="Arial"/>
                <w:b/>
              </w:rPr>
            </w:pPr>
            <w:r w:rsidRPr="00E756D2">
              <w:rPr>
                <w:rFonts w:cs="Arial"/>
                <w:b/>
                <w:color w:val="000000"/>
                <w:sz w:val="22"/>
              </w:rPr>
              <w:t>10</w:t>
            </w:r>
            <w:r>
              <w:rPr>
                <w:rFonts w:cs="Arial"/>
                <w:b/>
                <w:color w:val="000000"/>
                <w:sz w:val="22"/>
              </w:rPr>
              <w:t>,</w:t>
            </w:r>
            <w:r w:rsidRPr="00E756D2">
              <w:rPr>
                <w:rFonts w:cs="Arial"/>
                <w:b/>
                <w:color w:val="000000"/>
                <w:sz w:val="22"/>
              </w:rPr>
              <w:t>205</w:t>
            </w:r>
          </w:p>
        </w:tc>
      </w:tr>
      <w:tr w:rsidR="00E756D2" w:rsidRPr="00B8476F" w14:paraId="48CCCA34" w14:textId="77777777" w:rsidTr="0023682E">
        <w:tc>
          <w:tcPr>
            <w:tcW w:w="5807" w:type="dxa"/>
            <w:vAlign w:val="bottom"/>
          </w:tcPr>
          <w:p w14:paraId="0C3DF2F4" w14:textId="13ABFF08" w:rsidR="00E756D2" w:rsidRPr="00E756D2" w:rsidRDefault="00E756D2" w:rsidP="00E756D2">
            <w:pPr>
              <w:spacing w:before="40" w:after="40" w:line="240" w:lineRule="auto"/>
              <w:rPr>
                <w:rFonts w:cs="Arial"/>
                <w:b/>
              </w:rPr>
            </w:pPr>
            <w:r w:rsidRPr="00E756D2">
              <w:rPr>
                <w:rFonts w:cs="Arial"/>
                <w:b/>
                <w:color w:val="000000"/>
                <w:sz w:val="22"/>
              </w:rPr>
              <w:t>Numerator</w:t>
            </w:r>
          </w:p>
        </w:tc>
        <w:tc>
          <w:tcPr>
            <w:tcW w:w="1701" w:type="dxa"/>
            <w:vAlign w:val="bottom"/>
          </w:tcPr>
          <w:p w14:paraId="3F9E24AD" w14:textId="165083E5" w:rsidR="00E756D2" w:rsidRPr="00E756D2" w:rsidRDefault="00E756D2" w:rsidP="00E756D2">
            <w:pPr>
              <w:spacing w:before="40" w:after="40" w:line="240" w:lineRule="auto"/>
              <w:jc w:val="center"/>
              <w:rPr>
                <w:rFonts w:cs="Arial"/>
                <w:b/>
              </w:rPr>
            </w:pPr>
            <w:r w:rsidRPr="00E756D2">
              <w:rPr>
                <w:rFonts w:cs="Arial"/>
                <w:b/>
                <w:color w:val="000000"/>
                <w:sz w:val="22"/>
              </w:rPr>
              <w:t>2</w:t>
            </w:r>
            <w:r>
              <w:rPr>
                <w:rFonts w:cs="Arial"/>
                <w:b/>
                <w:color w:val="000000"/>
                <w:sz w:val="22"/>
              </w:rPr>
              <w:t>,</w:t>
            </w:r>
            <w:r w:rsidRPr="00E756D2">
              <w:rPr>
                <w:rFonts w:cs="Arial"/>
                <w:b/>
                <w:color w:val="000000"/>
                <w:sz w:val="22"/>
              </w:rPr>
              <w:t>984</w:t>
            </w:r>
          </w:p>
        </w:tc>
        <w:tc>
          <w:tcPr>
            <w:tcW w:w="1508" w:type="dxa"/>
            <w:vAlign w:val="bottom"/>
          </w:tcPr>
          <w:p w14:paraId="30F1D6DE" w14:textId="29E0AAA8" w:rsidR="00E756D2" w:rsidRPr="00E756D2" w:rsidRDefault="00E756D2" w:rsidP="00E756D2">
            <w:pPr>
              <w:spacing w:before="40" w:after="40" w:line="240" w:lineRule="auto"/>
              <w:jc w:val="center"/>
              <w:rPr>
                <w:rFonts w:cs="Arial"/>
                <w:b/>
              </w:rPr>
            </w:pPr>
            <w:r w:rsidRPr="00E756D2">
              <w:rPr>
                <w:rFonts w:cs="Arial"/>
                <w:b/>
                <w:color w:val="000000"/>
                <w:sz w:val="22"/>
              </w:rPr>
              <w:t>1</w:t>
            </w:r>
            <w:r>
              <w:rPr>
                <w:rFonts w:cs="Arial"/>
                <w:b/>
                <w:color w:val="000000"/>
                <w:sz w:val="22"/>
              </w:rPr>
              <w:t>,</w:t>
            </w:r>
            <w:r w:rsidRPr="00E756D2">
              <w:rPr>
                <w:rFonts w:cs="Arial"/>
                <w:b/>
                <w:color w:val="000000"/>
                <w:sz w:val="22"/>
              </w:rPr>
              <w:t>207</w:t>
            </w:r>
          </w:p>
        </w:tc>
      </w:tr>
      <w:tr w:rsidR="00E756D2" w:rsidRPr="00B8476F" w14:paraId="614B389B" w14:textId="77777777" w:rsidTr="0023682E">
        <w:tc>
          <w:tcPr>
            <w:tcW w:w="5807" w:type="dxa"/>
            <w:vAlign w:val="bottom"/>
          </w:tcPr>
          <w:p w14:paraId="49F8DCCB" w14:textId="36131FD3" w:rsidR="00E756D2" w:rsidRPr="00E756D2" w:rsidRDefault="00E756D2" w:rsidP="00E756D2">
            <w:pPr>
              <w:spacing w:before="40" w:after="40" w:line="240" w:lineRule="auto"/>
              <w:rPr>
                <w:rFonts w:cs="Arial"/>
                <w:b/>
              </w:rPr>
            </w:pPr>
            <w:r w:rsidRPr="00E756D2">
              <w:rPr>
                <w:rFonts w:cs="Arial"/>
                <w:b/>
                <w:color w:val="000000"/>
                <w:sz w:val="22"/>
              </w:rPr>
              <w:t xml:space="preserve">Percentage </w:t>
            </w:r>
          </w:p>
        </w:tc>
        <w:tc>
          <w:tcPr>
            <w:tcW w:w="1701" w:type="dxa"/>
            <w:vAlign w:val="bottom"/>
          </w:tcPr>
          <w:p w14:paraId="6B3B2346" w14:textId="16B8B19B" w:rsidR="00E756D2" w:rsidRPr="00E756D2" w:rsidRDefault="00E756D2" w:rsidP="00E756D2">
            <w:pPr>
              <w:spacing w:before="40" w:after="40" w:line="240" w:lineRule="auto"/>
              <w:jc w:val="center"/>
              <w:rPr>
                <w:rFonts w:cs="Arial"/>
                <w:b/>
              </w:rPr>
            </w:pPr>
            <w:r w:rsidRPr="00E756D2">
              <w:rPr>
                <w:rFonts w:cs="Arial"/>
                <w:b/>
                <w:color w:val="000000"/>
                <w:sz w:val="22"/>
              </w:rPr>
              <w:t>29.42%</w:t>
            </w:r>
          </w:p>
        </w:tc>
        <w:tc>
          <w:tcPr>
            <w:tcW w:w="1508" w:type="dxa"/>
            <w:vAlign w:val="bottom"/>
          </w:tcPr>
          <w:p w14:paraId="56C511DD" w14:textId="46823384" w:rsidR="00E756D2" w:rsidRPr="00E756D2" w:rsidRDefault="00E756D2" w:rsidP="00E756D2">
            <w:pPr>
              <w:spacing w:before="40" w:after="40" w:line="240" w:lineRule="auto"/>
              <w:jc w:val="center"/>
              <w:rPr>
                <w:rFonts w:cs="Arial"/>
                <w:b/>
              </w:rPr>
            </w:pPr>
            <w:r w:rsidRPr="00E756D2">
              <w:rPr>
                <w:rFonts w:cs="Arial"/>
                <w:b/>
                <w:color w:val="000000"/>
                <w:sz w:val="22"/>
              </w:rPr>
              <w:t>11.83%</w:t>
            </w:r>
          </w:p>
        </w:tc>
      </w:tr>
    </w:tbl>
    <w:p w14:paraId="15554964" w14:textId="20D0635A" w:rsidR="002E7EDF" w:rsidRPr="000C0098" w:rsidRDefault="002E7EDF" w:rsidP="002E7EDF">
      <w:pPr>
        <w:pStyle w:val="Heading4"/>
        <w:rPr>
          <w:u w:val="none"/>
        </w:rPr>
      </w:pPr>
      <w:r w:rsidRPr="00B8476F">
        <w:lastRenderedPageBreak/>
        <w:t>Indicator 4 Falls prevention</w:t>
      </w:r>
      <w:r w:rsidR="000C0098">
        <w:rPr>
          <w:u w:val="none"/>
        </w:rPr>
        <w:t xml:space="preserve"> (patients with moderate or severe frailty)</w:t>
      </w:r>
    </w:p>
    <w:tbl>
      <w:tblPr>
        <w:tblStyle w:val="TableGrid"/>
        <w:tblW w:w="0" w:type="auto"/>
        <w:tblLook w:val="04A0" w:firstRow="1" w:lastRow="0" w:firstColumn="1" w:lastColumn="0" w:noHBand="0" w:noVBand="1"/>
      </w:tblPr>
      <w:tblGrid>
        <w:gridCol w:w="5807"/>
        <w:gridCol w:w="1701"/>
        <w:gridCol w:w="1508"/>
      </w:tblGrid>
      <w:tr w:rsidR="000C0098" w:rsidRPr="000C0098" w14:paraId="578CF85D" w14:textId="77777777" w:rsidTr="00F77A38">
        <w:tc>
          <w:tcPr>
            <w:tcW w:w="5807" w:type="dxa"/>
          </w:tcPr>
          <w:p w14:paraId="226895D5" w14:textId="596997C8" w:rsidR="000C0098" w:rsidRPr="000C0098" w:rsidRDefault="000C0098" w:rsidP="000C0098">
            <w:pPr>
              <w:spacing w:before="40" w:after="40" w:line="240" w:lineRule="auto"/>
              <w:rPr>
                <w:b/>
              </w:rPr>
            </w:pPr>
            <w:r w:rsidRPr="000C0098">
              <w:rPr>
                <w:b/>
              </w:rPr>
              <w:t xml:space="preserve">% patients </w:t>
            </w:r>
            <w:r>
              <w:rPr>
                <w:b/>
              </w:rPr>
              <w:t>asked about falls</w:t>
            </w:r>
          </w:p>
        </w:tc>
        <w:tc>
          <w:tcPr>
            <w:tcW w:w="1701" w:type="dxa"/>
          </w:tcPr>
          <w:p w14:paraId="2148D1FD" w14:textId="77777777" w:rsidR="000C0098" w:rsidRPr="000C0098" w:rsidRDefault="000C0098" w:rsidP="00F77A38">
            <w:pPr>
              <w:spacing w:before="40" w:after="40" w:line="240" w:lineRule="auto"/>
              <w:jc w:val="center"/>
              <w:rPr>
                <w:b/>
              </w:rPr>
            </w:pPr>
            <w:r w:rsidRPr="000C0098">
              <w:rPr>
                <w:b/>
              </w:rPr>
              <w:t>Baseline</w:t>
            </w:r>
          </w:p>
        </w:tc>
        <w:tc>
          <w:tcPr>
            <w:tcW w:w="1508" w:type="dxa"/>
          </w:tcPr>
          <w:p w14:paraId="01ACA6F0" w14:textId="77777777" w:rsidR="000C0098" w:rsidRPr="000C0098" w:rsidRDefault="000C0098" w:rsidP="00F77A38">
            <w:pPr>
              <w:spacing w:before="40" w:after="40" w:line="240" w:lineRule="auto"/>
              <w:jc w:val="center"/>
              <w:rPr>
                <w:b/>
              </w:rPr>
            </w:pPr>
            <w:r w:rsidRPr="000C0098">
              <w:rPr>
                <w:b/>
              </w:rPr>
              <w:t>Final</w:t>
            </w:r>
          </w:p>
        </w:tc>
      </w:tr>
      <w:tr w:rsidR="00E756D2" w:rsidRPr="00B8476F" w14:paraId="50A55672" w14:textId="77777777" w:rsidTr="0023682E">
        <w:tc>
          <w:tcPr>
            <w:tcW w:w="5807" w:type="dxa"/>
            <w:vAlign w:val="bottom"/>
          </w:tcPr>
          <w:p w14:paraId="5620E3F3" w14:textId="4F0D9350" w:rsidR="00E756D2" w:rsidRPr="00E756D2" w:rsidRDefault="00E756D2" w:rsidP="00E756D2">
            <w:pPr>
              <w:spacing w:before="40" w:after="40" w:line="240" w:lineRule="auto"/>
              <w:rPr>
                <w:rFonts w:cs="Arial"/>
                <w:b/>
              </w:rPr>
            </w:pPr>
            <w:r w:rsidRPr="00E756D2">
              <w:rPr>
                <w:rFonts w:cs="Arial"/>
                <w:b/>
                <w:color w:val="000000"/>
                <w:sz w:val="22"/>
              </w:rPr>
              <w:t>Practices</w:t>
            </w:r>
          </w:p>
        </w:tc>
        <w:tc>
          <w:tcPr>
            <w:tcW w:w="1701" w:type="dxa"/>
            <w:vAlign w:val="bottom"/>
          </w:tcPr>
          <w:p w14:paraId="46D5BBCA" w14:textId="56D9397B" w:rsidR="00E756D2" w:rsidRPr="00E756D2" w:rsidRDefault="00E756D2" w:rsidP="00E756D2">
            <w:pPr>
              <w:spacing w:before="40" w:after="40" w:line="240" w:lineRule="auto"/>
              <w:jc w:val="center"/>
              <w:rPr>
                <w:rFonts w:cs="Arial"/>
                <w:b/>
              </w:rPr>
            </w:pPr>
            <w:r w:rsidRPr="00E756D2">
              <w:rPr>
                <w:rFonts w:cs="Arial"/>
                <w:b/>
                <w:color w:val="000000"/>
                <w:sz w:val="22"/>
              </w:rPr>
              <w:t>26</w:t>
            </w:r>
          </w:p>
        </w:tc>
        <w:tc>
          <w:tcPr>
            <w:tcW w:w="1508" w:type="dxa"/>
            <w:vAlign w:val="bottom"/>
          </w:tcPr>
          <w:p w14:paraId="10921E69" w14:textId="667F0BAF" w:rsidR="00E756D2" w:rsidRPr="00E756D2" w:rsidRDefault="00E756D2" w:rsidP="00E756D2">
            <w:pPr>
              <w:spacing w:before="40" w:after="40" w:line="240" w:lineRule="auto"/>
              <w:jc w:val="center"/>
              <w:rPr>
                <w:rFonts w:cs="Arial"/>
                <w:b/>
              </w:rPr>
            </w:pPr>
            <w:r w:rsidRPr="00E756D2">
              <w:rPr>
                <w:rFonts w:cs="Arial"/>
                <w:b/>
                <w:color w:val="000000"/>
                <w:sz w:val="22"/>
              </w:rPr>
              <w:t>26</w:t>
            </w:r>
          </w:p>
        </w:tc>
      </w:tr>
      <w:tr w:rsidR="00E756D2" w:rsidRPr="00B8476F" w14:paraId="310B6FA4" w14:textId="77777777" w:rsidTr="0023682E">
        <w:tc>
          <w:tcPr>
            <w:tcW w:w="5807" w:type="dxa"/>
            <w:vAlign w:val="bottom"/>
          </w:tcPr>
          <w:p w14:paraId="71F22502" w14:textId="3FABB66C" w:rsidR="00E756D2" w:rsidRPr="00E756D2" w:rsidRDefault="00E756D2" w:rsidP="00E756D2">
            <w:pPr>
              <w:spacing w:before="40" w:after="40" w:line="240" w:lineRule="auto"/>
              <w:rPr>
                <w:rFonts w:cs="Arial"/>
                <w:b/>
              </w:rPr>
            </w:pPr>
            <w:r w:rsidRPr="00E756D2">
              <w:rPr>
                <w:rFonts w:cs="Arial"/>
                <w:b/>
                <w:color w:val="000000"/>
                <w:sz w:val="22"/>
              </w:rPr>
              <w:t xml:space="preserve">Practice population </w:t>
            </w:r>
          </w:p>
        </w:tc>
        <w:tc>
          <w:tcPr>
            <w:tcW w:w="1701" w:type="dxa"/>
            <w:vAlign w:val="bottom"/>
          </w:tcPr>
          <w:p w14:paraId="7182B682" w14:textId="48DA3E88" w:rsidR="00E756D2" w:rsidRPr="00E756D2" w:rsidRDefault="00E756D2" w:rsidP="00E756D2">
            <w:pPr>
              <w:spacing w:before="40" w:after="40" w:line="240" w:lineRule="auto"/>
              <w:jc w:val="center"/>
              <w:rPr>
                <w:rFonts w:cs="Arial"/>
                <w:b/>
              </w:rPr>
            </w:pPr>
            <w:r w:rsidRPr="00E756D2">
              <w:rPr>
                <w:rFonts w:cs="Arial"/>
                <w:b/>
                <w:color w:val="000000"/>
                <w:sz w:val="22"/>
              </w:rPr>
              <w:t>321</w:t>
            </w:r>
            <w:r>
              <w:rPr>
                <w:rFonts w:cs="Arial"/>
                <w:b/>
                <w:color w:val="000000"/>
                <w:sz w:val="22"/>
              </w:rPr>
              <w:t>,</w:t>
            </w:r>
            <w:r w:rsidRPr="00E756D2">
              <w:rPr>
                <w:rFonts w:cs="Arial"/>
                <w:b/>
                <w:color w:val="000000"/>
                <w:sz w:val="22"/>
              </w:rPr>
              <w:t>651</w:t>
            </w:r>
          </w:p>
        </w:tc>
        <w:tc>
          <w:tcPr>
            <w:tcW w:w="1508" w:type="dxa"/>
            <w:vAlign w:val="bottom"/>
          </w:tcPr>
          <w:p w14:paraId="3EA091F0" w14:textId="779DC836" w:rsidR="00E756D2" w:rsidRPr="00E756D2" w:rsidRDefault="00E756D2" w:rsidP="00E756D2">
            <w:pPr>
              <w:spacing w:before="40" w:after="40" w:line="240" w:lineRule="auto"/>
              <w:jc w:val="center"/>
              <w:rPr>
                <w:rFonts w:cs="Arial"/>
                <w:b/>
              </w:rPr>
            </w:pPr>
            <w:r w:rsidRPr="00E756D2">
              <w:rPr>
                <w:rFonts w:cs="Arial"/>
                <w:b/>
                <w:color w:val="000000"/>
                <w:sz w:val="22"/>
              </w:rPr>
              <w:t>321</w:t>
            </w:r>
            <w:r>
              <w:rPr>
                <w:rFonts w:cs="Arial"/>
                <w:b/>
                <w:color w:val="000000"/>
                <w:sz w:val="22"/>
              </w:rPr>
              <w:t>,</w:t>
            </w:r>
            <w:r w:rsidRPr="00E756D2">
              <w:rPr>
                <w:rFonts w:cs="Arial"/>
                <w:b/>
                <w:color w:val="000000"/>
                <w:sz w:val="22"/>
              </w:rPr>
              <w:t>815</w:t>
            </w:r>
          </w:p>
        </w:tc>
      </w:tr>
      <w:tr w:rsidR="00E756D2" w:rsidRPr="00B8476F" w14:paraId="3E297C91" w14:textId="77777777" w:rsidTr="0023682E">
        <w:tc>
          <w:tcPr>
            <w:tcW w:w="5807" w:type="dxa"/>
            <w:vAlign w:val="bottom"/>
          </w:tcPr>
          <w:p w14:paraId="1EC6BD0C" w14:textId="4DAE7760" w:rsidR="00E756D2" w:rsidRPr="00E756D2" w:rsidRDefault="00E756D2" w:rsidP="00E756D2">
            <w:pPr>
              <w:spacing w:before="40" w:after="40" w:line="240" w:lineRule="auto"/>
              <w:rPr>
                <w:rFonts w:cs="Arial"/>
              </w:rPr>
            </w:pPr>
            <w:r w:rsidRPr="00E756D2">
              <w:rPr>
                <w:rFonts w:cs="Arial"/>
                <w:color w:val="000000"/>
                <w:sz w:val="22"/>
              </w:rPr>
              <w:t xml:space="preserve">Generated (MM or mod/severe frailty) </w:t>
            </w:r>
          </w:p>
        </w:tc>
        <w:tc>
          <w:tcPr>
            <w:tcW w:w="1701" w:type="dxa"/>
            <w:vAlign w:val="bottom"/>
          </w:tcPr>
          <w:p w14:paraId="494F405D" w14:textId="7B16B387" w:rsidR="00E756D2" w:rsidRPr="00E756D2" w:rsidRDefault="00E756D2" w:rsidP="00E756D2">
            <w:pPr>
              <w:spacing w:before="40" w:after="40" w:line="240" w:lineRule="auto"/>
              <w:jc w:val="center"/>
              <w:rPr>
                <w:rFonts w:cs="Arial"/>
              </w:rPr>
            </w:pPr>
            <w:r w:rsidRPr="00E756D2">
              <w:rPr>
                <w:rFonts w:cs="Arial"/>
                <w:color w:val="000000"/>
                <w:sz w:val="22"/>
              </w:rPr>
              <w:t>7</w:t>
            </w:r>
            <w:r>
              <w:rPr>
                <w:rFonts w:cs="Arial"/>
                <w:color w:val="000000"/>
                <w:sz w:val="22"/>
              </w:rPr>
              <w:t>,</w:t>
            </w:r>
            <w:r w:rsidRPr="00E756D2">
              <w:rPr>
                <w:rFonts w:cs="Arial"/>
                <w:color w:val="000000"/>
                <w:sz w:val="22"/>
              </w:rPr>
              <w:t>595</w:t>
            </w:r>
          </w:p>
        </w:tc>
        <w:tc>
          <w:tcPr>
            <w:tcW w:w="1508" w:type="dxa"/>
            <w:vAlign w:val="bottom"/>
          </w:tcPr>
          <w:p w14:paraId="006502CF" w14:textId="30F2423F" w:rsidR="00E756D2" w:rsidRPr="00E756D2" w:rsidRDefault="00E756D2" w:rsidP="00E756D2">
            <w:pPr>
              <w:spacing w:before="40" w:after="40" w:line="240" w:lineRule="auto"/>
              <w:jc w:val="center"/>
              <w:rPr>
                <w:rFonts w:cs="Arial"/>
              </w:rPr>
            </w:pPr>
            <w:r w:rsidRPr="00E756D2">
              <w:rPr>
                <w:rFonts w:cs="Arial"/>
                <w:color w:val="000000"/>
                <w:sz w:val="22"/>
              </w:rPr>
              <w:t>8</w:t>
            </w:r>
            <w:r>
              <w:rPr>
                <w:rFonts w:cs="Arial"/>
                <w:color w:val="000000"/>
                <w:sz w:val="22"/>
              </w:rPr>
              <w:t>,</w:t>
            </w:r>
            <w:r w:rsidRPr="00E756D2">
              <w:rPr>
                <w:rFonts w:cs="Arial"/>
                <w:color w:val="000000"/>
                <w:sz w:val="22"/>
              </w:rPr>
              <w:t>446</w:t>
            </w:r>
          </w:p>
        </w:tc>
      </w:tr>
      <w:tr w:rsidR="00E756D2" w:rsidRPr="00B8476F" w14:paraId="112D00A7" w14:textId="77777777" w:rsidTr="0023682E">
        <w:tc>
          <w:tcPr>
            <w:tcW w:w="5807" w:type="dxa"/>
            <w:vAlign w:val="bottom"/>
          </w:tcPr>
          <w:p w14:paraId="589C9773" w14:textId="792FA4F4" w:rsidR="00E756D2" w:rsidRPr="00E756D2" w:rsidRDefault="00E756D2" w:rsidP="00E756D2">
            <w:pPr>
              <w:spacing w:before="40" w:after="40" w:line="240" w:lineRule="auto"/>
              <w:rPr>
                <w:rFonts w:cs="Arial"/>
              </w:rPr>
            </w:pPr>
            <w:r w:rsidRPr="00E756D2">
              <w:rPr>
                <w:rFonts w:cs="Arial"/>
                <w:color w:val="000000"/>
                <w:sz w:val="22"/>
              </w:rPr>
              <w:t>Excluded: previous referral</w:t>
            </w:r>
          </w:p>
        </w:tc>
        <w:tc>
          <w:tcPr>
            <w:tcW w:w="1701" w:type="dxa"/>
            <w:vAlign w:val="bottom"/>
          </w:tcPr>
          <w:p w14:paraId="0A6AF7AA" w14:textId="33D82EF6" w:rsidR="00E756D2" w:rsidRPr="00E756D2" w:rsidRDefault="00E756D2" w:rsidP="00E756D2">
            <w:pPr>
              <w:spacing w:before="40" w:after="40" w:line="240" w:lineRule="auto"/>
              <w:jc w:val="center"/>
              <w:rPr>
                <w:rFonts w:cs="Arial"/>
              </w:rPr>
            </w:pPr>
            <w:r w:rsidRPr="00E756D2">
              <w:rPr>
                <w:rFonts w:cs="Arial"/>
                <w:color w:val="000000"/>
                <w:sz w:val="22"/>
              </w:rPr>
              <w:t>239</w:t>
            </w:r>
          </w:p>
        </w:tc>
        <w:tc>
          <w:tcPr>
            <w:tcW w:w="1508" w:type="dxa"/>
            <w:vAlign w:val="bottom"/>
          </w:tcPr>
          <w:p w14:paraId="44ABE2EA" w14:textId="078E52D6" w:rsidR="00E756D2" w:rsidRPr="00E756D2" w:rsidRDefault="00E756D2" w:rsidP="00E756D2">
            <w:pPr>
              <w:spacing w:before="40" w:after="40" w:line="240" w:lineRule="auto"/>
              <w:jc w:val="center"/>
              <w:rPr>
                <w:rFonts w:cs="Arial"/>
              </w:rPr>
            </w:pPr>
            <w:r w:rsidRPr="00E756D2">
              <w:rPr>
                <w:rFonts w:cs="Arial"/>
                <w:color w:val="000000"/>
                <w:sz w:val="22"/>
              </w:rPr>
              <w:t>428</w:t>
            </w:r>
          </w:p>
        </w:tc>
      </w:tr>
      <w:tr w:rsidR="00E756D2" w:rsidRPr="00B8476F" w14:paraId="2F797632" w14:textId="77777777" w:rsidTr="0023682E">
        <w:tc>
          <w:tcPr>
            <w:tcW w:w="5807" w:type="dxa"/>
            <w:vAlign w:val="bottom"/>
          </w:tcPr>
          <w:p w14:paraId="067ED1C0" w14:textId="4E01D2F9" w:rsidR="00E756D2" w:rsidRPr="00E756D2" w:rsidRDefault="00E756D2" w:rsidP="00E756D2">
            <w:pPr>
              <w:spacing w:before="40" w:after="40" w:line="240" w:lineRule="auto"/>
              <w:rPr>
                <w:rFonts w:cs="Arial"/>
              </w:rPr>
            </w:pPr>
            <w:r w:rsidRPr="00E756D2">
              <w:rPr>
                <w:rFonts w:cs="Arial"/>
                <w:color w:val="000000"/>
                <w:sz w:val="22"/>
              </w:rPr>
              <w:t>Exception: declined</w:t>
            </w:r>
          </w:p>
        </w:tc>
        <w:tc>
          <w:tcPr>
            <w:tcW w:w="1701" w:type="dxa"/>
            <w:vAlign w:val="bottom"/>
          </w:tcPr>
          <w:p w14:paraId="4A416660" w14:textId="37077E56" w:rsidR="00E756D2" w:rsidRPr="00E756D2" w:rsidRDefault="00E756D2" w:rsidP="00E756D2">
            <w:pPr>
              <w:spacing w:before="40" w:after="40" w:line="240" w:lineRule="auto"/>
              <w:jc w:val="center"/>
              <w:rPr>
                <w:rFonts w:cs="Arial"/>
              </w:rPr>
            </w:pPr>
            <w:r w:rsidRPr="00E756D2">
              <w:rPr>
                <w:rFonts w:cs="Arial"/>
                <w:color w:val="000000"/>
                <w:sz w:val="22"/>
              </w:rPr>
              <w:t>7</w:t>
            </w:r>
          </w:p>
        </w:tc>
        <w:tc>
          <w:tcPr>
            <w:tcW w:w="1508" w:type="dxa"/>
            <w:vAlign w:val="bottom"/>
          </w:tcPr>
          <w:p w14:paraId="4A01507C" w14:textId="358687F4" w:rsidR="00E756D2" w:rsidRPr="00E756D2" w:rsidRDefault="00E756D2" w:rsidP="00E756D2">
            <w:pPr>
              <w:spacing w:before="40" w:after="40" w:line="240" w:lineRule="auto"/>
              <w:jc w:val="center"/>
              <w:rPr>
                <w:rFonts w:cs="Arial"/>
              </w:rPr>
            </w:pPr>
            <w:r w:rsidRPr="00E756D2">
              <w:rPr>
                <w:rFonts w:cs="Arial"/>
                <w:color w:val="000000"/>
                <w:sz w:val="22"/>
              </w:rPr>
              <w:t>0</w:t>
            </w:r>
          </w:p>
        </w:tc>
      </w:tr>
      <w:tr w:rsidR="00E756D2" w:rsidRPr="00B8476F" w14:paraId="5990A438" w14:textId="77777777" w:rsidTr="0023682E">
        <w:tc>
          <w:tcPr>
            <w:tcW w:w="5807" w:type="dxa"/>
            <w:vAlign w:val="bottom"/>
          </w:tcPr>
          <w:p w14:paraId="61B82B23" w14:textId="60C3DC41" w:rsidR="00E756D2" w:rsidRPr="00E756D2" w:rsidRDefault="00E756D2" w:rsidP="00E756D2">
            <w:pPr>
              <w:spacing w:before="40" w:after="40" w:line="240" w:lineRule="auto"/>
              <w:rPr>
                <w:rFonts w:cs="Arial"/>
              </w:rPr>
            </w:pPr>
            <w:r w:rsidRPr="00E756D2">
              <w:rPr>
                <w:rFonts w:cs="Arial"/>
                <w:color w:val="000000"/>
                <w:sz w:val="22"/>
              </w:rPr>
              <w:t>Exception: new registration</w:t>
            </w:r>
          </w:p>
        </w:tc>
        <w:tc>
          <w:tcPr>
            <w:tcW w:w="1701" w:type="dxa"/>
            <w:vAlign w:val="bottom"/>
          </w:tcPr>
          <w:p w14:paraId="715BC8C9" w14:textId="54E59030" w:rsidR="00E756D2" w:rsidRPr="00E756D2" w:rsidRDefault="00E756D2" w:rsidP="00E756D2">
            <w:pPr>
              <w:spacing w:before="40" w:after="40" w:line="240" w:lineRule="auto"/>
              <w:jc w:val="center"/>
              <w:rPr>
                <w:rFonts w:cs="Arial"/>
              </w:rPr>
            </w:pPr>
            <w:r w:rsidRPr="00E756D2">
              <w:rPr>
                <w:rFonts w:cs="Arial"/>
                <w:color w:val="000000"/>
                <w:sz w:val="22"/>
              </w:rPr>
              <w:t>145</w:t>
            </w:r>
          </w:p>
        </w:tc>
        <w:tc>
          <w:tcPr>
            <w:tcW w:w="1508" w:type="dxa"/>
            <w:vAlign w:val="bottom"/>
          </w:tcPr>
          <w:p w14:paraId="6932B683" w14:textId="05D974D5" w:rsidR="00E756D2" w:rsidRPr="00E756D2" w:rsidRDefault="00E756D2" w:rsidP="00E756D2">
            <w:pPr>
              <w:spacing w:before="40" w:after="40" w:line="240" w:lineRule="auto"/>
              <w:jc w:val="center"/>
              <w:rPr>
                <w:rFonts w:cs="Arial"/>
              </w:rPr>
            </w:pPr>
            <w:r w:rsidRPr="00E756D2">
              <w:rPr>
                <w:rFonts w:cs="Arial"/>
                <w:color w:val="000000"/>
                <w:sz w:val="22"/>
              </w:rPr>
              <w:t>142</w:t>
            </w:r>
          </w:p>
        </w:tc>
      </w:tr>
      <w:tr w:rsidR="00E756D2" w:rsidRPr="00B8476F" w14:paraId="5C55F8A3" w14:textId="77777777" w:rsidTr="0023682E">
        <w:tc>
          <w:tcPr>
            <w:tcW w:w="5807" w:type="dxa"/>
            <w:vAlign w:val="bottom"/>
          </w:tcPr>
          <w:p w14:paraId="1CF8D003" w14:textId="46A4AF56" w:rsidR="00E756D2" w:rsidRPr="00E756D2" w:rsidRDefault="00E756D2" w:rsidP="00E756D2">
            <w:pPr>
              <w:spacing w:before="40" w:after="40" w:line="240" w:lineRule="auto"/>
              <w:rPr>
                <w:rFonts w:cs="Arial"/>
              </w:rPr>
            </w:pPr>
            <w:r w:rsidRPr="00E756D2">
              <w:rPr>
                <w:rFonts w:cs="Arial"/>
                <w:color w:val="000000"/>
                <w:sz w:val="22"/>
              </w:rPr>
              <w:t>Exceptions as a percentage</w:t>
            </w:r>
          </w:p>
        </w:tc>
        <w:tc>
          <w:tcPr>
            <w:tcW w:w="1701" w:type="dxa"/>
            <w:vAlign w:val="bottom"/>
          </w:tcPr>
          <w:p w14:paraId="1050CA80" w14:textId="36E75122" w:rsidR="00E756D2" w:rsidRPr="00E756D2" w:rsidRDefault="00E756D2" w:rsidP="00E756D2">
            <w:pPr>
              <w:spacing w:before="40" w:after="40" w:line="240" w:lineRule="auto"/>
              <w:jc w:val="center"/>
              <w:rPr>
                <w:rFonts w:cs="Arial"/>
              </w:rPr>
            </w:pPr>
            <w:r w:rsidRPr="00E756D2">
              <w:rPr>
                <w:rFonts w:cs="Arial"/>
                <w:color w:val="000000"/>
                <w:sz w:val="22"/>
              </w:rPr>
              <w:t>2.07%</w:t>
            </w:r>
          </w:p>
        </w:tc>
        <w:tc>
          <w:tcPr>
            <w:tcW w:w="1508" w:type="dxa"/>
            <w:vAlign w:val="bottom"/>
          </w:tcPr>
          <w:p w14:paraId="067547F3" w14:textId="63205C7E" w:rsidR="00E756D2" w:rsidRPr="00E756D2" w:rsidRDefault="00E756D2" w:rsidP="00E756D2">
            <w:pPr>
              <w:spacing w:before="40" w:after="40" w:line="240" w:lineRule="auto"/>
              <w:jc w:val="center"/>
              <w:rPr>
                <w:rFonts w:cs="Arial"/>
              </w:rPr>
            </w:pPr>
            <w:r w:rsidRPr="00E756D2">
              <w:rPr>
                <w:rFonts w:cs="Arial"/>
                <w:color w:val="000000"/>
                <w:sz w:val="22"/>
              </w:rPr>
              <w:t>1.77%</w:t>
            </w:r>
          </w:p>
        </w:tc>
      </w:tr>
      <w:tr w:rsidR="00E756D2" w:rsidRPr="00B8476F" w14:paraId="20EF557F" w14:textId="77777777" w:rsidTr="0023682E">
        <w:tc>
          <w:tcPr>
            <w:tcW w:w="5807" w:type="dxa"/>
            <w:vAlign w:val="bottom"/>
          </w:tcPr>
          <w:p w14:paraId="69306A5E" w14:textId="6B893120" w:rsidR="00E756D2" w:rsidRPr="00E756D2" w:rsidRDefault="00E756D2" w:rsidP="00E756D2">
            <w:pPr>
              <w:spacing w:before="40" w:after="40" w:line="240" w:lineRule="auto"/>
              <w:rPr>
                <w:rFonts w:cs="Arial"/>
                <w:b/>
              </w:rPr>
            </w:pPr>
            <w:r w:rsidRPr="00E756D2">
              <w:rPr>
                <w:rFonts w:cs="Arial"/>
                <w:b/>
                <w:color w:val="000000"/>
                <w:sz w:val="22"/>
              </w:rPr>
              <w:t xml:space="preserve">Denominator </w:t>
            </w:r>
          </w:p>
        </w:tc>
        <w:tc>
          <w:tcPr>
            <w:tcW w:w="1701" w:type="dxa"/>
            <w:vAlign w:val="bottom"/>
          </w:tcPr>
          <w:p w14:paraId="016D7A3C" w14:textId="58E43CA2" w:rsidR="00E756D2" w:rsidRPr="00E756D2" w:rsidRDefault="00E756D2" w:rsidP="00E756D2">
            <w:pPr>
              <w:spacing w:before="40" w:after="40" w:line="240" w:lineRule="auto"/>
              <w:jc w:val="center"/>
              <w:rPr>
                <w:rFonts w:cs="Arial"/>
                <w:b/>
              </w:rPr>
            </w:pPr>
            <w:r w:rsidRPr="00E756D2">
              <w:rPr>
                <w:rFonts w:cs="Arial"/>
                <w:b/>
                <w:color w:val="000000"/>
                <w:sz w:val="22"/>
              </w:rPr>
              <w:t>7</w:t>
            </w:r>
            <w:r>
              <w:rPr>
                <w:rFonts w:cs="Arial"/>
                <w:b/>
                <w:color w:val="000000"/>
                <w:sz w:val="22"/>
              </w:rPr>
              <w:t>,</w:t>
            </w:r>
            <w:r w:rsidRPr="00E756D2">
              <w:rPr>
                <w:rFonts w:cs="Arial"/>
                <w:b/>
                <w:color w:val="000000"/>
                <w:sz w:val="22"/>
              </w:rPr>
              <w:t>201</w:t>
            </w:r>
          </w:p>
        </w:tc>
        <w:tc>
          <w:tcPr>
            <w:tcW w:w="1508" w:type="dxa"/>
            <w:vAlign w:val="bottom"/>
          </w:tcPr>
          <w:p w14:paraId="5FF6FA5B" w14:textId="0ADD28BA" w:rsidR="00E756D2" w:rsidRPr="00E756D2" w:rsidRDefault="00E756D2" w:rsidP="00E756D2">
            <w:pPr>
              <w:spacing w:before="40" w:after="40" w:line="240" w:lineRule="auto"/>
              <w:jc w:val="center"/>
              <w:rPr>
                <w:rFonts w:cs="Arial"/>
                <w:b/>
              </w:rPr>
            </w:pPr>
            <w:r w:rsidRPr="00E756D2">
              <w:rPr>
                <w:rFonts w:cs="Arial"/>
                <w:b/>
                <w:color w:val="000000"/>
                <w:sz w:val="22"/>
              </w:rPr>
              <w:t>7</w:t>
            </w:r>
            <w:r>
              <w:rPr>
                <w:rFonts w:cs="Arial"/>
                <w:b/>
                <w:color w:val="000000"/>
                <w:sz w:val="22"/>
              </w:rPr>
              <w:t>,</w:t>
            </w:r>
            <w:r w:rsidRPr="00E756D2">
              <w:rPr>
                <w:rFonts w:cs="Arial"/>
                <w:b/>
                <w:color w:val="000000"/>
                <w:sz w:val="22"/>
              </w:rPr>
              <w:t>876</w:t>
            </w:r>
          </w:p>
        </w:tc>
      </w:tr>
      <w:tr w:rsidR="00E756D2" w:rsidRPr="00B8476F" w14:paraId="6C1839F7" w14:textId="77777777" w:rsidTr="0023682E">
        <w:tc>
          <w:tcPr>
            <w:tcW w:w="5807" w:type="dxa"/>
            <w:vAlign w:val="bottom"/>
          </w:tcPr>
          <w:p w14:paraId="18AF9F50" w14:textId="4C6F12A0" w:rsidR="00E756D2" w:rsidRPr="00E756D2" w:rsidRDefault="00E756D2" w:rsidP="00E756D2">
            <w:pPr>
              <w:spacing w:before="40" w:after="40" w:line="240" w:lineRule="auto"/>
              <w:rPr>
                <w:rFonts w:cs="Arial"/>
                <w:b/>
              </w:rPr>
            </w:pPr>
            <w:r w:rsidRPr="00E756D2">
              <w:rPr>
                <w:rFonts w:cs="Arial"/>
                <w:b/>
                <w:color w:val="000000"/>
                <w:sz w:val="22"/>
              </w:rPr>
              <w:t>Numerator</w:t>
            </w:r>
          </w:p>
        </w:tc>
        <w:tc>
          <w:tcPr>
            <w:tcW w:w="1701" w:type="dxa"/>
            <w:vAlign w:val="bottom"/>
          </w:tcPr>
          <w:p w14:paraId="247F800E" w14:textId="46F6F336" w:rsidR="00E756D2" w:rsidRPr="00E756D2" w:rsidRDefault="00E756D2" w:rsidP="00E756D2">
            <w:pPr>
              <w:spacing w:before="40" w:after="40" w:line="240" w:lineRule="auto"/>
              <w:jc w:val="center"/>
              <w:rPr>
                <w:rFonts w:cs="Arial"/>
                <w:b/>
              </w:rPr>
            </w:pPr>
            <w:r w:rsidRPr="00E756D2">
              <w:rPr>
                <w:rFonts w:cs="Arial"/>
                <w:b/>
                <w:color w:val="000000"/>
                <w:sz w:val="22"/>
              </w:rPr>
              <w:t>1</w:t>
            </w:r>
            <w:r>
              <w:rPr>
                <w:rFonts w:cs="Arial"/>
                <w:b/>
                <w:color w:val="000000"/>
                <w:sz w:val="22"/>
              </w:rPr>
              <w:t>,</w:t>
            </w:r>
            <w:r w:rsidRPr="00E756D2">
              <w:rPr>
                <w:rFonts w:cs="Arial"/>
                <w:b/>
                <w:color w:val="000000"/>
                <w:sz w:val="22"/>
              </w:rPr>
              <w:t>636</w:t>
            </w:r>
          </w:p>
        </w:tc>
        <w:tc>
          <w:tcPr>
            <w:tcW w:w="1508" w:type="dxa"/>
            <w:vAlign w:val="bottom"/>
          </w:tcPr>
          <w:p w14:paraId="4A605135" w14:textId="62E4A190" w:rsidR="00E756D2" w:rsidRPr="00E756D2" w:rsidRDefault="00E756D2" w:rsidP="00E756D2">
            <w:pPr>
              <w:spacing w:before="40" w:after="40" w:line="240" w:lineRule="auto"/>
              <w:jc w:val="center"/>
              <w:rPr>
                <w:rFonts w:cs="Arial"/>
                <w:b/>
              </w:rPr>
            </w:pPr>
            <w:r w:rsidRPr="00E756D2">
              <w:rPr>
                <w:rFonts w:cs="Arial"/>
                <w:b/>
                <w:color w:val="000000"/>
                <w:sz w:val="22"/>
              </w:rPr>
              <w:t>615</w:t>
            </w:r>
          </w:p>
        </w:tc>
      </w:tr>
      <w:tr w:rsidR="00E756D2" w:rsidRPr="00B8476F" w14:paraId="01AA1448" w14:textId="77777777" w:rsidTr="0023682E">
        <w:tc>
          <w:tcPr>
            <w:tcW w:w="5807" w:type="dxa"/>
            <w:vAlign w:val="bottom"/>
          </w:tcPr>
          <w:p w14:paraId="78749F28" w14:textId="2278E6A5" w:rsidR="00E756D2" w:rsidRPr="00E756D2" w:rsidRDefault="00E756D2" w:rsidP="00E756D2">
            <w:pPr>
              <w:spacing w:before="40" w:after="40" w:line="240" w:lineRule="auto"/>
              <w:rPr>
                <w:rFonts w:cs="Arial"/>
                <w:b/>
              </w:rPr>
            </w:pPr>
            <w:r w:rsidRPr="00E756D2">
              <w:rPr>
                <w:rFonts w:cs="Arial"/>
                <w:b/>
                <w:color w:val="000000"/>
                <w:sz w:val="22"/>
              </w:rPr>
              <w:t xml:space="preserve">Percentage </w:t>
            </w:r>
          </w:p>
        </w:tc>
        <w:tc>
          <w:tcPr>
            <w:tcW w:w="1701" w:type="dxa"/>
            <w:vAlign w:val="bottom"/>
          </w:tcPr>
          <w:p w14:paraId="2D0AA710" w14:textId="133501B7" w:rsidR="00E756D2" w:rsidRPr="00E756D2" w:rsidRDefault="00E756D2" w:rsidP="00E756D2">
            <w:pPr>
              <w:spacing w:before="40" w:after="40" w:line="240" w:lineRule="auto"/>
              <w:jc w:val="center"/>
              <w:rPr>
                <w:rFonts w:cs="Arial"/>
                <w:b/>
              </w:rPr>
            </w:pPr>
            <w:r w:rsidRPr="00E756D2">
              <w:rPr>
                <w:rFonts w:cs="Arial"/>
                <w:b/>
                <w:color w:val="000000"/>
                <w:sz w:val="22"/>
              </w:rPr>
              <w:t>22.72%</w:t>
            </w:r>
          </w:p>
        </w:tc>
        <w:tc>
          <w:tcPr>
            <w:tcW w:w="1508" w:type="dxa"/>
            <w:vAlign w:val="bottom"/>
          </w:tcPr>
          <w:p w14:paraId="0CB7C916" w14:textId="738F7EAD" w:rsidR="00E756D2" w:rsidRPr="00E756D2" w:rsidRDefault="00E756D2" w:rsidP="00E756D2">
            <w:pPr>
              <w:spacing w:before="40" w:after="40" w:line="240" w:lineRule="auto"/>
              <w:jc w:val="center"/>
              <w:rPr>
                <w:rFonts w:cs="Arial"/>
                <w:b/>
              </w:rPr>
            </w:pPr>
            <w:r w:rsidRPr="00E756D2">
              <w:rPr>
                <w:rFonts w:cs="Arial"/>
                <w:b/>
                <w:color w:val="000000"/>
                <w:sz w:val="22"/>
              </w:rPr>
              <w:t>7.81%</w:t>
            </w:r>
          </w:p>
        </w:tc>
      </w:tr>
    </w:tbl>
    <w:p w14:paraId="711A344C" w14:textId="77777777" w:rsidR="002E7EDF" w:rsidRDefault="002E7EDF" w:rsidP="008642CD"/>
    <w:tbl>
      <w:tblPr>
        <w:tblStyle w:val="TableGrid"/>
        <w:tblW w:w="0" w:type="auto"/>
        <w:tblLook w:val="04A0" w:firstRow="1" w:lastRow="0" w:firstColumn="1" w:lastColumn="0" w:noHBand="0" w:noVBand="1"/>
      </w:tblPr>
      <w:tblGrid>
        <w:gridCol w:w="5807"/>
        <w:gridCol w:w="1701"/>
        <w:gridCol w:w="1508"/>
      </w:tblGrid>
      <w:tr w:rsidR="000C0098" w:rsidRPr="000C0098" w14:paraId="7614AB91" w14:textId="77777777" w:rsidTr="00F77A38">
        <w:tc>
          <w:tcPr>
            <w:tcW w:w="5807" w:type="dxa"/>
          </w:tcPr>
          <w:p w14:paraId="6E401F15" w14:textId="7D646B1B" w:rsidR="000C0098" w:rsidRPr="000C0098" w:rsidRDefault="000C0098" w:rsidP="000C0098">
            <w:pPr>
              <w:spacing w:before="40" w:after="40" w:line="240" w:lineRule="auto"/>
              <w:rPr>
                <w:b/>
              </w:rPr>
            </w:pPr>
            <w:r w:rsidRPr="000C0098">
              <w:rPr>
                <w:b/>
              </w:rPr>
              <w:t xml:space="preserve">% patients </w:t>
            </w:r>
            <w:r>
              <w:rPr>
                <w:b/>
              </w:rPr>
              <w:t>at risk of a fall who have been provided with advice and guidance</w:t>
            </w:r>
          </w:p>
        </w:tc>
        <w:tc>
          <w:tcPr>
            <w:tcW w:w="1701" w:type="dxa"/>
          </w:tcPr>
          <w:p w14:paraId="2CF55C18" w14:textId="77777777" w:rsidR="000C0098" w:rsidRPr="000C0098" w:rsidRDefault="000C0098" w:rsidP="00F77A38">
            <w:pPr>
              <w:spacing w:before="40" w:after="40" w:line="240" w:lineRule="auto"/>
              <w:jc w:val="center"/>
              <w:rPr>
                <w:b/>
              </w:rPr>
            </w:pPr>
            <w:r w:rsidRPr="000C0098">
              <w:rPr>
                <w:b/>
              </w:rPr>
              <w:t>Baseline</w:t>
            </w:r>
          </w:p>
        </w:tc>
        <w:tc>
          <w:tcPr>
            <w:tcW w:w="1508" w:type="dxa"/>
          </w:tcPr>
          <w:p w14:paraId="5BDADB1C" w14:textId="77777777" w:rsidR="000C0098" w:rsidRPr="000C0098" w:rsidRDefault="000C0098" w:rsidP="00F77A38">
            <w:pPr>
              <w:spacing w:before="40" w:after="40" w:line="240" w:lineRule="auto"/>
              <w:jc w:val="center"/>
              <w:rPr>
                <w:b/>
              </w:rPr>
            </w:pPr>
            <w:r w:rsidRPr="000C0098">
              <w:rPr>
                <w:b/>
              </w:rPr>
              <w:t>Final</w:t>
            </w:r>
          </w:p>
        </w:tc>
      </w:tr>
      <w:tr w:rsidR="0089731E" w:rsidRPr="00B8476F" w14:paraId="22856796" w14:textId="77777777" w:rsidTr="0023682E">
        <w:tc>
          <w:tcPr>
            <w:tcW w:w="5807" w:type="dxa"/>
            <w:vAlign w:val="bottom"/>
          </w:tcPr>
          <w:p w14:paraId="1206D72F" w14:textId="504C8CB2" w:rsidR="0089731E" w:rsidRPr="0089731E" w:rsidRDefault="0089731E" w:rsidP="0089731E">
            <w:pPr>
              <w:spacing w:before="40" w:after="40" w:line="240" w:lineRule="auto"/>
              <w:rPr>
                <w:rFonts w:cs="Arial"/>
                <w:b/>
              </w:rPr>
            </w:pPr>
            <w:r w:rsidRPr="0089731E">
              <w:rPr>
                <w:rFonts w:cs="Arial"/>
                <w:b/>
                <w:color w:val="000000"/>
                <w:sz w:val="22"/>
              </w:rPr>
              <w:t>Practices</w:t>
            </w:r>
          </w:p>
        </w:tc>
        <w:tc>
          <w:tcPr>
            <w:tcW w:w="1701" w:type="dxa"/>
            <w:vAlign w:val="bottom"/>
          </w:tcPr>
          <w:p w14:paraId="2B79E324" w14:textId="23BE7636" w:rsidR="0089731E" w:rsidRPr="0089731E" w:rsidRDefault="0089731E" w:rsidP="0089731E">
            <w:pPr>
              <w:spacing w:before="40" w:after="40" w:line="240" w:lineRule="auto"/>
              <w:jc w:val="center"/>
              <w:rPr>
                <w:rFonts w:cs="Arial"/>
                <w:b/>
              </w:rPr>
            </w:pPr>
            <w:r w:rsidRPr="0089731E">
              <w:rPr>
                <w:rFonts w:cs="Arial"/>
                <w:b/>
                <w:color w:val="000000"/>
                <w:sz w:val="22"/>
              </w:rPr>
              <w:t>26</w:t>
            </w:r>
          </w:p>
        </w:tc>
        <w:tc>
          <w:tcPr>
            <w:tcW w:w="1508" w:type="dxa"/>
            <w:vAlign w:val="bottom"/>
          </w:tcPr>
          <w:p w14:paraId="7E0BB756" w14:textId="5CC9BE85" w:rsidR="0089731E" w:rsidRPr="0089731E" w:rsidRDefault="0089731E" w:rsidP="0089731E">
            <w:pPr>
              <w:spacing w:before="40" w:after="40" w:line="240" w:lineRule="auto"/>
              <w:jc w:val="center"/>
              <w:rPr>
                <w:rFonts w:cs="Arial"/>
                <w:b/>
              </w:rPr>
            </w:pPr>
            <w:r w:rsidRPr="0089731E">
              <w:rPr>
                <w:rFonts w:cs="Arial"/>
                <w:b/>
                <w:color w:val="000000"/>
                <w:sz w:val="22"/>
              </w:rPr>
              <w:t>26</w:t>
            </w:r>
          </w:p>
        </w:tc>
      </w:tr>
      <w:tr w:rsidR="0089731E" w:rsidRPr="00B8476F" w14:paraId="5B693AFD" w14:textId="77777777" w:rsidTr="0023682E">
        <w:tc>
          <w:tcPr>
            <w:tcW w:w="5807" w:type="dxa"/>
            <w:vAlign w:val="bottom"/>
          </w:tcPr>
          <w:p w14:paraId="72E3BD61" w14:textId="65935572" w:rsidR="0089731E" w:rsidRPr="0089731E" w:rsidRDefault="0089731E" w:rsidP="0089731E">
            <w:pPr>
              <w:spacing w:before="40" w:after="40" w:line="240" w:lineRule="auto"/>
              <w:rPr>
                <w:rFonts w:cs="Arial"/>
                <w:b/>
              </w:rPr>
            </w:pPr>
            <w:r w:rsidRPr="0089731E">
              <w:rPr>
                <w:rFonts w:cs="Arial"/>
                <w:b/>
                <w:color w:val="000000"/>
                <w:sz w:val="22"/>
              </w:rPr>
              <w:t xml:space="preserve">Practice population </w:t>
            </w:r>
          </w:p>
        </w:tc>
        <w:tc>
          <w:tcPr>
            <w:tcW w:w="1701" w:type="dxa"/>
            <w:vAlign w:val="bottom"/>
          </w:tcPr>
          <w:p w14:paraId="25E534EA" w14:textId="3001AC33" w:rsidR="0089731E" w:rsidRPr="0089731E" w:rsidRDefault="0089731E" w:rsidP="0089731E">
            <w:pPr>
              <w:spacing w:before="40" w:after="40" w:line="240" w:lineRule="auto"/>
              <w:jc w:val="center"/>
              <w:rPr>
                <w:rFonts w:cs="Arial"/>
                <w:b/>
              </w:rPr>
            </w:pPr>
            <w:r w:rsidRPr="0089731E">
              <w:rPr>
                <w:rFonts w:cs="Arial"/>
                <w:b/>
                <w:color w:val="000000"/>
                <w:sz w:val="22"/>
              </w:rPr>
              <w:t>321,651</w:t>
            </w:r>
          </w:p>
        </w:tc>
        <w:tc>
          <w:tcPr>
            <w:tcW w:w="1508" w:type="dxa"/>
            <w:vAlign w:val="bottom"/>
          </w:tcPr>
          <w:p w14:paraId="652BC674" w14:textId="4B37E0D1" w:rsidR="0089731E" w:rsidRPr="0089731E" w:rsidRDefault="0089731E" w:rsidP="0089731E">
            <w:pPr>
              <w:spacing w:before="40" w:after="40" w:line="240" w:lineRule="auto"/>
              <w:jc w:val="center"/>
              <w:rPr>
                <w:rFonts w:cs="Arial"/>
                <w:b/>
              </w:rPr>
            </w:pPr>
            <w:r w:rsidRPr="0089731E">
              <w:rPr>
                <w:rFonts w:cs="Arial"/>
                <w:b/>
                <w:color w:val="000000"/>
                <w:sz w:val="22"/>
              </w:rPr>
              <w:t>321,815</w:t>
            </w:r>
          </w:p>
        </w:tc>
      </w:tr>
      <w:tr w:rsidR="0089731E" w:rsidRPr="00B8476F" w14:paraId="36928A61" w14:textId="77777777" w:rsidTr="0023682E">
        <w:tc>
          <w:tcPr>
            <w:tcW w:w="5807" w:type="dxa"/>
            <w:vAlign w:val="bottom"/>
          </w:tcPr>
          <w:p w14:paraId="6F08D67F" w14:textId="44C9DF77" w:rsidR="0089731E" w:rsidRPr="0089731E" w:rsidRDefault="0089731E" w:rsidP="0089731E">
            <w:pPr>
              <w:spacing w:before="40" w:after="40" w:line="240" w:lineRule="auto"/>
              <w:rPr>
                <w:rFonts w:cs="Arial"/>
              </w:rPr>
            </w:pPr>
            <w:r w:rsidRPr="0089731E">
              <w:rPr>
                <w:rFonts w:cs="Arial"/>
                <w:color w:val="000000"/>
                <w:sz w:val="22"/>
              </w:rPr>
              <w:t xml:space="preserve">Generated (MM or mod/severe frailty) </w:t>
            </w:r>
          </w:p>
        </w:tc>
        <w:tc>
          <w:tcPr>
            <w:tcW w:w="1701" w:type="dxa"/>
            <w:vAlign w:val="bottom"/>
          </w:tcPr>
          <w:p w14:paraId="4119B721" w14:textId="39B885EC" w:rsidR="0089731E" w:rsidRPr="0089731E" w:rsidRDefault="0089731E" w:rsidP="0089731E">
            <w:pPr>
              <w:spacing w:before="40" w:after="40" w:line="240" w:lineRule="auto"/>
              <w:jc w:val="center"/>
              <w:rPr>
                <w:rFonts w:cs="Arial"/>
              </w:rPr>
            </w:pPr>
            <w:r w:rsidRPr="0089731E">
              <w:rPr>
                <w:rFonts w:cs="Arial"/>
                <w:color w:val="000000"/>
                <w:sz w:val="22"/>
              </w:rPr>
              <w:t>7</w:t>
            </w:r>
            <w:r>
              <w:rPr>
                <w:rFonts w:cs="Arial"/>
                <w:color w:val="000000"/>
                <w:sz w:val="22"/>
              </w:rPr>
              <w:t>,</w:t>
            </w:r>
            <w:r w:rsidRPr="0089731E">
              <w:rPr>
                <w:rFonts w:cs="Arial"/>
                <w:color w:val="000000"/>
                <w:sz w:val="22"/>
              </w:rPr>
              <w:t>595</w:t>
            </w:r>
          </w:p>
        </w:tc>
        <w:tc>
          <w:tcPr>
            <w:tcW w:w="1508" w:type="dxa"/>
            <w:vAlign w:val="bottom"/>
          </w:tcPr>
          <w:p w14:paraId="12934389" w14:textId="76F679F6" w:rsidR="0089731E" w:rsidRPr="0089731E" w:rsidRDefault="0089731E" w:rsidP="0089731E">
            <w:pPr>
              <w:spacing w:before="40" w:after="40" w:line="240" w:lineRule="auto"/>
              <w:jc w:val="center"/>
              <w:rPr>
                <w:rFonts w:cs="Arial"/>
              </w:rPr>
            </w:pPr>
            <w:r w:rsidRPr="0089731E">
              <w:rPr>
                <w:rFonts w:cs="Arial"/>
                <w:color w:val="000000"/>
                <w:sz w:val="22"/>
              </w:rPr>
              <w:t>8</w:t>
            </w:r>
            <w:r>
              <w:rPr>
                <w:rFonts w:cs="Arial"/>
                <w:color w:val="000000"/>
                <w:sz w:val="22"/>
              </w:rPr>
              <w:t>,</w:t>
            </w:r>
            <w:r w:rsidRPr="0089731E">
              <w:rPr>
                <w:rFonts w:cs="Arial"/>
                <w:color w:val="000000"/>
                <w:sz w:val="22"/>
              </w:rPr>
              <w:t>446</w:t>
            </w:r>
          </w:p>
        </w:tc>
      </w:tr>
      <w:tr w:rsidR="0089731E" w:rsidRPr="00B8476F" w14:paraId="3E3CB764" w14:textId="77777777" w:rsidTr="0023682E">
        <w:tc>
          <w:tcPr>
            <w:tcW w:w="5807" w:type="dxa"/>
            <w:vAlign w:val="bottom"/>
          </w:tcPr>
          <w:p w14:paraId="2ED37A24" w14:textId="36929570" w:rsidR="0089731E" w:rsidRPr="0089731E" w:rsidRDefault="0089731E" w:rsidP="0089731E">
            <w:pPr>
              <w:spacing w:before="40" w:after="40" w:line="240" w:lineRule="auto"/>
              <w:rPr>
                <w:rFonts w:cs="Arial"/>
              </w:rPr>
            </w:pPr>
            <w:r w:rsidRPr="0089731E">
              <w:rPr>
                <w:rFonts w:cs="Arial"/>
                <w:color w:val="000000"/>
                <w:sz w:val="22"/>
              </w:rPr>
              <w:t xml:space="preserve">Generated (MM or mod/severe frailty + falls discussion + at risk) </w:t>
            </w:r>
          </w:p>
        </w:tc>
        <w:tc>
          <w:tcPr>
            <w:tcW w:w="1701" w:type="dxa"/>
            <w:vAlign w:val="bottom"/>
          </w:tcPr>
          <w:p w14:paraId="020174D3" w14:textId="68B1BA4A" w:rsidR="0089731E" w:rsidRPr="0089731E" w:rsidRDefault="0089731E" w:rsidP="0089731E">
            <w:pPr>
              <w:spacing w:before="40" w:after="40" w:line="240" w:lineRule="auto"/>
              <w:jc w:val="center"/>
              <w:rPr>
                <w:rFonts w:cs="Arial"/>
              </w:rPr>
            </w:pPr>
            <w:r w:rsidRPr="0089731E">
              <w:rPr>
                <w:rFonts w:cs="Arial"/>
                <w:color w:val="000000"/>
                <w:sz w:val="22"/>
              </w:rPr>
              <w:t>1</w:t>
            </w:r>
            <w:r>
              <w:rPr>
                <w:rFonts w:cs="Arial"/>
                <w:color w:val="000000"/>
                <w:sz w:val="22"/>
              </w:rPr>
              <w:t>,</w:t>
            </w:r>
            <w:r w:rsidRPr="0089731E">
              <w:rPr>
                <w:rFonts w:cs="Arial"/>
                <w:color w:val="000000"/>
                <w:sz w:val="22"/>
              </w:rPr>
              <w:t>282</w:t>
            </w:r>
          </w:p>
        </w:tc>
        <w:tc>
          <w:tcPr>
            <w:tcW w:w="1508" w:type="dxa"/>
            <w:vAlign w:val="bottom"/>
          </w:tcPr>
          <w:p w14:paraId="0CEB698B" w14:textId="161A4E74" w:rsidR="0089731E" w:rsidRPr="0089731E" w:rsidRDefault="0089731E" w:rsidP="0089731E">
            <w:pPr>
              <w:spacing w:before="40" w:after="40" w:line="240" w:lineRule="auto"/>
              <w:jc w:val="center"/>
              <w:rPr>
                <w:rFonts w:cs="Arial"/>
              </w:rPr>
            </w:pPr>
            <w:r w:rsidRPr="0089731E">
              <w:rPr>
                <w:rFonts w:cs="Arial"/>
                <w:color w:val="000000"/>
                <w:sz w:val="22"/>
              </w:rPr>
              <w:t>922</w:t>
            </w:r>
          </w:p>
        </w:tc>
      </w:tr>
      <w:tr w:rsidR="0089731E" w:rsidRPr="00B8476F" w14:paraId="612AE1C9" w14:textId="77777777" w:rsidTr="0023682E">
        <w:tc>
          <w:tcPr>
            <w:tcW w:w="5807" w:type="dxa"/>
            <w:vAlign w:val="bottom"/>
          </w:tcPr>
          <w:p w14:paraId="3A544326" w14:textId="63E08468" w:rsidR="0089731E" w:rsidRPr="0089731E" w:rsidRDefault="0089731E" w:rsidP="0089731E">
            <w:pPr>
              <w:spacing w:before="40" w:after="40" w:line="240" w:lineRule="auto"/>
              <w:rPr>
                <w:rFonts w:cs="Arial"/>
              </w:rPr>
            </w:pPr>
            <w:r w:rsidRPr="0089731E">
              <w:rPr>
                <w:rFonts w:cs="Arial"/>
                <w:color w:val="000000"/>
                <w:sz w:val="22"/>
              </w:rPr>
              <w:t>Excluded: previous referral</w:t>
            </w:r>
          </w:p>
        </w:tc>
        <w:tc>
          <w:tcPr>
            <w:tcW w:w="1701" w:type="dxa"/>
            <w:vAlign w:val="bottom"/>
          </w:tcPr>
          <w:p w14:paraId="4DA0CC77" w14:textId="770F47D9" w:rsidR="0089731E" w:rsidRPr="0089731E" w:rsidRDefault="0089731E" w:rsidP="0089731E">
            <w:pPr>
              <w:spacing w:before="40" w:after="40" w:line="240" w:lineRule="auto"/>
              <w:jc w:val="center"/>
              <w:rPr>
                <w:rFonts w:cs="Arial"/>
              </w:rPr>
            </w:pPr>
            <w:r w:rsidRPr="0089731E">
              <w:rPr>
                <w:rFonts w:cs="Arial"/>
                <w:color w:val="000000"/>
                <w:sz w:val="22"/>
              </w:rPr>
              <w:t>Nil</w:t>
            </w:r>
            <w:r>
              <w:rPr>
                <w:rFonts w:cs="Arial"/>
                <w:color w:val="000000"/>
                <w:sz w:val="22"/>
              </w:rPr>
              <w:t xml:space="preserve"> *</w:t>
            </w:r>
          </w:p>
        </w:tc>
        <w:tc>
          <w:tcPr>
            <w:tcW w:w="1508" w:type="dxa"/>
          </w:tcPr>
          <w:p w14:paraId="2CD0CBE5" w14:textId="058679F1" w:rsidR="0089731E" w:rsidRPr="0089731E" w:rsidRDefault="0089731E" w:rsidP="0089731E">
            <w:pPr>
              <w:spacing w:before="40" w:after="40" w:line="240" w:lineRule="auto"/>
              <w:jc w:val="center"/>
              <w:rPr>
                <w:rFonts w:cs="Arial"/>
              </w:rPr>
            </w:pPr>
            <w:r w:rsidRPr="00780AA0">
              <w:rPr>
                <w:rFonts w:cs="Arial"/>
                <w:color w:val="000000"/>
                <w:sz w:val="22"/>
              </w:rPr>
              <w:t>Nil *</w:t>
            </w:r>
          </w:p>
        </w:tc>
      </w:tr>
      <w:tr w:rsidR="0089731E" w:rsidRPr="00B8476F" w14:paraId="646A0CA3" w14:textId="77777777" w:rsidTr="0023682E">
        <w:tc>
          <w:tcPr>
            <w:tcW w:w="5807" w:type="dxa"/>
            <w:vAlign w:val="bottom"/>
          </w:tcPr>
          <w:p w14:paraId="4524D4CE" w14:textId="11D8CFDE" w:rsidR="0089731E" w:rsidRPr="0089731E" w:rsidRDefault="0089731E" w:rsidP="0089731E">
            <w:pPr>
              <w:spacing w:before="40" w:after="40" w:line="240" w:lineRule="auto"/>
              <w:rPr>
                <w:rFonts w:cs="Arial"/>
              </w:rPr>
            </w:pPr>
            <w:r w:rsidRPr="0089731E">
              <w:rPr>
                <w:rFonts w:cs="Arial"/>
                <w:color w:val="000000"/>
                <w:sz w:val="22"/>
              </w:rPr>
              <w:t>Exception: declined</w:t>
            </w:r>
          </w:p>
        </w:tc>
        <w:tc>
          <w:tcPr>
            <w:tcW w:w="1701" w:type="dxa"/>
          </w:tcPr>
          <w:p w14:paraId="3104B52F" w14:textId="34FCA435" w:rsidR="0089731E" w:rsidRPr="0089731E" w:rsidRDefault="0089731E" w:rsidP="0089731E">
            <w:pPr>
              <w:spacing w:before="40" w:after="40" w:line="240" w:lineRule="auto"/>
              <w:jc w:val="center"/>
              <w:rPr>
                <w:rFonts w:cs="Arial"/>
              </w:rPr>
            </w:pPr>
            <w:r w:rsidRPr="00867625">
              <w:rPr>
                <w:rFonts w:cs="Arial"/>
                <w:color w:val="000000"/>
                <w:sz w:val="22"/>
              </w:rPr>
              <w:t>Nil *</w:t>
            </w:r>
          </w:p>
        </w:tc>
        <w:tc>
          <w:tcPr>
            <w:tcW w:w="1508" w:type="dxa"/>
          </w:tcPr>
          <w:p w14:paraId="1CA79774" w14:textId="1E7D9A71" w:rsidR="0089731E" w:rsidRPr="0089731E" w:rsidRDefault="0089731E" w:rsidP="0089731E">
            <w:pPr>
              <w:spacing w:before="40" w:after="40" w:line="240" w:lineRule="auto"/>
              <w:jc w:val="center"/>
              <w:rPr>
                <w:rFonts w:cs="Arial"/>
              </w:rPr>
            </w:pPr>
            <w:r w:rsidRPr="00780AA0">
              <w:rPr>
                <w:rFonts w:cs="Arial"/>
                <w:color w:val="000000"/>
                <w:sz w:val="22"/>
              </w:rPr>
              <w:t>Nil *</w:t>
            </w:r>
          </w:p>
        </w:tc>
      </w:tr>
      <w:tr w:rsidR="0089731E" w:rsidRPr="00B8476F" w14:paraId="1C5BF5B2" w14:textId="77777777" w:rsidTr="0023682E">
        <w:tc>
          <w:tcPr>
            <w:tcW w:w="5807" w:type="dxa"/>
            <w:vAlign w:val="bottom"/>
          </w:tcPr>
          <w:p w14:paraId="5373BEB4" w14:textId="16B08D88" w:rsidR="0089731E" w:rsidRPr="0089731E" w:rsidRDefault="0089731E" w:rsidP="0089731E">
            <w:pPr>
              <w:spacing w:before="40" w:after="40" w:line="240" w:lineRule="auto"/>
              <w:rPr>
                <w:rFonts w:cs="Arial"/>
              </w:rPr>
            </w:pPr>
            <w:r w:rsidRPr="0089731E">
              <w:rPr>
                <w:rFonts w:cs="Arial"/>
                <w:color w:val="000000"/>
                <w:sz w:val="22"/>
              </w:rPr>
              <w:t>Exception: new registration</w:t>
            </w:r>
          </w:p>
        </w:tc>
        <w:tc>
          <w:tcPr>
            <w:tcW w:w="1701" w:type="dxa"/>
          </w:tcPr>
          <w:p w14:paraId="1A67D20A" w14:textId="01D51D0B" w:rsidR="0089731E" w:rsidRPr="0089731E" w:rsidRDefault="0089731E" w:rsidP="0089731E">
            <w:pPr>
              <w:spacing w:before="40" w:after="40" w:line="240" w:lineRule="auto"/>
              <w:jc w:val="center"/>
              <w:rPr>
                <w:rFonts w:cs="Arial"/>
              </w:rPr>
            </w:pPr>
            <w:r w:rsidRPr="00867625">
              <w:rPr>
                <w:rFonts w:cs="Arial"/>
                <w:color w:val="000000"/>
                <w:sz w:val="22"/>
              </w:rPr>
              <w:t>Nil *</w:t>
            </w:r>
          </w:p>
        </w:tc>
        <w:tc>
          <w:tcPr>
            <w:tcW w:w="1508" w:type="dxa"/>
          </w:tcPr>
          <w:p w14:paraId="1BF18A86" w14:textId="70E11B6E" w:rsidR="0089731E" w:rsidRPr="0089731E" w:rsidRDefault="0089731E" w:rsidP="0089731E">
            <w:pPr>
              <w:spacing w:before="40" w:after="40" w:line="240" w:lineRule="auto"/>
              <w:jc w:val="center"/>
              <w:rPr>
                <w:rFonts w:cs="Arial"/>
              </w:rPr>
            </w:pPr>
            <w:r w:rsidRPr="00780AA0">
              <w:rPr>
                <w:rFonts w:cs="Arial"/>
                <w:color w:val="000000"/>
                <w:sz w:val="22"/>
              </w:rPr>
              <w:t>Nil *</w:t>
            </w:r>
          </w:p>
        </w:tc>
      </w:tr>
      <w:tr w:rsidR="0089731E" w:rsidRPr="00B8476F" w14:paraId="5856202E" w14:textId="77777777" w:rsidTr="0023682E">
        <w:tc>
          <w:tcPr>
            <w:tcW w:w="5807" w:type="dxa"/>
            <w:vAlign w:val="bottom"/>
          </w:tcPr>
          <w:p w14:paraId="0EED7E4A" w14:textId="0287EDD9" w:rsidR="0089731E" w:rsidRPr="0089731E" w:rsidRDefault="0089731E" w:rsidP="0089731E">
            <w:pPr>
              <w:spacing w:before="40" w:after="40" w:line="240" w:lineRule="auto"/>
              <w:rPr>
                <w:rFonts w:cs="Arial"/>
                <w:b/>
              </w:rPr>
            </w:pPr>
            <w:r w:rsidRPr="0089731E">
              <w:rPr>
                <w:rFonts w:cs="Arial"/>
                <w:b/>
                <w:color w:val="000000"/>
                <w:sz w:val="22"/>
              </w:rPr>
              <w:t xml:space="preserve">Denominator </w:t>
            </w:r>
          </w:p>
        </w:tc>
        <w:tc>
          <w:tcPr>
            <w:tcW w:w="1701" w:type="dxa"/>
            <w:vAlign w:val="bottom"/>
          </w:tcPr>
          <w:p w14:paraId="4812A171" w14:textId="0544A6B1" w:rsidR="0089731E" w:rsidRPr="0089731E" w:rsidRDefault="0089731E" w:rsidP="0089731E">
            <w:pPr>
              <w:spacing w:before="40" w:after="40" w:line="240" w:lineRule="auto"/>
              <w:jc w:val="center"/>
              <w:rPr>
                <w:rFonts w:cs="Arial"/>
                <w:b/>
              </w:rPr>
            </w:pPr>
            <w:r w:rsidRPr="0089731E">
              <w:rPr>
                <w:rFonts w:cs="Arial"/>
                <w:b/>
                <w:color w:val="000000"/>
                <w:sz w:val="22"/>
              </w:rPr>
              <w:t>1,282</w:t>
            </w:r>
          </w:p>
        </w:tc>
        <w:tc>
          <w:tcPr>
            <w:tcW w:w="1508" w:type="dxa"/>
            <w:vAlign w:val="bottom"/>
          </w:tcPr>
          <w:p w14:paraId="0DC84D9C" w14:textId="5A5FD72F" w:rsidR="0089731E" w:rsidRPr="0089731E" w:rsidRDefault="0089731E" w:rsidP="0089731E">
            <w:pPr>
              <w:spacing w:before="40" w:after="40" w:line="240" w:lineRule="auto"/>
              <w:jc w:val="center"/>
              <w:rPr>
                <w:rFonts w:cs="Arial"/>
                <w:b/>
              </w:rPr>
            </w:pPr>
            <w:r w:rsidRPr="0089731E">
              <w:rPr>
                <w:rFonts w:cs="Arial"/>
                <w:b/>
                <w:color w:val="000000"/>
                <w:sz w:val="22"/>
              </w:rPr>
              <w:t>922</w:t>
            </w:r>
          </w:p>
        </w:tc>
      </w:tr>
      <w:tr w:rsidR="0089731E" w:rsidRPr="00B8476F" w14:paraId="3937E451" w14:textId="77777777" w:rsidTr="0023682E">
        <w:tc>
          <w:tcPr>
            <w:tcW w:w="5807" w:type="dxa"/>
            <w:vAlign w:val="bottom"/>
          </w:tcPr>
          <w:p w14:paraId="7B1D5BA0" w14:textId="05C39F9B" w:rsidR="0089731E" w:rsidRPr="0089731E" w:rsidRDefault="0089731E" w:rsidP="0089731E">
            <w:pPr>
              <w:spacing w:before="40" w:after="40" w:line="240" w:lineRule="auto"/>
              <w:rPr>
                <w:rFonts w:cs="Arial"/>
                <w:b/>
              </w:rPr>
            </w:pPr>
            <w:r w:rsidRPr="0089731E">
              <w:rPr>
                <w:rFonts w:cs="Arial"/>
                <w:b/>
                <w:color w:val="000000"/>
                <w:sz w:val="22"/>
              </w:rPr>
              <w:t>Numerator</w:t>
            </w:r>
          </w:p>
        </w:tc>
        <w:tc>
          <w:tcPr>
            <w:tcW w:w="1701" w:type="dxa"/>
            <w:vAlign w:val="bottom"/>
          </w:tcPr>
          <w:p w14:paraId="3050FDF1" w14:textId="3CCEAE76" w:rsidR="0089731E" w:rsidRPr="0089731E" w:rsidRDefault="0089731E" w:rsidP="0089731E">
            <w:pPr>
              <w:spacing w:before="40" w:after="40" w:line="240" w:lineRule="auto"/>
              <w:jc w:val="center"/>
              <w:rPr>
                <w:rFonts w:cs="Arial"/>
                <w:b/>
              </w:rPr>
            </w:pPr>
            <w:r w:rsidRPr="0089731E">
              <w:rPr>
                <w:rFonts w:cs="Arial"/>
                <w:b/>
                <w:color w:val="000000"/>
                <w:sz w:val="22"/>
              </w:rPr>
              <w:t>5</w:t>
            </w:r>
          </w:p>
        </w:tc>
        <w:tc>
          <w:tcPr>
            <w:tcW w:w="1508" w:type="dxa"/>
            <w:vAlign w:val="bottom"/>
          </w:tcPr>
          <w:p w14:paraId="2E2AC0EC" w14:textId="6007C4B3" w:rsidR="0089731E" w:rsidRPr="0089731E" w:rsidRDefault="0089731E" w:rsidP="0089731E">
            <w:pPr>
              <w:spacing w:before="40" w:after="40" w:line="240" w:lineRule="auto"/>
              <w:jc w:val="center"/>
              <w:rPr>
                <w:rFonts w:cs="Arial"/>
                <w:b/>
              </w:rPr>
            </w:pPr>
            <w:r w:rsidRPr="0089731E">
              <w:rPr>
                <w:rFonts w:cs="Arial"/>
                <w:b/>
                <w:color w:val="000000"/>
                <w:sz w:val="22"/>
              </w:rPr>
              <w:t>54</w:t>
            </w:r>
          </w:p>
        </w:tc>
      </w:tr>
      <w:tr w:rsidR="0089731E" w:rsidRPr="00B8476F" w14:paraId="38095CF4" w14:textId="77777777" w:rsidTr="0023682E">
        <w:tc>
          <w:tcPr>
            <w:tcW w:w="5807" w:type="dxa"/>
            <w:vAlign w:val="bottom"/>
          </w:tcPr>
          <w:p w14:paraId="303ED550" w14:textId="3BC1013E" w:rsidR="0089731E" w:rsidRPr="0089731E" w:rsidRDefault="0089731E" w:rsidP="0089731E">
            <w:pPr>
              <w:spacing w:before="40" w:after="40" w:line="240" w:lineRule="auto"/>
              <w:rPr>
                <w:rFonts w:cs="Arial"/>
                <w:b/>
              </w:rPr>
            </w:pPr>
            <w:r w:rsidRPr="0089731E">
              <w:rPr>
                <w:rFonts w:cs="Arial"/>
                <w:b/>
                <w:color w:val="000000"/>
                <w:sz w:val="22"/>
              </w:rPr>
              <w:t xml:space="preserve">Percentage </w:t>
            </w:r>
          </w:p>
        </w:tc>
        <w:tc>
          <w:tcPr>
            <w:tcW w:w="1701" w:type="dxa"/>
            <w:vAlign w:val="bottom"/>
          </w:tcPr>
          <w:p w14:paraId="758A2863" w14:textId="76596D5B" w:rsidR="0089731E" w:rsidRPr="0089731E" w:rsidRDefault="0089731E" w:rsidP="0089731E">
            <w:pPr>
              <w:spacing w:before="40" w:after="40" w:line="240" w:lineRule="auto"/>
              <w:jc w:val="center"/>
              <w:rPr>
                <w:rFonts w:cs="Arial"/>
                <w:b/>
              </w:rPr>
            </w:pPr>
            <w:r w:rsidRPr="0089731E">
              <w:rPr>
                <w:rFonts w:cs="Arial"/>
                <w:b/>
                <w:color w:val="000000"/>
                <w:sz w:val="22"/>
              </w:rPr>
              <w:t>0.39%</w:t>
            </w:r>
          </w:p>
        </w:tc>
        <w:tc>
          <w:tcPr>
            <w:tcW w:w="1508" w:type="dxa"/>
            <w:vAlign w:val="bottom"/>
          </w:tcPr>
          <w:p w14:paraId="503C655C" w14:textId="5FC520FC" w:rsidR="0089731E" w:rsidRPr="0089731E" w:rsidRDefault="0089731E" w:rsidP="0089731E">
            <w:pPr>
              <w:spacing w:before="40" w:after="40" w:line="240" w:lineRule="auto"/>
              <w:jc w:val="center"/>
              <w:rPr>
                <w:rFonts w:cs="Arial"/>
                <w:b/>
              </w:rPr>
            </w:pPr>
            <w:r w:rsidRPr="0089731E">
              <w:rPr>
                <w:rFonts w:cs="Arial"/>
                <w:b/>
                <w:color w:val="000000"/>
                <w:sz w:val="22"/>
              </w:rPr>
              <w:t>5.86%</w:t>
            </w:r>
          </w:p>
        </w:tc>
      </w:tr>
    </w:tbl>
    <w:p w14:paraId="4B393F59" w14:textId="67C7E1F2" w:rsidR="000C0098" w:rsidRPr="0089731E" w:rsidRDefault="0089731E" w:rsidP="00F34676">
      <w:pPr>
        <w:spacing w:before="40"/>
        <w:rPr>
          <w:i/>
          <w:sz w:val="22"/>
        </w:rPr>
      </w:pPr>
      <w:r w:rsidRPr="0089731E">
        <w:rPr>
          <w:i/>
          <w:sz w:val="22"/>
        </w:rPr>
        <w:t>*Rejection rules failed</w:t>
      </w:r>
    </w:p>
    <w:p w14:paraId="1D9D3C66" w14:textId="77777777" w:rsidR="00080692" w:rsidRDefault="00080692">
      <w:pPr>
        <w:spacing w:after="160" w:line="259" w:lineRule="auto"/>
        <w:jc w:val="left"/>
      </w:pPr>
      <w:r>
        <w:br w:type="page"/>
      </w:r>
    </w:p>
    <w:p w14:paraId="453BC550" w14:textId="77777777" w:rsidR="00D70041" w:rsidRDefault="00B42349" w:rsidP="005B0F16">
      <w:pPr>
        <w:pStyle w:val="Heading3"/>
      </w:pPr>
      <w:r>
        <w:lastRenderedPageBreak/>
        <w:t xml:space="preserve">Practices’ views on </w:t>
      </w:r>
      <w:r w:rsidR="00D70041">
        <w:t xml:space="preserve">implementation issues (including </w:t>
      </w:r>
      <w:r>
        <w:t>i</w:t>
      </w:r>
      <w:r w:rsidR="00080692">
        <w:t>mpact</w:t>
      </w:r>
      <w:r w:rsidR="00D70041">
        <w:t>)</w:t>
      </w:r>
    </w:p>
    <w:p w14:paraId="3422DA84" w14:textId="7BD221E9" w:rsidR="00080692" w:rsidRDefault="00D70041" w:rsidP="003F7296">
      <w:pPr>
        <w:pStyle w:val="Heading4"/>
      </w:pPr>
      <w:r>
        <w:t>Impact</w:t>
      </w:r>
      <w:r w:rsidR="00357F20">
        <w:t xml:space="preserve"> (medication review and falls prevention indicators)</w:t>
      </w:r>
    </w:p>
    <w:p w14:paraId="3322D282" w14:textId="5B61B165" w:rsidR="0051366B" w:rsidRPr="003F7296" w:rsidRDefault="00357F20" w:rsidP="00D70041">
      <w:pPr>
        <w:rPr>
          <w:color w:val="000000" w:themeColor="text1"/>
        </w:rPr>
      </w:pPr>
      <w:r>
        <w:rPr>
          <w:color w:val="000000" w:themeColor="text1"/>
        </w:rPr>
        <w:t>One respondent raised a question about the impact of de-prescribing as</w:t>
      </w:r>
      <w:r w:rsidR="00721061">
        <w:rPr>
          <w:color w:val="000000" w:themeColor="text1"/>
        </w:rPr>
        <w:t xml:space="preserve"> </w:t>
      </w:r>
      <w:r>
        <w:rPr>
          <w:color w:val="000000" w:themeColor="text1"/>
        </w:rPr>
        <w:t>a result of medication review:</w:t>
      </w:r>
    </w:p>
    <w:p w14:paraId="285E4935" w14:textId="1651F400" w:rsidR="00D70041" w:rsidRPr="00CD646D" w:rsidRDefault="00D70041" w:rsidP="00D70041">
      <w:pPr>
        <w:rPr>
          <w:i/>
          <w:color w:val="000000" w:themeColor="text1"/>
          <w:sz w:val="22"/>
        </w:rPr>
      </w:pPr>
      <w:r w:rsidRPr="00CD646D">
        <w:rPr>
          <w:i/>
          <w:color w:val="000000" w:themeColor="text1"/>
          <w:sz w:val="22"/>
        </w:rPr>
        <w:t>“</w:t>
      </w:r>
      <w:r w:rsidR="00C255D9" w:rsidRPr="00CD646D">
        <w:rPr>
          <w:i/>
          <w:color w:val="000000" w:themeColor="text1"/>
          <w:sz w:val="22"/>
        </w:rPr>
        <w:t>…</w:t>
      </w:r>
      <w:r w:rsidRPr="00CD646D">
        <w:rPr>
          <w:i/>
          <w:color w:val="000000" w:themeColor="text1"/>
          <w:sz w:val="22"/>
        </w:rPr>
        <w:t xml:space="preserve">For quality of care it’s very difficult </w:t>
      </w:r>
      <w:r w:rsidR="00C255D9" w:rsidRPr="00CD646D">
        <w:rPr>
          <w:i/>
          <w:color w:val="000000" w:themeColor="text1"/>
          <w:sz w:val="22"/>
        </w:rPr>
        <w:t>…so we</w:t>
      </w:r>
      <w:r w:rsidRPr="00CD646D">
        <w:rPr>
          <w:i/>
          <w:color w:val="000000" w:themeColor="text1"/>
          <w:sz w:val="22"/>
        </w:rPr>
        <w:t xml:space="preserve"> try and </w:t>
      </w:r>
      <w:r w:rsidR="00C255D9" w:rsidRPr="00CD646D">
        <w:rPr>
          <w:i/>
          <w:color w:val="000000" w:themeColor="text1"/>
          <w:sz w:val="22"/>
        </w:rPr>
        <w:t>audit some of the work we’ve done (based on the latest guidance) to see whether it’s having an</w:t>
      </w:r>
      <w:r w:rsidRPr="00CD646D">
        <w:rPr>
          <w:i/>
          <w:color w:val="000000" w:themeColor="text1"/>
          <w:sz w:val="22"/>
        </w:rPr>
        <w:t xml:space="preserve"> impact on th</w:t>
      </w:r>
      <w:r w:rsidR="00C255D9" w:rsidRPr="00CD646D">
        <w:rPr>
          <w:i/>
          <w:color w:val="000000" w:themeColor="text1"/>
          <w:sz w:val="22"/>
        </w:rPr>
        <w:t xml:space="preserve">e </w:t>
      </w:r>
      <w:r w:rsidRPr="00CD646D">
        <w:rPr>
          <w:i/>
          <w:color w:val="000000" w:themeColor="text1"/>
          <w:sz w:val="22"/>
        </w:rPr>
        <w:t>patient</w:t>
      </w:r>
      <w:r w:rsidR="00C255D9" w:rsidRPr="00CD646D">
        <w:rPr>
          <w:i/>
          <w:color w:val="000000" w:themeColor="text1"/>
          <w:sz w:val="22"/>
        </w:rPr>
        <w:t>. Because actually i</w:t>
      </w:r>
      <w:r w:rsidRPr="00CD646D">
        <w:rPr>
          <w:i/>
          <w:color w:val="000000" w:themeColor="text1"/>
          <w:sz w:val="22"/>
        </w:rPr>
        <w:t>f we spend a c</w:t>
      </w:r>
      <w:r w:rsidR="00C255D9" w:rsidRPr="00CD646D">
        <w:rPr>
          <w:i/>
          <w:color w:val="000000" w:themeColor="text1"/>
          <w:sz w:val="22"/>
        </w:rPr>
        <w:t>ouple of hours taking them off six</w:t>
      </w:r>
      <w:r w:rsidRPr="00CD646D">
        <w:rPr>
          <w:i/>
          <w:color w:val="000000" w:themeColor="text1"/>
          <w:sz w:val="22"/>
        </w:rPr>
        <w:t xml:space="preserve"> med</w:t>
      </w:r>
      <w:r w:rsidR="00C255D9" w:rsidRPr="00CD646D">
        <w:rPr>
          <w:i/>
          <w:color w:val="000000" w:themeColor="text1"/>
          <w:sz w:val="22"/>
        </w:rPr>
        <w:t>ications</w:t>
      </w:r>
      <w:r w:rsidRPr="00CD646D">
        <w:rPr>
          <w:i/>
          <w:color w:val="000000" w:themeColor="text1"/>
          <w:sz w:val="22"/>
        </w:rPr>
        <w:t xml:space="preserve"> but it makes no differenc</w:t>
      </w:r>
      <w:r w:rsidR="00C255D9" w:rsidRPr="00CD646D">
        <w:rPr>
          <w:i/>
          <w:color w:val="000000" w:themeColor="text1"/>
          <w:sz w:val="22"/>
        </w:rPr>
        <w:t xml:space="preserve">e to their health, there is a question whether we could have </w:t>
      </w:r>
      <w:r w:rsidRPr="00CD646D">
        <w:rPr>
          <w:i/>
          <w:color w:val="000000" w:themeColor="text1"/>
          <w:sz w:val="22"/>
        </w:rPr>
        <w:t xml:space="preserve">done something different in those </w:t>
      </w:r>
      <w:r w:rsidR="00C255D9" w:rsidRPr="00CD646D">
        <w:rPr>
          <w:i/>
          <w:color w:val="000000" w:themeColor="text1"/>
          <w:sz w:val="22"/>
        </w:rPr>
        <w:t>two</w:t>
      </w:r>
      <w:r w:rsidRPr="00CD646D">
        <w:rPr>
          <w:i/>
          <w:color w:val="000000" w:themeColor="text1"/>
          <w:sz w:val="22"/>
        </w:rPr>
        <w:t xml:space="preserve"> hours that would have made a difference</w:t>
      </w:r>
      <w:r w:rsidR="00C255D9" w:rsidRPr="00CD646D">
        <w:rPr>
          <w:i/>
          <w:color w:val="000000" w:themeColor="text1"/>
          <w:sz w:val="22"/>
        </w:rPr>
        <w:t xml:space="preserve"> to their health</w:t>
      </w:r>
      <w:r w:rsidRPr="00CD646D">
        <w:rPr>
          <w:i/>
          <w:color w:val="000000" w:themeColor="text1"/>
          <w:sz w:val="22"/>
        </w:rPr>
        <w:t>?” (Practice manager, interview)</w:t>
      </w:r>
    </w:p>
    <w:p w14:paraId="1B914380" w14:textId="20711524" w:rsidR="00D70041" w:rsidRDefault="00357F20" w:rsidP="003F7296">
      <w:r>
        <w:t>C</w:t>
      </w:r>
      <w:r w:rsidR="0051366B" w:rsidRPr="00223993">
        <w:t xml:space="preserve">omments </w:t>
      </w:r>
      <w:r>
        <w:t xml:space="preserve">on the falls prevention indicator </w:t>
      </w:r>
      <w:r w:rsidR="0051366B" w:rsidRPr="00223993">
        <w:t xml:space="preserve">included </w:t>
      </w:r>
      <w:r w:rsidR="0051366B">
        <w:t>describing the benefits of including the moderate</w:t>
      </w:r>
      <w:r>
        <w:t>ly frail</w:t>
      </w:r>
      <w:r w:rsidR="0051366B">
        <w:t xml:space="preserve"> patients in terms of falls risk</w:t>
      </w:r>
      <w:r>
        <w:t>:</w:t>
      </w:r>
    </w:p>
    <w:p w14:paraId="252F3854" w14:textId="77777777" w:rsidR="0051366B" w:rsidRPr="005736D4" w:rsidRDefault="0051366B" w:rsidP="0051366B">
      <w:pPr>
        <w:rPr>
          <w:color w:val="000000" w:themeColor="text1"/>
        </w:rPr>
      </w:pPr>
      <w:r w:rsidRPr="00CD646D">
        <w:rPr>
          <w:i/>
          <w:color w:val="000000" w:themeColor="text1"/>
          <w:sz w:val="22"/>
        </w:rPr>
        <w:t>“Our care coordinator looks after the frailty register and has signposted patients to third party organisations to make a massive impact on theirs and their family day to day function”. (Practice senior management, survey)</w:t>
      </w:r>
      <w:r w:rsidRPr="005736D4">
        <w:rPr>
          <w:color w:val="000000" w:themeColor="text1"/>
        </w:rPr>
        <w:t xml:space="preserve"> </w:t>
      </w:r>
    </w:p>
    <w:p w14:paraId="3D8C48A9" w14:textId="185662B6" w:rsidR="00080692" w:rsidRPr="00CD646D" w:rsidRDefault="00EC1472" w:rsidP="00EC1472">
      <w:pPr>
        <w:rPr>
          <w:i/>
          <w:sz w:val="22"/>
        </w:rPr>
      </w:pPr>
      <w:r w:rsidRPr="00CD646D" w:rsidDel="00EC1472">
        <w:rPr>
          <w:i/>
          <w:sz w:val="22"/>
        </w:rPr>
        <w:t xml:space="preserve"> </w:t>
      </w:r>
      <w:r w:rsidR="006B2D07" w:rsidRPr="006B2D07" w:rsidDel="006B2D07">
        <w:t xml:space="preserve"> </w:t>
      </w:r>
    </w:p>
    <w:p w14:paraId="6FF66619" w14:textId="3C5A5893" w:rsidR="00080692" w:rsidRPr="00AB4829" w:rsidRDefault="00AB4829" w:rsidP="003F7296">
      <w:pPr>
        <w:pStyle w:val="Heading4"/>
      </w:pPr>
      <w:r>
        <w:t>Training requirements</w:t>
      </w:r>
    </w:p>
    <w:p w14:paraId="5AB7B4DB" w14:textId="77777777" w:rsidR="00080692" w:rsidRDefault="00080692" w:rsidP="00080692">
      <w:r>
        <w:t xml:space="preserve">When asked if they thought it would be advisable to undertake </w:t>
      </w:r>
      <w:r w:rsidRPr="004758A7">
        <w:t>additional training</w:t>
      </w:r>
      <w:r>
        <w:t>, if the topic of multimorbidity and frailty was introduced nationally, 72% of the survey respondents (23/32) said yes. A number suggested training which included the guidelines and relevant assessment tools, and greater awareness raising of the topic.</w:t>
      </w:r>
    </w:p>
    <w:p w14:paraId="54A2256D" w14:textId="77777777" w:rsidR="00080692" w:rsidRPr="00CD646D" w:rsidRDefault="00080692" w:rsidP="00080692">
      <w:pPr>
        <w:rPr>
          <w:i/>
          <w:sz w:val="22"/>
        </w:rPr>
      </w:pPr>
      <w:r w:rsidRPr="00CD646D">
        <w:rPr>
          <w:i/>
          <w:sz w:val="22"/>
        </w:rPr>
        <w:t>“The reason and idea of the frailty and multi morbidity needs to be taught otherwise it simply won't be done to any great depth and will be done as a tick box rather than to benefit patient care”. (GP, survey)</w:t>
      </w:r>
    </w:p>
    <w:p w14:paraId="0E688DD1" w14:textId="2F755AC8" w:rsidR="00080692" w:rsidRDefault="00080692" w:rsidP="00080692">
      <w:r>
        <w:t xml:space="preserve">The feedback comments from interviews endorsed this view, with participants suggesting education sessions relating to the background and aims of this work and the topic in general would be helpful, in addition to guidance from both a clinical and quality of life perspective and </w:t>
      </w:r>
      <w:r w:rsidR="004758A7">
        <w:t xml:space="preserve">provision of </w:t>
      </w:r>
      <w:r>
        <w:t>information about the services available in the local area for patients with multimorbidity and frailty</w:t>
      </w:r>
      <w:r w:rsidR="002C6CB8">
        <w:t>.</w:t>
      </w:r>
      <w:r>
        <w:t xml:space="preserve"> </w:t>
      </w:r>
    </w:p>
    <w:p w14:paraId="17338121" w14:textId="77777777" w:rsidR="004758A7" w:rsidRPr="00CD646D" w:rsidRDefault="004758A7" w:rsidP="004758A7">
      <w:pPr>
        <w:rPr>
          <w:i/>
          <w:sz w:val="22"/>
        </w:rPr>
      </w:pPr>
      <w:r w:rsidRPr="00CD646D">
        <w:rPr>
          <w:i/>
          <w:sz w:val="22"/>
        </w:rPr>
        <w:t>“I think what almost certainly happens on a practice basis is that as and when the toolkit gets rolled out then we would certainly incorporate that into a practice education session so everybody had a view in terms of what was happening”. (GP, interview)</w:t>
      </w:r>
    </w:p>
    <w:p w14:paraId="1768DB29" w14:textId="77777777" w:rsidR="002C15E1" w:rsidRPr="00CD646D" w:rsidRDefault="002C15E1" w:rsidP="004758A7">
      <w:pPr>
        <w:rPr>
          <w:i/>
          <w:sz w:val="22"/>
        </w:rPr>
      </w:pPr>
    </w:p>
    <w:p w14:paraId="26C9F5DB" w14:textId="77777777" w:rsidR="002C15E1" w:rsidRDefault="002C15E1" w:rsidP="002C15E1">
      <w:pPr>
        <w:pStyle w:val="Heading4"/>
      </w:pPr>
      <w:r>
        <w:t>Other overall views on implementation of the indicators</w:t>
      </w:r>
    </w:p>
    <w:p w14:paraId="2CE9AA14" w14:textId="77777777" w:rsidR="002C15E1" w:rsidRPr="00223993" w:rsidRDefault="002C15E1" w:rsidP="002C15E1">
      <w:r w:rsidRPr="00223993">
        <w:t xml:space="preserve">One practice </w:t>
      </w:r>
      <w:r>
        <w:t xml:space="preserve">was concerned that the frailty indicators required the </w:t>
      </w:r>
      <w:r w:rsidRPr="00F5583C">
        <w:rPr>
          <w:b/>
        </w:rPr>
        <w:t>input of different specialists</w:t>
      </w:r>
      <w:r>
        <w:t xml:space="preserve">, including the clinical pharmacist for medication reviews and practice nurse for falls assessments, which they found problematic when trying to record this on one template. </w:t>
      </w:r>
    </w:p>
    <w:p w14:paraId="1B2E7ABD" w14:textId="77777777" w:rsidR="002C15E1" w:rsidRPr="00F73906" w:rsidRDefault="002C15E1" w:rsidP="002C15E1">
      <w:r>
        <w:t xml:space="preserve">Other comments from respondents covered the potential extension of reviews into other areas and the </w:t>
      </w:r>
      <w:r w:rsidRPr="00F5583C">
        <w:rPr>
          <w:b/>
        </w:rPr>
        <w:t>need for a holistic approach</w:t>
      </w:r>
      <w:r>
        <w:t xml:space="preserve">. </w:t>
      </w:r>
    </w:p>
    <w:p w14:paraId="61276459" w14:textId="1C718066" w:rsidR="002C15E1" w:rsidRPr="00CD646D" w:rsidRDefault="002C15E1" w:rsidP="002C15E1">
      <w:pPr>
        <w:rPr>
          <w:i/>
          <w:sz w:val="22"/>
        </w:rPr>
      </w:pPr>
      <w:r w:rsidRPr="00CD646D">
        <w:rPr>
          <w:i/>
          <w:sz w:val="22"/>
        </w:rPr>
        <w:t>“</w:t>
      </w:r>
      <w:r w:rsidR="00C255D9" w:rsidRPr="00CD646D">
        <w:rPr>
          <w:i/>
          <w:sz w:val="22"/>
        </w:rPr>
        <w:t>Yes, I think that (m</w:t>
      </w:r>
      <w:r w:rsidRPr="00CD646D">
        <w:rPr>
          <w:i/>
          <w:sz w:val="22"/>
        </w:rPr>
        <w:t>ed</w:t>
      </w:r>
      <w:r w:rsidR="00C255D9" w:rsidRPr="00CD646D">
        <w:rPr>
          <w:i/>
          <w:sz w:val="22"/>
        </w:rPr>
        <w:t>ication</w:t>
      </w:r>
      <w:r w:rsidRPr="00CD646D">
        <w:rPr>
          <w:i/>
          <w:sz w:val="22"/>
        </w:rPr>
        <w:t xml:space="preserve"> reviews and falls</w:t>
      </w:r>
      <w:r w:rsidR="00C255D9" w:rsidRPr="00CD646D">
        <w:rPr>
          <w:i/>
          <w:sz w:val="22"/>
        </w:rPr>
        <w:t>)</w:t>
      </w:r>
      <w:r w:rsidRPr="00CD646D">
        <w:rPr>
          <w:i/>
          <w:sz w:val="22"/>
        </w:rPr>
        <w:t xml:space="preserve"> </w:t>
      </w:r>
      <w:r w:rsidR="00C255D9" w:rsidRPr="00CD646D">
        <w:rPr>
          <w:i/>
          <w:sz w:val="22"/>
        </w:rPr>
        <w:t>is</w:t>
      </w:r>
      <w:r w:rsidRPr="00CD646D">
        <w:rPr>
          <w:i/>
          <w:sz w:val="22"/>
        </w:rPr>
        <w:t xml:space="preserve"> the key</w:t>
      </w:r>
      <w:r w:rsidR="00C255D9" w:rsidRPr="00CD646D">
        <w:rPr>
          <w:i/>
          <w:sz w:val="22"/>
        </w:rPr>
        <w:t xml:space="preserve">. The only other sorts of things are perhaps more </w:t>
      </w:r>
      <w:r w:rsidRPr="00CD646D">
        <w:rPr>
          <w:i/>
          <w:sz w:val="22"/>
        </w:rPr>
        <w:t xml:space="preserve">social factors </w:t>
      </w:r>
      <w:r w:rsidR="00C255D9" w:rsidRPr="00CD646D">
        <w:rPr>
          <w:i/>
          <w:sz w:val="22"/>
        </w:rPr>
        <w:t xml:space="preserve">for that patient </w:t>
      </w:r>
      <w:r w:rsidRPr="00CD646D">
        <w:rPr>
          <w:i/>
          <w:sz w:val="22"/>
        </w:rPr>
        <w:t>to think about</w:t>
      </w:r>
      <w:r w:rsidR="00C255D9" w:rsidRPr="00CD646D">
        <w:rPr>
          <w:i/>
          <w:sz w:val="22"/>
        </w:rPr>
        <w:t>, not just the falls element but social inp</w:t>
      </w:r>
      <w:r w:rsidRPr="00CD646D">
        <w:rPr>
          <w:i/>
          <w:sz w:val="22"/>
        </w:rPr>
        <w:t xml:space="preserve">ut and </w:t>
      </w:r>
      <w:r w:rsidR="00C255D9" w:rsidRPr="00CD646D">
        <w:rPr>
          <w:i/>
          <w:sz w:val="22"/>
        </w:rPr>
        <w:t xml:space="preserve">that side of </w:t>
      </w:r>
      <w:r w:rsidRPr="00CD646D">
        <w:rPr>
          <w:i/>
          <w:sz w:val="22"/>
        </w:rPr>
        <w:t xml:space="preserve">things from a care perspective, not just occupational therapy and physiotherapy but </w:t>
      </w:r>
      <w:r w:rsidR="00C255D9" w:rsidRPr="00CD646D">
        <w:rPr>
          <w:i/>
          <w:sz w:val="22"/>
        </w:rPr>
        <w:t xml:space="preserve">do they need some input from </w:t>
      </w:r>
      <w:r w:rsidRPr="00CD646D">
        <w:rPr>
          <w:i/>
          <w:sz w:val="22"/>
        </w:rPr>
        <w:t xml:space="preserve">Age Concern? </w:t>
      </w:r>
      <w:r w:rsidR="00C255D9" w:rsidRPr="00CD646D">
        <w:rPr>
          <w:i/>
          <w:sz w:val="22"/>
        </w:rPr>
        <w:t>Are there c</w:t>
      </w:r>
      <w:r w:rsidRPr="00CD646D">
        <w:rPr>
          <w:i/>
          <w:sz w:val="22"/>
        </w:rPr>
        <w:t>ognitiv</w:t>
      </w:r>
      <w:r w:rsidR="00C255D9" w:rsidRPr="00CD646D">
        <w:rPr>
          <w:i/>
          <w:sz w:val="22"/>
        </w:rPr>
        <w:t>e problems? You could extend that frailty</w:t>
      </w:r>
      <w:r w:rsidRPr="00CD646D">
        <w:rPr>
          <w:i/>
          <w:sz w:val="22"/>
        </w:rPr>
        <w:t xml:space="preserve"> review quite significantly, but it’s the time element</w:t>
      </w:r>
      <w:r w:rsidR="00C255D9" w:rsidRPr="00CD646D">
        <w:rPr>
          <w:i/>
          <w:sz w:val="22"/>
        </w:rPr>
        <w:t>…</w:t>
      </w:r>
      <w:r w:rsidR="0086312E" w:rsidRPr="00CD646D">
        <w:rPr>
          <w:i/>
          <w:sz w:val="22"/>
        </w:rPr>
        <w:t>”</w:t>
      </w:r>
      <w:r w:rsidRPr="00CD646D">
        <w:rPr>
          <w:i/>
          <w:sz w:val="22"/>
        </w:rPr>
        <w:t xml:space="preserve"> (GP, interview)</w:t>
      </w:r>
    </w:p>
    <w:p w14:paraId="3F41934F" w14:textId="77777777" w:rsidR="002C15E1" w:rsidRPr="00CD646D" w:rsidRDefault="002C15E1" w:rsidP="002C15E1">
      <w:pPr>
        <w:rPr>
          <w:i/>
          <w:sz w:val="22"/>
        </w:rPr>
      </w:pPr>
      <w:r w:rsidRPr="00CD646D">
        <w:rPr>
          <w:i/>
          <w:sz w:val="22"/>
        </w:rPr>
        <w:t>“So I think in our PACT template we've always had this winter warmth assessment. There are a few other things that are included in it which... so we've got, on our template, it also gives all the links to the self-management service, the alcohol service, healthy living, falls and bone health and then Social Services, Age UK, Care for Me. So I think you can put things on a template but I think it's hard to get everyone aware of the full remit of what you're trying to achieve, as in I think... that will vary locally”. (GP, interview)</w:t>
      </w:r>
    </w:p>
    <w:p w14:paraId="51BD0388" w14:textId="2808909C" w:rsidR="002C15E1" w:rsidRPr="00CD646D" w:rsidRDefault="002C15E1" w:rsidP="002C15E1">
      <w:pPr>
        <w:rPr>
          <w:i/>
          <w:sz w:val="22"/>
        </w:rPr>
      </w:pPr>
      <w:r w:rsidRPr="00CD646D">
        <w:rPr>
          <w:i/>
          <w:sz w:val="22"/>
        </w:rPr>
        <w:t>“</w:t>
      </w:r>
      <w:r w:rsidR="00C255D9" w:rsidRPr="00CD646D">
        <w:rPr>
          <w:i/>
          <w:sz w:val="22"/>
        </w:rPr>
        <w:t>…</w:t>
      </w:r>
      <w:r w:rsidRPr="00CD646D">
        <w:rPr>
          <w:i/>
          <w:sz w:val="22"/>
        </w:rPr>
        <w:t xml:space="preserve">Scoring people from a more social point of view rather than thinking </w:t>
      </w:r>
      <w:r w:rsidR="00C255D9" w:rsidRPr="00CD646D">
        <w:rPr>
          <w:i/>
          <w:sz w:val="22"/>
        </w:rPr>
        <w:t xml:space="preserve">always </w:t>
      </w:r>
      <w:r w:rsidRPr="00CD646D">
        <w:rPr>
          <w:i/>
          <w:sz w:val="22"/>
        </w:rPr>
        <w:t>clinically”. (GP, interview)</w:t>
      </w:r>
    </w:p>
    <w:p w14:paraId="5B3D5D55" w14:textId="2232C0D3" w:rsidR="002C15E1" w:rsidRPr="00CD646D" w:rsidRDefault="002C15E1" w:rsidP="002C15E1">
      <w:pPr>
        <w:rPr>
          <w:i/>
          <w:sz w:val="22"/>
        </w:rPr>
      </w:pPr>
      <w:r w:rsidRPr="00CD646D">
        <w:rPr>
          <w:i/>
          <w:sz w:val="22"/>
        </w:rPr>
        <w:t>“</w:t>
      </w:r>
      <w:r w:rsidR="00C255D9" w:rsidRPr="00CD646D">
        <w:rPr>
          <w:i/>
          <w:sz w:val="22"/>
        </w:rPr>
        <w:t>…i</w:t>
      </w:r>
      <w:r w:rsidRPr="00CD646D">
        <w:rPr>
          <w:i/>
          <w:sz w:val="22"/>
        </w:rPr>
        <w:t xml:space="preserve">t’s not </w:t>
      </w:r>
      <w:r w:rsidR="00C255D9" w:rsidRPr="00CD646D">
        <w:rPr>
          <w:i/>
          <w:sz w:val="22"/>
        </w:rPr>
        <w:t xml:space="preserve">necessarily </w:t>
      </w:r>
      <w:r w:rsidRPr="00CD646D">
        <w:rPr>
          <w:i/>
          <w:sz w:val="22"/>
        </w:rPr>
        <w:t xml:space="preserve">just about the medical aspects that would improve their care. </w:t>
      </w:r>
      <w:r w:rsidR="00C255D9" w:rsidRPr="00CD646D">
        <w:rPr>
          <w:i/>
          <w:sz w:val="22"/>
        </w:rPr>
        <w:t>So i</w:t>
      </w:r>
      <w:r w:rsidRPr="00CD646D">
        <w:rPr>
          <w:i/>
          <w:sz w:val="22"/>
        </w:rPr>
        <w:t>t’s about getting them to go out and do other things as well”. (GP, interview)</w:t>
      </w:r>
    </w:p>
    <w:p w14:paraId="5C32796B" w14:textId="77777777" w:rsidR="002C15E1" w:rsidRPr="00CD646D" w:rsidRDefault="002C15E1" w:rsidP="002C15E1">
      <w:pPr>
        <w:rPr>
          <w:i/>
          <w:sz w:val="22"/>
        </w:rPr>
      </w:pPr>
      <w:r w:rsidRPr="00CD646D">
        <w:rPr>
          <w:i/>
          <w:sz w:val="22"/>
        </w:rPr>
        <w:t>“And I’m writing plans for these people because I know plans are wonderful, individual, personalised care plans. They're not something you can write at the start because they go off to the social prescriber and she then sits down and says, “Oh well, we’ve got this, this and this.” Which is different to what I would have thought. And so she gets round in a different way. And then there's other support groups. It’s just sort of not, you can't do it at Day One, that’s the thing I’m trying to say. It’s often a work in progress, working with lots of other things and it slowly comes together”. (GP, interview)</w:t>
      </w:r>
    </w:p>
    <w:p w14:paraId="414866D2" w14:textId="5E624B28" w:rsidR="00080692" w:rsidRDefault="00080692" w:rsidP="003F7296">
      <w:pPr>
        <w:spacing w:after="160" w:line="259" w:lineRule="auto"/>
        <w:jc w:val="left"/>
      </w:pPr>
    </w:p>
    <w:p w14:paraId="2898B47C" w14:textId="289ECC89" w:rsidR="007F240E" w:rsidRPr="00B8476F" w:rsidRDefault="007F240E" w:rsidP="00F075D3">
      <w:pPr>
        <w:pStyle w:val="Heading3"/>
      </w:pPr>
      <w:r w:rsidRPr="00B8476F">
        <w:lastRenderedPageBreak/>
        <w:t>Changes in practice organisation</w:t>
      </w:r>
      <w:r w:rsidR="00D05293" w:rsidRPr="00B8476F">
        <w:t xml:space="preserve"> </w:t>
      </w:r>
    </w:p>
    <w:p w14:paraId="1D7D00EE" w14:textId="75FACE24" w:rsidR="00AC079E" w:rsidRDefault="00506DA8" w:rsidP="007F240E">
      <w:r>
        <w:t xml:space="preserve">Practices noted that changes may be required to their </w:t>
      </w:r>
      <w:r w:rsidRPr="00F5583C">
        <w:rPr>
          <w:b/>
        </w:rPr>
        <w:t>appointment structure</w:t>
      </w:r>
      <w:r>
        <w:t xml:space="preserve"> in order to accommodate extended appointments for patients with multimorbidity and frailty. In the long term </w:t>
      </w:r>
      <w:r w:rsidR="002C6CB8">
        <w:t xml:space="preserve">they felt that </w:t>
      </w:r>
      <w:r>
        <w:t>this could reduce the overall contact time an individual</w:t>
      </w:r>
      <w:r w:rsidR="00066E2F">
        <w:t xml:space="preserve"> patient has</w:t>
      </w:r>
      <w:r>
        <w:t xml:space="preserve"> with the practice, but in the interim</w:t>
      </w:r>
      <w:r w:rsidR="00066E2F">
        <w:t xml:space="preserve"> this could result in additional work.</w:t>
      </w:r>
      <w:r>
        <w:t xml:space="preserve"> </w:t>
      </w:r>
    </w:p>
    <w:p w14:paraId="48493240" w14:textId="77777777" w:rsidR="001E1E2A" w:rsidRDefault="001E1E2A" w:rsidP="001E1E2A">
      <w:r>
        <w:t>One practice stated that for the pilot they had been doing the patient reviews separately to a normal consultation, that none of the work was opportunistic but rather that they had called patients in for specific reviews. A GP from another practice described in the interview how they had tried different appointment types and lengths during the pilot for patients with different requirements, but that they didn’t have a “</w:t>
      </w:r>
      <w:r w:rsidRPr="00CD646D">
        <w:rPr>
          <w:i/>
          <w:sz w:val="22"/>
        </w:rPr>
        <w:t>definite feel for the right way</w:t>
      </w:r>
      <w:r>
        <w:t>”, reporting that it had been difficult “</w:t>
      </w:r>
      <w:r w:rsidRPr="00CD646D">
        <w:rPr>
          <w:i/>
          <w:sz w:val="22"/>
        </w:rPr>
        <w:t>to find a way that achieves everything that’s necessary for this as well as what we’re all otherwise doing</w:t>
      </w:r>
      <w:r>
        <w:t>”.</w:t>
      </w:r>
    </w:p>
    <w:p w14:paraId="3B199971" w14:textId="77777777" w:rsidR="001E1E2A" w:rsidRDefault="001E1E2A" w:rsidP="001E1E2A">
      <w:r>
        <w:t xml:space="preserve">Concerns were raised by some practices in that if an appointment was long, there could be too much information for the patient to take in; but alternatively, a series of multiple appointments could result in the patient not attending all of these. </w:t>
      </w:r>
    </w:p>
    <w:p w14:paraId="602055DF" w14:textId="77777777" w:rsidR="001E1E2A" w:rsidRPr="00CD646D" w:rsidRDefault="001E1E2A" w:rsidP="001E1E2A">
      <w:pPr>
        <w:rPr>
          <w:i/>
          <w:sz w:val="22"/>
          <w:lang w:eastAsia="en-GB"/>
        </w:rPr>
      </w:pPr>
      <w:r w:rsidRPr="00CD646D">
        <w:rPr>
          <w:i/>
          <w:sz w:val="22"/>
          <w:lang w:eastAsia="en-GB"/>
        </w:rPr>
        <w:t>“We do try and combine some of the clinics together for multi-morbidity but the only thing we find is sometimes it's too much to take on for the patient, all in one go. So, they don’t get the benefit of the review quite so much because they're missing bits and the concentration… You know, doing a 45-minute review they're not going to retain all that information. And although we give them printouts and handouts of things we’ve discussed or if it's a care plan or something, our nurses feel sometimes it's just a bit too much all at once”. (Practice manager, interview)</w:t>
      </w:r>
    </w:p>
    <w:p w14:paraId="7FEFAB87" w14:textId="77777777" w:rsidR="00CA49D2" w:rsidRDefault="00CA49D2" w:rsidP="00CA49D2">
      <w:r>
        <w:t xml:space="preserve">There was a </w:t>
      </w:r>
      <w:r w:rsidRPr="00F5583C">
        <w:rPr>
          <w:b/>
        </w:rPr>
        <w:t>variety of clinical staff types</w:t>
      </w:r>
      <w:r>
        <w:t xml:space="preserve"> mentioned by practices that were used in the appointments, predominantly nurse practitioners, GPs and clinical pharmacists. Complex care teams and multidisciplinary teams were also used by some practices. Four practices stated that they were flexible on staff type depending on the needs of the patient. One practice used the clinical pharmacist team for multimorbidity reviews but used a GP for frailty reviews with the help of a clinical pharmacist. </w:t>
      </w:r>
    </w:p>
    <w:p w14:paraId="28945D9E" w14:textId="77777777" w:rsidR="00CA49D2" w:rsidRPr="00CD646D" w:rsidRDefault="00CA49D2" w:rsidP="00CA49D2">
      <w:pPr>
        <w:rPr>
          <w:i/>
          <w:sz w:val="22"/>
        </w:rPr>
      </w:pPr>
      <w:r w:rsidRPr="00CD646D">
        <w:rPr>
          <w:i/>
          <w:sz w:val="22"/>
        </w:rPr>
        <w:t>“I think the patients definitely value it (extended appointment). I think the doctors actually get to know the patient better and so they can then handle anything that comes up over the next year better”. (GP, interview)</w:t>
      </w:r>
    </w:p>
    <w:p w14:paraId="5ED84EBD" w14:textId="77777777" w:rsidR="00CA49D2" w:rsidRPr="00CD646D" w:rsidRDefault="00CA49D2" w:rsidP="00CA49D2">
      <w:pPr>
        <w:rPr>
          <w:i/>
          <w:sz w:val="22"/>
        </w:rPr>
      </w:pPr>
      <w:r w:rsidRPr="00CD646D">
        <w:rPr>
          <w:i/>
          <w:sz w:val="22"/>
        </w:rPr>
        <w:t>“…..to undertake an effective review and appropriate intervention needs a long appointment time with a GP or clinical pharmacist which needs to be adequately funded for the large patient cohort identified” (GP, survey)</w:t>
      </w:r>
    </w:p>
    <w:p w14:paraId="71EB4FF4" w14:textId="77777777" w:rsidR="00CA49D2" w:rsidRDefault="00CA49D2" w:rsidP="00CA49D2">
      <w:r>
        <w:lastRenderedPageBreak/>
        <w:t xml:space="preserve">One practice stated that their practice team currently consisted of a number of specialists in certain conditions or areas, and that this may be an issue with offering one extended multimorbidity and frailty appointment as more than one staff member would need to be present, or there could be a set of staggered appointments to cover the patient’s needs. They acknowledged that their appointment system and approach to staff training may need to be reviewed. In response to this, another practice stated that 2 years ago they had upskilled their diabetes nurse to also manage respiratory conditions, meaning that where appropriate, patients could have a longer appointment covering these disease areas. </w:t>
      </w:r>
    </w:p>
    <w:p w14:paraId="6B6730BC" w14:textId="77777777" w:rsidR="00CA49D2" w:rsidRPr="00CD646D" w:rsidRDefault="00CA49D2" w:rsidP="00CA49D2">
      <w:pPr>
        <w:rPr>
          <w:i/>
          <w:sz w:val="22"/>
        </w:rPr>
      </w:pPr>
      <w:r w:rsidRPr="00CD646D">
        <w:rPr>
          <w:i/>
          <w:sz w:val="22"/>
        </w:rPr>
        <w:t>“The nurses are quite open to up-skilling as long as they felt supported by the GPs. We actually found it was better patient experience and actually it made our nurses much more available because what we were finding before is they were coming in for 20 minutes for asthma, 20 minutes for diabetes and say 20 to 30 minutes for COPD. They were able to do all three in a 40 minute appointment so it actually helped us reduce our appointments by doing a combined appointment for those three indicators”. (GP, interview)</w:t>
      </w:r>
    </w:p>
    <w:p w14:paraId="32E46B28" w14:textId="2C536355" w:rsidR="00CA49D2" w:rsidRPr="00CD646D" w:rsidRDefault="00C85ECC" w:rsidP="007F240E">
      <w:pPr>
        <w:rPr>
          <w:i/>
          <w:sz w:val="22"/>
        </w:rPr>
      </w:pPr>
      <w:r>
        <w:rPr>
          <w:i/>
          <w:sz w:val="22"/>
        </w:rPr>
        <w:t>“</w:t>
      </w:r>
      <w:r w:rsidR="00487AA1" w:rsidRPr="00CD646D">
        <w:rPr>
          <w:i/>
          <w:sz w:val="22"/>
        </w:rPr>
        <w:t>We employed a home care nurse and two HCAs to visit our frailty patients. Depending on your list size the workload is substantial</w:t>
      </w:r>
      <w:r>
        <w:rPr>
          <w:i/>
          <w:sz w:val="22"/>
        </w:rPr>
        <w:t>”</w:t>
      </w:r>
      <w:r w:rsidR="00487AA1" w:rsidRPr="00CD646D">
        <w:rPr>
          <w:i/>
          <w:sz w:val="22"/>
        </w:rPr>
        <w:t>. (Practice senior manager</w:t>
      </w:r>
      <w:r w:rsidR="00D02080" w:rsidRPr="00CD646D">
        <w:rPr>
          <w:i/>
          <w:sz w:val="22"/>
        </w:rPr>
        <w:t>, survey</w:t>
      </w:r>
      <w:r w:rsidR="00487AA1" w:rsidRPr="00CD646D">
        <w:rPr>
          <w:i/>
          <w:sz w:val="22"/>
        </w:rPr>
        <w:t>)</w:t>
      </w:r>
    </w:p>
    <w:p w14:paraId="04891B0D" w14:textId="42CCDA97" w:rsidR="00721061" w:rsidRDefault="00721061" w:rsidP="00721061">
      <w:r>
        <w:t xml:space="preserve">Three practices </w:t>
      </w:r>
      <w:r w:rsidR="0043428E">
        <w:t>(3/18</w:t>
      </w:r>
      <w:r w:rsidR="00DD02B3">
        <w:t>, 17%</w:t>
      </w:r>
      <w:r w:rsidR="0043428E">
        <w:t xml:space="preserve">) </w:t>
      </w:r>
      <w:r>
        <w:t xml:space="preserve">raised the issue of </w:t>
      </w:r>
      <w:r w:rsidRPr="00F5583C">
        <w:rPr>
          <w:b/>
        </w:rPr>
        <w:t>patient access to the practice</w:t>
      </w:r>
      <w:r>
        <w:t xml:space="preserve"> regarding a falls review; the first stating that it was easier to bring moderately frail patients into the surgery as their gait was better and they tend not to be wheelchair or bed-bound. The other two practices had concerns about patients who were housebound, in that a review was difficult for practices to do as they needed extra time to visit the patient.</w:t>
      </w:r>
    </w:p>
    <w:p w14:paraId="1ADF708E" w14:textId="0335E218" w:rsidR="00721061" w:rsidRPr="00CD646D" w:rsidRDefault="00721061" w:rsidP="00721061">
      <w:pPr>
        <w:rPr>
          <w:i/>
          <w:sz w:val="22"/>
        </w:rPr>
      </w:pPr>
      <w:r w:rsidRPr="00CD646D">
        <w:rPr>
          <w:i/>
          <w:sz w:val="22"/>
        </w:rPr>
        <w:t>“</w:t>
      </w:r>
      <w:r w:rsidR="00886E02" w:rsidRPr="00CD646D">
        <w:rPr>
          <w:i/>
          <w:sz w:val="22"/>
        </w:rPr>
        <w:t>…</w:t>
      </w:r>
      <w:r w:rsidRPr="00CD646D">
        <w:rPr>
          <w:i/>
          <w:sz w:val="22"/>
        </w:rPr>
        <w:t xml:space="preserve">GPs will probably do some of the </w:t>
      </w:r>
      <w:r w:rsidR="00886E02" w:rsidRPr="00CD646D">
        <w:rPr>
          <w:i/>
          <w:sz w:val="22"/>
        </w:rPr>
        <w:t>(</w:t>
      </w:r>
      <w:r w:rsidRPr="00CD646D">
        <w:rPr>
          <w:i/>
          <w:sz w:val="22"/>
        </w:rPr>
        <w:t>frailty</w:t>
      </w:r>
      <w:r w:rsidR="00886E02" w:rsidRPr="00CD646D">
        <w:rPr>
          <w:i/>
          <w:sz w:val="22"/>
        </w:rPr>
        <w:t>)</w:t>
      </w:r>
      <w:r w:rsidRPr="00CD646D">
        <w:rPr>
          <w:i/>
          <w:sz w:val="22"/>
        </w:rPr>
        <w:t xml:space="preserve"> reviews actually without the patient </w:t>
      </w:r>
      <w:r w:rsidR="00886E02" w:rsidRPr="00CD646D">
        <w:rPr>
          <w:i/>
          <w:sz w:val="22"/>
        </w:rPr>
        <w:t xml:space="preserve">necessarily </w:t>
      </w:r>
      <w:r w:rsidRPr="00CD646D">
        <w:rPr>
          <w:i/>
          <w:sz w:val="22"/>
        </w:rPr>
        <w:t xml:space="preserve">being there, </w:t>
      </w:r>
      <w:r w:rsidR="00886E02" w:rsidRPr="00CD646D">
        <w:rPr>
          <w:i/>
          <w:sz w:val="22"/>
        </w:rPr>
        <w:t xml:space="preserve">because </w:t>
      </w:r>
      <w:r w:rsidRPr="00CD646D">
        <w:rPr>
          <w:i/>
          <w:sz w:val="22"/>
        </w:rPr>
        <w:t>as we said with housebound patients, sometimes it’s easier to just do it without them being there”. (Practice manager, interview)</w:t>
      </w:r>
    </w:p>
    <w:p w14:paraId="460EE5AF" w14:textId="46301A53" w:rsidR="007F240E" w:rsidRPr="00B8476F" w:rsidRDefault="00F0194B" w:rsidP="00F075D3">
      <w:pPr>
        <w:pStyle w:val="Heading3"/>
      </w:pPr>
      <w:r>
        <w:t>Workload, r</w:t>
      </w:r>
      <w:r w:rsidR="007F240E" w:rsidRPr="00F075D3">
        <w:t>esource</w:t>
      </w:r>
      <w:r w:rsidR="007F240E" w:rsidRPr="00B8476F">
        <w:t xml:space="preserve"> utilisation and costs</w:t>
      </w:r>
    </w:p>
    <w:p w14:paraId="513D045C" w14:textId="5068D318" w:rsidR="006639D0" w:rsidRDefault="00D16389" w:rsidP="007F240E">
      <w:r>
        <w:t xml:space="preserve">As described in the </w:t>
      </w:r>
      <w:r w:rsidR="00664341">
        <w:t>‘</w:t>
      </w:r>
      <w:r>
        <w:t>feasibility</w:t>
      </w:r>
      <w:r w:rsidR="00664341">
        <w:t>’</w:t>
      </w:r>
      <w:r>
        <w:t xml:space="preserve"> sections for each of the </w:t>
      </w:r>
      <w:r w:rsidRPr="00634F57">
        <w:t>registers (p12 and 1</w:t>
      </w:r>
      <w:r w:rsidR="00634F57" w:rsidRPr="00634F57">
        <w:t>6</w:t>
      </w:r>
      <w:r w:rsidRPr="00634F57">
        <w:t>), w</w:t>
      </w:r>
      <w:r w:rsidR="00066E2F" w:rsidRPr="00634F57">
        <w:t>orkload</w:t>
      </w:r>
      <w:r w:rsidR="00066E2F" w:rsidRPr="00F5583C">
        <w:t xml:space="preserve"> implications (administrative and clinical)</w:t>
      </w:r>
      <w:r w:rsidR="00066E2F">
        <w:t xml:space="preserve"> were identified due to the high numbers of patients reported on the registers. </w:t>
      </w:r>
      <w:r w:rsidR="006639D0">
        <w:t>An illustrative comment relating to both registers on this point was as follows:</w:t>
      </w:r>
    </w:p>
    <w:p w14:paraId="370C0B72" w14:textId="286C38DF" w:rsidR="006639D0" w:rsidRPr="006639D0" w:rsidRDefault="006639D0" w:rsidP="007F240E">
      <w:pPr>
        <w:rPr>
          <w:i/>
          <w:sz w:val="22"/>
        </w:rPr>
      </w:pPr>
      <w:r>
        <w:rPr>
          <w:i/>
          <w:sz w:val="22"/>
        </w:rPr>
        <w:t>“</w:t>
      </w:r>
      <w:r w:rsidRPr="006639D0">
        <w:rPr>
          <w:i/>
          <w:sz w:val="22"/>
        </w:rPr>
        <w:t xml:space="preserve">We liked the idea behind focusing on patients with severe frailty and multimorbidities but number of patients on the registers were simply 'not workable'. Once amount of patients is lowered to perhaps 1% of practice list size that would allow us to review and stratify those </w:t>
      </w:r>
      <w:r w:rsidRPr="006639D0">
        <w:rPr>
          <w:i/>
          <w:sz w:val="22"/>
        </w:rPr>
        <w:lastRenderedPageBreak/>
        <w:t>patients as well as offer full clinical/medication/multidisciplinary review to those most at risk of being admitted to hospital, etc. Unfortunately it wasn't feasible to work through the lists and all indicator requirements in their curr</w:t>
      </w:r>
      <w:r>
        <w:rPr>
          <w:i/>
          <w:sz w:val="22"/>
        </w:rPr>
        <w:t>ent form”. (Practice senior manager, survey)</w:t>
      </w:r>
    </w:p>
    <w:p w14:paraId="756C28FC" w14:textId="536CFC82" w:rsidR="00066E2F" w:rsidRDefault="00C841C1" w:rsidP="007F240E">
      <w:r>
        <w:t>However, i</w:t>
      </w:r>
      <w:r w:rsidR="00066E2F">
        <w:t xml:space="preserve">t is estimated </w:t>
      </w:r>
      <w:r>
        <w:t xml:space="preserve">from the data extractions </w:t>
      </w:r>
      <w:r w:rsidR="00066E2F">
        <w:t xml:space="preserve">that the multimorbidity and frailty population constitutes </w:t>
      </w:r>
      <w:r w:rsidR="00066E2F" w:rsidRPr="00634F57">
        <w:t xml:space="preserve">approximately </w:t>
      </w:r>
      <w:r w:rsidR="00634F57" w:rsidRPr="00634F57">
        <w:rPr>
          <w:color w:val="000000" w:themeColor="text1"/>
        </w:rPr>
        <w:t>6.5</w:t>
      </w:r>
      <w:r w:rsidR="00066E2F" w:rsidRPr="00634F57">
        <w:rPr>
          <w:color w:val="000000" w:themeColor="text1"/>
        </w:rPr>
        <w:t>%</w:t>
      </w:r>
      <w:r w:rsidR="00066E2F" w:rsidRPr="00634F57">
        <w:t xml:space="preserve"> of the</w:t>
      </w:r>
      <w:r w:rsidR="00066E2F">
        <w:t xml:space="preserve"> practice register. </w:t>
      </w:r>
    </w:p>
    <w:p w14:paraId="1E522221" w14:textId="145B798F" w:rsidR="00AB099C" w:rsidRDefault="00AB099C" w:rsidP="00AB099C">
      <w:r>
        <w:t xml:space="preserve">With regard to additional </w:t>
      </w:r>
      <w:r w:rsidRPr="00F5583C">
        <w:rPr>
          <w:b/>
        </w:rPr>
        <w:t>clinical workload</w:t>
      </w:r>
      <w:r>
        <w:t xml:space="preserve"> during the pilot, almost 44% (14/32) survey respondents considered there to be no extra or acceptable extra </w:t>
      </w:r>
      <w:r w:rsidR="00F31953">
        <w:t xml:space="preserve">clinical </w:t>
      </w:r>
      <w:r>
        <w:t xml:space="preserve">workload during the pilot. Nine respondents were unsure and the remaining 9 stated that the clinical workload was heavy (16%, 5/32) or prohibitive (13%, 4/32). For this latter group of 9 it was reported that both GP (9/9) and non-GP (2/9) clinical roles were affected. </w:t>
      </w:r>
    </w:p>
    <w:p w14:paraId="4FF4036F" w14:textId="77777777" w:rsidR="00AB099C" w:rsidRDefault="00AB099C" w:rsidP="00AB099C">
      <w:r>
        <w:t xml:space="preserve">Almost 69% (22/32 survey respondents) considered there to be no extra or acceptable extra </w:t>
      </w:r>
      <w:r w:rsidRPr="00F5583C">
        <w:rPr>
          <w:b/>
        </w:rPr>
        <w:t>administrative workload</w:t>
      </w:r>
      <w:r>
        <w:t xml:space="preserve"> during the pilot. Four respondents were unsure and the remaining six stated that the administrative workload was heavy (16%, 5/32) or prohibitive (3%, 1/32). </w:t>
      </w:r>
    </w:p>
    <w:p w14:paraId="391CBB81" w14:textId="26A61262" w:rsidR="00AB099C" w:rsidRDefault="00AB099C" w:rsidP="00AB099C">
      <w:r>
        <w:t>Within the interviews, a number of practices raised concerns about practice workload in relation to set up and preparation, if these indicators were introduced into primary care contracts. The main concerns related to identifying patients or refining patient lists for registers</w:t>
      </w:r>
      <w:r w:rsidR="00F31953">
        <w:t xml:space="preserve"> (as above)</w:t>
      </w:r>
      <w:r>
        <w:t>, register sizes, creation of individual care plans and the follow up work.</w:t>
      </w:r>
    </w:p>
    <w:p w14:paraId="75721AF9" w14:textId="77777777" w:rsidR="00664341" w:rsidRPr="00CD646D" w:rsidRDefault="00664341" w:rsidP="00664341">
      <w:pPr>
        <w:rPr>
          <w:i/>
          <w:sz w:val="22"/>
          <w:lang w:eastAsia="en-GB"/>
        </w:rPr>
      </w:pPr>
      <w:r w:rsidRPr="00CD646D">
        <w:rPr>
          <w:i/>
          <w:sz w:val="22"/>
          <w:lang w:eastAsia="en-GB"/>
        </w:rPr>
        <w:t>“There’s a certain amount of complexity in maintaining these registers and putting them together and it's having an administrative load that can manage that because I don’t think we have permission to take time to do that. I think that side hasn’t quite been thought through perhaps on some of these initiatives”. (Practice manager, interview)</w:t>
      </w:r>
    </w:p>
    <w:p w14:paraId="71A56AD9" w14:textId="3581CB47" w:rsidR="00664341" w:rsidRDefault="00664341" w:rsidP="00664341">
      <w:r w:rsidRPr="00CD646D">
        <w:rPr>
          <w:i/>
          <w:sz w:val="22"/>
          <w:lang w:eastAsia="en-GB"/>
        </w:rPr>
        <w:t>“…</w:t>
      </w:r>
      <w:r w:rsidRPr="00CD646D">
        <w:rPr>
          <w:i/>
          <w:sz w:val="22"/>
        </w:rPr>
        <w:t>one of the difficulties here, whereas a lot of the things we're talking about are admirable and aspirational, I'm just not sure we've got the time”. (GP, interview)</w:t>
      </w:r>
    </w:p>
    <w:p w14:paraId="1F636EA2" w14:textId="2FAC99F3" w:rsidR="00CA49D2" w:rsidRDefault="00CA49D2" w:rsidP="00CA49D2">
      <w:r>
        <w:t xml:space="preserve">There appeared to be a general view that the </w:t>
      </w:r>
      <w:r w:rsidRPr="00F5583C">
        <w:rPr>
          <w:b/>
        </w:rPr>
        <w:t>appointment length</w:t>
      </w:r>
      <w:r>
        <w:t xml:space="preserve"> for patients with multimorbidity and frailty needed to be longer than a standard 10 minute appointment, with a number of practices suggesting that 30 to 40 minutes was required</w:t>
      </w:r>
      <w:r w:rsidR="000E4A88">
        <w:t>;</w:t>
      </w:r>
      <w:r>
        <w:t xml:space="preserve"> however</w:t>
      </w:r>
      <w:r w:rsidR="000E4A88">
        <w:t>,</w:t>
      </w:r>
      <w:r>
        <w:t xml:space="preserve"> this depended on the healthcare staff type. Two practices </w:t>
      </w:r>
      <w:r w:rsidR="000E4A88">
        <w:t xml:space="preserve">(2/18) </w:t>
      </w:r>
      <w:r>
        <w:t>said that they could extend the appointment to suit the patient, such as booking double appointments with a GP. One practice suggested that these appointments could take up to one hour.</w:t>
      </w:r>
    </w:p>
    <w:p w14:paraId="21220556" w14:textId="77777777" w:rsidR="009A5B6C" w:rsidRDefault="009A5B6C" w:rsidP="009A5B6C">
      <w:r>
        <w:lastRenderedPageBreak/>
        <w:t xml:space="preserve">Concerns were raised about the impact of including both moderate and severely frail patients on the frailty register, in terms of </w:t>
      </w:r>
      <w:r w:rsidRPr="00F5583C">
        <w:rPr>
          <w:b/>
        </w:rPr>
        <w:t>onward referral to falls clinics</w:t>
      </w:r>
      <w:r>
        <w:t xml:space="preserve"> or secondary care geriatricians. C</w:t>
      </w:r>
      <w:r w:rsidRPr="0051366B">
        <w:t>omments included the use of local support groups for severely frail patient groups.</w:t>
      </w:r>
    </w:p>
    <w:p w14:paraId="31336F23" w14:textId="77777777" w:rsidR="009A5B6C" w:rsidRPr="00CD646D" w:rsidRDefault="009A5B6C" w:rsidP="009A5B6C">
      <w:pPr>
        <w:rPr>
          <w:i/>
          <w:sz w:val="22"/>
        </w:rPr>
      </w:pPr>
      <w:r w:rsidRPr="00CD646D">
        <w:rPr>
          <w:i/>
          <w:sz w:val="22"/>
        </w:rPr>
        <w:t>“…Our frailty clinic provided by our CCG is in the region of about an hour’s travel away. And we’re fairly rural so the roads aren’t good, and of course, our frail people can’t travel. And so the next stage on is always the lacking stage where we just don’t get the services provided for them in the location where they’re needed. So we were using our social prescriber, who was putting them in touch with local support groups and things” (GP, interview)</w:t>
      </w:r>
    </w:p>
    <w:p w14:paraId="3EA027C2" w14:textId="77777777" w:rsidR="009A5B6C" w:rsidRDefault="009A5B6C" w:rsidP="00CA49D2"/>
    <w:p w14:paraId="21D023E1" w14:textId="5675B1C4" w:rsidR="00CA49D2" w:rsidRDefault="00CA49D2" w:rsidP="00CA49D2">
      <w:r>
        <w:t>Ten of the practices interviewed (</w:t>
      </w:r>
      <w:r w:rsidR="000E4A88">
        <w:t xml:space="preserve">10/18, </w:t>
      </w:r>
      <w:r>
        <w:t xml:space="preserve">56%) expressed concerns about the </w:t>
      </w:r>
      <w:r w:rsidRPr="00F5583C">
        <w:rPr>
          <w:b/>
        </w:rPr>
        <w:t xml:space="preserve">impact on the wider healthcare system </w:t>
      </w:r>
      <w:r>
        <w:t>and services in terms of capacity and the ability to cope if there was an increase in patient referrals for further care, in particular relating to falls. Two practices mentioned that local community services had developed over time to try to support the existing workload, but that increasing demand further would certainly have a negative impact. One practice questioned whether a different approach was available regarding scoring those who may be more likely to benefit from the formal falls review to try and reduce patient referrals.</w:t>
      </w:r>
    </w:p>
    <w:p w14:paraId="48FD346C" w14:textId="0B9ADE71" w:rsidR="00CA49D2" w:rsidRPr="00CD646D" w:rsidRDefault="00CA49D2" w:rsidP="00CA49D2">
      <w:pPr>
        <w:rPr>
          <w:i/>
          <w:color w:val="000000" w:themeColor="text1"/>
          <w:sz w:val="22"/>
        </w:rPr>
      </w:pPr>
      <w:r w:rsidRPr="00CD646D">
        <w:rPr>
          <w:i/>
          <w:color w:val="000000" w:themeColor="text1"/>
          <w:sz w:val="22"/>
        </w:rPr>
        <w:t xml:space="preserve">“As discussed in the telephone </w:t>
      </w:r>
      <w:r w:rsidR="000E4A88" w:rsidRPr="00CD646D">
        <w:rPr>
          <w:i/>
          <w:color w:val="000000" w:themeColor="text1"/>
          <w:sz w:val="22"/>
        </w:rPr>
        <w:t>inter</w:t>
      </w:r>
      <w:r w:rsidRPr="00CD646D">
        <w:rPr>
          <w:i/>
          <w:color w:val="000000" w:themeColor="text1"/>
          <w:sz w:val="22"/>
        </w:rPr>
        <w:t>view, there is general concern about falls prevention referrals and how the clinics would manage this influx”. (GP, survey).</w:t>
      </w:r>
    </w:p>
    <w:p w14:paraId="34D0EA3A" w14:textId="77777777" w:rsidR="00CA49D2" w:rsidRPr="00CD646D" w:rsidRDefault="00CA49D2" w:rsidP="00CA49D2">
      <w:pPr>
        <w:rPr>
          <w:i/>
          <w:sz w:val="22"/>
        </w:rPr>
      </w:pPr>
      <w:r w:rsidRPr="00CD646D">
        <w:rPr>
          <w:i/>
          <w:sz w:val="22"/>
        </w:rPr>
        <w:t>“I'm just worried how overwhelmed the system is going to be as a result, how much time that's going to take, the funding to be able to do it”. (GP, interview)</w:t>
      </w:r>
    </w:p>
    <w:p w14:paraId="4DB6887D" w14:textId="7EF90FEC" w:rsidR="00CA49D2" w:rsidRPr="00CD646D" w:rsidRDefault="00CA49D2" w:rsidP="00CA49D2">
      <w:pPr>
        <w:rPr>
          <w:i/>
          <w:sz w:val="22"/>
        </w:rPr>
      </w:pPr>
      <w:r w:rsidRPr="00CD646D">
        <w:rPr>
          <w:i/>
          <w:sz w:val="22"/>
        </w:rPr>
        <w:t>“</w:t>
      </w:r>
      <w:r w:rsidR="00886E02" w:rsidRPr="00CD646D">
        <w:rPr>
          <w:i/>
          <w:sz w:val="22"/>
        </w:rPr>
        <w:t>..</w:t>
      </w:r>
      <w:r w:rsidRPr="00CD646D">
        <w:rPr>
          <w:i/>
          <w:sz w:val="22"/>
        </w:rPr>
        <w:t>Unfortunately, our falls service actually collapsed when we started referring all our falls patients that we felt would benefit. It's only now, several months later, we're just able to start seeing patients again. So that was a problem we had”. (Practice manager, interview)</w:t>
      </w:r>
    </w:p>
    <w:p w14:paraId="2036EFF1" w14:textId="3874D2C1" w:rsidR="007F240E" w:rsidRPr="00B8476F" w:rsidRDefault="007F240E" w:rsidP="007F240E"/>
    <w:p w14:paraId="0CC75A15" w14:textId="24D849CE" w:rsidR="007F240E" w:rsidRPr="00B8476F" w:rsidRDefault="007F240E" w:rsidP="00F075D3">
      <w:pPr>
        <w:pStyle w:val="Heading3"/>
      </w:pPr>
      <w:r w:rsidRPr="00F075D3">
        <w:t>Barriers</w:t>
      </w:r>
      <w:r w:rsidRPr="00B8476F">
        <w:t xml:space="preserve"> to implementation</w:t>
      </w:r>
    </w:p>
    <w:p w14:paraId="7EBB68CB" w14:textId="589C295F" w:rsidR="00A643E4" w:rsidRDefault="00A643E4" w:rsidP="00A643E4">
      <w:r>
        <w:t>Due to the</w:t>
      </w:r>
      <w:r w:rsidRPr="00B8476F">
        <w:t xml:space="preserve"> relative complexity of the </w:t>
      </w:r>
      <w:r w:rsidRPr="0011648F">
        <w:rPr>
          <w:b/>
        </w:rPr>
        <w:t>multimorbidity register definition</w:t>
      </w:r>
      <w:r w:rsidR="00AC0F12">
        <w:t>,</w:t>
      </w:r>
      <w:r>
        <w:t xml:space="preserve"> it is likely that there would be a substantial impact in terms of time for practices to set up searches to identify these patients, and a high risk that there would be variation in the interpretation of the guidance. Practices could be supported by the clinical system suppliers creating the searches automatically to provide a list of ‘at risk’ patients for practices to validate. </w:t>
      </w:r>
    </w:p>
    <w:p w14:paraId="2C8F5B47" w14:textId="7D757EBE" w:rsidR="00066E2F" w:rsidRDefault="00A643E4" w:rsidP="007F240E">
      <w:r>
        <w:lastRenderedPageBreak/>
        <w:t xml:space="preserve">Linked to the above, it is also </w:t>
      </w:r>
      <w:r w:rsidR="00066E2F">
        <w:t xml:space="preserve">possible that there is substantial </w:t>
      </w:r>
      <w:r w:rsidR="00066E2F" w:rsidRPr="0011648F">
        <w:rPr>
          <w:b/>
        </w:rPr>
        <w:t>clinical coding variation</w:t>
      </w:r>
      <w:r w:rsidR="00066E2F">
        <w:t xml:space="preserve"> between practices, particularly with regard to diseases or conditions which are currently not part of a national incentive scheme or contract, and therefore where no standard technical guidance document </w:t>
      </w:r>
      <w:r>
        <w:t xml:space="preserve">for reference </w:t>
      </w:r>
      <w:r w:rsidR="00066E2F">
        <w:t xml:space="preserve">exists. As a consequence </w:t>
      </w:r>
      <w:r>
        <w:t>a data validation exercise to improve coding accuracy and reduce data quality issues may be required in conjunction with the above.</w:t>
      </w:r>
    </w:p>
    <w:p w14:paraId="65DEFC24" w14:textId="77777777" w:rsidR="00753866" w:rsidRDefault="00753866" w:rsidP="00753866">
      <w:r w:rsidRPr="004758A7">
        <w:t xml:space="preserve">There was a general view from practices that the </w:t>
      </w:r>
      <w:r w:rsidRPr="0011648F">
        <w:rPr>
          <w:b/>
        </w:rPr>
        <w:t>lack of time</w:t>
      </w:r>
      <w:r w:rsidRPr="004758A7">
        <w:t xml:space="preserve"> in general practice could be a barrier to implementing these indicators.</w:t>
      </w:r>
    </w:p>
    <w:p w14:paraId="265A3500" w14:textId="2619E59A" w:rsidR="005C7FFA" w:rsidRDefault="005C7FFA" w:rsidP="00753866">
      <w:r>
        <w:t xml:space="preserve">A specific barrier was identified in the pilot in relation to </w:t>
      </w:r>
      <w:r w:rsidRPr="0011648F">
        <w:rPr>
          <w:b/>
        </w:rPr>
        <w:t>coding of medication reviews</w:t>
      </w:r>
      <w:r>
        <w:t xml:space="preserve">, with </w:t>
      </w:r>
      <w:r w:rsidRPr="005C7FFA">
        <w:t>some practices report</w:t>
      </w:r>
      <w:r>
        <w:t>ing</w:t>
      </w:r>
      <w:r w:rsidRPr="005C7FFA">
        <w:t xml:space="preserve"> that they had reverted to their usual codes for medication reviews</w:t>
      </w:r>
      <w:r>
        <w:t xml:space="preserve">, rather than using </w:t>
      </w:r>
      <w:r w:rsidRPr="005C7FFA">
        <w:t xml:space="preserve">the codes provided in the </w:t>
      </w:r>
      <w:r w:rsidR="002C15E1">
        <w:t>B</w:t>
      </w:r>
      <w:r w:rsidRPr="005C7FFA">
        <w:t xml:space="preserve">usiness </w:t>
      </w:r>
      <w:r w:rsidR="002C15E1">
        <w:t>R</w:t>
      </w:r>
      <w:r w:rsidRPr="005C7FFA">
        <w:t xml:space="preserve">ules to </w:t>
      </w:r>
      <w:r>
        <w:t xml:space="preserve">code </w:t>
      </w:r>
      <w:r w:rsidRPr="005C7FFA">
        <w:t>medication reviews that have taken place ‘with the patient’ (</w:t>
      </w:r>
      <w:r>
        <w:t>intended</w:t>
      </w:r>
      <w:r w:rsidRPr="005C7FFA">
        <w:t xml:space="preserve"> to reflect the greater likelihood of a shared discussion</w:t>
      </w:r>
      <w:r>
        <w:t xml:space="preserve"> as defined within the indicator).</w:t>
      </w:r>
    </w:p>
    <w:p w14:paraId="79B28C15" w14:textId="77777777" w:rsidR="00FC68E7" w:rsidRDefault="00FC68E7" w:rsidP="00FC68E7">
      <w:r>
        <w:t>One practice suggested that the topic wasn’t introduced nationally at the same time as SNOMED, and requested instead that this was ‘sensibly timetabled’.</w:t>
      </w:r>
    </w:p>
    <w:p w14:paraId="0CC32E6C" w14:textId="2CB77D2F" w:rsidR="00276208" w:rsidRDefault="00276208" w:rsidP="00276208">
      <w:r>
        <w:t xml:space="preserve">Following comments from participants that the registers would be </w:t>
      </w:r>
      <w:r w:rsidR="002C15E1">
        <w:t>‘</w:t>
      </w:r>
      <w:r>
        <w:t>too difficult to implement for the first year</w:t>
      </w:r>
      <w:r w:rsidR="002C15E1">
        <w:t>’</w:t>
      </w:r>
      <w:r>
        <w:t xml:space="preserve">, they suggested that the topic of multimorbidity and frailty could be identified as an </w:t>
      </w:r>
      <w:r w:rsidRPr="0011648F">
        <w:rPr>
          <w:b/>
        </w:rPr>
        <w:t>area of care requiring improvement</w:t>
      </w:r>
      <w:r>
        <w:t xml:space="preserve"> and incorporated into the QOF Quality Improvement domain, as part of QOF and introduced in the five-year framework for GP practices from 2019/20</w:t>
      </w:r>
      <w:r>
        <w:rPr>
          <w:rStyle w:val="FootnoteReference"/>
        </w:rPr>
        <w:footnoteReference w:id="3"/>
      </w:r>
      <w:r>
        <w:t>. There were also suggestions from practices of a staged approach to introducing the topic into contracts, with a validation phase in year one.</w:t>
      </w:r>
    </w:p>
    <w:p w14:paraId="36D8A214" w14:textId="76A1B50B" w:rsidR="00276208" w:rsidRPr="00CD646D" w:rsidRDefault="00276208" w:rsidP="00276208">
      <w:pPr>
        <w:rPr>
          <w:i/>
          <w:sz w:val="22"/>
        </w:rPr>
      </w:pPr>
      <w:r w:rsidRPr="00CD646D">
        <w:rPr>
          <w:i/>
          <w:sz w:val="22"/>
        </w:rPr>
        <w:t>“I think you could run it in but it would be one of those codes where everyone does it, they’ll bodge it for the entire year. And it would be a very difficult thing to get people to do properly without prepping, without almost education going in first and foremost, of trying to encourage people to do it….. But then, to sit there and say, “Right, we’re going to mark you on whether you're doing all of this for frailty,” I think people will just cheat, to be quite honest. The speed that things need to go in, anyway</w:t>
      </w:r>
      <w:r w:rsidR="00886E02" w:rsidRPr="00CD646D">
        <w:rPr>
          <w:i/>
          <w:sz w:val="22"/>
        </w:rPr>
        <w:t>…..</w:t>
      </w:r>
      <w:r w:rsidRPr="00CD646D">
        <w:rPr>
          <w:i/>
          <w:sz w:val="22"/>
        </w:rPr>
        <w:t xml:space="preserve"> You can start by bringing it in and then almost know that the codes are coming, this is coming next year. So you start your register, you create points for getting a register. And then it means that you're actually at the next stage, where you have </w:t>
      </w:r>
      <w:r w:rsidRPr="00CD646D">
        <w:rPr>
          <w:i/>
          <w:sz w:val="22"/>
        </w:rPr>
        <w:lastRenderedPageBreak/>
        <w:t>action based on that register. I mean, you can do that as it bleeds in, because people then start to look at it and start to, like you say, get the codes ready”. (GP, interview)</w:t>
      </w:r>
    </w:p>
    <w:p w14:paraId="5D5F817F" w14:textId="77777777" w:rsidR="00D05293" w:rsidRPr="00B8476F" w:rsidRDefault="00D05293" w:rsidP="007F240E">
      <w:pPr>
        <w:rPr>
          <w:color w:val="7030A0"/>
        </w:rPr>
      </w:pPr>
    </w:p>
    <w:p w14:paraId="0D6E15BD" w14:textId="09D4A459" w:rsidR="007F240E" w:rsidRPr="00B8476F" w:rsidRDefault="007F240E" w:rsidP="007F240E">
      <w:pPr>
        <w:pStyle w:val="Heading3"/>
      </w:pPr>
      <w:r w:rsidRPr="00B8476F">
        <w:t>Assessment of exception reporting</w:t>
      </w:r>
      <w:r w:rsidR="00074219">
        <w:t xml:space="preserve"> (or future Personalised Care Adjustment)</w:t>
      </w:r>
    </w:p>
    <w:p w14:paraId="68A3AFD0" w14:textId="77777777" w:rsidR="00074219" w:rsidRDefault="00074219" w:rsidP="007F240E">
      <w:r>
        <w:t xml:space="preserve">Given the short time period available for the pilot, we are unable to comment upon likely levels of exception reporting. </w:t>
      </w:r>
    </w:p>
    <w:p w14:paraId="1F8C4466" w14:textId="0F2616B3" w:rsidR="00A643E4" w:rsidRDefault="00074219" w:rsidP="007F240E">
      <w:r>
        <w:t>The committee may wish to consider the comment in the section above on ‘changes in practice organisation’, where some practices had concerns about patients who were housebound, raising a query about whether an indicator requiring face to face reviews could lead to exception reporting for this group.</w:t>
      </w:r>
    </w:p>
    <w:p w14:paraId="2C9EB2E2" w14:textId="77777777" w:rsidR="00074219" w:rsidRPr="00F67664" w:rsidRDefault="00074219" w:rsidP="007F240E">
      <w:pPr>
        <w:rPr>
          <w:color w:val="7030A0"/>
        </w:rPr>
      </w:pPr>
    </w:p>
    <w:p w14:paraId="23200544" w14:textId="77777777" w:rsidR="00C841C1" w:rsidRDefault="007F240E" w:rsidP="007F240E">
      <w:pPr>
        <w:pStyle w:val="Heading3"/>
      </w:pPr>
      <w:r w:rsidRPr="00B8476F">
        <w:t>Assessment of potential unintended consequences</w:t>
      </w:r>
    </w:p>
    <w:p w14:paraId="4F29CB77" w14:textId="16168255" w:rsidR="00E55B88" w:rsidRDefault="00E55B88" w:rsidP="00E55B88">
      <w:r>
        <w:t>Seven of the survey respondents (</w:t>
      </w:r>
      <w:r w:rsidR="002C15E1">
        <w:t xml:space="preserve">7/32, </w:t>
      </w:r>
      <w:r>
        <w:t>22%) stated that there were negative things that they didn’t expect to experience, with six providing further detail.</w:t>
      </w:r>
      <w:r w:rsidRPr="00E55B88">
        <w:t xml:space="preserve"> </w:t>
      </w:r>
      <w:r>
        <w:t>H</w:t>
      </w:r>
      <w:r w:rsidRPr="00E55B88">
        <w:t>owever, most of the specific issues identified relate to ones already discuss</w:t>
      </w:r>
      <w:r w:rsidR="00F12D10">
        <w:t>ed</w:t>
      </w:r>
      <w:r w:rsidRPr="00E55B88">
        <w:t>, particularly workload</w:t>
      </w:r>
      <w:r w:rsidR="00F12D10">
        <w:t xml:space="preserve">. One </w:t>
      </w:r>
      <w:r w:rsidR="00F73906">
        <w:t xml:space="preserve">unanticipated issue was the potential impact </w:t>
      </w:r>
      <w:r w:rsidR="002C15E1">
        <w:t xml:space="preserve">of long consultations </w:t>
      </w:r>
      <w:r w:rsidR="00F73906">
        <w:t>on patients</w:t>
      </w:r>
      <w:r w:rsidR="002C15E1">
        <w:t>.</w:t>
      </w:r>
      <w:r>
        <w:t xml:space="preserve"> </w:t>
      </w:r>
    </w:p>
    <w:p w14:paraId="7A506663" w14:textId="77777777" w:rsidR="00753866" w:rsidRPr="00CD646D" w:rsidRDefault="00753866" w:rsidP="00753866">
      <w:pPr>
        <w:rPr>
          <w:i/>
          <w:sz w:val="22"/>
        </w:rPr>
      </w:pPr>
      <w:r w:rsidRPr="00CD646D">
        <w:rPr>
          <w:i/>
          <w:sz w:val="22"/>
        </w:rPr>
        <w:t>“Patients being able to hold and understand information given to them during long consultations”. (Practice manager, survey)</w:t>
      </w:r>
    </w:p>
    <w:p w14:paraId="3945B0DA" w14:textId="0BA8D8C2" w:rsidR="007F240E" w:rsidRDefault="00080692" w:rsidP="00A1775E">
      <w:pPr>
        <w:pStyle w:val="Heading3"/>
      </w:pPr>
      <w:r>
        <w:t>Assessment of overlap with and/or impact on existing QOF indicators</w:t>
      </w:r>
    </w:p>
    <w:p w14:paraId="103ACF66" w14:textId="77777777" w:rsidR="00080692" w:rsidRDefault="00080692" w:rsidP="00080692">
      <w:r>
        <w:t>At least 50% of the conditions and diseases contained within the multimorbidity definition are already included in QOF. There is potential overlap with points awarded to practices for undertaking reviews for patients in individual disease areas.</w:t>
      </w:r>
      <w:r w:rsidRPr="00B8476F">
        <w:t xml:space="preserve"> </w:t>
      </w:r>
    </w:p>
    <w:p w14:paraId="064D2AC0" w14:textId="77777777" w:rsidR="00F73906" w:rsidRDefault="00F73906" w:rsidP="00080692"/>
    <w:p w14:paraId="19576064" w14:textId="3829540E" w:rsidR="007F240E" w:rsidRPr="00B8476F" w:rsidRDefault="007F240E" w:rsidP="007F240E">
      <w:pPr>
        <w:pStyle w:val="Heading3"/>
      </w:pPr>
      <w:r w:rsidRPr="00B8476F">
        <w:t>Suggested amendments to indicator wording</w:t>
      </w:r>
      <w:r w:rsidR="002C15E1">
        <w:t xml:space="preserve"> (summary)</w:t>
      </w:r>
    </w:p>
    <w:p w14:paraId="3AB53F5B" w14:textId="580E448B" w:rsidR="00650275" w:rsidRPr="00B8476F" w:rsidRDefault="00F67664" w:rsidP="00650275">
      <w:r>
        <w:t xml:space="preserve">No amendment to indicator wording is suggested at this time. </w:t>
      </w:r>
    </w:p>
    <w:p w14:paraId="564C5542" w14:textId="77777777" w:rsidR="00650275" w:rsidRPr="00B8476F" w:rsidRDefault="00650275" w:rsidP="00650275"/>
    <w:p w14:paraId="5537049B" w14:textId="77777777" w:rsidR="00987149" w:rsidRPr="00B8476F" w:rsidRDefault="00987149">
      <w:pPr>
        <w:spacing w:after="160" w:line="259" w:lineRule="auto"/>
        <w:jc w:val="left"/>
      </w:pPr>
      <w:r w:rsidRPr="00B8476F">
        <w:br w:type="page"/>
      </w:r>
    </w:p>
    <w:p w14:paraId="496F9E97" w14:textId="32F76C2C" w:rsidR="00650275" w:rsidRPr="00B8476F" w:rsidRDefault="00213BE2" w:rsidP="00987149">
      <w:pPr>
        <w:pStyle w:val="Heading1"/>
      </w:pPr>
      <w:r w:rsidRPr="00B8476F">
        <w:lastRenderedPageBreak/>
        <w:t>Appendix A:</w:t>
      </w:r>
      <w:r w:rsidR="00650275" w:rsidRPr="00B8476F">
        <w:t xml:space="preserve"> Practice recruitment</w:t>
      </w:r>
      <w:r w:rsidR="00C405B7" w:rsidRPr="00B8476F">
        <w:t xml:space="preserve"> </w:t>
      </w:r>
    </w:p>
    <w:p w14:paraId="2BA02D3D" w14:textId="77777777" w:rsidR="00293ACE" w:rsidRDefault="00293ACE" w:rsidP="00293ACE">
      <w:r>
        <w:t>A sample of 30 GP practices from across England was recruited by the NCCID to participate in the indicator pilot for 2018/19.</w:t>
      </w:r>
      <w:r w:rsidRPr="001A2F6D">
        <w:t xml:space="preserve"> </w:t>
      </w:r>
      <w:r>
        <w:t>Practices were to be representative of England in terms of the range of practice list sizes</w:t>
      </w:r>
      <w:bookmarkStart w:id="0" w:name="_Ref7507268"/>
      <w:r>
        <w:rPr>
          <w:rStyle w:val="FootnoteReference"/>
        </w:rPr>
        <w:footnoteReference w:id="4"/>
      </w:r>
      <w:bookmarkEnd w:id="0"/>
      <w:r>
        <w:t xml:space="preserve"> and level of deprivation</w:t>
      </w:r>
      <w:bookmarkStart w:id="1" w:name="_Ref7507261"/>
      <w:r>
        <w:rPr>
          <w:rStyle w:val="FootnoteReference"/>
        </w:rPr>
        <w:footnoteReference w:id="5"/>
      </w:r>
      <w:bookmarkEnd w:id="1"/>
      <w:r>
        <w:t>. An additional aim was that there was practice coverage with regard to three of the four principal clinical system suppliers.</w:t>
      </w:r>
    </w:p>
    <w:p w14:paraId="3AF4532E" w14:textId="77777777" w:rsidR="00293ACE" w:rsidRPr="00B8476F" w:rsidRDefault="00293ACE" w:rsidP="00293ACE">
      <w:r w:rsidRPr="00B8476F">
        <w:t xml:space="preserve">There were </w:t>
      </w:r>
      <w:r>
        <w:t>4</w:t>
      </w:r>
      <w:r w:rsidRPr="00B8476F">
        <w:t xml:space="preserve"> </w:t>
      </w:r>
      <w:r>
        <w:t xml:space="preserve">of the 30 </w:t>
      </w:r>
      <w:r w:rsidRPr="00B8476F">
        <w:t xml:space="preserve">practices who subsequently withdrew from the pilot, one just prior to the commencement of the pilot, two practices mid-pilot and one close to the end. One of the remaining practices underwent a merger just prior to the start of the pilot which resulted in a change in the stratum for this practice due to the practice population more than doubling in size. </w:t>
      </w:r>
    </w:p>
    <w:p w14:paraId="4A27D344" w14:textId="77777777" w:rsidR="00293ACE" w:rsidRDefault="00293ACE" w:rsidP="00293ACE">
      <w:r w:rsidRPr="00B8476F">
        <w:t xml:space="preserve">Final practice numbers in each stratum </w:t>
      </w:r>
      <w:r>
        <w:t xml:space="preserve">of practice list size and level of deprivation </w:t>
      </w:r>
      <w:r w:rsidRPr="00B8476F">
        <w:t>participating in the pilot are shown in the table below. When compared to the distribution of practices initially planned to target</w:t>
      </w:r>
      <w:r>
        <w:t xml:space="preserve"> (in order to be fully representative of practices in England on these dimensions)</w:t>
      </w:r>
      <w:r w:rsidRPr="00B8476F">
        <w:t>, there is over-recruitment in one stratum (large list size, least deprived) and under (no) recruitment in one stratum (small list size, least deprived)</w:t>
      </w:r>
      <w:r>
        <w:t>;</w:t>
      </w:r>
      <w:r w:rsidRPr="00B8476F">
        <w:t xml:space="preserve"> however</w:t>
      </w:r>
      <w:r>
        <w:t>,</w:t>
      </w:r>
      <w:r w:rsidRPr="00B8476F">
        <w:t xml:space="preserve"> in this case</w:t>
      </w:r>
      <w:r>
        <w:t>,</w:t>
      </w:r>
      <w:r w:rsidRPr="00B8476F">
        <w:t xml:space="preserve"> there is a practice categorised with medium list size and low deprivation where the list size (5,518 registered patients) is close to the lower end of the range.</w:t>
      </w:r>
    </w:p>
    <w:p w14:paraId="74E0C372" w14:textId="77777777" w:rsidR="00293ACE" w:rsidRPr="00B8476F" w:rsidRDefault="00293ACE" w:rsidP="00293ACE">
      <w:r>
        <w:t>Broadly speaking, based on this and other background data available to characterise the pilot practices, they appear to be fairly representative of GP practices in England.</w:t>
      </w:r>
    </w:p>
    <w:p w14:paraId="6DB6F442" w14:textId="77777777" w:rsidR="00293ACE" w:rsidRPr="00B8476F" w:rsidRDefault="00293ACE" w:rsidP="00293ACE">
      <w:pPr>
        <w:pStyle w:val="Heading4"/>
      </w:pPr>
      <w:r>
        <w:t xml:space="preserve">Table: </w:t>
      </w:r>
      <w:r w:rsidRPr="00B8476F">
        <w:t xml:space="preserve">Participating </w:t>
      </w:r>
      <w:r>
        <w:t>pilot practice numbers by stratum</w:t>
      </w:r>
    </w:p>
    <w:tbl>
      <w:tblPr>
        <w:tblStyle w:val="TableGrid"/>
        <w:tblW w:w="0" w:type="auto"/>
        <w:tblLook w:val="04A0" w:firstRow="1" w:lastRow="0" w:firstColumn="1" w:lastColumn="0" w:noHBand="0" w:noVBand="1"/>
      </w:tblPr>
      <w:tblGrid>
        <w:gridCol w:w="1503"/>
        <w:gridCol w:w="1502"/>
        <w:gridCol w:w="1502"/>
        <w:gridCol w:w="1503"/>
        <w:gridCol w:w="1503"/>
      </w:tblGrid>
      <w:tr w:rsidR="002C310B" w:rsidRPr="00B8476F" w14:paraId="32522DB5" w14:textId="77777777" w:rsidTr="002C310B">
        <w:tc>
          <w:tcPr>
            <w:tcW w:w="1503" w:type="dxa"/>
            <w:tcBorders>
              <w:bottom w:val="single" w:sz="4" w:space="0" w:color="FFFFFF" w:themeColor="background1"/>
            </w:tcBorders>
          </w:tcPr>
          <w:p w14:paraId="17180BB9" w14:textId="5C39E311" w:rsidR="002C310B" w:rsidRPr="00B8476F" w:rsidRDefault="002C310B" w:rsidP="002C310B">
            <w:pPr>
              <w:spacing w:before="40" w:after="40" w:line="240" w:lineRule="auto"/>
              <w:rPr>
                <w:b/>
              </w:rPr>
            </w:pPr>
          </w:p>
        </w:tc>
        <w:tc>
          <w:tcPr>
            <w:tcW w:w="1502" w:type="dxa"/>
            <w:tcBorders>
              <w:right w:val="single" w:sz="4" w:space="0" w:color="FFFFFF" w:themeColor="background1"/>
            </w:tcBorders>
          </w:tcPr>
          <w:p w14:paraId="08C8E5C1" w14:textId="35E4AE3F" w:rsidR="002C310B" w:rsidRPr="00B8476F" w:rsidRDefault="002C310B" w:rsidP="002C310B">
            <w:pPr>
              <w:spacing w:before="40" w:after="40" w:line="240" w:lineRule="auto"/>
              <w:jc w:val="center"/>
              <w:rPr>
                <w:b/>
              </w:rPr>
            </w:pPr>
          </w:p>
        </w:tc>
        <w:tc>
          <w:tcPr>
            <w:tcW w:w="1502" w:type="dxa"/>
            <w:tcBorders>
              <w:left w:val="single" w:sz="4" w:space="0" w:color="FFFFFF" w:themeColor="background1"/>
              <w:right w:val="single" w:sz="4" w:space="0" w:color="FFFFFF" w:themeColor="background1"/>
            </w:tcBorders>
          </w:tcPr>
          <w:p w14:paraId="1E22E1C0" w14:textId="1B958C55" w:rsidR="002C310B" w:rsidRPr="00B8476F" w:rsidRDefault="002C310B" w:rsidP="002C310B">
            <w:pPr>
              <w:spacing w:before="40" w:after="40" w:line="240" w:lineRule="auto"/>
              <w:jc w:val="center"/>
              <w:rPr>
                <w:b/>
              </w:rPr>
            </w:pPr>
            <w:r w:rsidRPr="00B8476F">
              <w:rPr>
                <w:b/>
              </w:rPr>
              <w:t>IMD score</w:t>
            </w:r>
            <w:r w:rsidRPr="001A2F6D">
              <w:rPr>
                <w:b/>
                <w:vertAlign w:val="superscript"/>
              </w:rPr>
              <w:fldChar w:fldCharType="begin"/>
            </w:r>
            <w:r w:rsidRPr="001A2F6D">
              <w:rPr>
                <w:b/>
                <w:vertAlign w:val="superscript"/>
              </w:rPr>
              <w:instrText xml:space="preserve"> NOTEREF _Ref7507261 \h </w:instrText>
            </w:r>
            <w:r>
              <w:rPr>
                <w:b/>
                <w:vertAlign w:val="superscript"/>
              </w:rPr>
              <w:instrText xml:space="preserve"> \* MERGEFORMAT </w:instrText>
            </w:r>
            <w:r w:rsidRPr="001A2F6D">
              <w:rPr>
                <w:b/>
                <w:vertAlign w:val="superscript"/>
              </w:rPr>
            </w:r>
            <w:r w:rsidRPr="001A2F6D">
              <w:rPr>
                <w:b/>
                <w:vertAlign w:val="superscript"/>
              </w:rPr>
              <w:fldChar w:fldCharType="separate"/>
            </w:r>
            <w:r>
              <w:rPr>
                <w:b/>
                <w:vertAlign w:val="superscript"/>
              </w:rPr>
              <w:t>5</w:t>
            </w:r>
            <w:r w:rsidRPr="001A2F6D">
              <w:rPr>
                <w:b/>
                <w:vertAlign w:val="superscript"/>
              </w:rPr>
              <w:fldChar w:fldCharType="end"/>
            </w:r>
          </w:p>
        </w:tc>
        <w:tc>
          <w:tcPr>
            <w:tcW w:w="1503" w:type="dxa"/>
            <w:tcBorders>
              <w:left w:val="single" w:sz="4" w:space="0" w:color="FFFFFF" w:themeColor="background1"/>
            </w:tcBorders>
          </w:tcPr>
          <w:p w14:paraId="10868922" w14:textId="4B68A684" w:rsidR="002C310B" w:rsidRPr="00B8476F" w:rsidRDefault="002C310B" w:rsidP="002C310B">
            <w:pPr>
              <w:spacing w:before="40" w:after="40" w:line="240" w:lineRule="auto"/>
              <w:jc w:val="center"/>
              <w:rPr>
                <w:b/>
              </w:rPr>
            </w:pPr>
          </w:p>
        </w:tc>
        <w:tc>
          <w:tcPr>
            <w:tcW w:w="1503" w:type="dxa"/>
            <w:tcBorders>
              <w:bottom w:val="single" w:sz="4" w:space="0" w:color="FFFFFF" w:themeColor="background1"/>
            </w:tcBorders>
          </w:tcPr>
          <w:p w14:paraId="1988DB4F" w14:textId="5092B67C" w:rsidR="002C310B" w:rsidRPr="00B8476F" w:rsidRDefault="002C310B" w:rsidP="002C310B">
            <w:pPr>
              <w:spacing w:before="40" w:after="40" w:line="240" w:lineRule="auto"/>
              <w:rPr>
                <w:b/>
              </w:rPr>
            </w:pPr>
          </w:p>
        </w:tc>
      </w:tr>
      <w:tr w:rsidR="002C310B" w:rsidRPr="00B8476F" w14:paraId="76E2B7F5" w14:textId="77777777" w:rsidTr="002C310B">
        <w:tc>
          <w:tcPr>
            <w:tcW w:w="1503" w:type="dxa"/>
            <w:tcBorders>
              <w:top w:val="single" w:sz="4" w:space="0" w:color="FFFFFF" w:themeColor="background1"/>
            </w:tcBorders>
          </w:tcPr>
          <w:p w14:paraId="15B04196" w14:textId="33C8F84A" w:rsidR="002C310B" w:rsidRPr="00B8476F" w:rsidRDefault="002C310B" w:rsidP="002C310B">
            <w:pPr>
              <w:spacing w:before="40" w:after="40" w:line="240" w:lineRule="auto"/>
            </w:pPr>
            <w:r w:rsidRPr="00B8476F">
              <w:rPr>
                <w:b/>
              </w:rPr>
              <w:t>List size</w:t>
            </w:r>
            <w:r w:rsidRPr="001A2F6D">
              <w:rPr>
                <w:b/>
                <w:vertAlign w:val="superscript"/>
              </w:rPr>
              <w:fldChar w:fldCharType="begin"/>
            </w:r>
            <w:r w:rsidRPr="001A2F6D">
              <w:rPr>
                <w:b/>
                <w:vertAlign w:val="superscript"/>
              </w:rPr>
              <w:instrText xml:space="preserve"> NOTEREF _Ref7507268 \h </w:instrText>
            </w:r>
            <w:r>
              <w:rPr>
                <w:b/>
                <w:vertAlign w:val="superscript"/>
              </w:rPr>
              <w:instrText xml:space="preserve"> \* MERGEFORMAT </w:instrText>
            </w:r>
            <w:r w:rsidRPr="001A2F6D">
              <w:rPr>
                <w:b/>
                <w:vertAlign w:val="superscript"/>
              </w:rPr>
            </w:r>
            <w:r w:rsidRPr="001A2F6D">
              <w:rPr>
                <w:b/>
                <w:vertAlign w:val="superscript"/>
              </w:rPr>
              <w:fldChar w:fldCharType="separate"/>
            </w:r>
            <w:r>
              <w:rPr>
                <w:b/>
                <w:vertAlign w:val="superscript"/>
              </w:rPr>
              <w:t>4</w:t>
            </w:r>
            <w:r w:rsidRPr="001A2F6D">
              <w:rPr>
                <w:b/>
                <w:vertAlign w:val="superscript"/>
              </w:rPr>
              <w:fldChar w:fldCharType="end"/>
            </w:r>
          </w:p>
        </w:tc>
        <w:tc>
          <w:tcPr>
            <w:tcW w:w="1502" w:type="dxa"/>
          </w:tcPr>
          <w:p w14:paraId="25D0E040" w14:textId="77777777" w:rsidR="002C310B" w:rsidRPr="00B8476F" w:rsidRDefault="002C310B" w:rsidP="002C310B">
            <w:pPr>
              <w:spacing w:before="40" w:after="40" w:line="240" w:lineRule="auto"/>
              <w:jc w:val="center"/>
            </w:pPr>
            <w:r w:rsidRPr="00B8476F">
              <w:t>Least</w:t>
            </w:r>
          </w:p>
        </w:tc>
        <w:tc>
          <w:tcPr>
            <w:tcW w:w="1502" w:type="dxa"/>
          </w:tcPr>
          <w:p w14:paraId="5937B909" w14:textId="77777777" w:rsidR="002C310B" w:rsidRPr="00B8476F" w:rsidRDefault="002C310B" w:rsidP="002C310B">
            <w:pPr>
              <w:spacing w:before="40" w:after="40" w:line="240" w:lineRule="auto"/>
              <w:jc w:val="center"/>
            </w:pPr>
            <w:r w:rsidRPr="00B8476F">
              <w:t>Medium</w:t>
            </w:r>
          </w:p>
        </w:tc>
        <w:tc>
          <w:tcPr>
            <w:tcW w:w="1503" w:type="dxa"/>
          </w:tcPr>
          <w:p w14:paraId="49C27A8A" w14:textId="77777777" w:rsidR="002C310B" w:rsidRPr="00B8476F" w:rsidRDefault="002C310B" w:rsidP="002C310B">
            <w:pPr>
              <w:spacing w:before="40" w:after="40" w:line="240" w:lineRule="auto"/>
              <w:jc w:val="center"/>
            </w:pPr>
            <w:r w:rsidRPr="00B8476F">
              <w:t>Most</w:t>
            </w:r>
          </w:p>
        </w:tc>
        <w:tc>
          <w:tcPr>
            <w:tcW w:w="1503" w:type="dxa"/>
            <w:tcBorders>
              <w:top w:val="single" w:sz="4" w:space="0" w:color="FFFFFF" w:themeColor="background1"/>
            </w:tcBorders>
          </w:tcPr>
          <w:p w14:paraId="44E3EC08" w14:textId="276F9548" w:rsidR="002C310B" w:rsidRPr="00B8476F" w:rsidRDefault="002C310B" w:rsidP="002C310B">
            <w:pPr>
              <w:spacing w:before="40" w:after="40" w:line="240" w:lineRule="auto"/>
              <w:jc w:val="center"/>
            </w:pPr>
            <w:r w:rsidRPr="00B8476F">
              <w:rPr>
                <w:b/>
              </w:rPr>
              <w:t>Total</w:t>
            </w:r>
          </w:p>
        </w:tc>
      </w:tr>
      <w:tr w:rsidR="002C310B" w:rsidRPr="00B8476F" w14:paraId="68B4AF3D" w14:textId="77777777" w:rsidTr="0015742A">
        <w:tc>
          <w:tcPr>
            <w:tcW w:w="1503" w:type="dxa"/>
          </w:tcPr>
          <w:p w14:paraId="72B83606" w14:textId="77777777" w:rsidR="002C310B" w:rsidRPr="00B8476F" w:rsidRDefault="002C310B" w:rsidP="002C310B">
            <w:pPr>
              <w:spacing w:before="40" w:after="40" w:line="240" w:lineRule="auto"/>
            </w:pPr>
            <w:r w:rsidRPr="00B8476F">
              <w:t>Large</w:t>
            </w:r>
          </w:p>
        </w:tc>
        <w:tc>
          <w:tcPr>
            <w:tcW w:w="1502" w:type="dxa"/>
          </w:tcPr>
          <w:p w14:paraId="1FFD867B" w14:textId="77777777" w:rsidR="002C310B" w:rsidRPr="00B8476F" w:rsidRDefault="002C310B" w:rsidP="002C310B">
            <w:pPr>
              <w:spacing w:before="40" w:after="40" w:line="240" w:lineRule="auto"/>
              <w:jc w:val="center"/>
            </w:pPr>
            <w:r w:rsidRPr="00B8476F">
              <w:t>8</w:t>
            </w:r>
          </w:p>
        </w:tc>
        <w:tc>
          <w:tcPr>
            <w:tcW w:w="1502" w:type="dxa"/>
          </w:tcPr>
          <w:p w14:paraId="5C1CF1BA" w14:textId="77777777" w:rsidR="002C310B" w:rsidRPr="00B8476F" w:rsidRDefault="002C310B" w:rsidP="002C310B">
            <w:pPr>
              <w:spacing w:before="40" w:after="40" w:line="240" w:lineRule="auto"/>
              <w:jc w:val="center"/>
            </w:pPr>
            <w:r w:rsidRPr="00B8476F">
              <w:t>2</w:t>
            </w:r>
          </w:p>
        </w:tc>
        <w:tc>
          <w:tcPr>
            <w:tcW w:w="1503" w:type="dxa"/>
          </w:tcPr>
          <w:p w14:paraId="5D724CA0" w14:textId="77777777" w:rsidR="002C310B" w:rsidRPr="00B8476F" w:rsidRDefault="002C310B" w:rsidP="002C310B">
            <w:pPr>
              <w:spacing w:before="40" w:after="40" w:line="240" w:lineRule="auto"/>
              <w:jc w:val="center"/>
            </w:pPr>
            <w:r w:rsidRPr="00B8476F">
              <w:t>4</w:t>
            </w:r>
          </w:p>
        </w:tc>
        <w:tc>
          <w:tcPr>
            <w:tcW w:w="1503" w:type="dxa"/>
          </w:tcPr>
          <w:p w14:paraId="04F29116" w14:textId="77777777" w:rsidR="002C310B" w:rsidRPr="00B8476F" w:rsidRDefault="002C310B" w:rsidP="002C310B">
            <w:pPr>
              <w:spacing w:before="40" w:after="40" w:line="240" w:lineRule="auto"/>
              <w:jc w:val="center"/>
              <w:rPr>
                <w:b/>
              </w:rPr>
            </w:pPr>
            <w:r w:rsidRPr="00B8476F">
              <w:rPr>
                <w:b/>
              </w:rPr>
              <w:t>14</w:t>
            </w:r>
          </w:p>
        </w:tc>
      </w:tr>
      <w:tr w:rsidR="002C310B" w:rsidRPr="00B8476F" w14:paraId="3C89C616" w14:textId="77777777" w:rsidTr="0015742A">
        <w:tc>
          <w:tcPr>
            <w:tcW w:w="1503" w:type="dxa"/>
          </w:tcPr>
          <w:p w14:paraId="76B3A47A" w14:textId="77777777" w:rsidR="002C310B" w:rsidRPr="00B8476F" w:rsidRDefault="002C310B" w:rsidP="002C310B">
            <w:pPr>
              <w:spacing w:before="40" w:after="40" w:line="240" w:lineRule="auto"/>
            </w:pPr>
            <w:r w:rsidRPr="00B8476F">
              <w:t>Medium</w:t>
            </w:r>
          </w:p>
        </w:tc>
        <w:tc>
          <w:tcPr>
            <w:tcW w:w="1502" w:type="dxa"/>
          </w:tcPr>
          <w:p w14:paraId="64B9DD0C" w14:textId="77777777" w:rsidR="002C310B" w:rsidRPr="00B8476F" w:rsidRDefault="002C310B" w:rsidP="002C310B">
            <w:pPr>
              <w:spacing w:before="40" w:after="40" w:line="240" w:lineRule="auto"/>
              <w:jc w:val="center"/>
            </w:pPr>
            <w:r w:rsidRPr="00B8476F">
              <w:t>3</w:t>
            </w:r>
          </w:p>
        </w:tc>
        <w:tc>
          <w:tcPr>
            <w:tcW w:w="1502" w:type="dxa"/>
          </w:tcPr>
          <w:p w14:paraId="4961F199" w14:textId="77777777" w:rsidR="002C310B" w:rsidRPr="00B8476F" w:rsidRDefault="002C310B" w:rsidP="002C310B">
            <w:pPr>
              <w:spacing w:before="40" w:after="40" w:line="240" w:lineRule="auto"/>
              <w:jc w:val="center"/>
            </w:pPr>
            <w:r w:rsidRPr="00B8476F">
              <w:t>4</w:t>
            </w:r>
          </w:p>
        </w:tc>
        <w:tc>
          <w:tcPr>
            <w:tcW w:w="1503" w:type="dxa"/>
          </w:tcPr>
          <w:p w14:paraId="4D7E450F" w14:textId="77777777" w:rsidR="002C310B" w:rsidRPr="00B8476F" w:rsidRDefault="002C310B" w:rsidP="002C310B">
            <w:pPr>
              <w:spacing w:before="40" w:after="40" w:line="240" w:lineRule="auto"/>
              <w:jc w:val="center"/>
            </w:pPr>
            <w:r w:rsidRPr="00B8476F">
              <w:t>2</w:t>
            </w:r>
          </w:p>
        </w:tc>
        <w:tc>
          <w:tcPr>
            <w:tcW w:w="1503" w:type="dxa"/>
          </w:tcPr>
          <w:p w14:paraId="002C3F6C" w14:textId="77777777" w:rsidR="002C310B" w:rsidRPr="00B8476F" w:rsidRDefault="002C310B" w:rsidP="002C310B">
            <w:pPr>
              <w:spacing w:before="40" w:after="40" w:line="240" w:lineRule="auto"/>
              <w:jc w:val="center"/>
              <w:rPr>
                <w:b/>
              </w:rPr>
            </w:pPr>
            <w:r w:rsidRPr="00B8476F">
              <w:rPr>
                <w:b/>
              </w:rPr>
              <w:t>9</w:t>
            </w:r>
          </w:p>
        </w:tc>
      </w:tr>
      <w:tr w:rsidR="002C310B" w:rsidRPr="00B8476F" w14:paraId="25827EB7" w14:textId="77777777" w:rsidTr="0015742A">
        <w:tc>
          <w:tcPr>
            <w:tcW w:w="1503" w:type="dxa"/>
          </w:tcPr>
          <w:p w14:paraId="0C810826" w14:textId="77777777" w:rsidR="002C310B" w:rsidRPr="00B8476F" w:rsidRDefault="002C310B" w:rsidP="002C310B">
            <w:pPr>
              <w:spacing w:before="40" w:after="40" w:line="240" w:lineRule="auto"/>
            </w:pPr>
            <w:r w:rsidRPr="00B8476F">
              <w:t>Small</w:t>
            </w:r>
          </w:p>
        </w:tc>
        <w:tc>
          <w:tcPr>
            <w:tcW w:w="1502" w:type="dxa"/>
          </w:tcPr>
          <w:p w14:paraId="4D22469D" w14:textId="77777777" w:rsidR="002C310B" w:rsidRPr="00B8476F" w:rsidRDefault="002C310B" w:rsidP="002C310B">
            <w:pPr>
              <w:spacing w:before="40" w:after="40" w:line="240" w:lineRule="auto"/>
              <w:jc w:val="center"/>
            </w:pPr>
            <w:r w:rsidRPr="00B8476F">
              <w:t>0</w:t>
            </w:r>
          </w:p>
        </w:tc>
        <w:tc>
          <w:tcPr>
            <w:tcW w:w="1502" w:type="dxa"/>
          </w:tcPr>
          <w:p w14:paraId="36FBC057" w14:textId="77777777" w:rsidR="002C310B" w:rsidRPr="00B8476F" w:rsidRDefault="002C310B" w:rsidP="002C310B">
            <w:pPr>
              <w:spacing w:before="40" w:after="40" w:line="240" w:lineRule="auto"/>
              <w:jc w:val="center"/>
            </w:pPr>
            <w:r w:rsidRPr="00B8476F">
              <w:t>2</w:t>
            </w:r>
          </w:p>
        </w:tc>
        <w:tc>
          <w:tcPr>
            <w:tcW w:w="1503" w:type="dxa"/>
          </w:tcPr>
          <w:p w14:paraId="730E9222" w14:textId="77777777" w:rsidR="002C310B" w:rsidRPr="00B8476F" w:rsidRDefault="002C310B" w:rsidP="002C310B">
            <w:pPr>
              <w:spacing w:before="40" w:after="40" w:line="240" w:lineRule="auto"/>
              <w:jc w:val="center"/>
            </w:pPr>
            <w:r w:rsidRPr="00B8476F">
              <w:t>1</w:t>
            </w:r>
          </w:p>
        </w:tc>
        <w:tc>
          <w:tcPr>
            <w:tcW w:w="1503" w:type="dxa"/>
          </w:tcPr>
          <w:p w14:paraId="11091BF7" w14:textId="77777777" w:rsidR="002C310B" w:rsidRPr="00B8476F" w:rsidRDefault="002C310B" w:rsidP="002C310B">
            <w:pPr>
              <w:spacing w:before="40" w:after="40" w:line="240" w:lineRule="auto"/>
              <w:jc w:val="center"/>
              <w:rPr>
                <w:b/>
              </w:rPr>
            </w:pPr>
            <w:r w:rsidRPr="00B8476F">
              <w:rPr>
                <w:b/>
              </w:rPr>
              <w:t>3</w:t>
            </w:r>
          </w:p>
        </w:tc>
      </w:tr>
      <w:tr w:rsidR="002C310B" w:rsidRPr="00B8476F" w14:paraId="440B23FA" w14:textId="77777777" w:rsidTr="0015742A">
        <w:tc>
          <w:tcPr>
            <w:tcW w:w="1503" w:type="dxa"/>
          </w:tcPr>
          <w:p w14:paraId="1A43FDDC" w14:textId="77777777" w:rsidR="002C310B" w:rsidRPr="00B8476F" w:rsidRDefault="002C310B" w:rsidP="002C310B">
            <w:pPr>
              <w:spacing w:before="40" w:after="40" w:line="240" w:lineRule="auto"/>
              <w:rPr>
                <w:b/>
              </w:rPr>
            </w:pPr>
            <w:r w:rsidRPr="00B8476F">
              <w:rPr>
                <w:b/>
              </w:rPr>
              <w:t>Total</w:t>
            </w:r>
          </w:p>
        </w:tc>
        <w:tc>
          <w:tcPr>
            <w:tcW w:w="1502" w:type="dxa"/>
          </w:tcPr>
          <w:p w14:paraId="3D6EB06C" w14:textId="77777777" w:rsidR="002C310B" w:rsidRPr="00B8476F" w:rsidRDefault="002C310B" w:rsidP="002C310B">
            <w:pPr>
              <w:spacing w:before="40" w:after="40" w:line="240" w:lineRule="auto"/>
              <w:jc w:val="center"/>
              <w:rPr>
                <w:b/>
              </w:rPr>
            </w:pPr>
            <w:r w:rsidRPr="00B8476F">
              <w:rPr>
                <w:b/>
              </w:rPr>
              <w:t>11</w:t>
            </w:r>
          </w:p>
        </w:tc>
        <w:tc>
          <w:tcPr>
            <w:tcW w:w="1502" w:type="dxa"/>
          </w:tcPr>
          <w:p w14:paraId="5A72EE5B" w14:textId="77777777" w:rsidR="002C310B" w:rsidRPr="00B8476F" w:rsidRDefault="002C310B" w:rsidP="002C310B">
            <w:pPr>
              <w:spacing w:before="40" w:after="40" w:line="240" w:lineRule="auto"/>
              <w:jc w:val="center"/>
              <w:rPr>
                <w:b/>
              </w:rPr>
            </w:pPr>
            <w:r w:rsidRPr="00B8476F">
              <w:rPr>
                <w:b/>
              </w:rPr>
              <w:t>8</w:t>
            </w:r>
          </w:p>
        </w:tc>
        <w:tc>
          <w:tcPr>
            <w:tcW w:w="1503" w:type="dxa"/>
          </w:tcPr>
          <w:p w14:paraId="062F1212" w14:textId="77777777" w:rsidR="002C310B" w:rsidRPr="00B8476F" w:rsidRDefault="002C310B" w:rsidP="002C310B">
            <w:pPr>
              <w:spacing w:before="40" w:after="40" w:line="240" w:lineRule="auto"/>
              <w:jc w:val="center"/>
              <w:rPr>
                <w:b/>
              </w:rPr>
            </w:pPr>
            <w:r w:rsidRPr="00B8476F">
              <w:rPr>
                <w:b/>
              </w:rPr>
              <w:t>7</w:t>
            </w:r>
          </w:p>
        </w:tc>
        <w:tc>
          <w:tcPr>
            <w:tcW w:w="1503" w:type="dxa"/>
          </w:tcPr>
          <w:p w14:paraId="56D4FD6D" w14:textId="77777777" w:rsidR="002C310B" w:rsidRPr="00B8476F" w:rsidRDefault="002C310B" w:rsidP="002C310B">
            <w:pPr>
              <w:spacing w:before="40" w:after="40" w:line="240" w:lineRule="auto"/>
              <w:jc w:val="center"/>
              <w:rPr>
                <w:b/>
              </w:rPr>
            </w:pPr>
            <w:r w:rsidRPr="00B8476F">
              <w:rPr>
                <w:b/>
              </w:rPr>
              <w:t>26</w:t>
            </w:r>
          </w:p>
        </w:tc>
      </w:tr>
    </w:tbl>
    <w:p w14:paraId="44188838" w14:textId="3F02FAE7" w:rsidR="00650275" w:rsidRPr="00B8476F" w:rsidRDefault="00293ACE" w:rsidP="00987149">
      <w:pPr>
        <w:pStyle w:val="Heading1"/>
      </w:pPr>
      <w:r w:rsidRPr="00B8476F">
        <w:br w:type="page"/>
      </w:r>
      <w:r w:rsidR="00650275" w:rsidRPr="00B8476F">
        <w:lastRenderedPageBreak/>
        <w:t xml:space="preserve">Appendix B: </w:t>
      </w:r>
      <w:r w:rsidR="002A7FDE">
        <w:t>Indicator development</w:t>
      </w:r>
    </w:p>
    <w:p w14:paraId="44D1D9DF" w14:textId="77777777" w:rsidR="00E41A6E" w:rsidRPr="00293ACE" w:rsidRDefault="00FF4E74" w:rsidP="00F67664">
      <w:pPr>
        <w:rPr>
          <w:szCs w:val="24"/>
          <w:lang w:val="en-US"/>
        </w:rPr>
      </w:pPr>
      <w:r w:rsidRPr="00293ACE">
        <w:rPr>
          <w:szCs w:val="24"/>
          <w:lang w:val="en-US"/>
        </w:rPr>
        <w:t xml:space="preserve">Following the August 2018 NICE Indicator Advisory Committee the NCCID was asked to pilot the following potential new indicators relating to multimorbidity and frailty, which had been developed </w:t>
      </w:r>
      <w:r w:rsidR="00E41A6E" w:rsidRPr="00293ACE">
        <w:rPr>
          <w:szCs w:val="24"/>
          <w:lang w:val="en-US"/>
        </w:rPr>
        <w:t>based on:</w:t>
      </w:r>
    </w:p>
    <w:p w14:paraId="714678A0" w14:textId="0BE88E3C" w:rsidR="00E41A6E" w:rsidRPr="00293ACE" w:rsidRDefault="00E41A6E" w:rsidP="00F67664">
      <w:pPr>
        <w:rPr>
          <w:szCs w:val="24"/>
          <w:lang w:val="en-US"/>
        </w:rPr>
      </w:pPr>
      <w:r w:rsidRPr="00293ACE">
        <w:rPr>
          <w:szCs w:val="24"/>
          <w:lang w:val="en-US"/>
        </w:rPr>
        <w:t xml:space="preserve">Relevant NICE guidance, </w:t>
      </w:r>
    </w:p>
    <w:p w14:paraId="0F3FE120" w14:textId="26C31912" w:rsidR="00E41A6E" w:rsidRPr="00293ACE" w:rsidRDefault="00E41A6E" w:rsidP="00F67664">
      <w:pPr>
        <w:rPr>
          <w:szCs w:val="24"/>
          <w:lang w:val="en-US"/>
        </w:rPr>
      </w:pPr>
      <w:r w:rsidRPr="00293ACE">
        <w:rPr>
          <w:szCs w:val="24"/>
          <w:lang w:val="en-US"/>
        </w:rPr>
        <w:t xml:space="preserve">The findings from a literature review relating to population differences and the overlap in people who are frail and/or have multimorbidity, </w:t>
      </w:r>
    </w:p>
    <w:p w14:paraId="2A445A76" w14:textId="4F151077" w:rsidR="00E41A6E" w:rsidRPr="00293ACE" w:rsidRDefault="00E41A6E" w:rsidP="00F67664">
      <w:pPr>
        <w:rPr>
          <w:szCs w:val="24"/>
        </w:rPr>
      </w:pPr>
      <w:r w:rsidRPr="00293ACE">
        <w:rPr>
          <w:szCs w:val="24"/>
          <w:lang w:val="en-US"/>
        </w:rPr>
        <w:t>Data from QOF registers and regional studies (</w:t>
      </w:r>
      <w:r w:rsidRPr="003F7296">
        <w:rPr>
          <w:rFonts w:cs="Arial"/>
          <w:color w:val="000000"/>
          <w:szCs w:val="24"/>
        </w:rPr>
        <w:t xml:space="preserve">Healthy Ageing Collaborative, Yorkshire and Humber AHSN and GP Federation within North Durham CCG), </w:t>
      </w:r>
    </w:p>
    <w:p w14:paraId="1B4F1B2A" w14:textId="1786564B" w:rsidR="00E41A6E" w:rsidRPr="003F7296" w:rsidRDefault="00E41A6E" w:rsidP="00F67664">
      <w:pPr>
        <w:rPr>
          <w:rFonts w:cs="Arial"/>
          <w:color w:val="000000"/>
          <w:szCs w:val="24"/>
        </w:rPr>
      </w:pPr>
      <w:r w:rsidRPr="003F7296">
        <w:rPr>
          <w:rFonts w:cs="Arial"/>
          <w:color w:val="000000"/>
          <w:szCs w:val="24"/>
        </w:rPr>
        <w:t>Discussions with frailty experts and IAC members, including consideration of separate register requirements, the meaning of a tailored approach to care, and recommendations on conditions and impairments that could be defined as long term health conditions, and</w:t>
      </w:r>
    </w:p>
    <w:p w14:paraId="19C78D59" w14:textId="38D5E69F" w:rsidR="00E41A6E" w:rsidRPr="003F7296" w:rsidRDefault="00E41A6E" w:rsidP="00F67664">
      <w:pPr>
        <w:rPr>
          <w:rFonts w:cs="Arial"/>
          <w:color w:val="000000"/>
          <w:szCs w:val="24"/>
        </w:rPr>
      </w:pPr>
      <w:r w:rsidRPr="003F7296">
        <w:rPr>
          <w:rFonts w:cs="Arial"/>
          <w:color w:val="000000"/>
          <w:szCs w:val="24"/>
        </w:rPr>
        <w:t>The results of an exploration into five multimorbidity register scenarios based on individual conditions and condition clusters (where a cluster contains symptoms and conditions in similar disease systems).</w:t>
      </w:r>
    </w:p>
    <w:p w14:paraId="62C48BB1" w14:textId="06F019FF" w:rsidR="00FF4E74" w:rsidRPr="00293ACE" w:rsidRDefault="00FF4E74" w:rsidP="00F67664">
      <w:pPr>
        <w:rPr>
          <w:szCs w:val="24"/>
          <w:lang w:val="en-US"/>
        </w:rPr>
      </w:pPr>
      <w:r w:rsidRPr="00293ACE">
        <w:rPr>
          <w:szCs w:val="24"/>
          <w:lang w:val="en-US"/>
        </w:rPr>
        <w:t>.</w:t>
      </w:r>
    </w:p>
    <w:p w14:paraId="292FEC7B" w14:textId="0B29D40C" w:rsidR="00FF4E74" w:rsidRPr="00293ACE" w:rsidRDefault="00E41A6E" w:rsidP="00FF4E74">
      <w:pPr>
        <w:pStyle w:val="Heading3"/>
        <w:rPr>
          <w:lang w:val="en-US"/>
        </w:rPr>
      </w:pPr>
      <w:r w:rsidRPr="00293ACE">
        <w:rPr>
          <w:lang w:val="en-US"/>
        </w:rPr>
        <w:t>Indicator wording as piloted</w:t>
      </w:r>
    </w:p>
    <w:p w14:paraId="2E8FE2BB" w14:textId="77777777" w:rsidR="00FF4E74" w:rsidRPr="00293ACE" w:rsidRDefault="00FF4E74" w:rsidP="00FF4E74">
      <w:pPr>
        <w:pStyle w:val="Heading4"/>
        <w:rPr>
          <w:szCs w:val="24"/>
          <w:lang w:val="en-US"/>
        </w:rPr>
      </w:pPr>
      <w:r w:rsidRPr="00293ACE">
        <w:rPr>
          <w:szCs w:val="24"/>
          <w:lang w:val="en-US"/>
        </w:rPr>
        <w:t xml:space="preserve">Indicator 1: Multimorbidity register </w:t>
      </w:r>
    </w:p>
    <w:p w14:paraId="60F9F4AD" w14:textId="77777777" w:rsidR="00FF4E74" w:rsidRPr="00293ACE" w:rsidRDefault="00FF4E74" w:rsidP="00FF4E74">
      <w:pPr>
        <w:spacing w:line="264" w:lineRule="auto"/>
        <w:rPr>
          <w:szCs w:val="24"/>
        </w:rPr>
      </w:pPr>
      <w:r w:rsidRPr="00293ACE">
        <w:rPr>
          <w:szCs w:val="24"/>
          <w:lang w:val="en-US"/>
        </w:rPr>
        <w:t>T</w:t>
      </w:r>
      <w:r w:rsidRPr="00293ACE">
        <w:rPr>
          <w:szCs w:val="24"/>
        </w:rPr>
        <w:t>he practice can produce a register of people with multimorbidity who would benefit from a tailored approach to care. (Where, for the purposes of the pilot, patients with multimorbidity are defined as those with 4 or more Scottish Primary Care Information Resource (SPIRE) condition clusters supplemented by clinical judgement).</w:t>
      </w:r>
      <w:r w:rsidRPr="00293ACE">
        <w:rPr>
          <w:szCs w:val="24"/>
        </w:rPr>
        <w:tab/>
      </w:r>
    </w:p>
    <w:p w14:paraId="702C7B65" w14:textId="77777777" w:rsidR="00FF4E74" w:rsidRPr="00293ACE" w:rsidRDefault="00FF4E74" w:rsidP="00FF4E74">
      <w:pPr>
        <w:pStyle w:val="Heading4"/>
        <w:rPr>
          <w:szCs w:val="24"/>
          <w:lang w:val="en-US"/>
        </w:rPr>
      </w:pPr>
      <w:r w:rsidRPr="00293ACE">
        <w:rPr>
          <w:szCs w:val="24"/>
          <w:lang w:val="en-US"/>
        </w:rPr>
        <w:t>Indicator 2: Frailty register</w:t>
      </w:r>
    </w:p>
    <w:p w14:paraId="7586B6C4" w14:textId="77777777" w:rsidR="00FF4E74" w:rsidRPr="00293ACE" w:rsidRDefault="00FF4E74" w:rsidP="00FF4E74">
      <w:pPr>
        <w:spacing w:line="264" w:lineRule="auto"/>
        <w:rPr>
          <w:szCs w:val="24"/>
        </w:rPr>
      </w:pPr>
      <w:r w:rsidRPr="00293ACE">
        <w:rPr>
          <w:szCs w:val="24"/>
        </w:rPr>
        <w:t>The practice can produce a register of people with moderate or severe frailty, defined as those patients who have been diagnosed using an appropriate tool and applying clinical judgement (in accordance with the GP core contract data collection).</w:t>
      </w:r>
    </w:p>
    <w:p w14:paraId="4C1E7EC1" w14:textId="77777777" w:rsidR="00FF4E74" w:rsidRPr="00293ACE" w:rsidRDefault="00FF4E74" w:rsidP="00FF4E74">
      <w:pPr>
        <w:pStyle w:val="Heading4"/>
        <w:rPr>
          <w:szCs w:val="24"/>
        </w:rPr>
      </w:pPr>
      <w:r w:rsidRPr="00293ACE">
        <w:rPr>
          <w:szCs w:val="24"/>
        </w:rPr>
        <w:t>Indicator 3: Structured medication review</w:t>
      </w:r>
    </w:p>
    <w:p w14:paraId="48F18E33" w14:textId="77777777" w:rsidR="00FF4E74" w:rsidRPr="00293ACE" w:rsidRDefault="00FF4E74" w:rsidP="00FF4E74">
      <w:pPr>
        <w:spacing w:line="264" w:lineRule="auto"/>
        <w:rPr>
          <w:szCs w:val="24"/>
        </w:rPr>
      </w:pPr>
      <w:r w:rsidRPr="00293ACE">
        <w:rPr>
          <w:szCs w:val="24"/>
        </w:rPr>
        <w:t>The percentage of patients with moderate or severe frailty and/or multimorbidity who have received a medication review in the last 12 months which is structured, has considered the use of a recognised tool and has taken place as a shared discussion.</w:t>
      </w:r>
    </w:p>
    <w:p w14:paraId="75E91D6E" w14:textId="77777777" w:rsidR="00FF4E74" w:rsidRPr="00293ACE" w:rsidRDefault="00FF4E74" w:rsidP="00FF4E74">
      <w:pPr>
        <w:pStyle w:val="Heading4"/>
        <w:rPr>
          <w:szCs w:val="24"/>
        </w:rPr>
      </w:pPr>
      <w:r w:rsidRPr="00293ACE">
        <w:rPr>
          <w:szCs w:val="24"/>
        </w:rPr>
        <w:lastRenderedPageBreak/>
        <w:t>Indicator 4: Falls prevention</w:t>
      </w:r>
    </w:p>
    <w:p w14:paraId="0B1AFC2D" w14:textId="77777777" w:rsidR="00FF4E74" w:rsidRPr="00293ACE" w:rsidRDefault="00FF4E74" w:rsidP="00FF4E74">
      <w:pPr>
        <w:spacing w:line="264" w:lineRule="auto"/>
        <w:rPr>
          <w:szCs w:val="24"/>
        </w:rPr>
      </w:pPr>
      <w:r w:rsidRPr="00293ACE">
        <w:rPr>
          <w:szCs w:val="24"/>
        </w:rPr>
        <w:t>The percentage of patients (aged 65 years and over) with moderate or severe frailty who have been asked:</w:t>
      </w:r>
    </w:p>
    <w:p w14:paraId="2548FD87" w14:textId="77777777" w:rsidR="00FF4E74" w:rsidRPr="00293ACE" w:rsidRDefault="00FF4E74" w:rsidP="00FF4E74">
      <w:pPr>
        <w:pStyle w:val="ListParagraph"/>
        <w:numPr>
          <w:ilvl w:val="0"/>
          <w:numId w:val="35"/>
        </w:numPr>
        <w:spacing w:line="264" w:lineRule="auto"/>
        <w:rPr>
          <w:szCs w:val="24"/>
        </w:rPr>
      </w:pPr>
      <w:r w:rsidRPr="00293ACE">
        <w:rPr>
          <w:szCs w:val="24"/>
        </w:rPr>
        <w:t>Whether they have had a fall, about the total number of falls and about the type of falls, in the preceding 12 months.</w:t>
      </w:r>
    </w:p>
    <w:p w14:paraId="7C32D9D7" w14:textId="77777777" w:rsidR="00FF4E74" w:rsidRPr="00293ACE" w:rsidRDefault="00FF4E74" w:rsidP="00FF4E74">
      <w:pPr>
        <w:pStyle w:val="ListParagraph"/>
        <w:numPr>
          <w:ilvl w:val="0"/>
          <w:numId w:val="35"/>
        </w:numPr>
        <w:spacing w:line="264" w:lineRule="auto"/>
        <w:rPr>
          <w:szCs w:val="24"/>
        </w:rPr>
      </w:pPr>
      <w:r w:rsidRPr="00293ACE">
        <w:rPr>
          <w:szCs w:val="24"/>
        </w:rPr>
        <w:t>And, if at risk, have been provided with advice and guidance with regard to falls prevention (in the preceding 12 months).</w:t>
      </w:r>
    </w:p>
    <w:p w14:paraId="75419A30" w14:textId="77777777" w:rsidR="00BD5F62" w:rsidRPr="00293ACE" w:rsidRDefault="00BD5F62" w:rsidP="00BD5F62">
      <w:pPr>
        <w:rPr>
          <w:szCs w:val="24"/>
        </w:rPr>
      </w:pPr>
    </w:p>
    <w:p w14:paraId="229EC7FD" w14:textId="77777777" w:rsidR="00FF4E74" w:rsidRDefault="00FF4E74">
      <w:pPr>
        <w:spacing w:after="160" w:line="259" w:lineRule="auto"/>
        <w:jc w:val="left"/>
        <w:rPr>
          <w:rFonts w:eastAsiaTheme="majorEastAsia" w:cstheme="majorBidi"/>
          <w:b/>
          <w:sz w:val="32"/>
          <w:szCs w:val="32"/>
        </w:rPr>
      </w:pPr>
      <w:r>
        <w:br w:type="page"/>
      </w:r>
    </w:p>
    <w:p w14:paraId="4C1F42B5" w14:textId="04A52575" w:rsidR="00BD5F62" w:rsidRPr="00B8476F" w:rsidRDefault="00BD5F62" w:rsidP="002A7FDE">
      <w:pPr>
        <w:pStyle w:val="Heading1"/>
        <w:jc w:val="left"/>
      </w:pPr>
      <w:r w:rsidRPr="00B8476F">
        <w:lastRenderedPageBreak/>
        <w:t xml:space="preserve">Appendix C: </w:t>
      </w:r>
      <w:r w:rsidR="002A7FDE">
        <w:t>Acceptability and implementation recommendations</w:t>
      </w:r>
    </w:p>
    <w:p w14:paraId="647E302B" w14:textId="4D0FEA5A" w:rsidR="00AE37D7" w:rsidRDefault="00AE37D7" w:rsidP="00AE37D7">
      <w:pPr>
        <w:pStyle w:val="Heading2"/>
        <w:rPr>
          <w:lang w:val="en-US"/>
        </w:rPr>
      </w:pPr>
      <w:r>
        <w:rPr>
          <w:lang w:val="en-US"/>
        </w:rPr>
        <w:t xml:space="preserve">Acceptability recommendations </w:t>
      </w:r>
    </w:p>
    <w:p w14:paraId="580AC9EC" w14:textId="369DAB2F" w:rsidR="00AE37D7" w:rsidRDefault="00AE37D7" w:rsidP="00AE37D7">
      <w:r>
        <w:t>In order to provide recommendation to the Indicator Advisory Committee, t</w:t>
      </w:r>
      <w:r w:rsidRPr="00FD0AFA">
        <w:t xml:space="preserve">he degree of acceptability of the </w:t>
      </w:r>
      <w:r>
        <w:t xml:space="preserve">indicators </w:t>
      </w:r>
      <w:r w:rsidRPr="00FD0AFA">
        <w:t xml:space="preserve">to practices is </w:t>
      </w:r>
      <w:r>
        <w:t>assessed and reported in the ‘Summary of Indicators’ section as follows:</w:t>
      </w:r>
    </w:p>
    <w:p w14:paraId="30F13695" w14:textId="77777777" w:rsidR="00AE37D7" w:rsidRDefault="00AE37D7" w:rsidP="00AE37D7">
      <w:pPr>
        <w:pStyle w:val="ListParagraph"/>
        <w:numPr>
          <w:ilvl w:val="0"/>
          <w:numId w:val="40"/>
        </w:numPr>
      </w:pPr>
      <w:r>
        <w:t>A summary of the percentage (of respondents to the survey) responding to</w:t>
      </w:r>
      <w:r w:rsidRPr="00FD0AFA">
        <w:t xml:space="preserve"> the survey question</w:t>
      </w:r>
      <w:r>
        <w:t>s which relate to whether indicators within the topic should be financially incentivised and their impact on the quality of care for patients;</w:t>
      </w:r>
    </w:p>
    <w:p w14:paraId="30C7AF6C" w14:textId="77777777" w:rsidR="00AE37D7" w:rsidRDefault="00AE37D7" w:rsidP="00AE37D7">
      <w:pPr>
        <w:pStyle w:val="ListParagraph"/>
        <w:numPr>
          <w:ilvl w:val="0"/>
          <w:numId w:val="40"/>
        </w:numPr>
      </w:pPr>
      <w:r>
        <w:t>Relevant indicator- specific comments reported descriptively.</w:t>
      </w:r>
    </w:p>
    <w:p w14:paraId="77A18C09" w14:textId="77777777" w:rsidR="00AE37D7" w:rsidRDefault="00AE37D7" w:rsidP="00AE37D7">
      <w:pPr>
        <w:pStyle w:val="Heading2"/>
        <w:rPr>
          <w:lang w:val="en-US"/>
        </w:rPr>
      </w:pPr>
      <w:r>
        <w:rPr>
          <w:lang w:val="en-US"/>
        </w:rPr>
        <w:t>Implementation recommendations</w:t>
      </w:r>
    </w:p>
    <w:p w14:paraId="0B863241" w14:textId="38927B16" w:rsidR="00AE37D7" w:rsidRDefault="00AE37D7" w:rsidP="00AE37D7">
      <w:pPr>
        <w:rPr>
          <w:lang w:val="en-US"/>
        </w:rPr>
      </w:pPr>
      <w:r>
        <w:rPr>
          <w:lang w:val="en-US"/>
        </w:rPr>
        <w:t xml:space="preserve">Implementation recommendations in the ‘Summary of Indicators’ section are based on a judgement of the findings reported by pilot practices relating to workload, training, set up and preparation, taken from surveys and interviews/focus groups. A narrative overview of the ease of implementation from these findings, forms the basis of the implementation category used for the recommendations in the topic reports.  </w:t>
      </w:r>
    </w:p>
    <w:p w14:paraId="36429A31" w14:textId="77777777" w:rsidR="00AE37D7" w:rsidRDefault="00AE37D7" w:rsidP="00AE37D7">
      <w:pPr>
        <w:spacing w:after="0"/>
        <w:rPr>
          <w:lang w:val="en-US"/>
        </w:rPr>
      </w:pPr>
      <w:r w:rsidRPr="009C38B3">
        <w:rPr>
          <w:lang w:val="en-US"/>
        </w:rPr>
        <w:t>The implementation categories</w:t>
      </w:r>
      <w:r>
        <w:rPr>
          <w:lang w:val="en-US"/>
        </w:rPr>
        <w:t xml:space="preserve"> </w:t>
      </w:r>
      <w:r w:rsidRPr="009C38B3">
        <w:rPr>
          <w:lang w:val="en-US"/>
        </w:rPr>
        <w:t>are</w:t>
      </w:r>
      <w:r>
        <w:rPr>
          <w:lang w:val="en-US"/>
        </w:rPr>
        <w:t>:</w:t>
      </w:r>
      <w:r w:rsidRPr="009C38B3">
        <w:rPr>
          <w:lang w:val="en-US"/>
        </w:rPr>
        <w:t xml:space="preserve"> </w:t>
      </w:r>
    </w:p>
    <w:p w14:paraId="34221495" w14:textId="77777777" w:rsidR="00AE37D7" w:rsidRPr="009B0C55" w:rsidRDefault="00AE37D7" w:rsidP="00AE37D7">
      <w:pPr>
        <w:pStyle w:val="ListParagraph"/>
        <w:numPr>
          <w:ilvl w:val="0"/>
          <w:numId w:val="41"/>
        </w:numPr>
        <w:rPr>
          <w:lang w:val="en-US"/>
        </w:rPr>
      </w:pPr>
      <w:r w:rsidRPr="009B0C55">
        <w:rPr>
          <w:lang w:val="en-US"/>
        </w:rPr>
        <w:t xml:space="preserve">No problems </w:t>
      </w:r>
      <w:r>
        <w:rPr>
          <w:lang w:val="en-US"/>
        </w:rPr>
        <w:t>(</w:t>
      </w:r>
      <w:r w:rsidRPr="009B0C55">
        <w:rPr>
          <w:lang w:val="en-US"/>
        </w:rPr>
        <w:t>with implementation</w:t>
      </w:r>
      <w:r>
        <w:rPr>
          <w:lang w:val="en-US"/>
        </w:rPr>
        <w:t>)</w:t>
      </w:r>
    </w:p>
    <w:p w14:paraId="1A7C563F" w14:textId="6929F619" w:rsidR="00AE37D7" w:rsidRPr="009B0C55" w:rsidRDefault="00AE37D7" w:rsidP="00AE37D7">
      <w:pPr>
        <w:pStyle w:val="ListParagraph"/>
        <w:numPr>
          <w:ilvl w:val="0"/>
          <w:numId w:val="41"/>
        </w:numPr>
        <w:spacing w:after="0"/>
        <w:rPr>
          <w:lang w:val="en-US"/>
        </w:rPr>
      </w:pPr>
      <w:r w:rsidRPr="009B0C55">
        <w:rPr>
          <w:lang w:val="en-US"/>
        </w:rPr>
        <w:t>Minor problems</w:t>
      </w:r>
      <w:r w:rsidR="00F716A4">
        <w:rPr>
          <w:lang w:val="en-US"/>
        </w:rPr>
        <w:t xml:space="preserve"> (resolvable)</w:t>
      </w:r>
    </w:p>
    <w:p w14:paraId="2F05789E" w14:textId="77777777" w:rsidR="00AE37D7" w:rsidRPr="009B0C55" w:rsidRDefault="00AE37D7" w:rsidP="00AE37D7">
      <w:pPr>
        <w:pStyle w:val="ListParagraph"/>
        <w:numPr>
          <w:ilvl w:val="0"/>
          <w:numId w:val="41"/>
        </w:numPr>
        <w:spacing w:after="0"/>
        <w:rPr>
          <w:lang w:val="en-US"/>
        </w:rPr>
      </w:pPr>
      <w:r w:rsidRPr="009B0C55">
        <w:rPr>
          <w:lang w:val="en-US"/>
        </w:rPr>
        <w:t>Major problems (potentially resolvable)</w:t>
      </w:r>
    </w:p>
    <w:p w14:paraId="7FF1150B" w14:textId="77777777" w:rsidR="00AE37D7" w:rsidRPr="009B0C55" w:rsidRDefault="00AE37D7" w:rsidP="00AE37D7">
      <w:pPr>
        <w:pStyle w:val="ListParagraph"/>
        <w:numPr>
          <w:ilvl w:val="0"/>
          <w:numId w:val="41"/>
        </w:numPr>
        <w:rPr>
          <w:lang w:val="en-US"/>
        </w:rPr>
      </w:pPr>
      <w:r w:rsidRPr="009B0C55">
        <w:rPr>
          <w:lang w:val="en-US"/>
        </w:rPr>
        <w:t>Major problems (not resolvable)</w:t>
      </w:r>
    </w:p>
    <w:p w14:paraId="6CBA58FF" w14:textId="36B3FFEB" w:rsidR="00F97DD3" w:rsidRDefault="00F97DD3">
      <w:pPr>
        <w:spacing w:after="160" w:line="259" w:lineRule="auto"/>
        <w:jc w:val="left"/>
      </w:pPr>
      <w:r>
        <w:br w:type="page"/>
      </w:r>
    </w:p>
    <w:p w14:paraId="326DB2DD" w14:textId="5E380521" w:rsidR="00BD5F62" w:rsidRDefault="00F97DD3" w:rsidP="00F97DD3">
      <w:pPr>
        <w:pStyle w:val="Heading1"/>
      </w:pPr>
      <w:r>
        <w:lastRenderedPageBreak/>
        <w:t>Appendix D: Condition clusters</w:t>
      </w:r>
    </w:p>
    <w:tbl>
      <w:tblPr>
        <w:tblStyle w:val="TableGrid"/>
        <w:tblW w:w="0" w:type="auto"/>
        <w:tblLook w:val="04A0" w:firstRow="1" w:lastRow="0" w:firstColumn="1" w:lastColumn="0" w:noHBand="0" w:noVBand="1"/>
      </w:tblPr>
      <w:tblGrid>
        <w:gridCol w:w="2405"/>
        <w:gridCol w:w="6611"/>
      </w:tblGrid>
      <w:tr w:rsidR="00DA4AC8" w14:paraId="1B7250FF" w14:textId="77777777" w:rsidTr="00A3313C">
        <w:tc>
          <w:tcPr>
            <w:tcW w:w="2405" w:type="dxa"/>
          </w:tcPr>
          <w:p w14:paraId="24D9E98B" w14:textId="77777777" w:rsidR="00DA4AC8" w:rsidRPr="00633677" w:rsidRDefault="00DA4AC8" w:rsidP="00A3313C">
            <w:pPr>
              <w:pStyle w:val="Paragraph"/>
              <w:spacing w:before="120" w:after="120" w:line="240" w:lineRule="auto"/>
              <w:rPr>
                <w:rFonts w:cs="Arial"/>
              </w:rPr>
            </w:pPr>
            <w:r w:rsidRPr="00633677">
              <w:rPr>
                <w:b/>
                <w:bCs/>
              </w:rPr>
              <w:t xml:space="preserve">Category </w:t>
            </w:r>
          </w:p>
        </w:tc>
        <w:tc>
          <w:tcPr>
            <w:tcW w:w="6612" w:type="dxa"/>
          </w:tcPr>
          <w:p w14:paraId="56E1471F" w14:textId="77777777" w:rsidR="00DA4AC8" w:rsidRPr="00633677" w:rsidRDefault="00DA4AC8" w:rsidP="00A3313C">
            <w:pPr>
              <w:pStyle w:val="Paragraph"/>
              <w:spacing w:before="120" w:after="120" w:line="240" w:lineRule="auto"/>
              <w:rPr>
                <w:rFonts w:cs="Arial"/>
              </w:rPr>
            </w:pPr>
            <w:r w:rsidRPr="00633677">
              <w:rPr>
                <w:b/>
                <w:bCs/>
              </w:rPr>
              <w:t xml:space="preserve">Condition </w:t>
            </w:r>
          </w:p>
        </w:tc>
      </w:tr>
      <w:tr w:rsidR="00DA4AC8" w14:paraId="2427D0C4" w14:textId="77777777" w:rsidTr="00A3313C">
        <w:tc>
          <w:tcPr>
            <w:tcW w:w="2405" w:type="dxa"/>
          </w:tcPr>
          <w:p w14:paraId="0B9A0D39" w14:textId="77777777" w:rsidR="00DA4AC8" w:rsidRPr="00C54B46" w:rsidRDefault="00DA4AC8" w:rsidP="00A3313C">
            <w:pPr>
              <w:pStyle w:val="Paragraph"/>
              <w:spacing w:before="120" w:after="120" w:line="204" w:lineRule="auto"/>
              <w:rPr>
                <w:rFonts w:cs="Arial"/>
                <w:sz w:val="17"/>
                <w:szCs w:val="17"/>
              </w:rPr>
            </w:pPr>
            <w:r w:rsidRPr="00C54B46">
              <w:rPr>
                <w:rFonts w:cs="Arial"/>
                <w:sz w:val="17"/>
                <w:szCs w:val="17"/>
              </w:rPr>
              <w:t xml:space="preserve">Cancer </w:t>
            </w:r>
          </w:p>
        </w:tc>
        <w:tc>
          <w:tcPr>
            <w:tcW w:w="6612" w:type="dxa"/>
          </w:tcPr>
          <w:p w14:paraId="2FF9FB3B" w14:textId="77777777" w:rsidR="00DA4AC8" w:rsidRPr="00C54B46" w:rsidRDefault="00DA4AC8" w:rsidP="00A3313C">
            <w:pPr>
              <w:pStyle w:val="Paragraph"/>
              <w:spacing w:before="120" w:after="120" w:line="204" w:lineRule="auto"/>
              <w:rPr>
                <w:rFonts w:cs="Arial"/>
                <w:sz w:val="17"/>
                <w:szCs w:val="17"/>
              </w:rPr>
            </w:pPr>
            <w:r w:rsidRPr="00C54B46">
              <w:rPr>
                <w:rFonts w:cs="Arial"/>
                <w:sz w:val="17"/>
                <w:szCs w:val="17"/>
              </w:rPr>
              <w:t xml:space="preserve">Cancer </w:t>
            </w:r>
          </w:p>
        </w:tc>
      </w:tr>
      <w:tr w:rsidR="00DA4AC8" w14:paraId="292872FF" w14:textId="77777777" w:rsidTr="00A3313C">
        <w:tc>
          <w:tcPr>
            <w:tcW w:w="2405" w:type="dxa"/>
          </w:tcPr>
          <w:p w14:paraId="2680A9E0" w14:textId="77777777" w:rsidR="00DA4AC8" w:rsidRPr="00C54B46" w:rsidRDefault="00DA4AC8" w:rsidP="00A3313C">
            <w:pPr>
              <w:pStyle w:val="Paragraph"/>
              <w:spacing w:before="120" w:after="120" w:line="204" w:lineRule="auto"/>
              <w:rPr>
                <w:rFonts w:cs="Arial"/>
                <w:sz w:val="17"/>
                <w:szCs w:val="17"/>
              </w:rPr>
            </w:pPr>
            <w:r w:rsidRPr="00C54B46">
              <w:rPr>
                <w:rFonts w:cs="Arial"/>
                <w:sz w:val="17"/>
                <w:szCs w:val="17"/>
              </w:rPr>
              <w:t xml:space="preserve">Chronic pain </w:t>
            </w:r>
          </w:p>
        </w:tc>
        <w:tc>
          <w:tcPr>
            <w:tcW w:w="6612" w:type="dxa"/>
          </w:tcPr>
          <w:p w14:paraId="3101B278" w14:textId="77777777" w:rsidR="00DA4AC8" w:rsidRPr="00C54B46" w:rsidRDefault="00DA4AC8" w:rsidP="00A3313C">
            <w:pPr>
              <w:pStyle w:val="Paragraph"/>
              <w:spacing w:before="120" w:after="120" w:line="204" w:lineRule="auto"/>
              <w:rPr>
                <w:rFonts w:cs="Arial"/>
                <w:sz w:val="17"/>
                <w:szCs w:val="17"/>
              </w:rPr>
            </w:pPr>
            <w:r w:rsidRPr="00C54B46">
              <w:rPr>
                <w:rFonts w:cs="Arial"/>
                <w:sz w:val="17"/>
                <w:szCs w:val="17"/>
              </w:rPr>
              <w:t>Painful condition</w:t>
            </w:r>
            <w:r w:rsidRPr="00C54B46">
              <w:rPr>
                <w:rStyle w:val="FootnoteReference"/>
                <w:rFonts w:cs="Arial"/>
                <w:sz w:val="17"/>
                <w:szCs w:val="17"/>
              </w:rPr>
              <w:footnoteReference w:id="6"/>
            </w:r>
            <w:r w:rsidRPr="00C54B46">
              <w:rPr>
                <w:rFonts w:cs="Arial"/>
                <w:sz w:val="17"/>
                <w:szCs w:val="17"/>
              </w:rPr>
              <w:t xml:space="preserve"> </w:t>
            </w:r>
          </w:p>
        </w:tc>
      </w:tr>
      <w:tr w:rsidR="00DA4AC8" w14:paraId="6E628EF1" w14:textId="77777777" w:rsidTr="00A3313C">
        <w:tc>
          <w:tcPr>
            <w:tcW w:w="2405" w:type="dxa"/>
          </w:tcPr>
          <w:p w14:paraId="0FD06C78" w14:textId="77777777" w:rsidR="00DA4AC8" w:rsidRPr="00C54B46" w:rsidRDefault="00DA4AC8" w:rsidP="00A3313C">
            <w:pPr>
              <w:pStyle w:val="Paragraph"/>
              <w:spacing w:before="120" w:after="120" w:line="240" w:lineRule="auto"/>
              <w:rPr>
                <w:rFonts w:cs="Arial"/>
                <w:sz w:val="17"/>
                <w:szCs w:val="17"/>
              </w:rPr>
            </w:pPr>
            <w:r w:rsidRPr="00C54B46">
              <w:rPr>
                <w:rFonts w:cs="Arial"/>
                <w:sz w:val="17"/>
                <w:szCs w:val="17"/>
              </w:rPr>
              <w:t xml:space="preserve">Circulatory conditions </w:t>
            </w:r>
          </w:p>
        </w:tc>
        <w:tc>
          <w:tcPr>
            <w:tcW w:w="6612" w:type="dxa"/>
          </w:tcPr>
          <w:p w14:paraId="49DDE42D"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Coronary heart disease </w:t>
            </w:r>
          </w:p>
          <w:p w14:paraId="60876F1B"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Atrial fibrillation or atrial flutter </w:t>
            </w:r>
          </w:p>
          <w:p w14:paraId="46BE5A11"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Heart failure </w:t>
            </w:r>
          </w:p>
          <w:p w14:paraId="0F92104D"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Hypertension </w:t>
            </w:r>
          </w:p>
          <w:p w14:paraId="71881071"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Stroke or TIA </w:t>
            </w:r>
          </w:p>
          <w:p w14:paraId="0BEBC148" w14:textId="77777777" w:rsidR="00DA4AC8" w:rsidRPr="00C54B46" w:rsidRDefault="00DA4AC8" w:rsidP="00A3313C">
            <w:pPr>
              <w:pStyle w:val="Paragraph"/>
              <w:spacing w:before="120" w:after="120" w:line="240" w:lineRule="auto"/>
              <w:rPr>
                <w:rFonts w:cs="Arial"/>
                <w:sz w:val="17"/>
                <w:szCs w:val="17"/>
              </w:rPr>
            </w:pPr>
            <w:r w:rsidRPr="00C54B46">
              <w:rPr>
                <w:rFonts w:cs="Arial"/>
                <w:sz w:val="17"/>
                <w:szCs w:val="17"/>
              </w:rPr>
              <w:t xml:space="preserve">Peripheral vascular disease </w:t>
            </w:r>
          </w:p>
        </w:tc>
      </w:tr>
      <w:tr w:rsidR="00DA4AC8" w14:paraId="0FF3B0E1" w14:textId="77777777" w:rsidTr="00A3313C">
        <w:trPr>
          <w:trHeight w:val="284"/>
        </w:trPr>
        <w:tc>
          <w:tcPr>
            <w:tcW w:w="2405" w:type="dxa"/>
          </w:tcPr>
          <w:p w14:paraId="56129EB2" w14:textId="77777777" w:rsidR="00DA4AC8" w:rsidRPr="00C54B46" w:rsidRDefault="00DA4AC8" w:rsidP="00A3313C">
            <w:pPr>
              <w:pStyle w:val="Paragraph"/>
              <w:spacing w:before="120" w:after="120" w:line="204" w:lineRule="auto"/>
              <w:rPr>
                <w:rFonts w:cs="Arial"/>
                <w:sz w:val="17"/>
                <w:szCs w:val="17"/>
              </w:rPr>
            </w:pPr>
            <w:r w:rsidRPr="00C54B46">
              <w:rPr>
                <w:rFonts w:cs="Arial"/>
                <w:sz w:val="17"/>
                <w:szCs w:val="17"/>
              </w:rPr>
              <w:t xml:space="preserve">Diabetes </w:t>
            </w:r>
          </w:p>
        </w:tc>
        <w:tc>
          <w:tcPr>
            <w:tcW w:w="6612" w:type="dxa"/>
          </w:tcPr>
          <w:p w14:paraId="235F0947" w14:textId="77777777" w:rsidR="00DA4AC8" w:rsidRPr="00C54B46" w:rsidRDefault="00DA4AC8" w:rsidP="00A3313C">
            <w:pPr>
              <w:pStyle w:val="Paragraph"/>
              <w:spacing w:before="120" w:after="120" w:line="204" w:lineRule="auto"/>
              <w:rPr>
                <w:rFonts w:cs="Arial"/>
                <w:sz w:val="17"/>
                <w:szCs w:val="17"/>
              </w:rPr>
            </w:pPr>
            <w:r w:rsidRPr="00C54B46">
              <w:rPr>
                <w:rFonts w:cs="Arial"/>
                <w:sz w:val="17"/>
                <w:szCs w:val="17"/>
              </w:rPr>
              <w:t xml:space="preserve">Diabetes </w:t>
            </w:r>
          </w:p>
        </w:tc>
      </w:tr>
      <w:tr w:rsidR="00DA4AC8" w14:paraId="0CB8C58A" w14:textId="77777777" w:rsidTr="00A3313C">
        <w:tc>
          <w:tcPr>
            <w:tcW w:w="2405" w:type="dxa"/>
          </w:tcPr>
          <w:p w14:paraId="12D5512D" w14:textId="77777777" w:rsidR="00DA4AC8" w:rsidRPr="00C54B46" w:rsidRDefault="00DA4AC8" w:rsidP="00A3313C">
            <w:pPr>
              <w:pStyle w:val="Paragraph"/>
              <w:spacing w:before="120" w:after="120" w:line="240" w:lineRule="auto"/>
              <w:rPr>
                <w:rFonts w:cs="Arial"/>
                <w:sz w:val="17"/>
                <w:szCs w:val="17"/>
              </w:rPr>
            </w:pPr>
            <w:r w:rsidRPr="00C54B46">
              <w:rPr>
                <w:rFonts w:cs="Arial"/>
                <w:sz w:val="17"/>
                <w:szCs w:val="17"/>
              </w:rPr>
              <w:t xml:space="preserve">Digestive system conditions </w:t>
            </w:r>
          </w:p>
        </w:tc>
        <w:tc>
          <w:tcPr>
            <w:tcW w:w="6612" w:type="dxa"/>
          </w:tcPr>
          <w:p w14:paraId="1C97EFFC" w14:textId="77777777" w:rsidR="00DA4AC8" w:rsidRPr="00C54B46" w:rsidRDefault="00DA4AC8" w:rsidP="00A3313C">
            <w:pPr>
              <w:pStyle w:val="Default"/>
              <w:spacing w:before="120" w:after="120"/>
              <w:rPr>
                <w:color w:val="auto"/>
                <w:sz w:val="17"/>
                <w:szCs w:val="17"/>
              </w:rPr>
            </w:pPr>
            <w:r w:rsidRPr="00C54B46">
              <w:rPr>
                <w:color w:val="auto"/>
                <w:sz w:val="17"/>
                <w:szCs w:val="17"/>
              </w:rPr>
              <w:t>Currently treated constipation</w:t>
            </w:r>
            <w:r w:rsidRPr="00C54B46">
              <w:rPr>
                <w:rStyle w:val="FootnoteReference"/>
                <w:sz w:val="17"/>
                <w:szCs w:val="17"/>
              </w:rPr>
              <w:footnoteReference w:id="7"/>
            </w:r>
          </w:p>
          <w:p w14:paraId="0BDE58B6"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Diverticular disease of intestine </w:t>
            </w:r>
          </w:p>
          <w:p w14:paraId="6BFE0080"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Inflammatory bowel disease </w:t>
            </w:r>
          </w:p>
          <w:p w14:paraId="0A662C29" w14:textId="77777777" w:rsidR="00DA4AC8" w:rsidRPr="00C54B46" w:rsidRDefault="00DA4AC8" w:rsidP="00A3313C">
            <w:pPr>
              <w:pStyle w:val="Paragraph"/>
              <w:spacing w:before="120" w:after="120" w:line="240" w:lineRule="auto"/>
              <w:rPr>
                <w:rFonts w:cs="Arial"/>
                <w:sz w:val="17"/>
                <w:szCs w:val="17"/>
              </w:rPr>
            </w:pPr>
            <w:r w:rsidRPr="00C54B46">
              <w:rPr>
                <w:rFonts w:cs="Arial"/>
                <w:sz w:val="17"/>
                <w:szCs w:val="17"/>
              </w:rPr>
              <w:t xml:space="preserve">Chronic liver disease </w:t>
            </w:r>
          </w:p>
        </w:tc>
      </w:tr>
      <w:tr w:rsidR="00DA4AC8" w14:paraId="6CFA914E" w14:textId="77777777" w:rsidTr="00A3313C">
        <w:tc>
          <w:tcPr>
            <w:tcW w:w="2405" w:type="dxa"/>
          </w:tcPr>
          <w:p w14:paraId="277EEBCB" w14:textId="77777777" w:rsidR="00DA4AC8" w:rsidRPr="00C54B46" w:rsidRDefault="00DA4AC8" w:rsidP="00A3313C">
            <w:pPr>
              <w:pStyle w:val="Paragraph"/>
              <w:spacing w:before="120" w:after="120" w:line="204" w:lineRule="auto"/>
              <w:rPr>
                <w:rFonts w:cs="Arial"/>
                <w:sz w:val="17"/>
                <w:szCs w:val="17"/>
              </w:rPr>
            </w:pPr>
            <w:r w:rsidRPr="00C54B46">
              <w:rPr>
                <w:rFonts w:cs="Arial"/>
                <w:sz w:val="17"/>
                <w:szCs w:val="17"/>
              </w:rPr>
              <w:t xml:space="preserve">Learning disability </w:t>
            </w:r>
          </w:p>
        </w:tc>
        <w:tc>
          <w:tcPr>
            <w:tcW w:w="6612" w:type="dxa"/>
          </w:tcPr>
          <w:p w14:paraId="4B28881D" w14:textId="77777777" w:rsidR="00DA4AC8" w:rsidRPr="00C54B46" w:rsidRDefault="00DA4AC8" w:rsidP="00A3313C">
            <w:pPr>
              <w:pStyle w:val="Paragraph"/>
              <w:spacing w:before="120" w:after="120" w:line="204" w:lineRule="auto"/>
              <w:rPr>
                <w:rFonts w:cs="Arial"/>
                <w:sz w:val="17"/>
                <w:szCs w:val="17"/>
              </w:rPr>
            </w:pPr>
            <w:r w:rsidRPr="00C54B46">
              <w:rPr>
                <w:rFonts w:cs="Arial"/>
                <w:sz w:val="17"/>
                <w:szCs w:val="17"/>
              </w:rPr>
              <w:t xml:space="preserve">Learning disability </w:t>
            </w:r>
          </w:p>
        </w:tc>
      </w:tr>
      <w:tr w:rsidR="00DA4AC8" w14:paraId="00BD1CF0" w14:textId="77777777" w:rsidTr="00A3313C">
        <w:tc>
          <w:tcPr>
            <w:tcW w:w="2405" w:type="dxa"/>
          </w:tcPr>
          <w:p w14:paraId="63A55632" w14:textId="77777777" w:rsidR="00DA4AC8" w:rsidRPr="00C54B46" w:rsidRDefault="00DA4AC8" w:rsidP="00A3313C">
            <w:pPr>
              <w:pStyle w:val="Paragraph"/>
              <w:spacing w:before="120" w:after="120" w:line="240" w:lineRule="auto"/>
              <w:rPr>
                <w:rFonts w:cs="Arial"/>
                <w:sz w:val="17"/>
                <w:szCs w:val="17"/>
              </w:rPr>
            </w:pPr>
            <w:r w:rsidRPr="00C54B46">
              <w:rPr>
                <w:rFonts w:cs="Arial"/>
                <w:sz w:val="17"/>
                <w:szCs w:val="17"/>
              </w:rPr>
              <w:t xml:space="preserve">Mental health </w:t>
            </w:r>
          </w:p>
        </w:tc>
        <w:tc>
          <w:tcPr>
            <w:tcW w:w="6612" w:type="dxa"/>
          </w:tcPr>
          <w:p w14:paraId="58E8958D"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Anorexia or Bulimia </w:t>
            </w:r>
          </w:p>
          <w:p w14:paraId="6DBE36CF"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Anxiety &amp; other neurotic, stress related and somatoform disorders </w:t>
            </w:r>
          </w:p>
          <w:p w14:paraId="35499551"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Dementia (including Alzheimer’s) </w:t>
            </w:r>
          </w:p>
          <w:p w14:paraId="62F2107A"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Depression </w:t>
            </w:r>
          </w:p>
          <w:p w14:paraId="7B6F002B"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Schizophrenia and related non-organic psychosis </w:t>
            </w:r>
          </w:p>
          <w:p w14:paraId="6C666861"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Bipolar disorder </w:t>
            </w:r>
          </w:p>
          <w:p w14:paraId="2FBF4DB2"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Alcohol problems </w:t>
            </w:r>
          </w:p>
          <w:p w14:paraId="59147443" w14:textId="77777777" w:rsidR="00DA4AC8" w:rsidRPr="00C54B46" w:rsidRDefault="00DA4AC8" w:rsidP="00A3313C">
            <w:pPr>
              <w:pStyle w:val="Paragraph"/>
              <w:spacing w:before="120" w:after="120" w:line="240" w:lineRule="auto"/>
              <w:rPr>
                <w:rFonts w:cs="Arial"/>
                <w:sz w:val="17"/>
                <w:szCs w:val="17"/>
              </w:rPr>
            </w:pPr>
            <w:r w:rsidRPr="00C54B46">
              <w:rPr>
                <w:rFonts w:cs="Arial"/>
                <w:sz w:val="17"/>
                <w:szCs w:val="17"/>
              </w:rPr>
              <w:t xml:space="preserve">Psychoactive substance misuse </w:t>
            </w:r>
          </w:p>
        </w:tc>
      </w:tr>
      <w:tr w:rsidR="00DA4AC8" w14:paraId="48A467FD" w14:textId="77777777" w:rsidTr="00A3313C">
        <w:tc>
          <w:tcPr>
            <w:tcW w:w="2405" w:type="dxa"/>
          </w:tcPr>
          <w:p w14:paraId="720BDA8F"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Musculoskeletal conditions </w:t>
            </w:r>
          </w:p>
        </w:tc>
        <w:tc>
          <w:tcPr>
            <w:tcW w:w="6612" w:type="dxa"/>
          </w:tcPr>
          <w:p w14:paraId="4BCC82B5"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Rheumatoid arthritis </w:t>
            </w:r>
          </w:p>
          <w:p w14:paraId="7FBF2833"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Other inflammatory </w:t>
            </w:r>
            <w:proofErr w:type="spellStart"/>
            <w:r w:rsidRPr="00C54B46">
              <w:rPr>
                <w:color w:val="auto"/>
                <w:sz w:val="17"/>
                <w:szCs w:val="17"/>
              </w:rPr>
              <w:t>polyarthropathies</w:t>
            </w:r>
            <w:proofErr w:type="spellEnd"/>
            <w:r w:rsidRPr="00C54B46">
              <w:rPr>
                <w:color w:val="auto"/>
                <w:sz w:val="17"/>
                <w:szCs w:val="17"/>
              </w:rPr>
              <w:t xml:space="preserve"> </w:t>
            </w:r>
          </w:p>
          <w:p w14:paraId="6376338C"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Systemic connective tissue disorders </w:t>
            </w:r>
          </w:p>
        </w:tc>
      </w:tr>
      <w:tr w:rsidR="00DA4AC8" w14:paraId="79092A5F" w14:textId="77777777" w:rsidTr="00A3313C">
        <w:tc>
          <w:tcPr>
            <w:tcW w:w="2405" w:type="dxa"/>
          </w:tcPr>
          <w:p w14:paraId="66361E7D"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Neurological conditions </w:t>
            </w:r>
          </w:p>
        </w:tc>
        <w:tc>
          <w:tcPr>
            <w:tcW w:w="6612" w:type="dxa"/>
          </w:tcPr>
          <w:p w14:paraId="453C897C"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Currently treated epilepsy </w:t>
            </w:r>
          </w:p>
          <w:p w14:paraId="3E733F5A"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Multiple sclerosis </w:t>
            </w:r>
          </w:p>
          <w:p w14:paraId="66522959" w14:textId="77777777" w:rsidR="00DA4AC8" w:rsidRPr="00C54B46" w:rsidRDefault="00DA4AC8" w:rsidP="00A3313C">
            <w:pPr>
              <w:pStyle w:val="Default"/>
              <w:spacing w:before="120" w:after="120"/>
              <w:rPr>
                <w:color w:val="auto"/>
                <w:sz w:val="17"/>
                <w:szCs w:val="17"/>
              </w:rPr>
            </w:pPr>
            <w:r w:rsidRPr="00C54B46">
              <w:rPr>
                <w:color w:val="auto"/>
                <w:sz w:val="17"/>
                <w:szCs w:val="17"/>
              </w:rPr>
              <w:t xml:space="preserve">Parkinson’s (of any cause) </w:t>
            </w:r>
          </w:p>
        </w:tc>
      </w:tr>
      <w:tr w:rsidR="00DA4AC8" w14:paraId="74888EC9" w14:textId="77777777" w:rsidTr="00A3313C">
        <w:tc>
          <w:tcPr>
            <w:tcW w:w="2405" w:type="dxa"/>
          </w:tcPr>
          <w:p w14:paraId="6FAB860E" w14:textId="77777777" w:rsidR="00DA4AC8" w:rsidRPr="00C54B46" w:rsidRDefault="00DA4AC8" w:rsidP="00A3313C">
            <w:pPr>
              <w:pStyle w:val="Default"/>
              <w:spacing w:before="120" w:after="120" w:line="204" w:lineRule="auto"/>
              <w:rPr>
                <w:rFonts w:cs="Times New Roman"/>
                <w:color w:val="auto"/>
                <w:sz w:val="17"/>
                <w:szCs w:val="17"/>
              </w:rPr>
            </w:pPr>
            <w:r w:rsidRPr="00C54B46">
              <w:rPr>
                <w:rFonts w:cs="Times New Roman"/>
                <w:color w:val="auto"/>
                <w:sz w:val="17"/>
                <w:szCs w:val="17"/>
              </w:rPr>
              <w:t xml:space="preserve">Renal conditions </w:t>
            </w:r>
          </w:p>
        </w:tc>
        <w:tc>
          <w:tcPr>
            <w:tcW w:w="6612" w:type="dxa"/>
          </w:tcPr>
          <w:p w14:paraId="2242B78E" w14:textId="77777777" w:rsidR="00DA4AC8" w:rsidRPr="00C54B46" w:rsidRDefault="00DA4AC8" w:rsidP="00A3313C">
            <w:pPr>
              <w:pStyle w:val="Default"/>
              <w:spacing w:before="120" w:after="120" w:line="204" w:lineRule="auto"/>
              <w:rPr>
                <w:rFonts w:cs="Times New Roman"/>
                <w:color w:val="auto"/>
                <w:sz w:val="17"/>
                <w:szCs w:val="17"/>
              </w:rPr>
            </w:pPr>
            <w:r w:rsidRPr="00C54B46">
              <w:rPr>
                <w:rFonts w:cs="Times New Roman"/>
                <w:color w:val="auto"/>
                <w:sz w:val="17"/>
                <w:szCs w:val="17"/>
              </w:rPr>
              <w:t xml:space="preserve">Chronic kidney disease </w:t>
            </w:r>
          </w:p>
        </w:tc>
      </w:tr>
      <w:tr w:rsidR="00DA4AC8" w14:paraId="191740F2" w14:textId="77777777" w:rsidTr="00A3313C">
        <w:tc>
          <w:tcPr>
            <w:tcW w:w="2405" w:type="dxa"/>
          </w:tcPr>
          <w:p w14:paraId="35DAAACF" w14:textId="77777777" w:rsidR="00DA4AC8" w:rsidRPr="00C54B46" w:rsidRDefault="00DA4AC8" w:rsidP="00A3313C">
            <w:pPr>
              <w:pStyle w:val="Default"/>
              <w:spacing w:before="120" w:after="120"/>
              <w:rPr>
                <w:rFonts w:cs="Times New Roman"/>
                <w:color w:val="auto"/>
                <w:sz w:val="17"/>
                <w:szCs w:val="17"/>
              </w:rPr>
            </w:pPr>
            <w:r w:rsidRPr="00C54B46">
              <w:rPr>
                <w:rFonts w:cs="Times New Roman"/>
                <w:color w:val="auto"/>
                <w:sz w:val="17"/>
                <w:szCs w:val="17"/>
              </w:rPr>
              <w:t xml:space="preserve">Respiratory conditions </w:t>
            </w:r>
          </w:p>
        </w:tc>
        <w:tc>
          <w:tcPr>
            <w:tcW w:w="6612" w:type="dxa"/>
          </w:tcPr>
          <w:p w14:paraId="20D78F5B" w14:textId="77777777" w:rsidR="00DA4AC8" w:rsidRPr="00C54B46" w:rsidRDefault="00DA4AC8" w:rsidP="00A3313C">
            <w:pPr>
              <w:pStyle w:val="Default"/>
              <w:spacing w:before="120" w:after="120"/>
              <w:rPr>
                <w:rFonts w:cs="Times New Roman"/>
                <w:color w:val="auto"/>
                <w:sz w:val="17"/>
                <w:szCs w:val="17"/>
              </w:rPr>
            </w:pPr>
            <w:r w:rsidRPr="00C54B46">
              <w:rPr>
                <w:rFonts w:cs="Times New Roman"/>
                <w:color w:val="auto"/>
                <w:sz w:val="17"/>
                <w:szCs w:val="17"/>
              </w:rPr>
              <w:t xml:space="preserve">Currently treated asthma </w:t>
            </w:r>
          </w:p>
          <w:p w14:paraId="08A36CD4" w14:textId="77777777" w:rsidR="00DA4AC8" w:rsidRPr="00C54B46" w:rsidRDefault="00DA4AC8" w:rsidP="00A3313C">
            <w:pPr>
              <w:pStyle w:val="Default"/>
              <w:spacing w:before="120" w:after="120"/>
              <w:rPr>
                <w:rFonts w:cs="Times New Roman"/>
                <w:color w:val="auto"/>
                <w:sz w:val="17"/>
                <w:szCs w:val="17"/>
              </w:rPr>
            </w:pPr>
            <w:r w:rsidRPr="00C54B46">
              <w:rPr>
                <w:rFonts w:cs="Times New Roman"/>
                <w:color w:val="auto"/>
                <w:sz w:val="17"/>
                <w:szCs w:val="17"/>
              </w:rPr>
              <w:t xml:space="preserve">COPD </w:t>
            </w:r>
          </w:p>
          <w:p w14:paraId="0092C188" w14:textId="77777777" w:rsidR="00DA4AC8" w:rsidRPr="00C54B46" w:rsidRDefault="00DA4AC8" w:rsidP="00A3313C">
            <w:pPr>
              <w:pStyle w:val="Default"/>
              <w:spacing w:before="120" w:after="120"/>
              <w:rPr>
                <w:rFonts w:cs="Times New Roman"/>
                <w:color w:val="auto"/>
                <w:sz w:val="17"/>
                <w:szCs w:val="17"/>
              </w:rPr>
            </w:pPr>
            <w:r w:rsidRPr="00C54B46">
              <w:rPr>
                <w:rFonts w:cs="Times New Roman"/>
                <w:color w:val="auto"/>
                <w:sz w:val="17"/>
                <w:szCs w:val="17"/>
              </w:rPr>
              <w:t xml:space="preserve">Bronchiectasis </w:t>
            </w:r>
          </w:p>
        </w:tc>
      </w:tr>
    </w:tbl>
    <w:p w14:paraId="3BEAC1F2" w14:textId="63618E88" w:rsidR="00F97DD3" w:rsidRPr="00F97DD3" w:rsidRDefault="00F97DD3" w:rsidP="00F97DD3">
      <w:bookmarkStart w:id="2" w:name="_GoBack"/>
      <w:bookmarkEnd w:id="2"/>
    </w:p>
    <w:sectPr w:rsidR="00F97DD3" w:rsidRPr="00F97DD3" w:rsidSect="00DA4AC8">
      <w:headerReference w:type="default" r:id="rId8"/>
      <w:footerReference w:type="default" r:id="rId9"/>
      <w:type w:val="continuous"/>
      <w:pgSz w:w="11906" w:h="16838"/>
      <w:pgMar w:top="1440" w:right="1440" w:bottom="1134" w:left="144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7981B" w14:textId="77777777" w:rsidR="009C3182" w:rsidRDefault="009C3182" w:rsidP="00461419">
      <w:pPr>
        <w:spacing w:after="0" w:line="240" w:lineRule="auto"/>
      </w:pPr>
      <w:r>
        <w:separator/>
      </w:r>
    </w:p>
    <w:p w14:paraId="0D130CF1" w14:textId="77777777" w:rsidR="009C3182" w:rsidRDefault="009C3182"/>
  </w:endnote>
  <w:endnote w:type="continuationSeparator" w:id="0">
    <w:p w14:paraId="043E2499" w14:textId="77777777" w:rsidR="009C3182" w:rsidRDefault="009C3182" w:rsidP="00461419">
      <w:pPr>
        <w:spacing w:after="0" w:line="240" w:lineRule="auto"/>
      </w:pPr>
      <w:r>
        <w:continuationSeparator/>
      </w:r>
    </w:p>
    <w:p w14:paraId="5F0EA2A0" w14:textId="77777777" w:rsidR="009C3182" w:rsidRDefault="009C3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835297"/>
      <w:docPartObj>
        <w:docPartGallery w:val="Page Numbers (Bottom of Page)"/>
        <w:docPartUnique/>
      </w:docPartObj>
    </w:sdtPr>
    <w:sdtEndPr>
      <w:rPr>
        <w:noProof/>
      </w:rPr>
    </w:sdtEndPr>
    <w:sdtContent>
      <w:p w14:paraId="7C4DC8CB" w14:textId="77777777" w:rsidR="009C3182" w:rsidRDefault="009C3182">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14:paraId="4F1CFF91" w14:textId="77777777" w:rsidR="009C3182" w:rsidRDefault="009C3182">
    <w:pPr>
      <w:pStyle w:val="Footer"/>
    </w:pPr>
  </w:p>
  <w:p w14:paraId="26854634" w14:textId="77777777" w:rsidR="009C3182" w:rsidRDefault="009C31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9E157" w14:textId="77777777" w:rsidR="009C3182" w:rsidRDefault="009C3182" w:rsidP="00461419">
      <w:pPr>
        <w:spacing w:after="0" w:line="240" w:lineRule="auto"/>
      </w:pPr>
      <w:r>
        <w:separator/>
      </w:r>
    </w:p>
    <w:p w14:paraId="6EB6C6CE" w14:textId="77777777" w:rsidR="009C3182" w:rsidRDefault="009C3182"/>
  </w:footnote>
  <w:footnote w:type="continuationSeparator" w:id="0">
    <w:p w14:paraId="1391585A" w14:textId="77777777" w:rsidR="009C3182" w:rsidRDefault="009C3182" w:rsidP="00461419">
      <w:pPr>
        <w:spacing w:after="0" w:line="240" w:lineRule="auto"/>
      </w:pPr>
      <w:r>
        <w:continuationSeparator/>
      </w:r>
    </w:p>
    <w:p w14:paraId="49F71F7B" w14:textId="77777777" w:rsidR="009C3182" w:rsidRDefault="009C3182"/>
  </w:footnote>
  <w:footnote w:id="1">
    <w:p w14:paraId="26F732F6" w14:textId="4104C5D0" w:rsidR="009C3182" w:rsidRDefault="009C3182">
      <w:pPr>
        <w:pStyle w:val="FootnoteText"/>
      </w:pPr>
      <w:r>
        <w:rPr>
          <w:rStyle w:val="FootnoteReference"/>
        </w:rPr>
        <w:footnoteRef/>
      </w:r>
      <w:r>
        <w:t xml:space="preserve"> </w:t>
      </w:r>
      <w:r>
        <w:rPr>
          <w:color w:val="000000" w:themeColor="text1"/>
        </w:rPr>
        <w:t>Screening Tool of Older People’s Prescriptions and Screening Tool to Alert to Right Treatment</w:t>
      </w:r>
    </w:p>
  </w:footnote>
  <w:footnote w:id="2">
    <w:p w14:paraId="7FE94FF5" w14:textId="6516D6C6" w:rsidR="009C3182" w:rsidRDefault="009C3182">
      <w:pPr>
        <w:pStyle w:val="FootnoteText"/>
      </w:pPr>
      <w:r>
        <w:rPr>
          <w:rStyle w:val="FootnoteReference"/>
        </w:rPr>
        <w:footnoteRef/>
      </w:r>
      <w:r>
        <w:t xml:space="preserve"> </w:t>
      </w:r>
      <w:r>
        <w:rPr>
          <w:color w:val="000000" w:themeColor="text1"/>
        </w:rPr>
        <w:t>Education and Cost-analysis Leading to Improved Prescribing Safety and Efficiency</w:t>
      </w:r>
    </w:p>
  </w:footnote>
  <w:footnote w:id="3">
    <w:p w14:paraId="2FCE9FA0" w14:textId="77777777" w:rsidR="009C3182" w:rsidRDefault="009C3182" w:rsidP="00276208">
      <w:pPr>
        <w:pStyle w:val="FootnoteText"/>
      </w:pPr>
      <w:r>
        <w:rPr>
          <w:rStyle w:val="FootnoteReference"/>
        </w:rPr>
        <w:footnoteRef/>
      </w:r>
      <w:r>
        <w:t xml:space="preserve"> </w:t>
      </w:r>
      <w:r w:rsidRPr="00C16B67">
        <w:t>https://www.england.nhs.uk/wp-content/uploads/2019/01/gp-contract-2019.pdf</w:t>
      </w:r>
    </w:p>
  </w:footnote>
  <w:footnote w:id="4">
    <w:p w14:paraId="31729C1F" w14:textId="77777777" w:rsidR="009C3182" w:rsidRDefault="009C3182" w:rsidP="00293ACE">
      <w:pPr>
        <w:pStyle w:val="FootnoteText"/>
      </w:pPr>
      <w:r>
        <w:rPr>
          <w:rStyle w:val="FootnoteReference"/>
        </w:rPr>
        <w:footnoteRef/>
      </w:r>
      <w:r>
        <w:t xml:space="preserve"> 2016/17 registered population taken from NHS Digital QOF 2016/17 </w:t>
      </w:r>
      <w:r w:rsidRPr="009870C6">
        <w:rPr>
          <w:i/>
        </w:rPr>
        <w:t>https://digital.nhs.uk/</w:t>
      </w:r>
    </w:p>
  </w:footnote>
  <w:footnote w:id="5">
    <w:p w14:paraId="14DC22A3" w14:textId="77777777" w:rsidR="009C3182" w:rsidRDefault="009C3182" w:rsidP="00293ACE">
      <w:pPr>
        <w:pStyle w:val="FootnoteText"/>
      </w:pPr>
      <w:r>
        <w:rPr>
          <w:rStyle w:val="FootnoteReference"/>
        </w:rPr>
        <w:footnoteRef/>
      </w:r>
      <w:r>
        <w:t xml:space="preserve"> Index of Multiple Deprivation (IMD 2015) Public Health England </w:t>
      </w:r>
      <w:r w:rsidRPr="006C3324">
        <w:rPr>
          <w:i/>
        </w:rPr>
        <w:t>https://fingertips.phe.org.uk</w:t>
      </w:r>
    </w:p>
  </w:footnote>
  <w:footnote w:id="6">
    <w:p w14:paraId="2C2342C8" w14:textId="77777777" w:rsidR="00DA4AC8" w:rsidRPr="00633677" w:rsidRDefault="00DA4AC8" w:rsidP="00DA4AC8">
      <w:pPr>
        <w:pStyle w:val="FootnoteText"/>
        <w:rPr>
          <w:lang w:val="en-US"/>
        </w:rPr>
      </w:pPr>
      <w:r>
        <w:rPr>
          <w:rStyle w:val="FootnoteReference"/>
        </w:rPr>
        <w:footnoteRef/>
      </w:r>
      <w:r>
        <w:t xml:space="preserve"> </w:t>
      </w:r>
      <w:r w:rsidRPr="00633677">
        <w:rPr>
          <w:rFonts w:cs="Arial"/>
        </w:rPr>
        <w:t>Defined by the presence of 4 or more prescription only medicine analgesic prescriptions or 4 or more specified anti-epileptics in the absence of an epilepsy Read code in last 12 months.</w:t>
      </w:r>
      <w:r>
        <w:t xml:space="preserve">  </w:t>
      </w:r>
    </w:p>
  </w:footnote>
  <w:footnote w:id="7">
    <w:p w14:paraId="5FC5C0D8" w14:textId="77777777" w:rsidR="00DA4AC8" w:rsidRPr="00633677" w:rsidRDefault="00DA4AC8" w:rsidP="00DA4AC8">
      <w:pPr>
        <w:pStyle w:val="FootnoteText"/>
        <w:rPr>
          <w:rFonts w:cs="Arial"/>
          <w:lang w:val="en-US"/>
        </w:rPr>
      </w:pPr>
      <w:r w:rsidRPr="00633677">
        <w:rPr>
          <w:rStyle w:val="FootnoteReference"/>
          <w:rFonts w:cs="Arial"/>
        </w:rPr>
        <w:footnoteRef/>
      </w:r>
      <w:r w:rsidRPr="00633677">
        <w:rPr>
          <w:rFonts w:cs="Arial"/>
        </w:rPr>
        <w:t xml:space="preserve"> Four or more laxative prescriptions in the last 12 months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A1AC2" w14:textId="1C138161" w:rsidR="009C3182" w:rsidRDefault="009C3182">
    <w:pPr>
      <w:pStyle w:val="Header"/>
    </w:pPr>
    <w:r>
      <w:t>Item 5e(ii)</w:t>
    </w:r>
  </w:p>
  <w:p w14:paraId="75E9C80B" w14:textId="77777777" w:rsidR="009C3182" w:rsidRDefault="009C3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D4E"/>
    <w:multiLevelType w:val="hybridMultilevel"/>
    <w:tmpl w:val="4AD8B062"/>
    <w:lvl w:ilvl="0" w:tplc="70EA4A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53813"/>
    <w:multiLevelType w:val="hybridMultilevel"/>
    <w:tmpl w:val="8BA23B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7C70FEC"/>
    <w:multiLevelType w:val="hybridMultilevel"/>
    <w:tmpl w:val="09F6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513F0"/>
    <w:multiLevelType w:val="hybridMultilevel"/>
    <w:tmpl w:val="09905132"/>
    <w:lvl w:ilvl="0" w:tplc="7CB248F2">
      <w:start w:val="1"/>
      <w:numFmt w:val="bullet"/>
      <w:lvlText w:val="•"/>
      <w:lvlJc w:val="left"/>
      <w:pPr>
        <w:tabs>
          <w:tab w:val="num" w:pos="720"/>
        </w:tabs>
        <w:ind w:left="720" w:hanging="360"/>
      </w:pPr>
      <w:rPr>
        <w:rFonts w:ascii="Arial" w:hAnsi="Arial" w:hint="default"/>
      </w:rPr>
    </w:lvl>
    <w:lvl w:ilvl="1" w:tplc="BFA0E274" w:tentative="1">
      <w:start w:val="1"/>
      <w:numFmt w:val="bullet"/>
      <w:lvlText w:val="•"/>
      <w:lvlJc w:val="left"/>
      <w:pPr>
        <w:tabs>
          <w:tab w:val="num" w:pos="1440"/>
        </w:tabs>
        <w:ind w:left="1440" w:hanging="360"/>
      </w:pPr>
      <w:rPr>
        <w:rFonts w:ascii="Arial" w:hAnsi="Arial" w:hint="default"/>
      </w:rPr>
    </w:lvl>
    <w:lvl w:ilvl="2" w:tplc="0D06E89E" w:tentative="1">
      <w:start w:val="1"/>
      <w:numFmt w:val="bullet"/>
      <w:lvlText w:val="•"/>
      <w:lvlJc w:val="left"/>
      <w:pPr>
        <w:tabs>
          <w:tab w:val="num" w:pos="2160"/>
        </w:tabs>
        <w:ind w:left="2160" w:hanging="360"/>
      </w:pPr>
      <w:rPr>
        <w:rFonts w:ascii="Arial" w:hAnsi="Arial" w:hint="default"/>
      </w:rPr>
    </w:lvl>
    <w:lvl w:ilvl="3" w:tplc="B0D0B382" w:tentative="1">
      <w:start w:val="1"/>
      <w:numFmt w:val="bullet"/>
      <w:lvlText w:val="•"/>
      <w:lvlJc w:val="left"/>
      <w:pPr>
        <w:tabs>
          <w:tab w:val="num" w:pos="2880"/>
        </w:tabs>
        <w:ind w:left="2880" w:hanging="360"/>
      </w:pPr>
      <w:rPr>
        <w:rFonts w:ascii="Arial" w:hAnsi="Arial" w:hint="default"/>
      </w:rPr>
    </w:lvl>
    <w:lvl w:ilvl="4" w:tplc="10CEF8A8" w:tentative="1">
      <w:start w:val="1"/>
      <w:numFmt w:val="bullet"/>
      <w:lvlText w:val="•"/>
      <w:lvlJc w:val="left"/>
      <w:pPr>
        <w:tabs>
          <w:tab w:val="num" w:pos="3600"/>
        </w:tabs>
        <w:ind w:left="3600" w:hanging="360"/>
      </w:pPr>
      <w:rPr>
        <w:rFonts w:ascii="Arial" w:hAnsi="Arial" w:hint="default"/>
      </w:rPr>
    </w:lvl>
    <w:lvl w:ilvl="5" w:tplc="0CAED934" w:tentative="1">
      <w:start w:val="1"/>
      <w:numFmt w:val="bullet"/>
      <w:lvlText w:val="•"/>
      <w:lvlJc w:val="left"/>
      <w:pPr>
        <w:tabs>
          <w:tab w:val="num" w:pos="4320"/>
        </w:tabs>
        <w:ind w:left="4320" w:hanging="360"/>
      </w:pPr>
      <w:rPr>
        <w:rFonts w:ascii="Arial" w:hAnsi="Arial" w:hint="default"/>
      </w:rPr>
    </w:lvl>
    <w:lvl w:ilvl="6" w:tplc="4B321322" w:tentative="1">
      <w:start w:val="1"/>
      <w:numFmt w:val="bullet"/>
      <w:lvlText w:val="•"/>
      <w:lvlJc w:val="left"/>
      <w:pPr>
        <w:tabs>
          <w:tab w:val="num" w:pos="5040"/>
        </w:tabs>
        <w:ind w:left="5040" w:hanging="360"/>
      </w:pPr>
      <w:rPr>
        <w:rFonts w:ascii="Arial" w:hAnsi="Arial" w:hint="default"/>
      </w:rPr>
    </w:lvl>
    <w:lvl w:ilvl="7" w:tplc="6688FF8E" w:tentative="1">
      <w:start w:val="1"/>
      <w:numFmt w:val="bullet"/>
      <w:lvlText w:val="•"/>
      <w:lvlJc w:val="left"/>
      <w:pPr>
        <w:tabs>
          <w:tab w:val="num" w:pos="5760"/>
        </w:tabs>
        <w:ind w:left="5760" w:hanging="360"/>
      </w:pPr>
      <w:rPr>
        <w:rFonts w:ascii="Arial" w:hAnsi="Arial" w:hint="default"/>
      </w:rPr>
    </w:lvl>
    <w:lvl w:ilvl="8" w:tplc="947E23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C6057C"/>
    <w:multiLevelType w:val="hybridMultilevel"/>
    <w:tmpl w:val="E662BC8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BB316E"/>
    <w:multiLevelType w:val="hybridMultilevel"/>
    <w:tmpl w:val="E912DB02"/>
    <w:lvl w:ilvl="0" w:tplc="D33E84CC">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C3FA6"/>
    <w:multiLevelType w:val="hybridMultilevel"/>
    <w:tmpl w:val="FACC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D70B5"/>
    <w:multiLevelType w:val="hybridMultilevel"/>
    <w:tmpl w:val="44FA8FF4"/>
    <w:lvl w:ilvl="0" w:tplc="04090017">
      <w:start w:val="1"/>
      <w:numFmt w:val="lowerLetter"/>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905323"/>
    <w:multiLevelType w:val="hybridMultilevel"/>
    <w:tmpl w:val="7E1EBC6C"/>
    <w:lvl w:ilvl="0" w:tplc="99F602F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A2B15"/>
    <w:multiLevelType w:val="hybridMultilevel"/>
    <w:tmpl w:val="2FD8D462"/>
    <w:lvl w:ilvl="0" w:tplc="C158089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B13A3"/>
    <w:multiLevelType w:val="hybridMultilevel"/>
    <w:tmpl w:val="EFB4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75D7D"/>
    <w:multiLevelType w:val="hybridMultilevel"/>
    <w:tmpl w:val="897A729C"/>
    <w:lvl w:ilvl="0" w:tplc="260616D6">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92575C"/>
    <w:multiLevelType w:val="hybridMultilevel"/>
    <w:tmpl w:val="5522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83E87"/>
    <w:multiLevelType w:val="hybridMultilevel"/>
    <w:tmpl w:val="6164B7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465C6A"/>
    <w:multiLevelType w:val="hybridMultilevel"/>
    <w:tmpl w:val="4D24E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182DAE"/>
    <w:multiLevelType w:val="hybridMultilevel"/>
    <w:tmpl w:val="041C0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0011F"/>
    <w:multiLevelType w:val="hybridMultilevel"/>
    <w:tmpl w:val="F83E2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B2478E"/>
    <w:multiLevelType w:val="hybridMultilevel"/>
    <w:tmpl w:val="0BA055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B22140"/>
    <w:multiLevelType w:val="hybridMultilevel"/>
    <w:tmpl w:val="25D8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01820"/>
    <w:multiLevelType w:val="hybridMultilevel"/>
    <w:tmpl w:val="8932D3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F55831"/>
    <w:multiLevelType w:val="hybridMultilevel"/>
    <w:tmpl w:val="1DB2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E3795"/>
    <w:multiLevelType w:val="hybridMultilevel"/>
    <w:tmpl w:val="BCEE77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D913BE"/>
    <w:multiLevelType w:val="hybridMultilevel"/>
    <w:tmpl w:val="01FEA73A"/>
    <w:lvl w:ilvl="0" w:tplc="E4FADDB2">
      <w:start w:val="1"/>
      <w:numFmt w:val="lowerLetter"/>
      <w:lvlText w:val="%1."/>
      <w:lvlJc w:val="left"/>
      <w:pPr>
        <w:ind w:left="360" w:hanging="360"/>
      </w:pPr>
      <w:rPr>
        <w:rFonts w:ascii="Arial" w:eastAsiaTheme="minorHAnsi" w:hAnsi="Arial"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ADA22C0"/>
    <w:multiLevelType w:val="hybridMultilevel"/>
    <w:tmpl w:val="ACB2C96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B7E3330"/>
    <w:multiLevelType w:val="hybridMultilevel"/>
    <w:tmpl w:val="B13840BE"/>
    <w:lvl w:ilvl="0" w:tplc="FDFAE9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C54263"/>
    <w:multiLevelType w:val="hybridMultilevel"/>
    <w:tmpl w:val="76088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F6114F"/>
    <w:multiLevelType w:val="hybridMultilevel"/>
    <w:tmpl w:val="D6DA0F7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1275A86"/>
    <w:multiLevelType w:val="hybridMultilevel"/>
    <w:tmpl w:val="7B8C4086"/>
    <w:lvl w:ilvl="0" w:tplc="9EF0EF36">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5D046F"/>
    <w:multiLevelType w:val="hybridMultilevel"/>
    <w:tmpl w:val="69A0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7147FB"/>
    <w:multiLevelType w:val="hybridMultilevel"/>
    <w:tmpl w:val="6DBA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F6396"/>
    <w:multiLevelType w:val="hybridMultilevel"/>
    <w:tmpl w:val="7D48B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1B1760E"/>
    <w:multiLevelType w:val="hybridMultilevel"/>
    <w:tmpl w:val="824A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5ED3"/>
    <w:multiLevelType w:val="hybridMultilevel"/>
    <w:tmpl w:val="30DA853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3" w15:restartNumberingAfterBreak="0">
    <w:nsid w:val="760A3728"/>
    <w:multiLevelType w:val="hybridMultilevel"/>
    <w:tmpl w:val="6D8648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AB6005"/>
    <w:multiLevelType w:val="hybridMultilevel"/>
    <w:tmpl w:val="7890C7B8"/>
    <w:lvl w:ilvl="0" w:tplc="5C2C5DA2">
      <w:numFmt w:val="bullet"/>
      <w:lvlText w:val="-"/>
      <w:lvlJc w:val="left"/>
      <w:pPr>
        <w:ind w:left="360" w:hanging="360"/>
      </w:pPr>
      <w:rPr>
        <w:rFonts w:ascii="Arial" w:eastAsiaTheme="minorHAnsi" w:hAnsi="Arial" w:cs="Arial" w:hint="default"/>
        <w:b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284455"/>
    <w:multiLevelType w:val="hybridMultilevel"/>
    <w:tmpl w:val="8AC8B6F6"/>
    <w:lvl w:ilvl="0" w:tplc="0809000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D70DFD"/>
    <w:multiLevelType w:val="hybridMultilevel"/>
    <w:tmpl w:val="38D4A3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B02640"/>
    <w:multiLevelType w:val="hybridMultilevel"/>
    <w:tmpl w:val="3D461B0E"/>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A66330"/>
    <w:multiLevelType w:val="hybridMultilevel"/>
    <w:tmpl w:val="7632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9"/>
  </w:num>
  <w:num w:numId="3">
    <w:abstractNumId w:val="7"/>
  </w:num>
  <w:num w:numId="4">
    <w:abstractNumId w:val="14"/>
  </w:num>
  <w:num w:numId="5">
    <w:abstractNumId w:val="35"/>
  </w:num>
  <w:num w:numId="6">
    <w:abstractNumId w:val="8"/>
  </w:num>
  <w:num w:numId="7">
    <w:abstractNumId w:val="16"/>
  </w:num>
  <w:num w:numId="8">
    <w:abstractNumId w:val="29"/>
  </w:num>
  <w:num w:numId="9">
    <w:abstractNumId w:val="31"/>
  </w:num>
  <w:num w:numId="10">
    <w:abstractNumId w:val="37"/>
  </w:num>
  <w:num w:numId="11">
    <w:abstractNumId w:val="32"/>
  </w:num>
  <w:num w:numId="12">
    <w:abstractNumId w:val="10"/>
  </w:num>
  <w:num w:numId="13">
    <w:abstractNumId w:val="38"/>
  </w:num>
  <w:num w:numId="14">
    <w:abstractNumId w:val="20"/>
  </w:num>
  <w:num w:numId="15">
    <w:abstractNumId w:val="15"/>
  </w:num>
  <w:num w:numId="16">
    <w:abstractNumId w:val="2"/>
  </w:num>
  <w:num w:numId="17">
    <w:abstractNumId w:val="6"/>
  </w:num>
  <w:num w:numId="18">
    <w:abstractNumId w:val="12"/>
  </w:num>
  <w:num w:numId="19">
    <w:abstractNumId w:val="3"/>
  </w:num>
  <w:num w:numId="20">
    <w:abstractNumId w:val="28"/>
  </w:num>
  <w:num w:numId="21">
    <w:abstractNumId w:val="22"/>
  </w:num>
  <w:num w:numId="22">
    <w:abstractNumId w:val="26"/>
  </w:num>
  <w:num w:numId="23">
    <w:abstractNumId w:val="3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
  </w:num>
  <w:num w:numId="27">
    <w:abstractNumId w:val="21"/>
  </w:num>
  <w:num w:numId="28">
    <w:abstractNumId w:val="19"/>
  </w:num>
  <w:num w:numId="29">
    <w:abstractNumId w:val="36"/>
  </w:num>
  <w:num w:numId="30">
    <w:abstractNumId w:val="18"/>
  </w:num>
  <w:num w:numId="31">
    <w:abstractNumId w:val="25"/>
  </w:num>
  <w:num w:numId="32">
    <w:abstractNumId w:val="33"/>
  </w:num>
  <w:num w:numId="33">
    <w:abstractNumId w:val="4"/>
  </w:num>
  <w:num w:numId="34">
    <w:abstractNumId w:val="23"/>
  </w:num>
  <w:num w:numId="35">
    <w:abstractNumId w:val="0"/>
  </w:num>
  <w:num w:numId="36">
    <w:abstractNumId w:val="24"/>
  </w:num>
  <w:num w:numId="37">
    <w:abstractNumId w:val="5"/>
  </w:num>
  <w:num w:numId="38">
    <w:abstractNumId w:val="27"/>
  </w:num>
  <w:num w:numId="39">
    <w:abstractNumId w:val="11"/>
  </w:num>
  <w:num w:numId="40">
    <w:abstractNumId w:val="13"/>
  </w:num>
  <w:num w:numId="4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951"/>
    <w:rsid w:val="000010A5"/>
    <w:rsid w:val="000029D2"/>
    <w:rsid w:val="00003372"/>
    <w:rsid w:val="00003717"/>
    <w:rsid w:val="00015CF3"/>
    <w:rsid w:val="00015DCC"/>
    <w:rsid w:val="00016BC9"/>
    <w:rsid w:val="00016CB6"/>
    <w:rsid w:val="00017285"/>
    <w:rsid w:val="000204F4"/>
    <w:rsid w:val="00020983"/>
    <w:rsid w:val="00021FB7"/>
    <w:rsid w:val="00023692"/>
    <w:rsid w:val="00023E03"/>
    <w:rsid w:val="0002560A"/>
    <w:rsid w:val="00027265"/>
    <w:rsid w:val="00027402"/>
    <w:rsid w:val="000312B4"/>
    <w:rsid w:val="00032992"/>
    <w:rsid w:val="000352AB"/>
    <w:rsid w:val="00035A5F"/>
    <w:rsid w:val="00037AE0"/>
    <w:rsid w:val="00037AE7"/>
    <w:rsid w:val="00037BE9"/>
    <w:rsid w:val="00037C4E"/>
    <w:rsid w:val="00041089"/>
    <w:rsid w:val="0004730F"/>
    <w:rsid w:val="00050182"/>
    <w:rsid w:val="00050FF3"/>
    <w:rsid w:val="000520C5"/>
    <w:rsid w:val="000537D4"/>
    <w:rsid w:val="00056D8A"/>
    <w:rsid w:val="00056FDF"/>
    <w:rsid w:val="00057A19"/>
    <w:rsid w:val="000620CB"/>
    <w:rsid w:val="000636E3"/>
    <w:rsid w:val="00066A43"/>
    <w:rsid w:val="00066E2F"/>
    <w:rsid w:val="00066F2B"/>
    <w:rsid w:val="00070E6B"/>
    <w:rsid w:val="00072928"/>
    <w:rsid w:val="00073E52"/>
    <w:rsid w:val="00074219"/>
    <w:rsid w:val="0007573C"/>
    <w:rsid w:val="0007672C"/>
    <w:rsid w:val="00077977"/>
    <w:rsid w:val="00080692"/>
    <w:rsid w:val="0008166B"/>
    <w:rsid w:val="00082A32"/>
    <w:rsid w:val="000832DE"/>
    <w:rsid w:val="000848DE"/>
    <w:rsid w:val="000852CB"/>
    <w:rsid w:val="00085727"/>
    <w:rsid w:val="00086D57"/>
    <w:rsid w:val="00087F0A"/>
    <w:rsid w:val="00092224"/>
    <w:rsid w:val="000924AC"/>
    <w:rsid w:val="00092CEF"/>
    <w:rsid w:val="000939FC"/>
    <w:rsid w:val="00093A01"/>
    <w:rsid w:val="0009423A"/>
    <w:rsid w:val="00094433"/>
    <w:rsid w:val="00095753"/>
    <w:rsid w:val="00097308"/>
    <w:rsid w:val="0009792E"/>
    <w:rsid w:val="000A33D7"/>
    <w:rsid w:val="000A67C7"/>
    <w:rsid w:val="000A71E7"/>
    <w:rsid w:val="000B0ED2"/>
    <w:rsid w:val="000B1099"/>
    <w:rsid w:val="000B13C1"/>
    <w:rsid w:val="000B159D"/>
    <w:rsid w:val="000B32E8"/>
    <w:rsid w:val="000B5743"/>
    <w:rsid w:val="000C0098"/>
    <w:rsid w:val="000C0D5C"/>
    <w:rsid w:val="000C1E0D"/>
    <w:rsid w:val="000C23F3"/>
    <w:rsid w:val="000C3B01"/>
    <w:rsid w:val="000C3B25"/>
    <w:rsid w:val="000C3E00"/>
    <w:rsid w:val="000C4F47"/>
    <w:rsid w:val="000D1B32"/>
    <w:rsid w:val="000D2875"/>
    <w:rsid w:val="000D3725"/>
    <w:rsid w:val="000D6207"/>
    <w:rsid w:val="000E33C3"/>
    <w:rsid w:val="000E42E3"/>
    <w:rsid w:val="000E4A88"/>
    <w:rsid w:val="000E5ABC"/>
    <w:rsid w:val="000E6612"/>
    <w:rsid w:val="000F2A79"/>
    <w:rsid w:val="000F3E0D"/>
    <w:rsid w:val="000F57D5"/>
    <w:rsid w:val="000F6DFC"/>
    <w:rsid w:val="000F71BD"/>
    <w:rsid w:val="0010112C"/>
    <w:rsid w:val="00101AEB"/>
    <w:rsid w:val="00101F57"/>
    <w:rsid w:val="0010282F"/>
    <w:rsid w:val="00104D68"/>
    <w:rsid w:val="00110795"/>
    <w:rsid w:val="001122E4"/>
    <w:rsid w:val="0011648F"/>
    <w:rsid w:val="00117C3D"/>
    <w:rsid w:val="00122910"/>
    <w:rsid w:val="00130377"/>
    <w:rsid w:val="00131E43"/>
    <w:rsid w:val="00131EFD"/>
    <w:rsid w:val="00132ADD"/>
    <w:rsid w:val="00134CDE"/>
    <w:rsid w:val="001377F1"/>
    <w:rsid w:val="0014107E"/>
    <w:rsid w:val="00141B72"/>
    <w:rsid w:val="00142A96"/>
    <w:rsid w:val="001457F1"/>
    <w:rsid w:val="00150FAC"/>
    <w:rsid w:val="00152763"/>
    <w:rsid w:val="00153C03"/>
    <w:rsid w:val="00154EEA"/>
    <w:rsid w:val="00155DB3"/>
    <w:rsid w:val="00156D77"/>
    <w:rsid w:val="00156E6B"/>
    <w:rsid w:val="0015742A"/>
    <w:rsid w:val="001614E2"/>
    <w:rsid w:val="00161ECD"/>
    <w:rsid w:val="00162CAE"/>
    <w:rsid w:val="00163DD1"/>
    <w:rsid w:val="00164FE5"/>
    <w:rsid w:val="00166944"/>
    <w:rsid w:val="00167D56"/>
    <w:rsid w:val="0017189C"/>
    <w:rsid w:val="0017689B"/>
    <w:rsid w:val="001769FD"/>
    <w:rsid w:val="00177483"/>
    <w:rsid w:val="00177E2B"/>
    <w:rsid w:val="00184391"/>
    <w:rsid w:val="00184D29"/>
    <w:rsid w:val="001917D3"/>
    <w:rsid w:val="00193526"/>
    <w:rsid w:val="00193AEB"/>
    <w:rsid w:val="00194E10"/>
    <w:rsid w:val="00195E0D"/>
    <w:rsid w:val="001A30BD"/>
    <w:rsid w:val="001A354A"/>
    <w:rsid w:val="001A3DB7"/>
    <w:rsid w:val="001A5335"/>
    <w:rsid w:val="001A5443"/>
    <w:rsid w:val="001A757F"/>
    <w:rsid w:val="001B0D48"/>
    <w:rsid w:val="001B4DAD"/>
    <w:rsid w:val="001B5C61"/>
    <w:rsid w:val="001C12A8"/>
    <w:rsid w:val="001C31B5"/>
    <w:rsid w:val="001C3545"/>
    <w:rsid w:val="001C3770"/>
    <w:rsid w:val="001C3CFD"/>
    <w:rsid w:val="001C42A3"/>
    <w:rsid w:val="001C444F"/>
    <w:rsid w:val="001C4484"/>
    <w:rsid w:val="001C7BCD"/>
    <w:rsid w:val="001D06C7"/>
    <w:rsid w:val="001D18A8"/>
    <w:rsid w:val="001D3391"/>
    <w:rsid w:val="001D429A"/>
    <w:rsid w:val="001D544C"/>
    <w:rsid w:val="001D6056"/>
    <w:rsid w:val="001D79BB"/>
    <w:rsid w:val="001E0B25"/>
    <w:rsid w:val="001E1E2A"/>
    <w:rsid w:val="001E1EC5"/>
    <w:rsid w:val="001E2E7B"/>
    <w:rsid w:val="001E2FF7"/>
    <w:rsid w:val="001E38B8"/>
    <w:rsid w:val="001E4773"/>
    <w:rsid w:val="001E4FB1"/>
    <w:rsid w:val="001E52C0"/>
    <w:rsid w:val="001F0A28"/>
    <w:rsid w:val="001F1AF1"/>
    <w:rsid w:val="001F3F33"/>
    <w:rsid w:val="001F43BE"/>
    <w:rsid w:val="001F5F2F"/>
    <w:rsid w:val="001F6E95"/>
    <w:rsid w:val="00200A46"/>
    <w:rsid w:val="002023C5"/>
    <w:rsid w:val="00205F17"/>
    <w:rsid w:val="00206F3A"/>
    <w:rsid w:val="0021081E"/>
    <w:rsid w:val="00210D51"/>
    <w:rsid w:val="00210F20"/>
    <w:rsid w:val="00211148"/>
    <w:rsid w:val="00211170"/>
    <w:rsid w:val="00213BE2"/>
    <w:rsid w:val="00217BBE"/>
    <w:rsid w:val="0022170B"/>
    <w:rsid w:val="0022209E"/>
    <w:rsid w:val="00223963"/>
    <w:rsid w:val="00223993"/>
    <w:rsid w:val="00225EA0"/>
    <w:rsid w:val="00226BBC"/>
    <w:rsid w:val="002330FB"/>
    <w:rsid w:val="00233600"/>
    <w:rsid w:val="00236653"/>
    <w:rsid w:val="00236785"/>
    <w:rsid w:val="0023682E"/>
    <w:rsid w:val="00236C30"/>
    <w:rsid w:val="00236D28"/>
    <w:rsid w:val="00240D04"/>
    <w:rsid w:val="002425E7"/>
    <w:rsid w:val="00243671"/>
    <w:rsid w:val="002454B7"/>
    <w:rsid w:val="00245648"/>
    <w:rsid w:val="00245874"/>
    <w:rsid w:val="00246304"/>
    <w:rsid w:val="00246FB6"/>
    <w:rsid w:val="00247209"/>
    <w:rsid w:val="00250C6B"/>
    <w:rsid w:val="00250EB4"/>
    <w:rsid w:val="002510C8"/>
    <w:rsid w:val="00251EEB"/>
    <w:rsid w:val="00253128"/>
    <w:rsid w:val="00261751"/>
    <w:rsid w:val="00267DE6"/>
    <w:rsid w:val="002708B6"/>
    <w:rsid w:val="002754E3"/>
    <w:rsid w:val="00275B57"/>
    <w:rsid w:val="00276208"/>
    <w:rsid w:val="00280844"/>
    <w:rsid w:val="00281C8E"/>
    <w:rsid w:val="00282984"/>
    <w:rsid w:val="00284F7F"/>
    <w:rsid w:val="0028615B"/>
    <w:rsid w:val="00293ACE"/>
    <w:rsid w:val="00294645"/>
    <w:rsid w:val="002950F7"/>
    <w:rsid w:val="002966C8"/>
    <w:rsid w:val="0029684F"/>
    <w:rsid w:val="002970E8"/>
    <w:rsid w:val="0029744C"/>
    <w:rsid w:val="002A5BF8"/>
    <w:rsid w:val="002A64F5"/>
    <w:rsid w:val="002A7DEA"/>
    <w:rsid w:val="002A7FDE"/>
    <w:rsid w:val="002B0170"/>
    <w:rsid w:val="002B0823"/>
    <w:rsid w:val="002B19B0"/>
    <w:rsid w:val="002B3799"/>
    <w:rsid w:val="002B4CC7"/>
    <w:rsid w:val="002B5734"/>
    <w:rsid w:val="002B6183"/>
    <w:rsid w:val="002B6DBF"/>
    <w:rsid w:val="002B76BC"/>
    <w:rsid w:val="002C15E1"/>
    <w:rsid w:val="002C310B"/>
    <w:rsid w:val="002C4709"/>
    <w:rsid w:val="002C6CB8"/>
    <w:rsid w:val="002C6D43"/>
    <w:rsid w:val="002C6E27"/>
    <w:rsid w:val="002D22D4"/>
    <w:rsid w:val="002D34B0"/>
    <w:rsid w:val="002D52C3"/>
    <w:rsid w:val="002D6A1C"/>
    <w:rsid w:val="002D700A"/>
    <w:rsid w:val="002D7939"/>
    <w:rsid w:val="002E0EC0"/>
    <w:rsid w:val="002E0F0C"/>
    <w:rsid w:val="002E19D5"/>
    <w:rsid w:val="002E4BA2"/>
    <w:rsid w:val="002E733F"/>
    <w:rsid w:val="002E7B49"/>
    <w:rsid w:val="002E7EDF"/>
    <w:rsid w:val="002F14FD"/>
    <w:rsid w:val="002F6ED4"/>
    <w:rsid w:val="002F747D"/>
    <w:rsid w:val="003021AF"/>
    <w:rsid w:val="00305CD3"/>
    <w:rsid w:val="00307F7E"/>
    <w:rsid w:val="0031024E"/>
    <w:rsid w:val="00311236"/>
    <w:rsid w:val="003122AD"/>
    <w:rsid w:val="0031236D"/>
    <w:rsid w:val="00316D7E"/>
    <w:rsid w:val="00320F5C"/>
    <w:rsid w:val="00324077"/>
    <w:rsid w:val="00324BD6"/>
    <w:rsid w:val="0032571B"/>
    <w:rsid w:val="003314BA"/>
    <w:rsid w:val="00331A24"/>
    <w:rsid w:val="0033603A"/>
    <w:rsid w:val="003436CA"/>
    <w:rsid w:val="003438CC"/>
    <w:rsid w:val="00346E32"/>
    <w:rsid w:val="003523BF"/>
    <w:rsid w:val="00352A6B"/>
    <w:rsid w:val="00352E14"/>
    <w:rsid w:val="00354365"/>
    <w:rsid w:val="0035547D"/>
    <w:rsid w:val="00357F20"/>
    <w:rsid w:val="00360593"/>
    <w:rsid w:val="0036141B"/>
    <w:rsid w:val="00365018"/>
    <w:rsid w:val="00366879"/>
    <w:rsid w:val="00366FB4"/>
    <w:rsid w:val="0036737A"/>
    <w:rsid w:val="003712D5"/>
    <w:rsid w:val="003745E5"/>
    <w:rsid w:val="003818CA"/>
    <w:rsid w:val="00383389"/>
    <w:rsid w:val="00383413"/>
    <w:rsid w:val="00386B1E"/>
    <w:rsid w:val="00387AEB"/>
    <w:rsid w:val="00387B48"/>
    <w:rsid w:val="00390CC5"/>
    <w:rsid w:val="00391889"/>
    <w:rsid w:val="00391E51"/>
    <w:rsid w:val="003921E2"/>
    <w:rsid w:val="00392868"/>
    <w:rsid w:val="00394088"/>
    <w:rsid w:val="00397C25"/>
    <w:rsid w:val="003A09E5"/>
    <w:rsid w:val="003A5BE1"/>
    <w:rsid w:val="003A66FD"/>
    <w:rsid w:val="003B29DA"/>
    <w:rsid w:val="003B2F8A"/>
    <w:rsid w:val="003B5A18"/>
    <w:rsid w:val="003C0174"/>
    <w:rsid w:val="003C232A"/>
    <w:rsid w:val="003C637A"/>
    <w:rsid w:val="003C756C"/>
    <w:rsid w:val="003D1C05"/>
    <w:rsid w:val="003D7543"/>
    <w:rsid w:val="003E162E"/>
    <w:rsid w:val="003E2A79"/>
    <w:rsid w:val="003E3F14"/>
    <w:rsid w:val="003E4766"/>
    <w:rsid w:val="003E4F4A"/>
    <w:rsid w:val="003E617C"/>
    <w:rsid w:val="003E732C"/>
    <w:rsid w:val="003F2A7B"/>
    <w:rsid w:val="003F2A92"/>
    <w:rsid w:val="003F2F6B"/>
    <w:rsid w:val="003F3623"/>
    <w:rsid w:val="003F3BD7"/>
    <w:rsid w:val="003F42F7"/>
    <w:rsid w:val="003F4322"/>
    <w:rsid w:val="003F5551"/>
    <w:rsid w:val="003F5940"/>
    <w:rsid w:val="003F7296"/>
    <w:rsid w:val="00402E4B"/>
    <w:rsid w:val="004037AC"/>
    <w:rsid w:val="004037BA"/>
    <w:rsid w:val="00403869"/>
    <w:rsid w:val="00403B5C"/>
    <w:rsid w:val="004044A0"/>
    <w:rsid w:val="004126AD"/>
    <w:rsid w:val="0041344E"/>
    <w:rsid w:val="004139E8"/>
    <w:rsid w:val="00420102"/>
    <w:rsid w:val="004216F9"/>
    <w:rsid w:val="0042224C"/>
    <w:rsid w:val="004251C5"/>
    <w:rsid w:val="004309FC"/>
    <w:rsid w:val="00431F06"/>
    <w:rsid w:val="004332BD"/>
    <w:rsid w:val="00434072"/>
    <w:rsid w:val="0043428E"/>
    <w:rsid w:val="00436E25"/>
    <w:rsid w:val="004411D7"/>
    <w:rsid w:val="0044226D"/>
    <w:rsid w:val="00442C52"/>
    <w:rsid w:val="004432B7"/>
    <w:rsid w:val="00451580"/>
    <w:rsid w:val="00453EA0"/>
    <w:rsid w:val="004567CD"/>
    <w:rsid w:val="004570F3"/>
    <w:rsid w:val="0045721A"/>
    <w:rsid w:val="0045734E"/>
    <w:rsid w:val="004576B6"/>
    <w:rsid w:val="004601AE"/>
    <w:rsid w:val="00461419"/>
    <w:rsid w:val="0046259D"/>
    <w:rsid w:val="00464ABC"/>
    <w:rsid w:val="00465342"/>
    <w:rsid w:val="00465C10"/>
    <w:rsid w:val="00467167"/>
    <w:rsid w:val="00467488"/>
    <w:rsid w:val="004758A7"/>
    <w:rsid w:val="004767A2"/>
    <w:rsid w:val="00481868"/>
    <w:rsid w:val="00481DE8"/>
    <w:rsid w:val="00483B82"/>
    <w:rsid w:val="00487AA1"/>
    <w:rsid w:val="00491F02"/>
    <w:rsid w:val="00492089"/>
    <w:rsid w:val="00492426"/>
    <w:rsid w:val="00493DA3"/>
    <w:rsid w:val="00496B6D"/>
    <w:rsid w:val="004A0162"/>
    <w:rsid w:val="004A1971"/>
    <w:rsid w:val="004A40A4"/>
    <w:rsid w:val="004A5F98"/>
    <w:rsid w:val="004A7059"/>
    <w:rsid w:val="004A7CE8"/>
    <w:rsid w:val="004B246C"/>
    <w:rsid w:val="004B66EB"/>
    <w:rsid w:val="004C0415"/>
    <w:rsid w:val="004C3EE0"/>
    <w:rsid w:val="004C7BA7"/>
    <w:rsid w:val="004D0435"/>
    <w:rsid w:val="004D273B"/>
    <w:rsid w:val="004D299B"/>
    <w:rsid w:val="004D497E"/>
    <w:rsid w:val="004D6536"/>
    <w:rsid w:val="004D7A19"/>
    <w:rsid w:val="004D7D6B"/>
    <w:rsid w:val="004E0E76"/>
    <w:rsid w:val="004E2134"/>
    <w:rsid w:val="004E4750"/>
    <w:rsid w:val="004E67E9"/>
    <w:rsid w:val="004E6969"/>
    <w:rsid w:val="004F19EB"/>
    <w:rsid w:val="004F1F6B"/>
    <w:rsid w:val="004F3FBB"/>
    <w:rsid w:val="004F4446"/>
    <w:rsid w:val="004F695D"/>
    <w:rsid w:val="004F79EB"/>
    <w:rsid w:val="0050262B"/>
    <w:rsid w:val="00506DA8"/>
    <w:rsid w:val="00507560"/>
    <w:rsid w:val="0051037F"/>
    <w:rsid w:val="005106F1"/>
    <w:rsid w:val="0051252C"/>
    <w:rsid w:val="005135FA"/>
    <w:rsid w:val="0051366B"/>
    <w:rsid w:val="00513F41"/>
    <w:rsid w:val="0051623F"/>
    <w:rsid w:val="00517205"/>
    <w:rsid w:val="00520466"/>
    <w:rsid w:val="00520B17"/>
    <w:rsid w:val="00522421"/>
    <w:rsid w:val="005264F7"/>
    <w:rsid w:val="00532878"/>
    <w:rsid w:val="005335C4"/>
    <w:rsid w:val="0053400C"/>
    <w:rsid w:val="005368F8"/>
    <w:rsid w:val="00540E14"/>
    <w:rsid w:val="00544471"/>
    <w:rsid w:val="00550B4E"/>
    <w:rsid w:val="00550B9E"/>
    <w:rsid w:val="00552287"/>
    <w:rsid w:val="00552705"/>
    <w:rsid w:val="00553334"/>
    <w:rsid w:val="0055567F"/>
    <w:rsid w:val="00560AD7"/>
    <w:rsid w:val="005624E5"/>
    <w:rsid w:val="005635F3"/>
    <w:rsid w:val="00564501"/>
    <w:rsid w:val="005663D9"/>
    <w:rsid w:val="00566BE3"/>
    <w:rsid w:val="00567814"/>
    <w:rsid w:val="005736D4"/>
    <w:rsid w:val="0057716F"/>
    <w:rsid w:val="0058201C"/>
    <w:rsid w:val="00583F3A"/>
    <w:rsid w:val="00592C18"/>
    <w:rsid w:val="00593D54"/>
    <w:rsid w:val="00594FEB"/>
    <w:rsid w:val="00595190"/>
    <w:rsid w:val="0059571E"/>
    <w:rsid w:val="0059573D"/>
    <w:rsid w:val="00596407"/>
    <w:rsid w:val="005A017B"/>
    <w:rsid w:val="005A01EF"/>
    <w:rsid w:val="005A1E8D"/>
    <w:rsid w:val="005A5D1E"/>
    <w:rsid w:val="005B0F16"/>
    <w:rsid w:val="005B16DB"/>
    <w:rsid w:val="005B1B43"/>
    <w:rsid w:val="005B30B5"/>
    <w:rsid w:val="005B345A"/>
    <w:rsid w:val="005B3ABC"/>
    <w:rsid w:val="005B6BD1"/>
    <w:rsid w:val="005C090A"/>
    <w:rsid w:val="005C25A5"/>
    <w:rsid w:val="005C7E72"/>
    <w:rsid w:val="005C7EA2"/>
    <w:rsid w:val="005C7FFA"/>
    <w:rsid w:val="005D1450"/>
    <w:rsid w:val="005D277B"/>
    <w:rsid w:val="005D2833"/>
    <w:rsid w:val="005D2B0A"/>
    <w:rsid w:val="005D5F84"/>
    <w:rsid w:val="005E15AA"/>
    <w:rsid w:val="005E493C"/>
    <w:rsid w:val="005E4AA1"/>
    <w:rsid w:val="005E743B"/>
    <w:rsid w:val="005E7D9F"/>
    <w:rsid w:val="005F4197"/>
    <w:rsid w:val="005F42A1"/>
    <w:rsid w:val="005F4E7A"/>
    <w:rsid w:val="005F69CE"/>
    <w:rsid w:val="0060186E"/>
    <w:rsid w:val="00602A42"/>
    <w:rsid w:val="006035D8"/>
    <w:rsid w:val="0060383A"/>
    <w:rsid w:val="00611DE2"/>
    <w:rsid w:val="006122F7"/>
    <w:rsid w:val="00617267"/>
    <w:rsid w:val="006176DA"/>
    <w:rsid w:val="006216C9"/>
    <w:rsid w:val="0062418D"/>
    <w:rsid w:val="0062482D"/>
    <w:rsid w:val="006254C8"/>
    <w:rsid w:val="00632025"/>
    <w:rsid w:val="00632932"/>
    <w:rsid w:val="00632B68"/>
    <w:rsid w:val="0063384C"/>
    <w:rsid w:val="00634F57"/>
    <w:rsid w:val="006350B3"/>
    <w:rsid w:val="0064073B"/>
    <w:rsid w:val="00641ED4"/>
    <w:rsid w:val="006426F6"/>
    <w:rsid w:val="0064309C"/>
    <w:rsid w:val="00643A52"/>
    <w:rsid w:val="00643C7A"/>
    <w:rsid w:val="00645C79"/>
    <w:rsid w:val="00645EC1"/>
    <w:rsid w:val="00645EFA"/>
    <w:rsid w:val="00646822"/>
    <w:rsid w:val="0064692A"/>
    <w:rsid w:val="00650275"/>
    <w:rsid w:val="006503E1"/>
    <w:rsid w:val="006506B5"/>
    <w:rsid w:val="00650843"/>
    <w:rsid w:val="00652DBF"/>
    <w:rsid w:val="0065379A"/>
    <w:rsid w:val="00654C3E"/>
    <w:rsid w:val="00655F77"/>
    <w:rsid w:val="0065753D"/>
    <w:rsid w:val="00660CD9"/>
    <w:rsid w:val="006639D0"/>
    <w:rsid w:val="00664341"/>
    <w:rsid w:val="00664384"/>
    <w:rsid w:val="00665938"/>
    <w:rsid w:val="0066615A"/>
    <w:rsid w:val="00670453"/>
    <w:rsid w:val="00673816"/>
    <w:rsid w:val="00673D68"/>
    <w:rsid w:val="00680D19"/>
    <w:rsid w:val="00680F2D"/>
    <w:rsid w:val="006816EF"/>
    <w:rsid w:val="00685B26"/>
    <w:rsid w:val="00687F32"/>
    <w:rsid w:val="006903CB"/>
    <w:rsid w:val="006935BF"/>
    <w:rsid w:val="00693F49"/>
    <w:rsid w:val="00694157"/>
    <w:rsid w:val="0069553C"/>
    <w:rsid w:val="006956C7"/>
    <w:rsid w:val="006A6B56"/>
    <w:rsid w:val="006A6D94"/>
    <w:rsid w:val="006A6D9E"/>
    <w:rsid w:val="006A72E7"/>
    <w:rsid w:val="006A72FE"/>
    <w:rsid w:val="006B167D"/>
    <w:rsid w:val="006B2D07"/>
    <w:rsid w:val="006B37F0"/>
    <w:rsid w:val="006C0D2F"/>
    <w:rsid w:val="006C0EEE"/>
    <w:rsid w:val="006C1A22"/>
    <w:rsid w:val="006C270F"/>
    <w:rsid w:val="006C350F"/>
    <w:rsid w:val="006C351F"/>
    <w:rsid w:val="006C39D2"/>
    <w:rsid w:val="006C4676"/>
    <w:rsid w:val="006C4A5B"/>
    <w:rsid w:val="006C5BC3"/>
    <w:rsid w:val="006C62E5"/>
    <w:rsid w:val="006D188F"/>
    <w:rsid w:val="006D2A05"/>
    <w:rsid w:val="006D2B6D"/>
    <w:rsid w:val="006D4AC2"/>
    <w:rsid w:val="006D6FE1"/>
    <w:rsid w:val="006D798B"/>
    <w:rsid w:val="006E0093"/>
    <w:rsid w:val="006E173B"/>
    <w:rsid w:val="006E21AE"/>
    <w:rsid w:val="006E3421"/>
    <w:rsid w:val="006E4064"/>
    <w:rsid w:val="006E46E7"/>
    <w:rsid w:val="006E6756"/>
    <w:rsid w:val="006E7E30"/>
    <w:rsid w:val="006F056D"/>
    <w:rsid w:val="006F521A"/>
    <w:rsid w:val="007033AC"/>
    <w:rsid w:val="007034B7"/>
    <w:rsid w:val="00703CBB"/>
    <w:rsid w:val="00703D20"/>
    <w:rsid w:val="007063FD"/>
    <w:rsid w:val="007074A0"/>
    <w:rsid w:val="007074AD"/>
    <w:rsid w:val="007102A6"/>
    <w:rsid w:val="0071169C"/>
    <w:rsid w:val="00711C0A"/>
    <w:rsid w:val="007123AE"/>
    <w:rsid w:val="00712F49"/>
    <w:rsid w:val="007139CC"/>
    <w:rsid w:val="00713B4D"/>
    <w:rsid w:val="00717064"/>
    <w:rsid w:val="00717177"/>
    <w:rsid w:val="007178B4"/>
    <w:rsid w:val="00721061"/>
    <w:rsid w:val="00727F45"/>
    <w:rsid w:val="007331A6"/>
    <w:rsid w:val="00735E7C"/>
    <w:rsid w:val="00740184"/>
    <w:rsid w:val="00740EEF"/>
    <w:rsid w:val="007411F9"/>
    <w:rsid w:val="0074264E"/>
    <w:rsid w:val="007443AE"/>
    <w:rsid w:val="00745B53"/>
    <w:rsid w:val="0074642E"/>
    <w:rsid w:val="00753866"/>
    <w:rsid w:val="00755FA4"/>
    <w:rsid w:val="007570AD"/>
    <w:rsid w:val="007577DF"/>
    <w:rsid w:val="00762631"/>
    <w:rsid w:val="00763A3F"/>
    <w:rsid w:val="00765882"/>
    <w:rsid w:val="00765CC6"/>
    <w:rsid w:val="00771C26"/>
    <w:rsid w:val="00771E95"/>
    <w:rsid w:val="00772337"/>
    <w:rsid w:val="00773F3E"/>
    <w:rsid w:val="00775788"/>
    <w:rsid w:val="00776E98"/>
    <w:rsid w:val="00782B71"/>
    <w:rsid w:val="00782FC9"/>
    <w:rsid w:val="00783B71"/>
    <w:rsid w:val="0079309F"/>
    <w:rsid w:val="0079349B"/>
    <w:rsid w:val="007939D2"/>
    <w:rsid w:val="00793CD7"/>
    <w:rsid w:val="0079455A"/>
    <w:rsid w:val="00794E8C"/>
    <w:rsid w:val="00795F4C"/>
    <w:rsid w:val="007A0B50"/>
    <w:rsid w:val="007A4472"/>
    <w:rsid w:val="007A5232"/>
    <w:rsid w:val="007A557C"/>
    <w:rsid w:val="007A64CD"/>
    <w:rsid w:val="007A681D"/>
    <w:rsid w:val="007A7C43"/>
    <w:rsid w:val="007B001B"/>
    <w:rsid w:val="007B1267"/>
    <w:rsid w:val="007B5136"/>
    <w:rsid w:val="007B582C"/>
    <w:rsid w:val="007B640E"/>
    <w:rsid w:val="007B7E7C"/>
    <w:rsid w:val="007C03A0"/>
    <w:rsid w:val="007C0C24"/>
    <w:rsid w:val="007C1A82"/>
    <w:rsid w:val="007C22AC"/>
    <w:rsid w:val="007C3AEE"/>
    <w:rsid w:val="007C4E40"/>
    <w:rsid w:val="007C6021"/>
    <w:rsid w:val="007C62BF"/>
    <w:rsid w:val="007C636B"/>
    <w:rsid w:val="007C7C7B"/>
    <w:rsid w:val="007C7E4A"/>
    <w:rsid w:val="007D132A"/>
    <w:rsid w:val="007D2515"/>
    <w:rsid w:val="007D2650"/>
    <w:rsid w:val="007D2A64"/>
    <w:rsid w:val="007D3803"/>
    <w:rsid w:val="007D3E8D"/>
    <w:rsid w:val="007D44A2"/>
    <w:rsid w:val="007D48AC"/>
    <w:rsid w:val="007D5AFB"/>
    <w:rsid w:val="007E0423"/>
    <w:rsid w:val="007E13B4"/>
    <w:rsid w:val="007E6174"/>
    <w:rsid w:val="007E67CC"/>
    <w:rsid w:val="007E7497"/>
    <w:rsid w:val="007F060F"/>
    <w:rsid w:val="007F240E"/>
    <w:rsid w:val="007F4AD4"/>
    <w:rsid w:val="007F5810"/>
    <w:rsid w:val="007F5CC7"/>
    <w:rsid w:val="007F629C"/>
    <w:rsid w:val="007F66E0"/>
    <w:rsid w:val="007F6C81"/>
    <w:rsid w:val="007F72AC"/>
    <w:rsid w:val="007F752D"/>
    <w:rsid w:val="007F7578"/>
    <w:rsid w:val="008034D1"/>
    <w:rsid w:val="00803D4E"/>
    <w:rsid w:val="00807FB0"/>
    <w:rsid w:val="00810B8C"/>
    <w:rsid w:val="008130E5"/>
    <w:rsid w:val="00816ABD"/>
    <w:rsid w:val="00822F97"/>
    <w:rsid w:val="00823326"/>
    <w:rsid w:val="008242CC"/>
    <w:rsid w:val="008260D1"/>
    <w:rsid w:val="008323E1"/>
    <w:rsid w:val="00833372"/>
    <w:rsid w:val="00833868"/>
    <w:rsid w:val="00833E37"/>
    <w:rsid w:val="00834DAC"/>
    <w:rsid w:val="00836B41"/>
    <w:rsid w:val="008401F6"/>
    <w:rsid w:val="00841F24"/>
    <w:rsid w:val="008447A1"/>
    <w:rsid w:val="008459F7"/>
    <w:rsid w:val="00846AA0"/>
    <w:rsid w:val="008476EE"/>
    <w:rsid w:val="00847D3C"/>
    <w:rsid w:val="008519F9"/>
    <w:rsid w:val="00855AA5"/>
    <w:rsid w:val="00856C9B"/>
    <w:rsid w:val="0085731B"/>
    <w:rsid w:val="00860314"/>
    <w:rsid w:val="0086312E"/>
    <w:rsid w:val="00863D29"/>
    <w:rsid w:val="008642CD"/>
    <w:rsid w:val="00864DDC"/>
    <w:rsid w:val="008652F3"/>
    <w:rsid w:val="0086662F"/>
    <w:rsid w:val="00867741"/>
    <w:rsid w:val="0087270A"/>
    <w:rsid w:val="00872A6E"/>
    <w:rsid w:val="00874457"/>
    <w:rsid w:val="0088089E"/>
    <w:rsid w:val="00880FAB"/>
    <w:rsid w:val="00881653"/>
    <w:rsid w:val="008816B7"/>
    <w:rsid w:val="00886E02"/>
    <w:rsid w:val="00890912"/>
    <w:rsid w:val="00892962"/>
    <w:rsid w:val="00893FE2"/>
    <w:rsid w:val="0089731E"/>
    <w:rsid w:val="00897795"/>
    <w:rsid w:val="008A19A0"/>
    <w:rsid w:val="008A5E00"/>
    <w:rsid w:val="008A651E"/>
    <w:rsid w:val="008A70B4"/>
    <w:rsid w:val="008B40CB"/>
    <w:rsid w:val="008B4579"/>
    <w:rsid w:val="008B489E"/>
    <w:rsid w:val="008B5BCA"/>
    <w:rsid w:val="008B77A9"/>
    <w:rsid w:val="008C117F"/>
    <w:rsid w:val="008C4E91"/>
    <w:rsid w:val="008C5BC6"/>
    <w:rsid w:val="008D0830"/>
    <w:rsid w:val="008D19DE"/>
    <w:rsid w:val="008D2635"/>
    <w:rsid w:val="008D3260"/>
    <w:rsid w:val="008D48ED"/>
    <w:rsid w:val="008D5B71"/>
    <w:rsid w:val="008E018F"/>
    <w:rsid w:val="008E108C"/>
    <w:rsid w:val="008E3B4B"/>
    <w:rsid w:val="008E473A"/>
    <w:rsid w:val="008E4B09"/>
    <w:rsid w:val="008F096B"/>
    <w:rsid w:val="008F124D"/>
    <w:rsid w:val="008F50E8"/>
    <w:rsid w:val="008F620F"/>
    <w:rsid w:val="008F6A2D"/>
    <w:rsid w:val="008F6BDF"/>
    <w:rsid w:val="008F6D42"/>
    <w:rsid w:val="008F7CE3"/>
    <w:rsid w:val="00901DFC"/>
    <w:rsid w:val="00902AD6"/>
    <w:rsid w:val="00903D7E"/>
    <w:rsid w:val="009063A1"/>
    <w:rsid w:val="0090719A"/>
    <w:rsid w:val="009109E7"/>
    <w:rsid w:val="00914610"/>
    <w:rsid w:val="00920BA8"/>
    <w:rsid w:val="00923256"/>
    <w:rsid w:val="009235D7"/>
    <w:rsid w:val="0092529E"/>
    <w:rsid w:val="00933CCE"/>
    <w:rsid w:val="009353C4"/>
    <w:rsid w:val="009361B2"/>
    <w:rsid w:val="00937BE6"/>
    <w:rsid w:val="009500D8"/>
    <w:rsid w:val="00950FEC"/>
    <w:rsid w:val="00953A06"/>
    <w:rsid w:val="00954F74"/>
    <w:rsid w:val="00956171"/>
    <w:rsid w:val="0095647E"/>
    <w:rsid w:val="0096440D"/>
    <w:rsid w:val="009658FE"/>
    <w:rsid w:val="00967B22"/>
    <w:rsid w:val="00967CC3"/>
    <w:rsid w:val="00972F82"/>
    <w:rsid w:val="00974371"/>
    <w:rsid w:val="0097458A"/>
    <w:rsid w:val="009753A1"/>
    <w:rsid w:val="00981F64"/>
    <w:rsid w:val="0098234E"/>
    <w:rsid w:val="00985176"/>
    <w:rsid w:val="00985F0C"/>
    <w:rsid w:val="0098608D"/>
    <w:rsid w:val="00987149"/>
    <w:rsid w:val="00987F9D"/>
    <w:rsid w:val="00990197"/>
    <w:rsid w:val="00990A4F"/>
    <w:rsid w:val="00991C7B"/>
    <w:rsid w:val="00992412"/>
    <w:rsid w:val="00992CC9"/>
    <w:rsid w:val="0099473A"/>
    <w:rsid w:val="0099478C"/>
    <w:rsid w:val="00994812"/>
    <w:rsid w:val="009948F0"/>
    <w:rsid w:val="009A2C12"/>
    <w:rsid w:val="009A5B6C"/>
    <w:rsid w:val="009B038F"/>
    <w:rsid w:val="009B0FC2"/>
    <w:rsid w:val="009B1519"/>
    <w:rsid w:val="009B2295"/>
    <w:rsid w:val="009B2436"/>
    <w:rsid w:val="009B299F"/>
    <w:rsid w:val="009B55FB"/>
    <w:rsid w:val="009B7C6C"/>
    <w:rsid w:val="009C1AA2"/>
    <w:rsid w:val="009C2C33"/>
    <w:rsid w:val="009C2E5F"/>
    <w:rsid w:val="009C3182"/>
    <w:rsid w:val="009C7417"/>
    <w:rsid w:val="009D2951"/>
    <w:rsid w:val="009D6F60"/>
    <w:rsid w:val="009E0CDF"/>
    <w:rsid w:val="009E2712"/>
    <w:rsid w:val="009E2C6D"/>
    <w:rsid w:val="009E35AB"/>
    <w:rsid w:val="009E4305"/>
    <w:rsid w:val="009E49BB"/>
    <w:rsid w:val="009E52B7"/>
    <w:rsid w:val="009E5E6E"/>
    <w:rsid w:val="009E5FFB"/>
    <w:rsid w:val="009F01B0"/>
    <w:rsid w:val="009F10B6"/>
    <w:rsid w:val="009F5955"/>
    <w:rsid w:val="009F703C"/>
    <w:rsid w:val="00A023FF"/>
    <w:rsid w:val="00A068C7"/>
    <w:rsid w:val="00A07B5F"/>
    <w:rsid w:val="00A1173E"/>
    <w:rsid w:val="00A13217"/>
    <w:rsid w:val="00A15B6E"/>
    <w:rsid w:val="00A166CA"/>
    <w:rsid w:val="00A16726"/>
    <w:rsid w:val="00A1775E"/>
    <w:rsid w:val="00A214EF"/>
    <w:rsid w:val="00A23218"/>
    <w:rsid w:val="00A23C16"/>
    <w:rsid w:val="00A249C4"/>
    <w:rsid w:val="00A259B8"/>
    <w:rsid w:val="00A2609E"/>
    <w:rsid w:val="00A31535"/>
    <w:rsid w:val="00A321F3"/>
    <w:rsid w:val="00A3227B"/>
    <w:rsid w:val="00A34AF8"/>
    <w:rsid w:val="00A34FAA"/>
    <w:rsid w:val="00A3546B"/>
    <w:rsid w:val="00A358DB"/>
    <w:rsid w:val="00A35CC7"/>
    <w:rsid w:val="00A378B9"/>
    <w:rsid w:val="00A40CCA"/>
    <w:rsid w:val="00A40F4A"/>
    <w:rsid w:val="00A421AA"/>
    <w:rsid w:val="00A4220B"/>
    <w:rsid w:val="00A47055"/>
    <w:rsid w:val="00A50C2D"/>
    <w:rsid w:val="00A51000"/>
    <w:rsid w:val="00A519BA"/>
    <w:rsid w:val="00A52D45"/>
    <w:rsid w:val="00A549FA"/>
    <w:rsid w:val="00A55855"/>
    <w:rsid w:val="00A55C52"/>
    <w:rsid w:val="00A60152"/>
    <w:rsid w:val="00A60F95"/>
    <w:rsid w:val="00A617FA"/>
    <w:rsid w:val="00A6252E"/>
    <w:rsid w:val="00A62856"/>
    <w:rsid w:val="00A643E4"/>
    <w:rsid w:val="00A64764"/>
    <w:rsid w:val="00A66061"/>
    <w:rsid w:val="00A7055A"/>
    <w:rsid w:val="00A71761"/>
    <w:rsid w:val="00A75A20"/>
    <w:rsid w:val="00A77124"/>
    <w:rsid w:val="00A81791"/>
    <w:rsid w:val="00A83A0E"/>
    <w:rsid w:val="00A8600D"/>
    <w:rsid w:val="00A90EB7"/>
    <w:rsid w:val="00A91C62"/>
    <w:rsid w:val="00A95169"/>
    <w:rsid w:val="00A97188"/>
    <w:rsid w:val="00A97322"/>
    <w:rsid w:val="00AA06AD"/>
    <w:rsid w:val="00AA13C4"/>
    <w:rsid w:val="00AA35F0"/>
    <w:rsid w:val="00AA6671"/>
    <w:rsid w:val="00AB099C"/>
    <w:rsid w:val="00AB0CF5"/>
    <w:rsid w:val="00AB1C74"/>
    <w:rsid w:val="00AB3798"/>
    <w:rsid w:val="00AB4829"/>
    <w:rsid w:val="00AB58B6"/>
    <w:rsid w:val="00AB5EB8"/>
    <w:rsid w:val="00AC079E"/>
    <w:rsid w:val="00AC0F12"/>
    <w:rsid w:val="00AC1BA8"/>
    <w:rsid w:val="00AC1FE7"/>
    <w:rsid w:val="00AC4951"/>
    <w:rsid w:val="00AC50C6"/>
    <w:rsid w:val="00AC56F2"/>
    <w:rsid w:val="00AC59F8"/>
    <w:rsid w:val="00AD0A5C"/>
    <w:rsid w:val="00AD370C"/>
    <w:rsid w:val="00AD418A"/>
    <w:rsid w:val="00AD6AFC"/>
    <w:rsid w:val="00AE25B8"/>
    <w:rsid w:val="00AE29CE"/>
    <w:rsid w:val="00AE37D7"/>
    <w:rsid w:val="00AE520A"/>
    <w:rsid w:val="00AE5A10"/>
    <w:rsid w:val="00AE7402"/>
    <w:rsid w:val="00AE7959"/>
    <w:rsid w:val="00AE7AB8"/>
    <w:rsid w:val="00AF13B0"/>
    <w:rsid w:val="00AF15BC"/>
    <w:rsid w:val="00AF2B93"/>
    <w:rsid w:val="00AF392C"/>
    <w:rsid w:val="00AF3DB1"/>
    <w:rsid w:val="00AF6208"/>
    <w:rsid w:val="00AF6FC7"/>
    <w:rsid w:val="00AF6FEC"/>
    <w:rsid w:val="00B010DB"/>
    <w:rsid w:val="00B05B21"/>
    <w:rsid w:val="00B06474"/>
    <w:rsid w:val="00B102B1"/>
    <w:rsid w:val="00B114B3"/>
    <w:rsid w:val="00B117DC"/>
    <w:rsid w:val="00B14D06"/>
    <w:rsid w:val="00B171A2"/>
    <w:rsid w:val="00B17756"/>
    <w:rsid w:val="00B20BA9"/>
    <w:rsid w:val="00B21F6A"/>
    <w:rsid w:val="00B2405E"/>
    <w:rsid w:val="00B2542D"/>
    <w:rsid w:val="00B25BA6"/>
    <w:rsid w:val="00B25D91"/>
    <w:rsid w:val="00B26303"/>
    <w:rsid w:val="00B33162"/>
    <w:rsid w:val="00B3440E"/>
    <w:rsid w:val="00B34C8F"/>
    <w:rsid w:val="00B353E2"/>
    <w:rsid w:val="00B35ECA"/>
    <w:rsid w:val="00B41AB5"/>
    <w:rsid w:val="00B41EB5"/>
    <w:rsid w:val="00B42349"/>
    <w:rsid w:val="00B44FC0"/>
    <w:rsid w:val="00B45F57"/>
    <w:rsid w:val="00B46351"/>
    <w:rsid w:val="00B47ACB"/>
    <w:rsid w:val="00B5197A"/>
    <w:rsid w:val="00B51F65"/>
    <w:rsid w:val="00B523BD"/>
    <w:rsid w:val="00B52622"/>
    <w:rsid w:val="00B52E9F"/>
    <w:rsid w:val="00B56566"/>
    <w:rsid w:val="00B5726F"/>
    <w:rsid w:val="00B61A54"/>
    <w:rsid w:val="00B61B63"/>
    <w:rsid w:val="00B61D23"/>
    <w:rsid w:val="00B62E9D"/>
    <w:rsid w:val="00B6324D"/>
    <w:rsid w:val="00B66500"/>
    <w:rsid w:val="00B677D5"/>
    <w:rsid w:val="00B76523"/>
    <w:rsid w:val="00B82EB3"/>
    <w:rsid w:val="00B83A30"/>
    <w:rsid w:val="00B8476F"/>
    <w:rsid w:val="00B903CB"/>
    <w:rsid w:val="00B93680"/>
    <w:rsid w:val="00B93755"/>
    <w:rsid w:val="00B93A39"/>
    <w:rsid w:val="00B96582"/>
    <w:rsid w:val="00BA069E"/>
    <w:rsid w:val="00BA3722"/>
    <w:rsid w:val="00BA5C82"/>
    <w:rsid w:val="00BA6176"/>
    <w:rsid w:val="00BA7BAA"/>
    <w:rsid w:val="00BB17B1"/>
    <w:rsid w:val="00BB19E5"/>
    <w:rsid w:val="00BB35BE"/>
    <w:rsid w:val="00BB7201"/>
    <w:rsid w:val="00BC000D"/>
    <w:rsid w:val="00BC45C3"/>
    <w:rsid w:val="00BC596B"/>
    <w:rsid w:val="00BC64FB"/>
    <w:rsid w:val="00BC74C7"/>
    <w:rsid w:val="00BC7541"/>
    <w:rsid w:val="00BD08F6"/>
    <w:rsid w:val="00BD5D57"/>
    <w:rsid w:val="00BD5E89"/>
    <w:rsid w:val="00BD5F62"/>
    <w:rsid w:val="00BE1499"/>
    <w:rsid w:val="00BE14FB"/>
    <w:rsid w:val="00BE7C1C"/>
    <w:rsid w:val="00BF0D4B"/>
    <w:rsid w:val="00BF1981"/>
    <w:rsid w:val="00BF2438"/>
    <w:rsid w:val="00BF2D0C"/>
    <w:rsid w:val="00BF4ED4"/>
    <w:rsid w:val="00C0162D"/>
    <w:rsid w:val="00C03C03"/>
    <w:rsid w:val="00C1036C"/>
    <w:rsid w:val="00C108A7"/>
    <w:rsid w:val="00C1091F"/>
    <w:rsid w:val="00C12CD1"/>
    <w:rsid w:val="00C140A1"/>
    <w:rsid w:val="00C15F63"/>
    <w:rsid w:val="00C162AE"/>
    <w:rsid w:val="00C16B67"/>
    <w:rsid w:val="00C17DBA"/>
    <w:rsid w:val="00C20117"/>
    <w:rsid w:val="00C203A3"/>
    <w:rsid w:val="00C21E51"/>
    <w:rsid w:val="00C255D9"/>
    <w:rsid w:val="00C31D43"/>
    <w:rsid w:val="00C32E0C"/>
    <w:rsid w:val="00C33454"/>
    <w:rsid w:val="00C35D03"/>
    <w:rsid w:val="00C368C4"/>
    <w:rsid w:val="00C405B7"/>
    <w:rsid w:val="00C41AD4"/>
    <w:rsid w:val="00C42410"/>
    <w:rsid w:val="00C4274E"/>
    <w:rsid w:val="00C42F90"/>
    <w:rsid w:val="00C43E3E"/>
    <w:rsid w:val="00C4518F"/>
    <w:rsid w:val="00C50149"/>
    <w:rsid w:val="00C50640"/>
    <w:rsid w:val="00C5154F"/>
    <w:rsid w:val="00C54972"/>
    <w:rsid w:val="00C55418"/>
    <w:rsid w:val="00C5543C"/>
    <w:rsid w:val="00C56477"/>
    <w:rsid w:val="00C56FD0"/>
    <w:rsid w:val="00C600E7"/>
    <w:rsid w:val="00C614AD"/>
    <w:rsid w:val="00C61DED"/>
    <w:rsid w:val="00C626F0"/>
    <w:rsid w:val="00C6430C"/>
    <w:rsid w:val="00C653BD"/>
    <w:rsid w:val="00C70A8F"/>
    <w:rsid w:val="00C712FB"/>
    <w:rsid w:val="00C72554"/>
    <w:rsid w:val="00C72ED1"/>
    <w:rsid w:val="00C7531E"/>
    <w:rsid w:val="00C841C1"/>
    <w:rsid w:val="00C85ECC"/>
    <w:rsid w:val="00C86213"/>
    <w:rsid w:val="00C90DF5"/>
    <w:rsid w:val="00C91E2C"/>
    <w:rsid w:val="00C92446"/>
    <w:rsid w:val="00C94112"/>
    <w:rsid w:val="00C96AE3"/>
    <w:rsid w:val="00C9774B"/>
    <w:rsid w:val="00C978CD"/>
    <w:rsid w:val="00CA0DFC"/>
    <w:rsid w:val="00CA1884"/>
    <w:rsid w:val="00CA2E7E"/>
    <w:rsid w:val="00CA49D2"/>
    <w:rsid w:val="00CA6854"/>
    <w:rsid w:val="00CA6E5D"/>
    <w:rsid w:val="00CB3294"/>
    <w:rsid w:val="00CB4455"/>
    <w:rsid w:val="00CB540B"/>
    <w:rsid w:val="00CB5667"/>
    <w:rsid w:val="00CB74C9"/>
    <w:rsid w:val="00CC0AE1"/>
    <w:rsid w:val="00CC1975"/>
    <w:rsid w:val="00CC30F5"/>
    <w:rsid w:val="00CC3A1E"/>
    <w:rsid w:val="00CC3BD0"/>
    <w:rsid w:val="00CC4822"/>
    <w:rsid w:val="00CC7BE3"/>
    <w:rsid w:val="00CD2C07"/>
    <w:rsid w:val="00CD3FA9"/>
    <w:rsid w:val="00CD646D"/>
    <w:rsid w:val="00CD70EF"/>
    <w:rsid w:val="00CD7C33"/>
    <w:rsid w:val="00CE0563"/>
    <w:rsid w:val="00CE0C76"/>
    <w:rsid w:val="00CE158B"/>
    <w:rsid w:val="00CE1FF5"/>
    <w:rsid w:val="00CE33E8"/>
    <w:rsid w:val="00CE54C0"/>
    <w:rsid w:val="00CE65A6"/>
    <w:rsid w:val="00CF437E"/>
    <w:rsid w:val="00CF43DF"/>
    <w:rsid w:val="00CF46EC"/>
    <w:rsid w:val="00CF5E20"/>
    <w:rsid w:val="00CF696A"/>
    <w:rsid w:val="00CF76DB"/>
    <w:rsid w:val="00CF7A56"/>
    <w:rsid w:val="00CF7ED0"/>
    <w:rsid w:val="00D002D5"/>
    <w:rsid w:val="00D02080"/>
    <w:rsid w:val="00D05293"/>
    <w:rsid w:val="00D06527"/>
    <w:rsid w:val="00D06C2A"/>
    <w:rsid w:val="00D07B5E"/>
    <w:rsid w:val="00D10AD2"/>
    <w:rsid w:val="00D12A32"/>
    <w:rsid w:val="00D138DF"/>
    <w:rsid w:val="00D154A1"/>
    <w:rsid w:val="00D15AAD"/>
    <w:rsid w:val="00D16389"/>
    <w:rsid w:val="00D20F10"/>
    <w:rsid w:val="00D2386B"/>
    <w:rsid w:val="00D238D1"/>
    <w:rsid w:val="00D23C5C"/>
    <w:rsid w:val="00D23C8F"/>
    <w:rsid w:val="00D2426B"/>
    <w:rsid w:val="00D242AB"/>
    <w:rsid w:val="00D25107"/>
    <w:rsid w:val="00D25624"/>
    <w:rsid w:val="00D26EE5"/>
    <w:rsid w:val="00D3263F"/>
    <w:rsid w:val="00D3319A"/>
    <w:rsid w:val="00D34328"/>
    <w:rsid w:val="00D37049"/>
    <w:rsid w:val="00D42A76"/>
    <w:rsid w:val="00D4520D"/>
    <w:rsid w:val="00D4538F"/>
    <w:rsid w:val="00D47AED"/>
    <w:rsid w:val="00D50AE6"/>
    <w:rsid w:val="00D5166E"/>
    <w:rsid w:val="00D54043"/>
    <w:rsid w:val="00D5443A"/>
    <w:rsid w:val="00D54A3E"/>
    <w:rsid w:val="00D54EBE"/>
    <w:rsid w:val="00D60290"/>
    <w:rsid w:val="00D61223"/>
    <w:rsid w:val="00D6508F"/>
    <w:rsid w:val="00D66273"/>
    <w:rsid w:val="00D67A40"/>
    <w:rsid w:val="00D70041"/>
    <w:rsid w:val="00D719EF"/>
    <w:rsid w:val="00D71BA1"/>
    <w:rsid w:val="00D817E9"/>
    <w:rsid w:val="00D82410"/>
    <w:rsid w:val="00D85856"/>
    <w:rsid w:val="00D86699"/>
    <w:rsid w:val="00D920F9"/>
    <w:rsid w:val="00D947D7"/>
    <w:rsid w:val="00D963E7"/>
    <w:rsid w:val="00D96D0B"/>
    <w:rsid w:val="00D97857"/>
    <w:rsid w:val="00D97E0C"/>
    <w:rsid w:val="00DA04C6"/>
    <w:rsid w:val="00DA11EB"/>
    <w:rsid w:val="00DA3280"/>
    <w:rsid w:val="00DA4AC8"/>
    <w:rsid w:val="00DA5FDB"/>
    <w:rsid w:val="00DA703A"/>
    <w:rsid w:val="00DB1D62"/>
    <w:rsid w:val="00DB2335"/>
    <w:rsid w:val="00DB6D61"/>
    <w:rsid w:val="00DC170F"/>
    <w:rsid w:val="00DC1FA8"/>
    <w:rsid w:val="00DC5669"/>
    <w:rsid w:val="00DC691A"/>
    <w:rsid w:val="00DD02B3"/>
    <w:rsid w:val="00DD0D59"/>
    <w:rsid w:val="00DD1B6A"/>
    <w:rsid w:val="00DD1E0F"/>
    <w:rsid w:val="00DD201A"/>
    <w:rsid w:val="00DD33EE"/>
    <w:rsid w:val="00DD4DD4"/>
    <w:rsid w:val="00DD5560"/>
    <w:rsid w:val="00DD5D68"/>
    <w:rsid w:val="00DD7EC5"/>
    <w:rsid w:val="00DE01AD"/>
    <w:rsid w:val="00DE1A80"/>
    <w:rsid w:val="00DE2672"/>
    <w:rsid w:val="00DE5ED6"/>
    <w:rsid w:val="00DE7878"/>
    <w:rsid w:val="00DE7A43"/>
    <w:rsid w:val="00DF1FB6"/>
    <w:rsid w:val="00DF249A"/>
    <w:rsid w:val="00DF29C3"/>
    <w:rsid w:val="00DF2B93"/>
    <w:rsid w:val="00DF50F4"/>
    <w:rsid w:val="00E0228C"/>
    <w:rsid w:val="00E0306A"/>
    <w:rsid w:val="00E03BA0"/>
    <w:rsid w:val="00E06058"/>
    <w:rsid w:val="00E0637A"/>
    <w:rsid w:val="00E07FE4"/>
    <w:rsid w:val="00E1089F"/>
    <w:rsid w:val="00E10CD1"/>
    <w:rsid w:val="00E115EE"/>
    <w:rsid w:val="00E11979"/>
    <w:rsid w:val="00E12CC0"/>
    <w:rsid w:val="00E13F20"/>
    <w:rsid w:val="00E141E5"/>
    <w:rsid w:val="00E152F4"/>
    <w:rsid w:val="00E15319"/>
    <w:rsid w:val="00E15EB2"/>
    <w:rsid w:val="00E20383"/>
    <w:rsid w:val="00E221AD"/>
    <w:rsid w:val="00E23830"/>
    <w:rsid w:val="00E23FB0"/>
    <w:rsid w:val="00E242FD"/>
    <w:rsid w:val="00E24418"/>
    <w:rsid w:val="00E25B44"/>
    <w:rsid w:val="00E301E2"/>
    <w:rsid w:val="00E32283"/>
    <w:rsid w:val="00E331E6"/>
    <w:rsid w:val="00E33566"/>
    <w:rsid w:val="00E33E1B"/>
    <w:rsid w:val="00E40419"/>
    <w:rsid w:val="00E41A6E"/>
    <w:rsid w:val="00E44118"/>
    <w:rsid w:val="00E4418F"/>
    <w:rsid w:val="00E46C27"/>
    <w:rsid w:val="00E503DC"/>
    <w:rsid w:val="00E51610"/>
    <w:rsid w:val="00E55B88"/>
    <w:rsid w:val="00E55C38"/>
    <w:rsid w:val="00E576D2"/>
    <w:rsid w:val="00E61161"/>
    <w:rsid w:val="00E61C0E"/>
    <w:rsid w:val="00E61D13"/>
    <w:rsid w:val="00E61E2A"/>
    <w:rsid w:val="00E637BA"/>
    <w:rsid w:val="00E63AB3"/>
    <w:rsid w:val="00E65418"/>
    <w:rsid w:val="00E65733"/>
    <w:rsid w:val="00E71C1E"/>
    <w:rsid w:val="00E72A09"/>
    <w:rsid w:val="00E745DC"/>
    <w:rsid w:val="00E74F28"/>
    <w:rsid w:val="00E756D2"/>
    <w:rsid w:val="00E77FD8"/>
    <w:rsid w:val="00E802E9"/>
    <w:rsid w:val="00E80D6D"/>
    <w:rsid w:val="00E816C4"/>
    <w:rsid w:val="00E831BC"/>
    <w:rsid w:val="00E8627D"/>
    <w:rsid w:val="00E913BC"/>
    <w:rsid w:val="00E928B1"/>
    <w:rsid w:val="00E97EFA"/>
    <w:rsid w:val="00EA0DFA"/>
    <w:rsid w:val="00EA1D60"/>
    <w:rsid w:val="00EA28A6"/>
    <w:rsid w:val="00EA51C4"/>
    <w:rsid w:val="00EA7705"/>
    <w:rsid w:val="00EB073A"/>
    <w:rsid w:val="00EB1F09"/>
    <w:rsid w:val="00EB7ED9"/>
    <w:rsid w:val="00EC1472"/>
    <w:rsid w:val="00EC2162"/>
    <w:rsid w:val="00EC231D"/>
    <w:rsid w:val="00EC3F41"/>
    <w:rsid w:val="00EC5358"/>
    <w:rsid w:val="00ED5496"/>
    <w:rsid w:val="00ED56AD"/>
    <w:rsid w:val="00ED5E43"/>
    <w:rsid w:val="00ED7F9C"/>
    <w:rsid w:val="00EE14E1"/>
    <w:rsid w:val="00EE53E7"/>
    <w:rsid w:val="00EE7508"/>
    <w:rsid w:val="00EE7602"/>
    <w:rsid w:val="00EF0A33"/>
    <w:rsid w:val="00EF332C"/>
    <w:rsid w:val="00EF509E"/>
    <w:rsid w:val="00EF648D"/>
    <w:rsid w:val="00EF7598"/>
    <w:rsid w:val="00EF7E21"/>
    <w:rsid w:val="00F0121B"/>
    <w:rsid w:val="00F0194B"/>
    <w:rsid w:val="00F02889"/>
    <w:rsid w:val="00F030D0"/>
    <w:rsid w:val="00F04CDD"/>
    <w:rsid w:val="00F04E06"/>
    <w:rsid w:val="00F05743"/>
    <w:rsid w:val="00F06727"/>
    <w:rsid w:val="00F075D3"/>
    <w:rsid w:val="00F10541"/>
    <w:rsid w:val="00F12D10"/>
    <w:rsid w:val="00F14556"/>
    <w:rsid w:val="00F21E08"/>
    <w:rsid w:val="00F22084"/>
    <w:rsid w:val="00F2267A"/>
    <w:rsid w:val="00F245F7"/>
    <w:rsid w:val="00F25AC7"/>
    <w:rsid w:val="00F2766B"/>
    <w:rsid w:val="00F27D94"/>
    <w:rsid w:val="00F310A5"/>
    <w:rsid w:val="00F31953"/>
    <w:rsid w:val="00F31A16"/>
    <w:rsid w:val="00F34676"/>
    <w:rsid w:val="00F3531D"/>
    <w:rsid w:val="00F357BE"/>
    <w:rsid w:val="00F35B74"/>
    <w:rsid w:val="00F36EA6"/>
    <w:rsid w:val="00F37059"/>
    <w:rsid w:val="00F434F6"/>
    <w:rsid w:val="00F52097"/>
    <w:rsid w:val="00F54DA2"/>
    <w:rsid w:val="00F5583C"/>
    <w:rsid w:val="00F56A59"/>
    <w:rsid w:val="00F601E5"/>
    <w:rsid w:val="00F6167B"/>
    <w:rsid w:val="00F61D1B"/>
    <w:rsid w:val="00F62080"/>
    <w:rsid w:val="00F648C2"/>
    <w:rsid w:val="00F64B17"/>
    <w:rsid w:val="00F65EAE"/>
    <w:rsid w:val="00F667E2"/>
    <w:rsid w:val="00F66A50"/>
    <w:rsid w:val="00F67501"/>
    <w:rsid w:val="00F67664"/>
    <w:rsid w:val="00F716A4"/>
    <w:rsid w:val="00F73906"/>
    <w:rsid w:val="00F74D12"/>
    <w:rsid w:val="00F75BD4"/>
    <w:rsid w:val="00F77A38"/>
    <w:rsid w:val="00F8117A"/>
    <w:rsid w:val="00F8373F"/>
    <w:rsid w:val="00F8651F"/>
    <w:rsid w:val="00F91769"/>
    <w:rsid w:val="00F93749"/>
    <w:rsid w:val="00F93DC3"/>
    <w:rsid w:val="00F950B1"/>
    <w:rsid w:val="00F97814"/>
    <w:rsid w:val="00F97DD3"/>
    <w:rsid w:val="00FA1B0D"/>
    <w:rsid w:val="00FA454F"/>
    <w:rsid w:val="00FA5488"/>
    <w:rsid w:val="00FB2376"/>
    <w:rsid w:val="00FB43E9"/>
    <w:rsid w:val="00FB6635"/>
    <w:rsid w:val="00FB7062"/>
    <w:rsid w:val="00FC127A"/>
    <w:rsid w:val="00FC2941"/>
    <w:rsid w:val="00FC68E7"/>
    <w:rsid w:val="00FD1A8A"/>
    <w:rsid w:val="00FD33C6"/>
    <w:rsid w:val="00FD391C"/>
    <w:rsid w:val="00FD7718"/>
    <w:rsid w:val="00FD7EE2"/>
    <w:rsid w:val="00FE196E"/>
    <w:rsid w:val="00FE1AD6"/>
    <w:rsid w:val="00FE4627"/>
    <w:rsid w:val="00FF0E0F"/>
    <w:rsid w:val="00FF1F3A"/>
    <w:rsid w:val="00FF279C"/>
    <w:rsid w:val="00FF2E87"/>
    <w:rsid w:val="00FF49CF"/>
    <w:rsid w:val="00FF4E74"/>
    <w:rsid w:val="00FF538A"/>
    <w:rsid w:val="00FF5FD8"/>
    <w:rsid w:val="00FF67A4"/>
    <w:rsid w:val="00FF6BE4"/>
    <w:rsid w:val="00FF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18753F64"/>
  <w15:chartTrackingRefBased/>
  <w15:docId w15:val="{68E25B87-47EF-4236-B118-879AE5A0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45"/>
    <w:pPr>
      <w:spacing w:after="120" w:line="360" w:lineRule="auto"/>
      <w:jc w:val="both"/>
    </w:pPr>
    <w:rPr>
      <w:rFonts w:ascii="Arial" w:hAnsi="Arial"/>
      <w:sz w:val="24"/>
    </w:rPr>
  </w:style>
  <w:style w:type="paragraph" w:styleId="Heading1">
    <w:name w:val="heading 1"/>
    <w:basedOn w:val="Normal"/>
    <w:next w:val="Normal"/>
    <w:link w:val="Heading1Char"/>
    <w:uiPriority w:val="9"/>
    <w:qFormat/>
    <w:rsid w:val="00765CC6"/>
    <w:pPr>
      <w:keepNext/>
      <w:keepLines/>
      <w:spacing w:before="240" w:line="288"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4309C"/>
    <w:pPr>
      <w:keepNext/>
      <w:keepLines/>
      <w:spacing w:before="2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985176"/>
    <w:pPr>
      <w:keepNext/>
      <w:keepLines/>
      <w:spacing w:before="12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E0E76"/>
    <w:pPr>
      <w:keepNext/>
      <w:keepLines/>
      <w:spacing w:before="120" w:after="240" w:line="240" w:lineRule="auto"/>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unhideWhenUsed/>
    <w:qFormat/>
    <w:rsid w:val="00057A19"/>
    <w:pPr>
      <w:keepNext/>
      <w:keepLines/>
      <w:spacing w:before="40" w:after="0"/>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unhideWhenUsed/>
    <w:qFormat/>
    <w:rsid w:val="00D238D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CC6"/>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4309C"/>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985176"/>
    <w:rPr>
      <w:rFonts w:ascii="Arial" w:eastAsiaTheme="majorEastAsia" w:hAnsi="Arial" w:cstheme="majorBidi"/>
      <w:b/>
      <w:sz w:val="24"/>
      <w:szCs w:val="24"/>
    </w:rPr>
  </w:style>
  <w:style w:type="paragraph" w:styleId="Header">
    <w:name w:val="header"/>
    <w:basedOn w:val="Normal"/>
    <w:link w:val="HeaderChar"/>
    <w:uiPriority w:val="99"/>
    <w:unhideWhenUsed/>
    <w:rsid w:val="00461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419"/>
    <w:rPr>
      <w:rFonts w:ascii="Arial" w:hAnsi="Arial"/>
      <w:sz w:val="24"/>
    </w:rPr>
  </w:style>
  <w:style w:type="paragraph" w:styleId="Footer">
    <w:name w:val="footer"/>
    <w:basedOn w:val="Normal"/>
    <w:link w:val="FooterChar"/>
    <w:uiPriority w:val="99"/>
    <w:unhideWhenUsed/>
    <w:rsid w:val="00461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419"/>
    <w:rPr>
      <w:rFonts w:ascii="Arial" w:hAnsi="Arial"/>
      <w:sz w:val="24"/>
    </w:rPr>
  </w:style>
  <w:style w:type="paragraph" w:styleId="ListParagraph">
    <w:name w:val="List Paragraph"/>
    <w:basedOn w:val="Normal"/>
    <w:uiPriority w:val="34"/>
    <w:qFormat/>
    <w:rsid w:val="00BF2D0C"/>
    <w:pPr>
      <w:ind w:left="720"/>
      <w:contextualSpacing/>
    </w:pPr>
  </w:style>
  <w:style w:type="character" w:styleId="Hyperlink">
    <w:name w:val="Hyperlink"/>
    <w:basedOn w:val="DefaultParagraphFont"/>
    <w:unhideWhenUsed/>
    <w:rsid w:val="00177483"/>
    <w:rPr>
      <w:color w:val="0563C1" w:themeColor="hyperlink"/>
      <w:u w:val="single"/>
    </w:rPr>
  </w:style>
  <w:style w:type="paragraph" w:styleId="FootnoteText">
    <w:name w:val="footnote text"/>
    <w:basedOn w:val="Normal"/>
    <w:link w:val="FootnoteTextChar"/>
    <w:uiPriority w:val="99"/>
    <w:unhideWhenUsed/>
    <w:rsid w:val="00E20383"/>
    <w:pPr>
      <w:spacing w:after="0" w:line="240" w:lineRule="auto"/>
    </w:pPr>
    <w:rPr>
      <w:sz w:val="20"/>
      <w:szCs w:val="20"/>
    </w:rPr>
  </w:style>
  <w:style w:type="character" w:customStyle="1" w:styleId="FootnoteTextChar">
    <w:name w:val="Footnote Text Char"/>
    <w:basedOn w:val="DefaultParagraphFont"/>
    <w:link w:val="FootnoteText"/>
    <w:uiPriority w:val="99"/>
    <w:rsid w:val="00E20383"/>
    <w:rPr>
      <w:rFonts w:ascii="Arial" w:hAnsi="Arial"/>
      <w:sz w:val="20"/>
      <w:szCs w:val="20"/>
    </w:rPr>
  </w:style>
  <w:style w:type="character" w:styleId="FootnoteReference">
    <w:name w:val="footnote reference"/>
    <w:basedOn w:val="DefaultParagraphFont"/>
    <w:uiPriority w:val="99"/>
    <w:unhideWhenUsed/>
    <w:rsid w:val="00E20383"/>
    <w:rPr>
      <w:vertAlign w:val="superscript"/>
    </w:rPr>
  </w:style>
  <w:style w:type="character" w:customStyle="1" w:styleId="Heading4Char">
    <w:name w:val="Heading 4 Char"/>
    <w:basedOn w:val="DefaultParagraphFont"/>
    <w:link w:val="Heading4"/>
    <w:uiPriority w:val="9"/>
    <w:rsid w:val="004E0E76"/>
    <w:rPr>
      <w:rFonts w:ascii="Arial" w:eastAsiaTheme="majorEastAsia" w:hAnsi="Arial" w:cstheme="majorBidi"/>
      <w:iCs/>
      <w:color w:val="000000" w:themeColor="text1"/>
      <w:sz w:val="24"/>
      <w:u w:val="single"/>
    </w:rPr>
  </w:style>
  <w:style w:type="paragraph" w:styleId="NormalWeb">
    <w:name w:val="Normal (Web)"/>
    <w:basedOn w:val="Normal"/>
    <w:uiPriority w:val="99"/>
    <w:semiHidden/>
    <w:unhideWhenUsed/>
    <w:rsid w:val="00EE7508"/>
    <w:pPr>
      <w:spacing w:after="150"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CF5E20"/>
    <w:rPr>
      <w:i/>
      <w:iCs/>
    </w:rPr>
  </w:style>
  <w:style w:type="character" w:customStyle="1" w:styleId="al-author-name">
    <w:name w:val="al-author-name"/>
    <w:basedOn w:val="DefaultParagraphFont"/>
    <w:rsid w:val="00CF5E20"/>
  </w:style>
  <w:style w:type="character" w:customStyle="1" w:styleId="al-author-info-wrap1">
    <w:name w:val="al-author-info-wrap1"/>
    <w:basedOn w:val="DefaultParagraphFont"/>
    <w:rsid w:val="00CF5E20"/>
    <w:rPr>
      <w:vanish/>
      <w:webHidden w:val="0"/>
      <w:bdr w:val="single" w:sz="6" w:space="9" w:color="B4BACA" w:frame="1"/>
      <w:shd w:val="clear" w:color="auto" w:fill="FFFFFF"/>
      <w:specVanish w:val="0"/>
    </w:rPr>
  </w:style>
  <w:style w:type="character" w:styleId="CommentReference">
    <w:name w:val="annotation reference"/>
    <w:basedOn w:val="DefaultParagraphFont"/>
    <w:semiHidden/>
    <w:unhideWhenUsed/>
    <w:rsid w:val="00BD5D57"/>
    <w:rPr>
      <w:sz w:val="16"/>
      <w:szCs w:val="16"/>
    </w:rPr>
  </w:style>
  <w:style w:type="paragraph" w:styleId="CommentText">
    <w:name w:val="annotation text"/>
    <w:basedOn w:val="Normal"/>
    <w:link w:val="CommentTextChar"/>
    <w:unhideWhenUsed/>
    <w:rsid w:val="00BD5D57"/>
    <w:pPr>
      <w:spacing w:line="240" w:lineRule="auto"/>
    </w:pPr>
    <w:rPr>
      <w:sz w:val="20"/>
      <w:szCs w:val="20"/>
    </w:rPr>
  </w:style>
  <w:style w:type="character" w:customStyle="1" w:styleId="CommentTextChar">
    <w:name w:val="Comment Text Char"/>
    <w:basedOn w:val="DefaultParagraphFont"/>
    <w:link w:val="CommentText"/>
    <w:rsid w:val="00BD5D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D5D57"/>
    <w:rPr>
      <w:b/>
      <w:bCs/>
    </w:rPr>
  </w:style>
  <w:style w:type="character" w:customStyle="1" w:styleId="CommentSubjectChar">
    <w:name w:val="Comment Subject Char"/>
    <w:basedOn w:val="CommentTextChar"/>
    <w:link w:val="CommentSubject"/>
    <w:uiPriority w:val="99"/>
    <w:semiHidden/>
    <w:rsid w:val="00BD5D57"/>
    <w:rPr>
      <w:rFonts w:ascii="Arial" w:hAnsi="Arial"/>
      <w:b/>
      <w:bCs/>
      <w:sz w:val="20"/>
      <w:szCs w:val="20"/>
    </w:rPr>
  </w:style>
  <w:style w:type="paragraph" w:styleId="BalloonText">
    <w:name w:val="Balloon Text"/>
    <w:basedOn w:val="Normal"/>
    <w:link w:val="BalloonTextChar"/>
    <w:uiPriority w:val="99"/>
    <w:semiHidden/>
    <w:unhideWhenUsed/>
    <w:rsid w:val="00BD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D57"/>
    <w:rPr>
      <w:rFonts w:ascii="Segoe UI" w:hAnsi="Segoe UI" w:cs="Segoe UI"/>
      <w:sz w:val="18"/>
      <w:szCs w:val="18"/>
    </w:rPr>
  </w:style>
  <w:style w:type="character" w:customStyle="1" w:styleId="Heading5Char">
    <w:name w:val="Heading 5 Char"/>
    <w:basedOn w:val="DefaultParagraphFont"/>
    <w:link w:val="Heading5"/>
    <w:uiPriority w:val="9"/>
    <w:rsid w:val="00057A19"/>
    <w:rPr>
      <w:rFonts w:asciiTheme="majorHAnsi" w:eastAsiaTheme="majorEastAsia" w:hAnsiTheme="majorHAnsi" w:cstheme="majorBidi"/>
      <w:sz w:val="28"/>
    </w:rPr>
  </w:style>
  <w:style w:type="character" w:styleId="SubtleEmphasis">
    <w:name w:val="Subtle Emphasis"/>
    <w:basedOn w:val="DefaultParagraphFont"/>
    <w:uiPriority w:val="19"/>
    <w:qFormat/>
    <w:rsid w:val="00F2267A"/>
    <w:rPr>
      <w:i/>
      <w:iCs/>
      <w:color w:val="404040" w:themeColor="text1" w:themeTint="BF"/>
    </w:rPr>
  </w:style>
  <w:style w:type="paragraph" w:styleId="TOCHeading">
    <w:name w:val="TOC Heading"/>
    <w:basedOn w:val="Heading1"/>
    <w:next w:val="Normal"/>
    <w:uiPriority w:val="39"/>
    <w:unhideWhenUsed/>
    <w:qFormat/>
    <w:rsid w:val="006D6FE1"/>
    <w:pPr>
      <w:spacing w:line="259" w:lineRule="auto"/>
      <w:jc w:val="left"/>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6D6FE1"/>
    <w:pPr>
      <w:spacing w:before="360" w:after="0"/>
      <w:jc w:val="left"/>
    </w:pPr>
    <w:rPr>
      <w:rFonts w:asciiTheme="majorHAnsi" w:hAnsiTheme="majorHAnsi" w:cstheme="majorHAnsi"/>
      <w:b/>
      <w:bCs/>
      <w:caps/>
      <w:szCs w:val="24"/>
    </w:rPr>
  </w:style>
  <w:style w:type="paragraph" w:styleId="TOC2">
    <w:name w:val="toc 2"/>
    <w:basedOn w:val="Normal"/>
    <w:next w:val="Normal"/>
    <w:autoRedefine/>
    <w:uiPriority w:val="39"/>
    <w:unhideWhenUsed/>
    <w:rsid w:val="006D6FE1"/>
    <w:pPr>
      <w:spacing w:before="240" w:after="0"/>
      <w:jc w:val="left"/>
    </w:pPr>
    <w:rPr>
      <w:rFonts w:asciiTheme="minorHAnsi" w:hAnsiTheme="minorHAnsi" w:cstheme="minorHAnsi"/>
      <w:b/>
      <w:bCs/>
      <w:sz w:val="20"/>
      <w:szCs w:val="20"/>
    </w:rPr>
  </w:style>
  <w:style w:type="paragraph" w:styleId="TOC3">
    <w:name w:val="toc 3"/>
    <w:basedOn w:val="Normal"/>
    <w:next w:val="Normal"/>
    <w:autoRedefine/>
    <w:uiPriority w:val="39"/>
    <w:unhideWhenUsed/>
    <w:rsid w:val="006D6FE1"/>
    <w:pPr>
      <w:spacing w:after="0"/>
      <w:ind w:left="240"/>
      <w:jc w:val="left"/>
    </w:pPr>
    <w:rPr>
      <w:rFonts w:asciiTheme="minorHAnsi" w:hAnsiTheme="minorHAnsi" w:cstheme="minorHAnsi"/>
      <w:sz w:val="20"/>
      <w:szCs w:val="20"/>
    </w:rPr>
  </w:style>
  <w:style w:type="table" w:styleId="TableGrid">
    <w:name w:val="Table Grid"/>
    <w:basedOn w:val="TableNormal"/>
    <w:uiPriority w:val="39"/>
    <w:rsid w:val="006D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50843"/>
    <w:pPr>
      <w:spacing w:after="0"/>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650843"/>
    <w:pPr>
      <w:spacing w:after="0"/>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650843"/>
    <w:pPr>
      <w:spacing w:after="0"/>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650843"/>
    <w:pPr>
      <w:spacing w:after="0"/>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650843"/>
    <w:pPr>
      <w:spacing w:after="0"/>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650843"/>
    <w:pPr>
      <w:spacing w:after="0"/>
      <w:ind w:left="1680"/>
      <w:jc w:val="left"/>
    </w:pPr>
    <w:rPr>
      <w:rFonts w:asciiTheme="minorHAnsi" w:hAnsiTheme="minorHAnsi" w:cstheme="minorHAnsi"/>
      <w:sz w:val="20"/>
      <w:szCs w:val="20"/>
    </w:rPr>
  </w:style>
  <w:style w:type="character" w:styleId="Strong">
    <w:name w:val="Strong"/>
    <w:basedOn w:val="DefaultParagraphFont"/>
    <w:uiPriority w:val="22"/>
    <w:qFormat/>
    <w:rsid w:val="00A421AA"/>
    <w:rPr>
      <w:b/>
      <w:bCs/>
    </w:rPr>
  </w:style>
  <w:style w:type="character" w:customStyle="1" w:styleId="highwire-cite-article-as">
    <w:name w:val="highwire-cite-article-as"/>
    <w:basedOn w:val="DefaultParagraphFont"/>
    <w:rsid w:val="00092224"/>
  </w:style>
  <w:style w:type="character" w:customStyle="1" w:styleId="italic">
    <w:name w:val="italic"/>
    <w:basedOn w:val="DefaultParagraphFont"/>
    <w:rsid w:val="00092224"/>
  </w:style>
  <w:style w:type="paragraph" w:customStyle="1" w:styleId="Default">
    <w:name w:val="Default"/>
    <w:rsid w:val="00DC566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7D6B"/>
    <w:pPr>
      <w:spacing w:after="0" w:line="240" w:lineRule="auto"/>
      <w:jc w:val="both"/>
    </w:pPr>
    <w:rPr>
      <w:rFonts w:ascii="Arial" w:hAnsi="Arial"/>
      <w:sz w:val="24"/>
    </w:rPr>
  </w:style>
  <w:style w:type="character" w:styleId="FollowedHyperlink">
    <w:name w:val="FollowedHyperlink"/>
    <w:basedOn w:val="DefaultParagraphFont"/>
    <w:uiPriority w:val="99"/>
    <w:semiHidden/>
    <w:unhideWhenUsed/>
    <w:rsid w:val="00217BBE"/>
    <w:rPr>
      <w:color w:val="954F72" w:themeColor="followedHyperlink"/>
      <w:u w:val="single"/>
    </w:rPr>
  </w:style>
  <w:style w:type="character" w:customStyle="1" w:styleId="Heading6Char">
    <w:name w:val="Heading 6 Char"/>
    <w:basedOn w:val="DefaultParagraphFont"/>
    <w:link w:val="Heading6"/>
    <w:uiPriority w:val="9"/>
    <w:rsid w:val="00D238D1"/>
    <w:rPr>
      <w:rFonts w:asciiTheme="majorHAnsi" w:eastAsiaTheme="majorEastAsia" w:hAnsiTheme="majorHAnsi" w:cstheme="majorBidi"/>
      <w:color w:val="1F4D78" w:themeColor="accent1" w:themeShade="7F"/>
      <w:sz w:val="24"/>
    </w:rPr>
  </w:style>
  <w:style w:type="paragraph" w:styleId="Revision">
    <w:name w:val="Revision"/>
    <w:hidden/>
    <w:uiPriority w:val="99"/>
    <w:semiHidden/>
    <w:rsid w:val="00A2609E"/>
    <w:pPr>
      <w:spacing w:after="0" w:line="240" w:lineRule="auto"/>
    </w:pPr>
    <w:rPr>
      <w:rFonts w:ascii="Arial" w:hAnsi="Arial"/>
      <w:sz w:val="24"/>
    </w:rPr>
  </w:style>
  <w:style w:type="paragraph" w:customStyle="1" w:styleId="Paragraph">
    <w:name w:val="Paragraph"/>
    <w:basedOn w:val="Normal"/>
    <w:uiPriority w:val="4"/>
    <w:qFormat/>
    <w:rsid w:val="00DA4AC8"/>
    <w:pPr>
      <w:spacing w:before="240" w:after="240" w:line="276"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3154">
      <w:bodyDiv w:val="1"/>
      <w:marLeft w:val="0"/>
      <w:marRight w:val="0"/>
      <w:marTop w:val="0"/>
      <w:marBottom w:val="0"/>
      <w:divBdr>
        <w:top w:val="none" w:sz="0" w:space="0" w:color="auto"/>
        <w:left w:val="none" w:sz="0" w:space="0" w:color="auto"/>
        <w:bottom w:val="none" w:sz="0" w:space="0" w:color="auto"/>
        <w:right w:val="none" w:sz="0" w:space="0" w:color="auto"/>
      </w:divBdr>
    </w:div>
    <w:div w:id="246572219">
      <w:bodyDiv w:val="1"/>
      <w:marLeft w:val="0"/>
      <w:marRight w:val="0"/>
      <w:marTop w:val="0"/>
      <w:marBottom w:val="0"/>
      <w:divBdr>
        <w:top w:val="none" w:sz="0" w:space="0" w:color="auto"/>
        <w:left w:val="none" w:sz="0" w:space="0" w:color="auto"/>
        <w:bottom w:val="none" w:sz="0" w:space="0" w:color="auto"/>
        <w:right w:val="none" w:sz="0" w:space="0" w:color="auto"/>
      </w:divBdr>
    </w:div>
    <w:div w:id="665792797">
      <w:bodyDiv w:val="1"/>
      <w:marLeft w:val="0"/>
      <w:marRight w:val="0"/>
      <w:marTop w:val="0"/>
      <w:marBottom w:val="0"/>
      <w:divBdr>
        <w:top w:val="none" w:sz="0" w:space="0" w:color="auto"/>
        <w:left w:val="none" w:sz="0" w:space="0" w:color="auto"/>
        <w:bottom w:val="none" w:sz="0" w:space="0" w:color="auto"/>
        <w:right w:val="none" w:sz="0" w:space="0" w:color="auto"/>
      </w:divBdr>
      <w:divsChild>
        <w:div w:id="50348401">
          <w:marLeft w:val="360"/>
          <w:marRight w:val="0"/>
          <w:marTop w:val="200"/>
          <w:marBottom w:val="0"/>
          <w:divBdr>
            <w:top w:val="none" w:sz="0" w:space="0" w:color="auto"/>
            <w:left w:val="none" w:sz="0" w:space="0" w:color="auto"/>
            <w:bottom w:val="none" w:sz="0" w:space="0" w:color="auto"/>
            <w:right w:val="none" w:sz="0" w:space="0" w:color="auto"/>
          </w:divBdr>
        </w:div>
      </w:divsChild>
    </w:div>
    <w:div w:id="704334010">
      <w:bodyDiv w:val="1"/>
      <w:marLeft w:val="0"/>
      <w:marRight w:val="0"/>
      <w:marTop w:val="0"/>
      <w:marBottom w:val="0"/>
      <w:divBdr>
        <w:top w:val="none" w:sz="0" w:space="0" w:color="auto"/>
        <w:left w:val="none" w:sz="0" w:space="0" w:color="auto"/>
        <w:bottom w:val="none" w:sz="0" w:space="0" w:color="auto"/>
        <w:right w:val="none" w:sz="0" w:space="0" w:color="auto"/>
      </w:divBdr>
    </w:div>
    <w:div w:id="764155143">
      <w:bodyDiv w:val="1"/>
      <w:marLeft w:val="0"/>
      <w:marRight w:val="0"/>
      <w:marTop w:val="0"/>
      <w:marBottom w:val="0"/>
      <w:divBdr>
        <w:top w:val="none" w:sz="0" w:space="0" w:color="auto"/>
        <w:left w:val="none" w:sz="0" w:space="0" w:color="auto"/>
        <w:bottom w:val="none" w:sz="0" w:space="0" w:color="auto"/>
        <w:right w:val="none" w:sz="0" w:space="0" w:color="auto"/>
      </w:divBdr>
      <w:divsChild>
        <w:div w:id="1998680447">
          <w:marLeft w:val="0"/>
          <w:marRight w:val="0"/>
          <w:marTop w:val="0"/>
          <w:marBottom w:val="0"/>
          <w:divBdr>
            <w:top w:val="none" w:sz="0" w:space="0" w:color="auto"/>
            <w:left w:val="none" w:sz="0" w:space="0" w:color="auto"/>
            <w:bottom w:val="none" w:sz="0" w:space="0" w:color="auto"/>
            <w:right w:val="none" w:sz="0" w:space="0" w:color="auto"/>
          </w:divBdr>
          <w:divsChild>
            <w:div w:id="763847033">
              <w:marLeft w:val="0"/>
              <w:marRight w:val="0"/>
              <w:marTop w:val="0"/>
              <w:marBottom w:val="0"/>
              <w:divBdr>
                <w:top w:val="none" w:sz="0" w:space="0" w:color="auto"/>
                <w:left w:val="none" w:sz="0" w:space="0" w:color="auto"/>
                <w:bottom w:val="none" w:sz="0" w:space="0" w:color="auto"/>
                <w:right w:val="none" w:sz="0" w:space="0" w:color="auto"/>
              </w:divBdr>
              <w:divsChild>
                <w:div w:id="1699771348">
                  <w:marLeft w:val="0"/>
                  <w:marRight w:val="0"/>
                  <w:marTop w:val="0"/>
                  <w:marBottom w:val="0"/>
                  <w:divBdr>
                    <w:top w:val="none" w:sz="0" w:space="0" w:color="auto"/>
                    <w:left w:val="none" w:sz="0" w:space="0" w:color="auto"/>
                    <w:bottom w:val="none" w:sz="0" w:space="0" w:color="auto"/>
                    <w:right w:val="none" w:sz="0" w:space="0" w:color="auto"/>
                  </w:divBdr>
                  <w:divsChild>
                    <w:div w:id="512184305">
                      <w:marLeft w:val="0"/>
                      <w:marRight w:val="0"/>
                      <w:marTop w:val="0"/>
                      <w:marBottom w:val="0"/>
                      <w:divBdr>
                        <w:top w:val="none" w:sz="0" w:space="0" w:color="auto"/>
                        <w:left w:val="none" w:sz="0" w:space="0" w:color="auto"/>
                        <w:bottom w:val="none" w:sz="0" w:space="0" w:color="auto"/>
                        <w:right w:val="none" w:sz="0" w:space="0" w:color="auto"/>
                      </w:divBdr>
                      <w:divsChild>
                        <w:div w:id="1253274266">
                          <w:marLeft w:val="0"/>
                          <w:marRight w:val="0"/>
                          <w:marTop w:val="0"/>
                          <w:marBottom w:val="0"/>
                          <w:divBdr>
                            <w:top w:val="none" w:sz="0" w:space="0" w:color="auto"/>
                            <w:left w:val="none" w:sz="0" w:space="0" w:color="auto"/>
                            <w:bottom w:val="none" w:sz="0" w:space="0" w:color="auto"/>
                            <w:right w:val="none" w:sz="0" w:space="0" w:color="auto"/>
                          </w:divBdr>
                          <w:divsChild>
                            <w:div w:id="455833357">
                              <w:marLeft w:val="0"/>
                              <w:marRight w:val="0"/>
                              <w:marTop w:val="0"/>
                              <w:marBottom w:val="0"/>
                              <w:divBdr>
                                <w:top w:val="none" w:sz="0" w:space="0" w:color="auto"/>
                                <w:left w:val="single" w:sz="6" w:space="0" w:color="E5E3E3"/>
                                <w:bottom w:val="none" w:sz="0" w:space="0" w:color="auto"/>
                                <w:right w:val="none" w:sz="0" w:space="0" w:color="auto"/>
                              </w:divBdr>
                              <w:divsChild>
                                <w:div w:id="1961111489">
                                  <w:marLeft w:val="0"/>
                                  <w:marRight w:val="0"/>
                                  <w:marTop w:val="0"/>
                                  <w:marBottom w:val="0"/>
                                  <w:divBdr>
                                    <w:top w:val="none" w:sz="0" w:space="0" w:color="auto"/>
                                    <w:left w:val="none" w:sz="0" w:space="0" w:color="auto"/>
                                    <w:bottom w:val="none" w:sz="0" w:space="0" w:color="auto"/>
                                    <w:right w:val="none" w:sz="0" w:space="0" w:color="auto"/>
                                  </w:divBdr>
                                  <w:divsChild>
                                    <w:div w:id="877663837">
                                      <w:marLeft w:val="0"/>
                                      <w:marRight w:val="0"/>
                                      <w:marTop w:val="0"/>
                                      <w:marBottom w:val="0"/>
                                      <w:divBdr>
                                        <w:top w:val="none" w:sz="0" w:space="0" w:color="auto"/>
                                        <w:left w:val="none" w:sz="0" w:space="0" w:color="auto"/>
                                        <w:bottom w:val="none" w:sz="0" w:space="0" w:color="auto"/>
                                        <w:right w:val="none" w:sz="0" w:space="0" w:color="auto"/>
                                      </w:divBdr>
                                      <w:divsChild>
                                        <w:div w:id="549390131">
                                          <w:marLeft w:val="0"/>
                                          <w:marRight w:val="0"/>
                                          <w:marTop w:val="0"/>
                                          <w:marBottom w:val="0"/>
                                          <w:divBdr>
                                            <w:top w:val="none" w:sz="0" w:space="0" w:color="auto"/>
                                            <w:left w:val="none" w:sz="0" w:space="0" w:color="auto"/>
                                            <w:bottom w:val="none" w:sz="0" w:space="0" w:color="auto"/>
                                            <w:right w:val="none" w:sz="0" w:space="0" w:color="auto"/>
                                          </w:divBdr>
                                          <w:divsChild>
                                            <w:div w:id="1433940549">
                                              <w:marLeft w:val="0"/>
                                              <w:marRight w:val="0"/>
                                              <w:marTop w:val="0"/>
                                              <w:marBottom w:val="0"/>
                                              <w:divBdr>
                                                <w:top w:val="none" w:sz="0" w:space="0" w:color="auto"/>
                                                <w:left w:val="none" w:sz="0" w:space="0" w:color="auto"/>
                                                <w:bottom w:val="none" w:sz="0" w:space="0" w:color="auto"/>
                                                <w:right w:val="none" w:sz="0" w:space="0" w:color="auto"/>
                                              </w:divBdr>
                                              <w:divsChild>
                                                <w:div w:id="826437178">
                                                  <w:marLeft w:val="0"/>
                                                  <w:marRight w:val="0"/>
                                                  <w:marTop w:val="0"/>
                                                  <w:marBottom w:val="0"/>
                                                  <w:divBdr>
                                                    <w:top w:val="none" w:sz="0" w:space="0" w:color="auto"/>
                                                    <w:left w:val="none" w:sz="0" w:space="0" w:color="auto"/>
                                                    <w:bottom w:val="none" w:sz="0" w:space="0" w:color="auto"/>
                                                    <w:right w:val="none" w:sz="0" w:space="0" w:color="auto"/>
                                                  </w:divBdr>
                                                  <w:divsChild>
                                                    <w:div w:id="1873109357">
                                                      <w:marLeft w:val="0"/>
                                                      <w:marRight w:val="0"/>
                                                      <w:marTop w:val="0"/>
                                                      <w:marBottom w:val="0"/>
                                                      <w:divBdr>
                                                        <w:top w:val="none" w:sz="0" w:space="0" w:color="auto"/>
                                                        <w:left w:val="none" w:sz="0" w:space="0" w:color="auto"/>
                                                        <w:bottom w:val="none" w:sz="0" w:space="0" w:color="auto"/>
                                                        <w:right w:val="none" w:sz="0" w:space="0" w:color="auto"/>
                                                      </w:divBdr>
                                                      <w:divsChild>
                                                        <w:div w:id="518391464">
                                                          <w:marLeft w:val="480"/>
                                                          <w:marRight w:val="0"/>
                                                          <w:marTop w:val="0"/>
                                                          <w:marBottom w:val="0"/>
                                                          <w:divBdr>
                                                            <w:top w:val="none" w:sz="0" w:space="0" w:color="auto"/>
                                                            <w:left w:val="none" w:sz="0" w:space="0" w:color="auto"/>
                                                            <w:bottom w:val="none" w:sz="0" w:space="0" w:color="auto"/>
                                                            <w:right w:val="none" w:sz="0" w:space="0" w:color="auto"/>
                                                          </w:divBdr>
                                                          <w:divsChild>
                                                            <w:div w:id="68701931">
                                                              <w:marLeft w:val="0"/>
                                                              <w:marRight w:val="0"/>
                                                              <w:marTop w:val="0"/>
                                                              <w:marBottom w:val="0"/>
                                                              <w:divBdr>
                                                                <w:top w:val="none" w:sz="0" w:space="0" w:color="auto"/>
                                                                <w:left w:val="none" w:sz="0" w:space="0" w:color="auto"/>
                                                                <w:bottom w:val="none" w:sz="0" w:space="0" w:color="auto"/>
                                                                <w:right w:val="none" w:sz="0" w:space="0" w:color="auto"/>
                                                              </w:divBdr>
                                                              <w:divsChild>
                                                                <w:div w:id="842428587">
                                                                  <w:marLeft w:val="0"/>
                                                                  <w:marRight w:val="0"/>
                                                                  <w:marTop w:val="0"/>
                                                                  <w:marBottom w:val="0"/>
                                                                  <w:divBdr>
                                                                    <w:top w:val="none" w:sz="0" w:space="0" w:color="auto"/>
                                                                    <w:left w:val="none" w:sz="0" w:space="0" w:color="auto"/>
                                                                    <w:bottom w:val="none" w:sz="0" w:space="0" w:color="auto"/>
                                                                    <w:right w:val="none" w:sz="0" w:space="0" w:color="auto"/>
                                                                  </w:divBdr>
                                                                  <w:divsChild>
                                                                    <w:div w:id="1191190802">
                                                                      <w:marLeft w:val="0"/>
                                                                      <w:marRight w:val="0"/>
                                                                      <w:marTop w:val="240"/>
                                                                      <w:marBottom w:val="0"/>
                                                                      <w:divBdr>
                                                                        <w:top w:val="none" w:sz="0" w:space="0" w:color="auto"/>
                                                                        <w:left w:val="none" w:sz="0" w:space="0" w:color="auto"/>
                                                                        <w:bottom w:val="none" w:sz="0" w:space="0" w:color="auto"/>
                                                                        <w:right w:val="none" w:sz="0" w:space="0" w:color="auto"/>
                                                                      </w:divBdr>
                                                                      <w:divsChild>
                                                                        <w:div w:id="1319962386">
                                                                          <w:marLeft w:val="0"/>
                                                                          <w:marRight w:val="0"/>
                                                                          <w:marTop w:val="0"/>
                                                                          <w:marBottom w:val="0"/>
                                                                          <w:divBdr>
                                                                            <w:top w:val="none" w:sz="0" w:space="0" w:color="auto"/>
                                                                            <w:left w:val="none" w:sz="0" w:space="0" w:color="auto"/>
                                                                            <w:bottom w:val="none" w:sz="0" w:space="0" w:color="auto"/>
                                                                            <w:right w:val="none" w:sz="0" w:space="0" w:color="auto"/>
                                                                          </w:divBdr>
                                                                          <w:divsChild>
                                                                            <w:div w:id="309479828">
                                                                              <w:marLeft w:val="0"/>
                                                                              <w:marRight w:val="0"/>
                                                                              <w:marTop w:val="0"/>
                                                                              <w:marBottom w:val="0"/>
                                                                              <w:divBdr>
                                                                                <w:top w:val="none" w:sz="0" w:space="0" w:color="auto"/>
                                                                                <w:left w:val="none" w:sz="0" w:space="0" w:color="auto"/>
                                                                                <w:bottom w:val="none" w:sz="0" w:space="0" w:color="auto"/>
                                                                                <w:right w:val="none" w:sz="0" w:space="0" w:color="auto"/>
                                                                              </w:divBdr>
                                                                              <w:divsChild>
                                                                                <w:div w:id="327683453">
                                                                                  <w:marLeft w:val="0"/>
                                                                                  <w:marRight w:val="0"/>
                                                                                  <w:marTop w:val="0"/>
                                                                                  <w:marBottom w:val="0"/>
                                                                                  <w:divBdr>
                                                                                    <w:top w:val="none" w:sz="0" w:space="0" w:color="auto"/>
                                                                                    <w:left w:val="none" w:sz="0" w:space="0" w:color="auto"/>
                                                                                    <w:bottom w:val="none" w:sz="0" w:space="0" w:color="auto"/>
                                                                                    <w:right w:val="none" w:sz="0" w:space="0" w:color="auto"/>
                                                                                  </w:divBdr>
                                                                                  <w:divsChild>
                                                                                    <w:div w:id="1886410602">
                                                                                      <w:marLeft w:val="0"/>
                                                                                      <w:marRight w:val="0"/>
                                                                                      <w:marTop w:val="0"/>
                                                                                      <w:marBottom w:val="0"/>
                                                                                      <w:divBdr>
                                                                                        <w:top w:val="none" w:sz="0" w:space="0" w:color="auto"/>
                                                                                        <w:left w:val="none" w:sz="0" w:space="0" w:color="auto"/>
                                                                                        <w:bottom w:val="none" w:sz="0" w:space="0" w:color="auto"/>
                                                                                        <w:right w:val="none" w:sz="0" w:space="0" w:color="auto"/>
                                                                                      </w:divBdr>
                                                                                      <w:divsChild>
                                                                                        <w:div w:id="1982077650">
                                                                                          <w:marLeft w:val="0"/>
                                                                                          <w:marRight w:val="0"/>
                                                                                          <w:marTop w:val="0"/>
                                                                                          <w:marBottom w:val="0"/>
                                                                                          <w:divBdr>
                                                                                            <w:top w:val="none" w:sz="0" w:space="0" w:color="auto"/>
                                                                                            <w:left w:val="none" w:sz="0" w:space="0" w:color="auto"/>
                                                                                            <w:bottom w:val="none" w:sz="0" w:space="0" w:color="auto"/>
                                                                                            <w:right w:val="none" w:sz="0" w:space="0" w:color="auto"/>
                                                                                          </w:divBdr>
                                                                                          <w:divsChild>
                                                                                            <w:div w:id="947004812">
                                                                                              <w:marLeft w:val="0"/>
                                                                                              <w:marRight w:val="0"/>
                                                                                              <w:marTop w:val="0"/>
                                                                                              <w:marBottom w:val="0"/>
                                                                                              <w:divBdr>
                                                                                                <w:top w:val="none" w:sz="0" w:space="0" w:color="auto"/>
                                                                                                <w:left w:val="none" w:sz="0" w:space="0" w:color="auto"/>
                                                                                                <w:bottom w:val="none" w:sz="0" w:space="0" w:color="auto"/>
                                                                                                <w:right w:val="none" w:sz="0" w:space="0" w:color="auto"/>
                                                                                              </w:divBdr>
                                                                                              <w:divsChild>
                                                                                                <w:div w:id="696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4293">
      <w:bodyDiv w:val="1"/>
      <w:marLeft w:val="0"/>
      <w:marRight w:val="0"/>
      <w:marTop w:val="0"/>
      <w:marBottom w:val="0"/>
      <w:divBdr>
        <w:top w:val="none" w:sz="0" w:space="0" w:color="auto"/>
        <w:left w:val="none" w:sz="0" w:space="0" w:color="auto"/>
        <w:bottom w:val="none" w:sz="0" w:space="0" w:color="auto"/>
        <w:right w:val="none" w:sz="0" w:space="0" w:color="auto"/>
      </w:divBdr>
      <w:divsChild>
        <w:div w:id="395711711">
          <w:marLeft w:val="0"/>
          <w:marRight w:val="0"/>
          <w:marTop w:val="0"/>
          <w:marBottom w:val="0"/>
          <w:divBdr>
            <w:top w:val="none" w:sz="0" w:space="0" w:color="auto"/>
            <w:left w:val="none" w:sz="0" w:space="0" w:color="auto"/>
            <w:bottom w:val="none" w:sz="0" w:space="0" w:color="auto"/>
            <w:right w:val="none" w:sz="0" w:space="0" w:color="auto"/>
          </w:divBdr>
          <w:divsChild>
            <w:div w:id="900560838">
              <w:marLeft w:val="0"/>
              <w:marRight w:val="0"/>
              <w:marTop w:val="0"/>
              <w:marBottom w:val="0"/>
              <w:divBdr>
                <w:top w:val="none" w:sz="0" w:space="0" w:color="auto"/>
                <w:left w:val="none" w:sz="0" w:space="0" w:color="auto"/>
                <w:bottom w:val="none" w:sz="0" w:space="0" w:color="auto"/>
                <w:right w:val="none" w:sz="0" w:space="0" w:color="auto"/>
              </w:divBdr>
              <w:divsChild>
                <w:div w:id="1521621302">
                  <w:marLeft w:val="0"/>
                  <w:marRight w:val="0"/>
                  <w:marTop w:val="0"/>
                  <w:marBottom w:val="0"/>
                  <w:divBdr>
                    <w:top w:val="none" w:sz="0" w:space="0" w:color="auto"/>
                    <w:left w:val="none" w:sz="0" w:space="0" w:color="auto"/>
                    <w:bottom w:val="none" w:sz="0" w:space="0" w:color="auto"/>
                    <w:right w:val="none" w:sz="0" w:space="0" w:color="auto"/>
                  </w:divBdr>
                  <w:divsChild>
                    <w:div w:id="7017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7044">
      <w:bodyDiv w:val="1"/>
      <w:marLeft w:val="0"/>
      <w:marRight w:val="0"/>
      <w:marTop w:val="0"/>
      <w:marBottom w:val="0"/>
      <w:divBdr>
        <w:top w:val="none" w:sz="0" w:space="0" w:color="auto"/>
        <w:left w:val="none" w:sz="0" w:space="0" w:color="auto"/>
        <w:bottom w:val="none" w:sz="0" w:space="0" w:color="auto"/>
        <w:right w:val="none" w:sz="0" w:space="0" w:color="auto"/>
      </w:divBdr>
    </w:div>
    <w:div w:id="1085145768">
      <w:bodyDiv w:val="1"/>
      <w:marLeft w:val="0"/>
      <w:marRight w:val="0"/>
      <w:marTop w:val="0"/>
      <w:marBottom w:val="0"/>
      <w:divBdr>
        <w:top w:val="none" w:sz="0" w:space="0" w:color="auto"/>
        <w:left w:val="none" w:sz="0" w:space="0" w:color="auto"/>
        <w:bottom w:val="none" w:sz="0" w:space="0" w:color="auto"/>
        <w:right w:val="none" w:sz="0" w:space="0" w:color="auto"/>
      </w:divBdr>
    </w:div>
    <w:div w:id="1097798458">
      <w:bodyDiv w:val="1"/>
      <w:marLeft w:val="0"/>
      <w:marRight w:val="0"/>
      <w:marTop w:val="0"/>
      <w:marBottom w:val="0"/>
      <w:divBdr>
        <w:top w:val="none" w:sz="0" w:space="0" w:color="auto"/>
        <w:left w:val="none" w:sz="0" w:space="0" w:color="auto"/>
        <w:bottom w:val="none" w:sz="0" w:space="0" w:color="auto"/>
        <w:right w:val="none" w:sz="0" w:space="0" w:color="auto"/>
      </w:divBdr>
    </w:div>
    <w:div w:id="1111437463">
      <w:bodyDiv w:val="1"/>
      <w:marLeft w:val="0"/>
      <w:marRight w:val="0"/>
      <w:marTop w:val="0"/>
      <w:marBottom w:val="0"/>
      <w:divBdr>
        <w:top w:val="none" w:sz="0" w:space="0" w:color="auto"/>
        <w:left w:val="none" w:sz="0" w:space="0" w:color="auto"/>
        <w:bottom w:val="none" w:sz="0" w:space="0" w:color="auto"/>
        <w:right w:val="none" w:sz="0" w:space="0" w:color="auto"/>
      </w:divBdr>
    </w:div>
    <w:div w:id="1202787136">
      <w:bodyDiv w:val="1"/>
      <w:marLeft w:val="0"/>
      <w:marRight w:val="0"/>
      <w:marTop w:val="0"/>
      <w:marBottom w:val="0"/>
      <w:divBdr>
        <w:top w:val="none" w:sz="0" w:space="0" w:color="auto"/>
        <w:left w:val="none" w:sz="0" w:space="0" w:color="auto"/>
        <w:bottom w:val="none" w:sz="0" w:space="0" w:color="auto"/>
        <w:right w:val="none" w:sz="0" w:space="0" w:color="auto"/>
      </w:divBdr>
    </w:div>
    <w:div w:id="1227034104">
      <w:bodyDiv w:val="1"/>
      <w:marLeft w:val="0"/>
      <w:marRight w:val="0"/>
      <w:marTop w:val="0"/>
      <w:marBottom w:val="0"/>
      <w:divBdr>
        <w:top w:val="none" w:sz="0" w:space="0" w:color="auto"/>
        <w:left w:val="none" w:sz="0" w:space="0" w:color="auto"/>
        <w:bottom w:val="none" w:sz="0" w:space="0" w:color="auto"/>
        <w:right w:val="none" w:sz="0" w:space="0" w:color="auto"/>
      </w:divBdr>
    </w:div>
    <w:div w:id="1345597519">
      <w:bodyDiv w:val="1"/>
      <w:marLeft w:val="0"/>
      <w:marRight w:val="0"/>
      <w:marTop w:val="0"/>
      <w:marBottom w:val="0"/>
      <w:divBdr>
        <w:top w:val="none" w:sz="0" w:space="0" w:color="auto"/>
        <w:left w:val="none" w:sz="0" w:space="0" w:color="auto"/>
        <w:bottom w:val="none" w:sz="0" w:space="0" w:color="auto"/>
        <w:right w:val="none" w:sz="0" w:space="0" w:color="auto"/>
      </w:divBdr>
    </w:div>
    <w:div w:id="1477992028">
      <w:bodyDiv w:val="1"/>
      <w:marLeft w:val="0"/>
      <w:marRight w:val="0"/>
      <w:marTop w:val="0"/>
      <w:marBottom w:val="0"/>
      <w:divBdr>
        <w:top w:val="none" w:sz="0" w:space="0" w:color="auto"/>
        <w:left w:val="none" w:sz="0" w:space="0" w:color="auto"/>
        <w:bottom w:val="none" w:sz="0" w:space="0" w:color="auto"/>
        <w:right w:val="none" w:sz="0" w:space="0" w:color="auto"/>
      </w:divBdr>
    </w:div>
    <w:div w:id="1735472708">
      <w:bodyDiv w:val="1"/>
      <w:marLeft w:val="0"/>
      <w:marRight w:val="0"/>
      <w:marTop w:val="0"/>
      <w:marBottom w:val="0"/>
      <w:divBdr>
        <w:top w:val="none" w:sz="0" w:space="0" w:color="auto"/>
        <w:left w:val="none" w:sz="0" w:space="0" w:color="auto"/>
        <w:bottom w:val="none" w:sz="0" w:space="0" w:color="auto"/>
        <w:right w:val="none" w:sz="0" w:space="0" w:color="auto"/>
      </w:divBdr>
      <w:divsChild>
        <w:div w:id="1584534408">
          <w:marLeft w:val="0"/>
          <w:marRight w:val="0"/>
          <w:marTop w:val="0"/>
          <w:marBottom w:val="0"/>
          <w:divBdr>
            <w:top w:val="none" w:sz="0" w:space="0" w:color="auto"/>
            <w:left w:val="none" w:sz="0" w:space="0" w:color="auto"/>
            <w:bottom w:val="none" w:sz="0" w:space="0" w:color="auto"/>
            <w:right w:val="none" w:sz="0" w:space="0" w:color="auto"/>
          </w:divBdr>
          <w:divsChild>
            <w:div w:id="947586908">
              <w:marLeft w:val="0"/>
              <w:marRight w:val="0"/>
              <w:marTop w:val="0"/>
              <w:marBottom w:val="0"/>
              <w:divBdr>
                <w:top w:val="none" w:sz="0" w:space="0" w:color="auto"/>
                <w:left w:val="none" w:sz="0" w:space="0" w:color="auto"/>
                <w:bottom w:val="none" w:sz="0" w:space="0" w:color="auto"/>
                <w:right w:val="none" w:sz="0" w:space="0" w:color="auto"/>
              </w:divBdr>
              <w:divsChild>
                <w:div w:id="616529780">
                  <w:marLeft w:val="0"/>
                  <w:marRight w:val="0"/>
                  <w:marTop w:val="0"/>
                  <w:marBottom w:val="0"/>
                  <w:divBdr>
                    <w:top w:val="none" w:sz="0" w:space="0" w:color="auto"/>
                    <w:left w:val="none" w:sz="0" w:space="0" w:color="auto"/>
                    <w:bottom w:val="none" w:sz="0" w:space="0" w:color="auto"/>
                    <w:right w:val="none" w:sz="0" w:space="0" w:color="auto"/>
                  </w:divBdr>
                  <w:divsChild>
                    <w:div w:id="17395367">
                      <w:marLeft w:val="0"/>
                      <w:marRight w:val="0"/>
                      <w:marTop w:val="0"/>
                      <w:marBottom w:val="0"/>
                      <w:divBdr>
                        <w:top w:val="none" w:sz="0" w:space="0" w:color="auto"/>
                        <w:left w:val="none" w:sz="0" w:space="0" w:color="auto"/>
                        <w:bottom w:val="none" w:sz="0" w:space="0" w:color="auto"/>
                        <w:right w:val="none" w:sz="0" w:space="0" w:color="auto"/>
                      </w:divBdr>
                      <w:divsChild>
                        <w:div w:id="1171288145">
                          <w:marLeft w:val="0"/>
                          <w:marRight w:val="0"/>
                          <w:marTop w:val="0"/>
                          <w:marBottom w:val="0"/>
                          <w:divBdr>
                            <w:top w:val="none" w:sz="0" w:space="0" w:color="auto"/>
                            <w:left w:val="none" w:sz="0" w:space="0" w:color="auto"/>
                            <w:bottom w:val="none" w:sz="0" w:space="0" w:color="auto"/>
                            <w:right w:val="none" w:sz="0" w:space="0" w:color="auto"/>
                          </w:divBdr>
                          <w:divsChild>
                            <w:div w:id="114950202">
                              <w:marLeft w:val="0"/>
                              <w:marRight w:val="0"/>
                              <w:marTop w:val="0"/>
                              <w:marBottom w:val="0"/>
                              <w:divBdr>
                                <w:top w:val="none" w:sz="0" w:space="0" w:color="auto"/>
                                <w:left w:val="none" w:sz="0" w:space="0" w:color="auto"/>
                                <w:bottom w:val="none" w:sz="0" w:space="0" w:color="auto"/>
                                <w:right w:val="none" w:sz="0" w:space="0" w:color="auto"/>
                              </w:divBdr>
                              <w:divsChild>
                                <w:div w:id="545066108">
                                  <w:marLeft w:val="0"/>
                                  <w:marRight w:val="0"/>
                                  <w:marTop w:val="0"/>
                                  <w:marBottom w:val="0"/>
                                  <w:divBdr>
                                    <w:top w:val="none" w:sz="0" w:space="0" w:color="auto"/>
                                    <w:left w:val="none" w:sz="0" w:space="0" w:color="auto"/>
                                    <w:bottom w:val="none" w:sz="0" w:space="0" w:color="auto"/>
                                    <w:right w:val="none" w:sz="0" w:space="0" w:color="auto"/>
                                  </w:divBdr>
                                  <w:divsChild>
                                    <w:div w:id="1883714708">
                                      <w:marLeft w:val="0"/>
                                      <w:marRight w:val="0"/>
                                      <w:marTop w:val="0"/>
                                      <w:marBottom w:val="0"/>
                                      <w:divBdr>
                                        <w:top w:val="none" w:sz="0" w:space="0" w:color="auto"/>
                                        <w:left w:val="none" w:sz="0" w:space="0" w:color="auto"/>
                                        <w:bottom w:val="none" w:sz="0" w:space="0" w:color="auto"/>
                                        <w:right w:val="none" w:sz="0" w:space="0" w:color="auto"/>
                                      </w:divBdr>
                                      <w:divsChild>
                                        <w:div w:id="1139423749">
                                          <w:marLeft w:val="0"/>
                                          <w:marRight w:val="0"/>
                                          <w:marTop w:val="0"/>
                                          <w:marBottom w:val="0"/>
                                          <w:divBdr>
                                            <w:top w:val="none" w:sz="0" w:space="0" w:color="auto"/>
                                            <w:left w:val="none" w:sz="0" w:space="0" w:color="auto"/>
                                            <w:bottom w:val="none" w:sz="0" w:space="0" w:color="auto"/>
                                            <w:right w:val="none" w:sz="0" w:space="0" w:color="auto"/>
                                          </w:divBdr>
                                          <w:divsChild>
                                            <w:div w:id="2031174692">
                                              <w:marLeft w:val="0"/>
                                              <w:marRight w:val="0"/>
                                              <w:marTop w:val="0"/>
                                              <w:marBottom w:val="0"/>
                                              <w:divBdr>
                                                <w:top w:val="none" w:sz="0" w:space="0" w:color="auto"/>
                                                <w:left w:val="none" w:sz="0" w:space="0" w:color="auto"/>
                                                <w:bottom w:val="none" w:sz="0" w:space="0" w:color="auto"/>
                                                <w:right w:val="none" w:sz="0" w:space="0" w:color="auto"/>
                                              </w:divBdr>
                                              <w:divsChild>
                                                <w:div w:id="705521554">
                                                  <w:marLeft w:val="0"/>
                                                  <w:marRight w:val="0"/>
                                                  <w:marTop w:val="0"/>
                                                  <w:marBottom w:val="0"/>
                                                  <w:divBdr>
                                                    <w:top w:val="none" w:sz="0" w:space="0" w:color="auto"/>
                                                    <w:left w:val="none" w:sz="0" w:space="0" w:color="auto"/>
                                                    <w:bottom w:val="none" w:sz="0" w:space="0" w:color="auto"/>
                                                    <w:right w:val="none" w:sz="0" w:space="0" w:color="auto"/>
                                                  </w:divBdr>
                                                  <w:divsChild>
                                                    <w:div w:id="400636306">
                                                      <w:marLeft w:val="0"/>
                                                      <w:marRight w:val="0"/>
                                                      <w:marTop w:val="0"/>
                                                      <w:marBottom w:val="0"/>
                                                      <w:divBdr>
                                                        <w:top w:val="none" w:sz="0" w:space="0" w:color="auto"/>
                                                        <w:left w:val="none" w:sz="0" w:space="0" w:color="auto"/>
                                                        <w:bottom w:val="none" w:sz="0" w:space="0" w:color="auto"/>
                                                        <w:right w:val="none" w:sz="0" w:space="0" w:color="auto"/>
                                                      </w:divBdr>
                                                      <w:divsChild>
                                                        <w:div w:id="1379893174">
                                                          <w:marLeft w:val="0"/>
                                                          <w:marRight w:val="0"/>
                                                          <w:marTop w:val="0"/>
                                                          <w:marBottom w:val="0"/>
                                                          <w:divBdr>
                                                            <w:top w:val="none" w:sz="0" w:space="0" w:color="auto"/>
                                                            <w:left w:val="none" w:sz="0" w:space="0" w:color="auto"/>
                                                            <w:bottom w:val="none" w:sz="0" w:space="0" w:color="auto"/>
                                                            <w:right w:val="none" w:sz="0" w:space="0" w:color="auto"/>
                                                          </w:divBdr>
                                                        </w:div>
                                                      </w:divsChild>
                                                    </w:div>
                                                    <w:div w:id="710345271">
                                                      <w:marLeft w:val="0"/>
                                                      <w:marRight w:val="0"/>
                                                      <w:marTop w:val="0"/>
                                                      <w:marBottom w:val="0"/>
                                                      <w:divBdr>
                                                        <w:top w:val="none" w:sz="0" w:space="0" w:color="auto"/>
                                                        <w:left w:val="none" w:sz="0" w:space="0" w:color="auto"/>
                                                        <w:bottom w:val="none" w:sz="0" w:space="0" w:color="auto"/>
                                                        <w:right w:val="none" w:sz="0" w:space="0" w:color="auto"/>
                                                      </w:divBdr>
                                                      <w:divsChild>
                                                        <w:div w:id="172300084">
                                                          <w:marLeft w:val="0"/>
                                                          <w:marRight w:val="0"/>
                                                          <w:marTop w:val="0"/>
                                                          <w:marBottom w:val="75"/>
                                                          <w:divBdr>
                                                            <w:top w:val="none" w:sz="0" w:space="0" w:color="auto"/>
                                                            <w:left w:val="none" w:sz="0" w:space="0" w:color="auto"/>
                                                            <w:bottom w:val="none" w:sz="0" w:space="0" w:color="auto"/>
                                                            <w:right w:val="none" w:sz="0" w:space="0" w:color="auto"/>
                                                          </w:divBdr>
                                                          <w:divsChild>
                                                            <w:div w:id="959185119">
                                                              <w:marLeft w:val="0"/>
                                                              <w:marRight w:val="75"/>
                                                              <w:marTop w:val="0"/>
                                                              <w:marBottom w:val="0"/>
                                                              <w:divBdr>
                                                                <w:top w:val="none" w:sz="0" w:space="0" w:color="auto"/>
                                                                <w:left w:val="none" w:sz="0" w:space="0" w:color="auto"/>
                                                                <w:bottom w:val="none" w:sz="0" w:space="0" w:color="auto"/>
                                                                <w:right w:val="none" w:sz="0" w:space="0" w:color="auto"/>
                                                              </w:divBdr>
                                                            </w:div>
                                                            <w:div w:id="1628927601">
                                                              <w:marLeft w:val="0"/>
                                                              <w:marRight w:val="0"/>
                                                              <w:marTop w:val="0"/>
                                                              <w:marBottom w:val="0"/>
                                                              <w:divBdr>
                                                                <w:top w:val="none" w:sz="0" w:space="0" w:color="auto"/>
                                                                <w:left w:val="none" w:sz="0" w:space="0" w:color="auto"/>
                                                                <w:bottom w:val="none" w:sz="0" w:space="0" w:color="auto"/>
                                                                <w:right w:val="none" w:sz="0" w:space="0" w:color="auto"/>
                                                              </w:divBdr>
                                                            </w:div>
                                                            <w:div w:id="21019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6292">
                                                      <w:marLeft w:val="0"/>
                                                      <w:marRight w:val="0"/>
                                                      <w:marTop w:val="0"/>
                                                      <w:marBottom w:val="0"/>
                                                      <w:divBdr>
                                                        <w:top w:val="none" w:sz="0" w:space="0" w:color="auto"/>
                                                        <w:left w:val="none" w:sz="0" w:space="0" w:color="auto"/>
                                                        <w:bottom w:val="none" w:sz="0" w:space="0" w:color="auto"/>
                                                        <w:right w:val="none" w:sz="0" w:space="0" w:color="auto"/>
                                                      </w:divBdr>
                                                      <w:divsChild>
                                                        <w:div w:id="146749357">
                                                          <w:marLeft w:val="0"/>
                                                          <w:marRight w:val="75"/>
                                                          <w:marTop w:val="0"/>
                                                          <w:marBottom w:val="0"/>
                                                          <w:divBdr>
                                                            <w:top w:val="none" w:sz="0" w:space="0" w:color="auto"/>
                                                            <w:left w:val="none" w:sz="0" w:space="0" w:color="auto"/>
                                                            <w:bottom w:val="none" w:sz="0" w:space="0" w:color="auto"/>
                                                            <w:right w:val="none" w:sz="0" w:space="0" w:color="auto"/>
                                                          </w:divBdr>
                                                        </w:div>
                                                        <w:div w:id="2004964673">
                                                          <w:marLeft w:val="0"/>
                                                          <w:marRight w:val="0"/>
                                                          <w:marTop w:val="0"/>
                                                          <w:marBottom w:val="0"/>
                                                          <w:divBdr>
                                                            <w:top w:val="none" w:sz="0" w:space="0" w:color="auto"/>
                                                            <w:left w:val="none" w:sz="0" w:space="0" w:color="auto"/>
                                                            <w:bottom w:val="none" w:sz="0" w:space="0" w:color="auto"/>
                                                            <w:right w:val="none" w:sz="0" w:space="0" w:color="auto"/>
                                                          </w:divBdr>
                                                        </w:div>
                                                      </w:divsChild>
                                                    </w:div>
                                                    <w:div w:id="1362315545">
                                                      <w:marLeft w:val="0"/>
                                                      <w:marRight w:val="0"/>
                                                      <w:marTop w:val="75"/>
                                                      <w:marBottom w:val="0"/>
                                                      <w:divBdr>
                                                        <w:top w:val="none" w:sz="0" w:space="0" w:color="auto"/>
                                                        <w:left w:val="none" w:sz="0" w:space="0" w:color="auto"/>
                                                        <w:bottom w:val="none" w:sz="0" w:space="0" w:color="auto"/>
                                                        <w:right w:val="none" w:sz="0" w:space="0" w:color="auto"/>
                                                      </w:divBdr>
                                                    </w:div>
                                                    <w:div w:id="1734961280">
                                                      <w:marLeft w:val="0"/>
                                                      <w:marRight w:val="0"/>
                                                      <w:marTop w:val="240"/>
                                                      <w:marBottom w:val="0"/>
                                                      <w:divBdr>
                                                        <w:top w:val="none" w:sz="0" w:space="0" w:color="auto"/>
                                                        <w:left w:val="none" w:sz="0" w:space="0" w:color="auto"/>
                                                        <w:bottom w:val="none" w:sz="0" w:space="0" w:color="auto"/>
                                                        <w:right w:val="none" w:sz="0" w:space="0" w:color="auto"/>
                                                      </w:divBdr>
                                                    </w:div>
                                                    <w:div w:id="539246744">
                                                      <w:marLeft w:val="0"/>
                                                      <w:marRight w:val="240"/>
                                                      <w:marTop w:val="0"/>
                                                      <w:marBottom w:val="0"/>
                                                      <w:divBdr>
                                                        <w:top w:val="none" w:sz="0" w:space="0" w:color="auto"/>
                                                        <w:left w:val="none" w:sz="0" w:space="0" w:color="auto"/>
                                                        <w:bottom w:val="none" w:sz="0" w:space="0" w:color="auto"/>
                                                        <w:right w:val="none" w:sz="0" w:space="0" w:color="auto"/>
                                                      </w:divBdr>
                                                    </w:div>
                                                    <w:div w:id="693776001">
                                                      <w:marLeft w:val="0"/>
                                                      <w:marRight w:val="240"/>
                                                      <w:marTop w:val="0"/>
                                                      <w:marBottom w:val="0"/>
                                                      <w:divBdr>
                                                        <w:top w:val="none" w:sz="0" w:space="0" w:color="auto"/>
                                                        <w:left w:val="none" w:sz="0" w:space="0" w:color="auto"/>
                                                        <w:bottom w:val="none" w:sz="0" w:space="0" w:color="auto"/>
                                                        <w:right w:val="none" w:sz="0" w:space="0" w:color="auto"/>
                                                      </w:divBdr>
                                                    </w:div>
                                                    <w:div w:id="3270522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98218638">
                                          <w:marLeft w:val="0"/>
                                          <w:marRight w:val="0"/>
                                          <w:marTop w:val="0"/>
                                          <w:marBottom w:val="0"/>
                                          <w:divBdr>
                                            <w:top w:val="none" w:sz="0" w:space="0" w:color="auto"/>
                                            <w:left w:val="none" w:sz="0" w:space="0" w:color="auto"/>
                                            <w:bottom w:val="none" w:sz="0" w:space="0" w:color="auto"/>
                                            <w:right w:val="none" w:sz="0" w:space="0" w:color="auto"/>
                                          </w:divBdr>
                                          <w:divsChild>
                                            <w:div w:id="58863851">
                                              <w:marLeft w:val="0"/>
                                              <w:marRight w:val="0"/>
                                              <w:marTop w:val="0"/>
                                              <w:marBottom w:val="0"/>
                                              <w:divBdr>
                                                <w:top w:val="none" w:sz="0" w:space="0" w:color="auto"/>
                                                <w:left w:val="none" w:sz="0" w:space="0" w:color="auto"/>
                                                <w:bottom w:val="none" w:sz="0" w:space="0" w:color="auto"/>
                                                <w:right w:val="none" w:sz="0" w:space="0" w:color="auto"/>
                                              </w:divBdr>
                                              <w:divsChild>
                                                <w:div w:id="15967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92779">
      <w:bodyDiv w:val="1"/>
      <w:marLeft w:val="0"/>
      <w:marRight w:val="0"/>
      <w:marTop w:val="0"/>
      <w:marBottom w:val="0"/>
      <w:divBdr>
        <w:top w:val="none" w:sz="0" w:space="0" w:color="auto"/>
        <w:left w:val="none" w:sz="0" w:space="0" w:color="auto"/>
        <w:bottom w:val="none" w:sz="0" w:space="0" w:color="auto"/>
        <w:right w:val="none" w:sz="0" w:space="0" w:color="auto"/>
      </w:divBdr>
    </w:div>
    <w:div w:id="1863202471">
      <w:bodyDiv w:val="1"/>
      <w:marLeft w:val="0"/>
      <w:marRight w:val="0"/>
      <w:marTop w:val="0"/>
      <w:marBottom w:val="0"/>
      <w:divBdr>
        <w:top w:val="none" w:sz="0" w:space="0" w:color="auto"/>
        <w:left w:val="none" w:sz="0" w:space="0" w:color="auto"/>
        <w:bottom w:val="none" w:sz="0" w:space="0" w:color="auto"/>
        <w:right w:val="none" w:sz="0" w:space="0" w:color="auto"/>
      </w:divBdr>
      <w:divsChild>
        <w:div w:id="10469479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DD52-3C12-4EF2-B8D7-614358DC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61AE7E4B</Template>
  <TotalTime>14</TotalTime>
  <Pages>40</Pages>
  <Words>10656</Words>
  <Characters>60743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71257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Andrea (NEQOS)</dc:creator>
  <cp:keywords/>
  <dc:description/>
  <cp:lastModifiedBy>Esther Clifford</cp:lastModifiedBy>
  <cp:revision>5</cp:revision>
  <cp:lastPrinted>2019-05-20T09:43:00Z</cp:lastPrinted>
  <dcterms:created xsi:type="dcterms:W3CDTF">2019-08-27T09:52:00Z</dcterms:created>
  <dcterms:modified xsi:type="dcterms:W3CDTF">2019-08-27T16:04:00Z</dcterms:modified>
</cp:coreProperties>
</file>