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83D78" w14:textId="77777777" w:rsidR="000A17BD" w:rsidRDefault="000A17BD" w:rsidP="000A17BD">
      <w:pPr>
        <w:pStyle w:val="Title16pt"/>
      </w:pPr>
      <w:r>
        <w:t xml:space="preserve">NATIONAL INSTITUTE FOR HEALTH AND </w:t>
      </w:r>
      <w:r w:rsidR="00E16C38">
        <w:t>CARE</w:t>
      </w:r>
      <w:r>
        <w:t xml:space="preserve"> EXCELLENCE</w:t>
      </w:r>
    </w:p>
    <w:p w14:paraId="625AF331" w14:textId="484474DE" w:rsidR="009250C3" w:rsidRPr="009250C3" w:rsidRDefault="00595AC6" w:rsidP="009250C3">
      <w:pPr>
        <w:keepNext/>
        <w:spacing w:before="240" w:after="240"/>
        <w:jc w:val="center"/>
        <w:outlineLvl w:val="0"/>
        <w:rPr>
          <w:rFonts w:ascii="Arial" w:hAnsi="Arial" w:cs="Arial"/>
          <w:b/>
          <w:bCs/>
          <w:kern w:val="28"/>
          <w:sz w:val="32"/>
          <w:szCs w:val="32"/>
        </w:rPr>
      </w:pPr>
      <w:r>
        <w:rPr>
          <w:rFonts w:ascii="Arial" w:hAnsi="Arial" w:cs="Arial"/>
          <w:b/>
          <w:bCs/>
          <w:kern w:val="28"/>
          <w:sz w:val="32"/>
          <w:szCs w:val="32"/>
        </w:rPr>
        <w:t xml:space="preserve">NICE </w:t>
      </w:r>
      <w:r w:rsidR="009250C3" w:rsidRPr="009250C3">
        <w:rPr>
          <w:rFonts w:ascii="Arial" w:hAnsi="Arial" w:cs="Arial"/>
          <w:b/>
          <w:bCs/>
          <w:kern w:val="28"/>
          <w:sz w:val="32"/>
          <w:szCs w:val="32"/>
        </w:rPr>
        <w:t xml:space="preserve">INDICATOR DEVELOPMENT PROGRAMME </w:t>
      </w:r>
    </w:p>
    <w:p w14:paraId="56308D65" w14:textId="285E54B7" w:rsidR="009250C3" w:rsidRPr="009250C3" w:rsidRDefault="009250C3" w:rsidP="009250C3">
      <w:pPr>
        <w:spacing w:before="240" w:after="240"/>
        <w:jc w:val="center"/>
        <w:outlineLvl w:val="0"/>
        <w:rPr>
          <w:rFonts w:ascii="Arial" w:hAnsi="Arial"/>
          <w:b/>
          <w:bCs/>
          <w:kern w:val="28"/>
          <w:sz w:val="32"/>
          <w:szCs w:val="32"/>
          <w:lang w:eastAsia="x-none"/>
        </w:rPr>
      </w:pPr>
      <w:r w:rsidRPr="009250C3">
        <w:rPr>
          <w:rFonts w:ascii="Arial" w:hAnsi="Arial"/>
          <w:b/>
          <w:bCs/>
          <w:kern w:val="28"/>
          <w:sz w:val="32"/>
          <w:szCs w:val="32"/>
          <w:lang w:eastAsia="x-none"/>
        </w:rPr>
        <w:t>Resource</w:t>
      </w:r>
      <w:r w:rsidRPr="009250C3">
        <w:rPr>
          <w:rFonts w:ascii="Arial" w:hAnsi="Arial"/>
          <w:b/>
          <w:bCs/>
          <w:kern w:val="28"/>
          <w:sz w:val="32"/>
          <w:szCs w:val="32"/>
          <w:lang w:val="x-none" w:eastAsia="x-none"/>
        </w:rPr>
        <w:t xml:space="preserve"> impact statement: </w:t>
      </w:r>
      <w:r w:rsidR="001B1627">
        <w:rPr>
          <w:rFonts w:ascii="Arial" w:hAnsi="Arial"/>
          <w:b/>
          <w:kern w:val="28"/>
          <w:sz w:val="32"/>
          <w:szCs w:val="32"/>
          <w:lang w:eastAsia="x-none"/>
        </w:rPr>
        <w:t>NM1</w:t>
      </w:r>
      <w:r w:rsidR="00FC4FC2">
        <w:rPr>
          <w:rFonts w:ascii="Arial" w:hAnsi="Arial"/>
          <w:b/>
          <w:kern w:val="28"/>
          <w:sz w:val="32"/>
          <w:szCs w:val="32"/>
          <w:lang w:eastAsia="x-none"/>
        </w:rPr>
        <w:t>8</w:t>
      </w:r>
      <w:r w:rsidR="00DE21D6">
        <w:rPr>
          <w:rFonts w:ascii="Arial" w:hAnsi="Arial"/>
          <w:b/>
          <w:kern w:val="28"/>
          <w:sz w:val="32"/>
          <w:szCs w:val="32"/>
          <w:lang w:eastAsia="x-none"/>
        </w:rPr>
        <w:t>8</w:t>
      </w:r>
    </w:p>
    <w:p w14:paraId="1FAD396E" w14:textId="77777777" w:rsidR="000A17BD" w:rsidRPr="00551B68" w:rsidRDefault="000A17BD" w:rsidP="000A17BD">
      <w:pPr>
        <w:pStyle w:val="NICEnormal"/>
      </w:pPr>
    </w:p>
    <w:p w14:paraId="5380ED5A" w14:textId="264B8620" w:rsidR="000A17BD" w:rsidRDefault="000A17BD" w:rsidP="000A17BD">
      <w:pPr>
        <w:pStyle w:val="NICEnormalsinglespacing"/>
      </w:pPr>
      <w:r>
        <w:rPr>
          <w:b/>
          <w:bCs/>
        </w:rPr>
        <w:t>Date</w:t>
      </w:r>
      <w:r w:rsidRPr="00F71E21">
        <w:rPr>
          <w:b/>
        </w:rPr>
        <w:t>:</w:t>
      </w:r>
      <w:r w:rsidR="009250C3">
        <w:t xml:space="preserve"> </w:t>
      </w:r>
      <w:r w:rsidR="00AB7FBF">
        <w:t>August</w:t>
      </w:r>
      <w:r>
        <w:t xml:space="preserve"> 201</w:t>
      </w:r>
      <w:r w:rsidR="00486690">
        <w:t>9</w:t>
      </w:r>
    </w:p>
    <w:p w14:paraId="141E7EF9" w14:textId="3A65386A" w:rsidR="000A17BD" w:rsidRPr="00685E62" w:rsidRDefault="000A17BD" w:rsidP="00B72114">
      <w:pPr>
        <w:pStyle w:val="Heading1"/>
        <w:spacing w:line="360" w:lineRule="auto"/>
        <w:rPr>
          <w:lang w:val="en-GB"/>
        </w:rPr>
      </w:pPr>
      <w:r w:rsidRPr="006A6479">
        <w:t>Indicator</w:t>
      </w:r>
    </w:p>
    <w:p w14:paraId="72776CC3" w14:textId="766438A0" w:rsidR="00311207" w:rsidRDefault="001B1627" w:rsidP="003F7BDE">
      <w:pPr>
        <w:pStyle w:val="Bullets"/>
        <w:numPr>
          <w:ilvl w:val="0"/>
          <w:numId w:val="0"/>
        </w:numPr>
        <w:spacing w:line="360" w:lineRule="auto"/>
      </w:pPr>
      <w:r>
        <w:t>NM1</w:t>
      </w:r>
      <w:r w:rsidR="00FC4FC2">
        <w:t>8</w:t>
      </w:r>
      <w:r w:rsidR="00DE21D6">
        <w:t>8</w:t>
      </w:r>
      <w:r w:rsidR="005D68DB">
        <w:t>:</w:t>
      </w:r>
      <w:r w:rsidR="00CC07FD" w:rsidRPr="00A55A82">
        <w:t xml:space="preserve"> </w:t>
      </w:r>
      <w:r w:rsidR="00DE21D6" w:rsidRPr="00DE21D6">
        <w:t>The percentage of patients (aged 65 years and over) with moderate or severe frailty who have been asked whether they have had a fall, about the total number of falls and about the type of falls, in the last 12 months, were found to be at risk and have been provided with advice and guidance with regard to falls prevention (in the last 12 months).</w:t>
      </w:r>
    </w:p>
    <w:p w14:paraId="3AF279EB" w14:textId="77777777" w:rsidR="000A17BD" w:rsidRDefault="000A17BD" w:rsidP="00B72114">
      <w:pPr>
        <w:pStyle w:val="Heading1"/>
        <w:spacing w:line="360" w:lineRule="auto"/>
      </w:pPr>
      <w:r>
        <w:t>Introduction</w:t>
      </w:r>
    </w:p>
    <w:p w14:paraId="0F2CA63F" w14:textId="51612BC4" w:rsidR="00DE21D6" w:rsidRDefault="00DE21D6" w:rsidP="00360B8D">
      <w:pPr>
        <w:pStyle w:val="Paragraphnonumbers"/>
        <w:spacing w:after="120" w:line="360" w:lineRule="auto"/>
        <w:rPr>
          <w:lang w:val="en-GB" w:eastAsia="en-GB"/>
        </w:rPr>
      </w:pPr>
      <w:r w:rsidRPr="00DE21D6">
        <w:rPr>
          <w:lang w:val="en-GB" w:eastAsia="en-GB"/>
        </w:rPr>
        <w:t>Falls in older people are a costly and often preventable health issue. Reducing falls and associated injuries is important for maintaining health and wellbeing amongst older people (</w:t>
      </w:r>
      <w:hyperlink r:id="rId8" w:history="1">
        <w:r w:rsidR="00A65F27" w:rsidRPr="005137CB">
          <w:rPr>
            <w:rStyle w:val="Hyperlink"/>
            <w:lang w:val="en-GB" w:eastAsia="en-GB"/>
          </w:rPr>
          <w:t>P</w:t>
        </w:r>
        <w:r w:rsidR="00A65F27">
          <w:rPr>
            <w:rStyle w:val="Hyperlink"/>
            <w:lang w:val="en-GB" w:eastAsia="en-GB"/>
          </w:rPr>
          <w:t xml:space="preserve">ublic </w:t>
        </w:r>
        <w:r w:rsidR="00A65F27" w:rsidRPr="005137CB">
          <w:rPr>
            <w:rStyle w:val="Hyperlink"/>
            <w:lang w:val="en-GB" w:eastAsia="en-GB"/>
          </w:rPr>
          <w:t>H</w:t>
        </w:r>
        <w:r w:rsidR="00A65F27">
          <w:rPr>
            <w:rStyle w:val="Hyperlink"/>
            <w:lang w:val="en-GB" w:eastAsia="en-GB"/>
          </w:rPr>
          <w:t xml:space="preserve">ealth </w:t>
        </w:r>
        <w:r w:rsidR="00A65F27" w:rsidRPr="005137CB">
          <w:rPr>
            <w:rStyle w:val="Hyperlink"/>
            <w:lang w:val="en-GB" w:eastAsia="en-GB"/>
          </w:rPr>
          <w:t>E</w:t>
        </w:r>
        <w:r w:rsidR="00A65F27">
          <w:rPr>
            <w:rStyle w:val="Hyperlink"/>
            <w:lang w:val="en-GB" w:eastAsia="en-GB"/>
          </w:rPr>
          <w:t>ngland</w:t>
        </w:r>
        <w:r w:rsidR="00A65F27" w:rsidRPr="005137CB">
          <w:rPr>
            <w:rStyle w:val="Hyperlink"/>
            <w:lang w:val="en-GB" w:eastAsia="en-GB"/>
          </w:rPr>
          <w:t xml:space="preserve"> 2018 Falls: applying all our health</w:t>
        </w:r>
      </w:hyperlink>
      <w:r w:rsidR="00A65F27" w:rsidRPr="00360B8D">
        <w:rPr>
          <w:lang w:val="en-GB" w:eastAsia="en-GB"/>
        </w:rPr>
        <w:t xml:space="preserve">). </w:t>
      </w:r>
      <w:r w:rsidRPr="00DE21D6">
        <w:rPr>
          <w:lang w:val="en-GB" w:eastAsia="en-GB"/>
        </w:rPr>
        <w:t>Falling has an impact on quality of life, health and healthcare costs. People 65 years and over have the highest risk of falling. A history of falls in the past year is a risk factor for falls and is a predictor of further falls. This indicator is intended to identify and minimise risks relating to falls.</w:t>
      </w:r>
    </w:p>
    <w:p w14:paraId="0B0B1079" w14:textId="77777777" w:rsidR="000F739F" w:rsidRPr="00A82AF0" w:rsidRDefault="000F739F" w:rsidP="0061116E">
      <w:pPr>
        <w:pStyle w:val="Heading1"/>
      </w:pPr>
      <w:r w:rsidRPr="00A82AF0">
        <w:t>Resource impact</w:t>
      </w:r>
    </w:p>
    <w:p w14:paraId="459C71AF" w14:textId="25684D16" w:rsidR="00555BEC" w:rsidRDefault="00555BEC" w:rsidP="00555BEC">
      <w:pPr>
        <w:pStyle w:val="NICEnormal"/>
        <w:rPr>
          <w:lang w:eastAsia="x-none"/>
        </w:rPr>
      </w:pPr>
      <w:r>
        <w:rPr>
          <w:lang w:eastAsia="x-none"/>
        </w:rPr>
        <w:t>There are around 55.6 million people in England (</w:t>
      </w:r>
      <w:hyperlink r:id="rId9" w:history="1">
        <w:r w:rsidRPr="00A845BB">
          <w:rPr>
            <w:rStyle w:val="Hyperlink"/>
            <w:lang w:eastAsia="x-none"/>
          </w:rPr>
          <w:t>Office for National Statistics, 2017</w:t>
        </w:r>
      </w:hyperlink>
      <w:r>
        <w:rPr>
          <w:lang w:eastAsia="x-none"/>
        </w:rPr>
        <w:t>)</w:t>
      </w:r>
      <w:r w:rsidR="003C5FD6">
        <w:rPr>
          <w:lang w:eastAsia="x-none"/>
        </w:rPr>
        <w:t xml:space="preserve"> and around 10 million aged 65 years and over</w:t>
      </w:r>
      <w:r>
        <w:rPr>
          <w:lang w:eastAsia="x-none"/>
        </w:rPr>
        <w:t xml:space="preserve">. </w:t>
      </w:r>
      <w:r w:rsidR="00EC7696">
        <w:rPr>
          <w:lang w:eastAsia="x-none"/>
        </w:rPr>
        <w:t>I</w:t>
      </w:r>
      <w:r w:rsidR="00EC7696" w:rsidRPr="00EC7696">
        <w:rPr>
          <w:lang w:eastAsia="x-none"/>
        </w:rPr>
        <w:t xml:space="preserve">t is estimated that approximately 15% of those aged 65 years and over will be </w:t>
      </w:r>
      <w:proofErr w:type="spellStart"/>
      <w:r w:rsidR="00EC7696" w:rsidRPr="00EC7696">
        <w:rPr>
          <w:lang w:eastAsia="x-none"/>
        </w:rPr>
        <w:t>categorised</w:t>
      </w:r>
      <w:proofErr w:type="spellEnd"/>
      <w:r w:rsidR="00EC7696" w:rsidRPr="00EC7696">
        <w:rPr>
          <w:lang w:eastAsia="x-none"/>
        </w:rPr>
        <w:t xml:space="preserve"> as </w:t>
      </w:r>
      <w:r w:rsidR="00EC7696">
        <w:rPr>
          <w:lang w:eastAsia="x-none"/>
        </w:rPr>
        <w:t xml:space="preserve">being </w:t>
      </w:r>
      <w:r w:rsidR="00EC7696" w:rsidRPr="00EC7696">
        <w:rPr>
          <w:lang w:eastAsia="x-none"/>
        </w:rPr>
        <w:t>moderate</w:t>
      </w:r>
      <w:r w:rsidR="00EC7696">
        <w:rPr>
          <w:lang w:eastAsia="x-none"/>
        </w:rPr>
        <w:t>ly</w:t>
      </w:r>
      <w:r w:rsidR="00EC7696" w:rsidRPr="00EC7696">
        <w:rPr>
          <w:lang w:eastAsia="x-none"/>
        </w:rPr>
        <w:t xml:space="preserve"> or severely frail </w:t>
      </w:r>
      <w:r w:rsidR="003C5FD6">
        <w:rPr>
          <w:lang w:eastAsia="x-none"/>
        </w:rPr>
        <w:t>(</w:t>
      </w:r>
      <w:hyperlink r:id="rId10" w:history="1">
        <w:r w:rsidR="00EC7696">
          <w:rPr>
            <w:rStyle w:val="Hyperlink"/>
            <w:lang w:eastAsia="x-none"/>
          </w:rPr>
          <w:t>Clegg et al</w:t>
        </w:r>
        <w:r w:rsidR="003C5FD6" w:rsidRPr="003C5FD6">
          <w:rPr>
            <w:rStyle w:val="Hyperlink"/>
            <w:lang w:eastAsia="x-none"/>
          </w:rPr>
          <w:t>, 201</w:t>
        </w:r>
        <w:r w:rsidR="00EC7696">
          <w:rPr>
            <w:rStyle w:val="Hyperlink"/>
            <w:lang w:eastAsia="x-none"/>
          </w:rPr>
          <w:t>6</w:t>
        </w:r>
      </w:hyperlink>
      <w:r w:rsidR="003C5FD6">
        <w:rPr>
          <w:lang w:eastAsia="x-none"/>
        </w:rPr>
        <w:t>)</w:t>
      </w:r>
      <w:r>
        <w:rPr>
          <w:lang w:val="en-GB"/>
        </w:rPr>
        <w:t>.</w:t>
      </w:r>
      <w:r>
        <w:rPr>
          <w:lang w:eastAsia="x-none"/>
        </w:rPr>
        <w:t xml:space="preserve"> </w:t>
      </w:r>
      <w:r w:rsidR="00AC2CC3" w:rsidRPr="00AC2CC3">
        <w:rPr>
          <w:lang w:eastAsia="x-none"/>
        </w:rPr>
        <w:t>Piloting of the indicator in 26 general practices found</w:t>
      </w:r>
      <w:r w:rsidR="00716EDE">
        <w:rPr>
          <w:lang w:eastAsia="x-none"/>
        </w:rPr>
        <w:t xml:space="preserve"> </w:t>
      </w:r>
      <w:r w:rsidR="00EC7696">
        <w:rPr>
          <w:lang w:eastAsia="x-none"/>
        </w:rPr>
        <w:t xml:space="preserve">11% </w:t>
      </w:r>
      <w:r w:rsidR="00716EDE">
        <w:rPr>
          <w:lang w:eastAsia="x-none"/>
        </w:rPr>
        <w:t>of pe</w:t>
      </w:r>
      <w:bookmarkStart w:id="0" w:name="_GoBack"/>
      <w:bookmarkEnd w:id="0"/>
      <w:r w:rsidR="00716EDE">
        <w:rPr>
          <w:lang w:eastAsia="x-none"/>
        </w:rPr>
        <w:t xml:space="preserve">ople with moderate or severe frailty </w:t>
      </w:r>
      <w:r w:rsidR="00EC7696">
        <w:rPr>
          <w:lang w:eastAsia="x-none"/>
        </w:rPr>
        <w:t xml:space="preserve">were found to be at risk </w:t>
      </w:r>
      <w:r w:rsidR="00DD4C23">
        <w:rPr>
          <w:lang w:eastAsia="x-none"/>
        </w:rPr>
        <w:t xml:space="preserve">in line with the proposed indicator </w:t>
      </w:r>
      <w:r w:rsidR="00EC7696">
        <w:rPr>
          <w:lang w:eastAsia="x-none"/>
        </w:rPr>
        <w:t xml:space="preserve">(National </w:t>
      </w:r>
      <w:r w:rsidR="00DD4C23">
        <w:rPr>
          <w:lang w:eastAsia="x-none"/>
        </w:rPr>
        <w:t>I</w:t>
      </w:r>
      <w:r w:rsidR="00EC7696">
        <w:rPr>
          <w:lang w:eastAsia="x-none"/>
        </w:rPr>
        <w:t xml:space="preserve">nstitute </w:t>
      </w:r>
      <w:r w:rsidR="00EC7696">
        <w:rPr>
          <w:lang w:eastAsia="x-none"/>
        </w:rPr>
        <w:lastRenderedPageBreak/>
        <w:t xml:space="preserve">of </w:t>
      </w:r>
      <w:r w:rsidR="00DD4C23">
        <w:rPr>
          <w:lang w:eastAsia="x-none"/>
        </w:rPr>
        <w:t>H</w:t>
      </w:r>
      <w:r w:rsidR="00EC7696">
        <w:rPr>
          <w:lang w:eastAsia="x-none"/>
        </w:rPr>
        <w:t xml:space="preserve">ealth and </w:t>
      </w:r>
      <w:r w:rsidR="00DD4C23">
        <w:rPr>
          <w:lang w:eastAsia="x-none"/>
        </w:rPr>
        <w:t>C</w:t>
      </w:r>
      <w:r w:rsidR="00EC7696">
        <w:rPr>
          <w:lang w:eastAsia="x-none"/>
        </w:rPr>
        <w:t xml:space="preserve">are </w:t>
      </w:r>
      <w:r w:rsidR="00DD4C23">
        <w:rPr>
          <w:lang w:eastAsia="x-none"/>
        </w:rPr>
        <w:t>E</w:t>
      </w:r>
      <w:r w:rsidR="00EC7696">
        <w:rPr>
          <w:lang w:eastAsia="x-none"/>
        </w:rPr>
        <w:t xml:space="preserve">xcellence, 2019). </w:t>
      </w:r>
      <w:r>
        <w:rPr>
          <w:lang w:eastAsia="x-none"/>
        </w:rPr>
        <w:t xml:space="preserve">This is equivalent to around </w:t>
      </w:r>
      <w:r w:rsidR="00EC7696">
        <w:rPr>
          <w:lang w:eastAsia="x-none"/>
        </w:rPr>
        <w:t>3</w:t>
      </w:r>
      <w:r w:rsidR="003C5FD6">
        <w:rPr>
          <w:lang w:eastAsia="x-none"/>
        </w:rPr>
        <w:t>0</w:t>
      </w:r>
      <w:r>
        <w:rPr>
          <w:lang w:eastAsia="x-none"/>
        </w:rPr>
        <w:t xml:space="preserve"> people per 10,000 people.  </w:t>
      </w:r>
    </w:p>
    <w:p w14:paraId="549F25F1" w14:textId="75C69916" w:rsidR="0069237D" w:rsidRPr="00C16BDC" w:rsidRDefault="0069237D" w:rsidP="0069237D">
      <w:pPr>
        <w:pStyle w:val="NICEnormal"/>
        <w:rPr>
          <w:lang w:val="en-GB"/>
        </w:rPr>
      </w:pPr>
      <w:r>
        <w:rPr>
          <w:lang w:val="en-GB"/>
        </w:rPr>
        <w:t xml:space="preserve">Current practice is variable. It is anticipated that some </w:t>
      </w:r>
      <w:r w:rsidR="00DD4C23">
        <w:rPr>
          <w:lang w:val="en-GB"/>
        </w:rPr>
        <w:t>activity in line with the proposed indicator</w:t>
      </w:r>
      <w:r>
        <w:rPr>
          <w:lang w:val="en-GB"/>
        </w:rPr>
        <w:t xml:space="preserve"> already take</w:t>
      </w:r>
      <w:r w:rsidR="00DD4C23">
        <w:rPr>
          <w:lang w:val="en-GB"/>
        </w:rPr>
        <w:t>s</w:t>
      </w:r>
      <w:r>
        <w:rPr>
          <w:lang w:val="en-GB"/>
        </w:rPr>
        <w:t xml:space="preserve"> place. An illustrative example shows that a 10% increase in </w:t>
      </w:r>
      <w:r w:rsidR="001A19AC">
        <w:rPr>
          <w:lang w:val="en-GB"/>
        </w:rPr>
        <w:t xml:space="preserve">use of </w:t>
      </w:r>
      <w:r w:rsidR="00DD4C23">
        <w:rPr>
          <w:lang w:val="en-GB"/>
        </w:rPr>
        <w:t>the proposed indicator</w:t>
      </w:r>
      <w:r>
        <w:rPr>
          <w:lang w:val="en-GB"/>
        </w:rPr>
        <w:t xml:space="preserve"> is estimated to cost around </w:t>
      </w:r>
      <w:r w:rsidRPr="0098721C">
        <w:rPr>
          <w:lang w:val="en-GB"/>
        </w:rPr>
        <w:t>£</w:t>
      </w:r>
      <w:r w:rsidR="00F41335">
        <w:rPr>
          <w:lang w:val="en-GB"/>
        </w:rPr>
        <w:t>80</w:t>
      </w:r>
      <w:r w:rsidR="001A19AC">
        <w:rPr>
          <w:lang w:val="en-GB"/>
        </w:rPr>
        <w:t xml:space="preserve"> per 10,000 population, </w:t>
      </w:r>
      <w:r>
        <w:rPr>
          <w:lang w:val="en-GB"/>
        </w:rPr>
        <w:t>as shown in table 1</w:t>
      </w:r>
      <w:r w:rsidRPr="0098721C">
        <w:rPr>
          <w:lang w:val="en-GB"/>
        </w:rPr>
        <w:t>.</w:t>
      </w:r>
    </w:p>
    <w:p w14:paraId="55482DD2" w14:textId="497A5C88" w:rsidR="0069237D" w:rsidRPr="0069237D" w:rsidRDefault="00555BEC" w:rsidP="00555BEC">
      <w:pPr>
        <w:pStyle w:val="NICEnormal"/>
        <w:rPr>
          <w:rFonts w:cs="Arial"/>
          <w:b/>
          <w:sz w:val="22"/>
          <w:szCs w:val="22"/>
        </w:rPr>
      </w:pPr>
      <w:r>
        <w:rPr>
          <w:rFonts w:cs="Arial"/>
          <w:b/>
          <w:sz w:val="22"/>
          <w:szCs w:val="22"/>
        </w:rPr>
        <w:t>Table 1 Illustrative example showing e</w:t>
      </w:r>
      <w:r w:rsidRPr="00C24379">
        <w:rPr>
          <w:rFonts w:cs="Arial"/>
          <w:b/>
          <w:sz w:val="22"/>
          <w:szCs w:val="22"/>
        </w:rPr>
        <w:t xml:space="preserve">stimated </w:t>
      </w:r>
      <w:r>
        <w:rPr>
          <w:rFonts w:cs="Arial"/>
          <w:b/>
          <w:sz w:val="22"/>
          <w:szCs w:val="22"/>
        </w:rPr>
        <w:t xml:space="preserve">annual </w:t>
      </w:r>
      <w:r w:rsidRPr="00C24379">
        <w:rPr>
          <w:rFonts w:cs="Arial"/>
          <w:b/>
          <w:sz w:val="22"/>
          <w:szCs w:val="22"/>
        </w:rPr>
        <w:t xml:space="preserve">cost of </w:t>
      </w:r>
      <w:r>
        <w:rPr>
          <w:rFonts w:cs="Arial"/>
          <w:b/>
          <w:sz w:val="22"/>
          <w:szCs w:val="22"/>
        </w:rPr>
        <w:t>providing a</w:t>
      </w:r>
      <w:r w:rsidR="0069237D">
        <w:rPr>
          <w:rFonts w:cs="Arial"/>
          <w:b/>
          <w:sz w:val="22"/>
          <w:szCs w:val="22"/>
        </w:rPr>
        <w:t>dvice and guidance</w:t>
      </w:r>
      <w:r w:rsidR="003C5FD6">
        <w:rPr>
          <w:rFonts w:cs="Arial"/>
          <w:b/>
          <w:sz w:val="22"/>
          <w:szCs w:val="22"/>
        </w:rPr>
        <w:t xml:space="preserve"> to 10% </w:t>
      </w:r>
      <w:r w:rsidR="00A3597F">
        <w:rPr>
          <w:rFonts w:cs="Arial"/>
          <w:b/>
          <w:sz w:val="22"/>
          <w:szCs w:val="22"/>
        </w:rPr>
        <w:t xml:space="preserve">of the </w:t>
      </w:r>
      <w:r w:rsidR="003C5FD6">
        <w:rPr>
          <w:rFonts w:cs="Arial"/>
          <w:b/>
          <w:sz w:val="22"/>
          <w:szCs w:val="22"/>
        </w:rPr>
        <w:t>eligible people</w:t>
      </w:r>
    </w:p>
    <w:p w14:paraId="3C403EE0" w14:textId="46B6538E" w:rsidR="0069237D" w:rsidRDefault="00F41335" w:rsidP="00555BEC">
      <w:pPr>
        <w:pStyle w:val="NICEnormal"/>
        <w:rPr>
          <w:lang w:val="en-GB"/>
        </w:rPr>
      </w:pPr>
      <w:r w:rsidRPr="00F41335">
        <w:rPr>
          <w:noProof/>
        </w:rPr>
        <w:drawing>
          <wp:inline distT="0" distB="0" distL="0" distR="0" wp14:anchorId="12F6C14F" wp14:editId="7B6A97C9">
            <wp:extent cx="5274310" cy="2624455"/>
            <wp:effectExtent l="0" t="0" r="254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2624455"/>
                    </a:xfrm>
                    <a:prstGeom prst="rect">
                      <a:avLst/>
                    </a:prstGeom>
                    <a:noFill/>
                    <a:ln>
                      <a:noFill/>
                    </a:ln>
                  </pic:spPr>
                </pic:pic>
              </a:graphicData>
            </a:graphic>
          </wp:inline>
        </w:drawing>
      </w:r>
    </w:p>
    <w:p w14:paraId="6082163D" w14:textId="1B338104" w:rsidR="009B5608" w:rsidRDefault="00555BEC" w:rsidP="00555BEC">
      <w:pPr>
        <w:pStyle w:val="NICEnormal"/>
        <w:rPr>
          <w:lang w:val="en-GB"/>
        </w:rPr>
      </w:pPr>
      <w:r>
        <w:rPr>
          <w:lang w:val="en-GB"/>
        </w:rPr>
        <w:t>This assumes people receive a</w:t>
      </w:r>
      <w:r w:rsidR="0069237D">
        <w:rPr>
          <w:lang w:val="en-GB"/>
        </w:rPr>
        <w:t>n</w:t>
      </w:r>
      <w:r>
        <w:rPr>
          <w:lang w:val="en-GB"/>
        </w:rPr>
        <w:t xml:space="preserve"> </w:t>
      </w:r>
      <w:r w:rsidR="00F41335">
        <w:rPr>
          <w:lang w:val="en-GB"/>
        </w:rPr>
        <w:t>9</w:t>
      </w:r>
      <w:r>
        <w:rPr>
          <w:lang w:val="en-GB"/>
        </w:rPr>
        <w:t xml:space="preserve"> minute </w:t>
      </w:r>
      <w:r w:rsidR="0069237D">
        <w:rPr>
          <w:lang w:val="en-GB"/>
        </w:rPr>
        <w:t>consultation offering advice and guidance</w:t>
      </w:r>
      <w:r>
        <w:rPr>
          <w:lang w:val="en-GB"/>
        </w:rPr>
        <w:t xml:space="preserve"> from a GP (</w:t>
      </w:r>
      <w:hyperlink r:id="rId12" w:history="1">
        <w:r>
          <w:rPr>
            <w:rStyle w:val="Hyperlink"/>
            <w:lang w:val="en-GB"/>
          </w:rPr>
          <w:t>PSSRU, 2018</w:t>
        </w:r>
      </w:hyperlink>
      <w:r>
        <w:rPr>
          <w:lang w:val="en-GB"/>
        </w:rPr>
        <w:t xml:space="preserve">). </w:t>
      </w:r>
    </w:p>
    <w:p w14:paraId="1F36CF3F" w14:textId="098846C4" w:rsidR="009B5608" w:rsidRPr="00F66C8B" w:rsidRDefault="009B5608" w:rsidP="009B5608">
      <w:pPr>
        <w:pStyle w:val="NICEnormal"/>
        <w:rPr>
          <w:rFonts w:cs="Arial"/>
          <w:b/>
          <w:sz w:val="22"/>
          <w:szCs w:val="22"/>
        </w:rPr>
      </w:pPr>
      <w:r>
        <w:rPr>
          <w:lang w:val="en-GB"/>
        </w:rPr>
        <w:t xml:space="preserve">Service delivery in GP practices is subject to local variation. Costs will differ when healthcare professionals other than GPs </w:t>
      </w:r>
      <w:r w:rsidR="00EC72A1">
        <w:rPr>
          <w:lang w:val="en-GB"/>
        </w:rPr>
        <w:t>provide advice and guidance</w:t>
      </w:r>
      <w:r>
        <w:rPr>
          <w:lang w:val="en-GB"/>
        </w:rPr>
        <w:t xml:space="preserve"> such as a practice nurse or another healthcare professional.</w:t>
      </w:r>
    </w:p>
    <w:p w14:paraId="77A8BFC5" w14:textId="3078C60F" w:rsidR="00E316AD" w:rsidRPr="006973A2" w:rsidRDefault="006973A2" w:rsidP="00555BEC">
      <w:pPr>
        <w:pStyle w:val="NICEnormal"/>
        <w:rPr>
          <w:lang w:val="en-GB"/>
        </w:rPr>
      </w:pPr>
      <w:r w:rsidRPr="006973A2">
        <w:rPr>
          <w:lang w:val="en-GB"/>
        </w:rPr>
        <w:t xml:space="preserve">There may be </w:t>
      </w:r>
      <w:r w:rsidR="00DD4C23">
        <w:rPr>
          <w:lang w:val="en-GB"/>
        </w:rPr>
        <w:t xml:space="preserve">subsequent </w:t>
      </w:r>
      <w:r w:rsidRPr="006973A2">
        <w:rPr>
          <w:lang w:val="en-GB"/>
        </w:rPr>
        <w:t>savings from falls avoided.</w:t>
      </w:r>
    </w:p>
    <w:p w14:paraId="2230E38E" w14:textId="77777777" w:rsidR="00486690" w:rsidRPr="00486690" w:rsidRDefault="00486690" w:rsidP="00486690">
      <w:pPr>
        <w:pStyle w:val="Heading1"/>
        <w:rPr>
          <w:lang w:val="en-GB"/>
        </w:rPr>
      </w:pPr>
    </w:p>
    <w:sectPr w:rsidR="00486690" w:rsidRPr="00486690">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C0C36" w14:textId="77777777" w:rsidR="00AE06C9" w:rsidRDefault="00AE06C9" w:rsidP="00446BEE">
      <w:r>
        <w:separator/>
      </w:r>
    </w:p>
  </w:endnote>
  <w:endnote w:type="continuationSeparator" w:id="0">
    <w:p w14:paraId="5A00C63E" w14:textId="77777777" w:rsidR="00AE06C9" w:rsidRDefault="00AE06C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Frutiger LT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8E71B" w14:textId="77777777" w:rsidR="00AB7FBF" w:rsidRDefault="00AB7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17B2A" w14:textId="12632EAB" w:rsidR="007E48A9" w:rsidRDefault="00486690" w:rsidP="00446BEE">
    <w:pPr>
      <w:pStyle w:val="Footer"/>
    </w:pPr>
    <w:r>
      <w:rPr>
        <w:lang w:val="en-GB"/>
      </w:rPr>
      <w:t xml:space="preserve">NICE QOF indicator </w:t>
    </w:r>
    <w:r w:rsidR="001705E8">
      <w:rPr>
        <w:lang w:val="en-GB"/>
      </w:rPr>
      <w:t>resource</w:t>
    </w:r>
    <w:r w:rsidR="007E48A9">
      <w:t xml:space="preserve"> impact statement: </w:t>
    </w:r>
    <w:r w:rsidR="001B1627">
      <w:rPr>
        <w:lang w:val="en-GB"/>
      </w:rPr>
      <w:t>NM1</w:t>
    </w:r>
    <w:r w:rsidR="00FC4FC2">
      <w:rPr>
        <w:lang w:val="en-GB"/>
      </w:rPr>
      <w:t>8</w:t>
    </w:r>
    <w:r w:rsidR="00DE21D6">
      <w:rPr>
        <w:lang w:val="en-GB"/>
      </w:rPr>
      <w:t>8</w:t>
    </w:r>
    <w:r>
      <w:rPr>
        <w:lang w:val="en-GB"/>
      </w:rPr>
      <w:t xml:space="preserve"> </w:t>
    </w:r>
    <w:r w:rsidR="00E921B6">
      <w:rPr>
        <w:lang w:val="en-GB"/>
      </w:rPr>
      <w:t>(</w:t>
    </w:r>
    <w:r w:rsidR="00AB7FBF">
      <w:rPr>
        <w:lang w:val="en-GB"/>
      </w:rPr>
      <w:t>August</w:t>
    </w:r>
    <w:r>
      <w:rPr>
        <w:lang w:val="en-GB"/>
      </w:rPr>
      <w:t xml:space="preserve"> 2019</w:t>
    </w:r>
    <w:r w:rsidR="000A17BD">
      <w:rPr>
        <w:lang w:val="en-GB"/>
      </w:rPr>
      <w:t>)</w:t>
    </w:r>
    <w:r w:rsidR="007E48A9">
      <w:tab/>
    </w:r>
    <w:r w:rsidR="001705E8">
      <w:rPr>
        <w:lang w:val="en-GB"/>
      </w:rPr>
      <w:t xml:space="preserve"> </w:t>
    </w:r>
    <w:r w:rsidR="000A17BD">
      <w:rPr>
        <w:lang w:val="en-GB"/>
      </w:rPr>
      <w:t xml:space="preserve">page </w:t>
    </w:r>
    <w:r w:rsidR="007E48A9">
      <w:fldChar w:fldCharType="begin"/>
    </w:r>
    <w:r w:rsidR="007E48A9">
      <w:instrText xml:space="preserve"> PAGE </w:instrText>
    </w:r>
    <w:r w:rsidR="007E48A9">
      <w:fldChar w:fldCharType="separate"/>
    </w:r>
    <w:r w:rsidR="001D7D33">
      <w:rPr>
        <w:noProof/>
      </w:rPr>
      <w:t>3</w:t>
    </w:r>
    <w:r w:rsidR="007E48A9">
      <w:fldChar w:fldCharType="end"/>
    </w:r>
    <w:r w:rsidR="007E48A9">
      <w:t xml:space="preserve"> of </w:t>
    </w:r>
    <w:r w:rsidR="00C9664D">
      <w:fldChar w:fldCharType="begin"/>
    </w:r>
    <w:r w:rsidR="00C9664D">
      <w:instrText xml:space="preserve"> NUMPAGES  </w:instrText>
    </w:r>
    <w:r w:rsidR="00C9664D">
      <w:fldChar w:fldCharType="separate"/>
    </w:r>
    <w:r w:rsidR="001D7D33">
      <w:rPr>
        <w:noProof/>
      </w:rPr>
      <w:t>3</w:t>
    </w:r>
    <w:r w:rsidR="00C9664D">
      <w:rPr>
        <w:noProof/>
      </w:rPr>
      <w:fldChar w:fldCharType="end"/>
    </w:r>
  </w:p>
  <w:p w14:paraId="3ACEBF1E" w14:textId="77777777" w:rsidR="007E48A9" w:rsidRDefault="007E48A9">
    <w:pPr>
      <w:pStyle w:val="Footer"/>
    </w:pPr>
  </w:p>
  <w:p w14:paraId="2886B8F8" w14:textId="77777777" w:rsidR="007E48A9" w:rsidRDefault="007E48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BF86D" w14:textId="77777777" w:rsidR="00AB7FBF" w:rsidRDefault="00AB7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E4E58" w14:textId="77777777" w:rsidR="00AE06C9" w:rsidRDefault="00AE06C9" w:rsidP="00446BEE">
      <w:r>
        <w:separator/>
      </w:r>
    </w:p>
  </w:footnote>
  <w:footnote w:type="continuationSeparator" w:id="0">
    <w:p w14:paraId="7EDCF117" w14:textId="77777777" w:rsidR="00AE06C9" w:rsidRDefault="00AE06C9"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F9DC8" w14:textId="77777777" w:rsidR="00AB7FBF" w:rsidRDefault="00AB7F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29FA5" w14:textId="77777777" w:rsidR="00AB7FBF" w:rsidRDefault="00AB7F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F9D40" w14:textId="77777777" w:rsidR="00AB7FBF" w:rsidRDefault="00AB7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35012AED"/>
    <w:multiLevelType w:val="hybridMultilevel"/>
    <w:tmpl w:val="DD6C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173C47"/>
    <w:multiLevelType w:val="hybridMultilevel"/>
    <w:tmpl w:val="70A6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6"/>
    <w:lvlOverride w:ilvl="0">
      <w:startOverride w:val="1"/>
    </w:lvlOverride>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1"/>
    <w:lvlOverride w:ilvl="0">
      <w:startOverride w:val="1"/>
    </w:lvlOverride>
  </w:num>
  <w:num w:numId="20">
    <w:abstractNumId w:val="13"/>
  </w:num>
  <w:num w:numId="21">
    <w:abstractNumId w:val="15"/>
  </w:num>
  <w:num w:numId="22">
    <w:abstractNumId w:val="12"/>
  </w:num>
  <w:num w:numId="23">
    <w:abstractNumId w:val="1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5B8"/>
    <w:rsid w:val="00002396"/>
    <w:rsid w:val="00003B69"/>
    <w:rsid w:val="00011B05"/>
    <w:rsid w:val="00024D0A"/>
    <w:rsid w:val="000331AB"/>
    <w:rsid w:val="00033353"/>
    <w:rsid w:val="0004559E"/>
    <w:rsid w:val="00045A48"/>
    <w:rsid w:val="00045EA2"/>
    <w:rsid w:val="0005461C"/>
    <w:rsid w:val="00066B5F"/>
    <w:rsid w:val="00070065"/>
    <w:rsid w:val="00071BF9"/>
    <w:rsid w:val="000728EF"/>
    <w:rsid w:val="000900AC"/>
    <w:rsid w:val="00090264"/>
    <w:rsid w:val="000A17BD"/>
    <w:rsid w:val="000A2D84"/>
    <w:rsid w:val="000A7DD9"/>
    <w:rsid w:val="000B3AD4"/>
    <w:rsid w:val="000B5939"/>
    <w:rsid w:val="000B76C4"/>
    <w:rsid w:val="000D0BB3"/>
    <w:rsid w:val="000D7833"/>
    <w:rsid w:val="000E20F3"/>
    <w:rsid w:val="000E4A62"/>
    <w:rsid w:val="000E54C3"/>
    <w:rsid w:val="000F08BB"/>
    <w:rsid w:val="000F1374"/>
    <w:rsid w:val="000F739F"/>
    <w:rsid w:val="00106738"/>
    <w:rsid w:val="001134E7"/>
    <w:rsid w:val="00114F5F"/>
    <w:rsid w:val="00117336"/>
    <w:rsid w:val="00120A38"/>
    <w:rsid w:val="001270EC"/>
    <w:rsid w:val="00127A2B"/>
    <w:rsid w:val="00131BB1"/>
    <w:rsid w:val="00133904"/>
    <w:rsid w:val="00134FDA"/>
    <w:rsid w:val="00145AFB"/>
    <w:rsid w:val="001576DA"/>
    <w:rsid w:val="001705E8"/>
    <w:rsid w:val="00171504"/>
    <w:rsid w:val="0017169E"/>
    <w:rsid w:val="001835B9"/>
    <w:rsid w:val="001A19AC"/>
    <w:rsid w:val="001A23E4"/>
    <w:rsid w:val="001A3A86"/>
    <w:rsid w:val="001A7C77"/>
    <w:rsid w:val="001B1627"/>
    <w:rsid w:val="001B18C2"/>
    <w:rsid w:val="001B1E97"/>
    <w:rsid w:val="001B2418"/>
    <w:rsid w:val="001B65B3"/>
    <w:rsid w:val="001C2196"/>
    <w:rsid w:val="001C27DA"/>
    <w:rsid w:val="001D7D33"/>
    <w:rsid w:val="001E41B5"/>
    <w:rsid w:val="001E6831"/>
    <w:rsid w:val="001F0E94"/>
    <w:rsid w:val="002014F3"/>
    <w:rsid w:val="00205E1E"/>
    <w:rsid w:val="0020600B"/>
    <w:rsid w:val="002066FD"/>
    <w:rsid w:val="002107A2"/>
    <w:rsid w:val="00212DA0"/>
    <w:rsid w:val="00216351"/>
    <w:rsid w:val="00220CEB"/>
    <w:rsid w:val="00221D07"/>
    <w:rsid w:val="00226C51"/>
    <w:rsid w:val="00235B66"/>
    <w:rsid w:val="002408EA"/>
    <w:rsid w:val="00243A0E"/>
    <w:rsid w:val="002470A4"/>
    <w:rsid w:val="00247900"/>
    <w:rsid w:val="00252DD7"/>
    <w:rsid w:val="00254D75"/>
    <w:rsid w:val="0025570C"/>
    <w:rsid w:val="00260B25"/>
    <w:rsid w:val="00262E2E"/>
    <w:rsid w:val="00270605"/>
    <w:rsid w:val="00276A6E"/>
    <w:rsid w:val="00292821"/>
    <w:rsid w:val="002A1880"/>
    <w:rsid w:val="002A2A33"/>
    <w:rsid w:val="002A4D02"/>
    <w:rsid w:val="002A69C4"/>
    <w:rsid w:val="002A7287"/>
    <w:rsid w:val="002B5942"/>
    <w:rsid w:val="002B7C6E"/>
    <w:rsid w:val="002C1A7E"/>
    <w:rsid w:val="002E2124"/>
    <w:rsid w:val="002F2EEF"/>
    <w:rsid w:val="002F3B2A"/>
    <w:rsid w:val="002F63F9"/>
    <w:rsid w:val="00301C5A"/>
    <w:rsid w:val="003077A8"/>
    <w:rsid w:val="00311207"/>
    <w:rsid w:val="00311ED0"/>
    <w:rsid w:val="00337200"/>
    <w:rsid w:val="00342E19"/>
    <w:rsid w:val="00350177"/>
    <w:rsid w:val="00360B8D"/>
    <w:rsid w:val="003666A7"/>
    <w:rsid w:val="00367204"/>
    <w:rsid w:val="003722FA"/>
    <w:rsid w:val="00377277"/>
    <w:rsid w:val="0038251A"/>
    <w:rsid w:val="00387965"/>
    <w:rsid w:val="003974AF"/>
    <w:rsid w:val="003B1C33"/>
    <w:rsid w:val="003B42E7"/>
    <w:rsid w:val="003C469D"/>
    <w:rsid w:val="003C5FD6"/>
    <w:rsid w:val="003C71D0"/>
    <w:rsid w:val="003C7AAF"/>
    <w:rsid w:val="003D66DD"/>
    <w:rsid w:val="003D67D8"/>
    <w:rsid w:val="003E12B1"/>
    <w:rsid w:val="003E4C4B"/>
    <w:rsid w:val="003F139D"/>
    <w:rsid w:val="003F2B20"/>
    <w:rsid w:val="003F2EC0"/>
    <w:rsid w:val="003F3045"/>
    <w:rsid w:val="003F4B14"/>
    <w:rsid w:val="003F7BDE"/>
    <w:rsid w:val="0040139A"/>
    <w:rsid w:val="004023ED"/>
    <w:rsid w:val="004075B6"/>
    <w:rsid w:val="00420952"/>
    <w:rsid w:val="004217C2"/>
    <w:rsid w:val="00424250"/>
    <w:rsid w:val="00427727"/>
    <w:rsid w:val="00446BEE"/>
    <w:rsid w:val="004500D4"/>
    <w:rsid w:val="00457C93"/>
    <w:rsid w:val="00460400"/>
    <w:rsid w:val="00460E2F"/>
    <w:rsid w:val="004710D0"/>
    <w:rsid w:val="0047386F"/>
    <w:rsid w:val="00475DB9"/>
    <w:rsid w:val="00476DCF"/>
    <w:rsid w:val="004822CD"/>
    <w:rsid w:val="00486690"/>
    <w:rsid w:val="00496A95"/>
    <w:rsid w:val="004A2E02"/>
    <w:rsid w:val="004A31E6"/>
    <w:rsid w:val="004A37AD"/>
    <w:rsid w:val="004C4B1F"/>
    <w:rsid w:val="004D074D"/>
    <w:rsid w:val="004D2A46"/>
    <w:rsid w:val="004E5B69"/>
    <w:rsid w:val="004F0DB8"/>
    <w:rsid w:val="004F4F6A"/>
    <w:rsid w:val="004F780A"/>
    <w:rsid w:val="005025A1"/>
    <w:rsid w:val="00502B56"/>
    <w:rsid w:val="00502C4B"/>
    <w:rsid w:val="00512C30"/>
    <w:rsid w:val="005238CB"/>
    <w:rsid w:val="0053285E"/>
    <w:rsid w:val="00536D74"/>
    <w:rsid w:val="00537D7F"/>
    <w:rsid w:val="00545A0E"/>
    <w:rsid w:val="00545EF3"/>
    <w:rsid w:val="00550807"/>
    <w:rsid w:val="00555BEC"/>
    <w:rsid w:val="0056031A"/>
    <w:rsid w:val="00564A5C"/>
    <w:rsid w:val="00567014"/>
    <w:rsid w:val="005745FF"/>
    <w:rsid w:val="00575C88"/>
    <w:rsid w:val="005831C5"/>
    <w:rsid w:val="00594ABA"/>
    <w:rsid w:val="00595453"/>
    <w:rsid w:val="00595AC6"/>
    <w:rsid w:val="005A017A"/>
    <w:rsid w:val="005A2295"/>
    <w:rsid w:val="005A2763"/>
    <w:rsid w:val="005B0DCC"/>
    <w:rsid w:val="005B1F9E"/>
    <w:rsid w:val="005B2D03"/>
    <w:rsid w:val="005B71E5"/>
    <w:rsid w:val="005C031A"/>
    <w:rsid w:val="005C473F"/>
    <w:rsid w:val="005D37A0"/>
    <w:rsid w:val="005D68DB"/>
    <w:rsid w:val="005E510A"/>
    <w:rsid w:val="005F08BF"/>
    <w:rsid w:val="005F08C3"/>
    <w:rsid w:val="005F2E3A"/>
    <w:rsid w:val="0061116E"/>
    <w:rsid w:val="006154E4"/>
    <w:rsid w:val="0062145A"/>
    <w:rsid w:val="00621A7E"/>
    <w:rsid w:val="00621F9E"/>
    <w:rsid w:val="00625E48"/>
    <w:rsid w:val="00633320"/>
    <w:rsid w:val="006365DE"/>
    <w:rsid w:val="00637574"/>
    <w:rsid w:val="00644DFB"/>
    <w:rsid w:val="0065020B"/>
    <w:rsid w:val="00651123"/>
    <w:rsid w:val="00654754"/>
    <w:rsid w:val="00664AC7"/>
    <w:rsid w:val="00667B23"/>
    <w:rsid w:val="00676F3A"/>
    <w:rsid w:val="00685E62"/>
    <w:rsid w:val="006917A0"/>
    <w:rsid w:val="006921E1"/>
    <w:rsid w:val="0069237D"/>
    <w:rsid w:val="0069343A"/>
    <w:rsid w:val="00695365"/>
    <w:rsid w:val="006958E8"/>
    <w:rsid w:val="006973A2"/>
    <w:rsid w:val="006A089E"/>
    <w:rsid w:val="006A430C"/>
    <w:rsid w:val="006C085D"/>
    <w:rsid w:val="006C2DF2"/>
    <w:rsid w:val="006C313C"/>
    <w:rsid w:val="006D0D00"/>
    <w:rsid w:val="006D4BA4"/>
    <w:rsid w:val="006D55A6"/>
    <w:rsid w:val="006D56F1"/>
    <w:rsid w:val="006D6D4B"/>
    <w:rsid w:val="006E0C96"/>
    <w:rsid w:val="006E3DA2"/>
    <w:rsid w:val="006E3F3F"/>
    <w:rsid w:val="006F013A"/>
    <w:rsid w:val="006F0C30"/>
    <w:rsid w:val="006F1B26"/>
    <w:rsid w:val="006F1BFB"/>
    <w:rsid w:val="006F54C1"/>
    <w:rsid w:val="00706A8D"/>
    <w:rsid w:val="00710E36"/>
    <w:rsid w:val="007125A7"/>
    <w:rsid w:val="007166E6"/>
    <w:rsid w:val="00716EDE"/>
    <w:rsid w:val="007179FB"/>
    <w:rsid w:val="00730B45"/>
    <w:rsid w:val="007331F0"/>
    <w:rsid w:val="00736348"/>
    <w:rsid w:val="007424F6"/>
    <w:rsid w:val="00743E13"/>
    <w:rsid w:val="00745D99"/>
    <w:rsid w:val="00751BBE"/>
    <w:rsid w:val="007535B8"/>
    <w:rsid w:val="00753ABD"/>
    <w:rsid w:val="00754764"/>
    <w:rsid w:val="00760F3C"/>
    <w:rsid w:val="00764C26"/>
    <w:rsid w:val="00764D66"/>
    <w:rsid w:val="0076597A"/>
    <w:rsid w:val="00770B9A"/>
    <w:rsid w:val="00773D28"/>
    <w:rsid w:val="0077798E"/>
    <w:rsid w:val="00780D83"/>
    <w:rsid w:val="007829B2"/>
    <w:rsid w:val="00786494"/>
    <w:rsid w:val="00794FF2"/>
    <w:rsid w:val="007B012A"/>
    <w:rsid w:val="007C4ADC"/>
    <w:rsid w:val="007C5852"/>
    <w:rsid w:val="007C7B31"/>
    <w:rsid w:val="007E48A9"/>
    <w:rsid w:val="007E4AA8"/>
    <w:rsid w:val="007E5415"/>
    <w:rsid w:val="007E564C"/>
    <w:rsid w:val="008152D6"/>
    <w:rsid w:val="008221D5"/>
    <w:rsid w:val="008235AB"/>
    <w:rsid w:val="0082440E"/>
    <w:rsid w:val="008248D0"/>
    <w:rsid w:val="0082656A"/>
    <w:rsid w:val="00827467"/>
    <w:rsid w:val="008325D4"/>
    <w:rsid w:val="008341D9"/>
    <w:rsid w:val="008411AE"/>
    <w:rsid w:val="00844104"/>
    <w:rsid w:val="00846B22"/>
    <w:rsid w:val="00850BA4"/>
    <w:rsid w:val="0085244C"/>
    <w:rsid w:val="0085548F"/>
    <w:rsid w:val="00862038"/>
    <w:rsid w:val="00871409"/>
    <w:rsid w:val="00871878"/>
    <w:rsid w:val="0087225F"/>
    <w:rsid w:val="00872832"/>
    <w:rsid w:val="008810AA"/>
    <w:rsid w:val="0088372E"/>
    <w:rsid w:val="00884B4D"/>
    <w:rsid w:val="0089264B"/>
    <w:rsid w:val="008A7318"/>
    <w:rsid w:val="008B21D3"/>
    <w:rsid w:val="008C2431"/>
    <w:rsid w:val="008D73A3"/>
    <w:rsid w:val="008D7570"/>
    <w:rsid w:val="008E2B80"/>
    <w:rsid w:val="008E6E8F"/>
    <w:rsid w:val="008F1571"/>
    <w:rsid w:val="008F2060"/>
    <w:rsid w:val="00902712"/>
    <w:rsid w:val="00904B10"/>
    <w:rsid w:val="0091152C"/>
    <w:rsid w:val="00912F72"/>
    <w:rsid w:val="00914443"/>
    <w:rsid w:val="0091742C"/>
    <w:rsid w:val="0092142D"/>
    <w:rsid w:val="009250C3"/>
    <w:rsid w:val="009256AF"/>
    <w:rsid w:val="00925F15"/>
    <w:rsid w:val="00940ACF"/>
    <w:rsid w:val="00954C5D"/>
    <w:rsid w:val="00955A5F"/>
    <w:rsid w:val="00956D27"/>
    <w:rsid w:val="00970FA0"/>
    <w:rsid w:val="00977798"/>
    <w:rsid w:val="0098451C"/>
    <w:rsid w:val="00996746"/>
    <w:rsid w:val="009B5608"/>
    <w:rsid w:val="009B683B"/>
    <w:rsid w:val="009D27F9"/>
    <w:rsid w:val="009E680B"/>
    <w:rsid w:val="009F197C"/>
    <w:rsid w:val="009F52FD"/>
    <w:rsid w:val="009F7239"/>
    <w:rsid w:val="00A05F83"/>
    <w:rsid w:val="00A067CE"/>
    <w:rsid w:val="00A12DE9"/>
    <w:rsid w:val="00A15A1F"/>
    <w:rsid w:val="00A24EFD"/>
    <w:rsid w:val="00A24F7E"/>
    <w:rsid w:val="00A319C4"/>
    <w:rsid w:val="00A31EDA"/>
    <w:rsid w:val="00A3228F"/>
    <w:rsid w:val="00A3325A"/>
    <w:rsid w:val="00A35577"/>
    <w:rsid w:val="00A3597F"/>
    <w:rsid w:val="00A451F6"/>
    <w:rsid w:val="00A54DD4"/>
    <w:rsid w:val="00A55A82"/>
    <w:rsid w:val="00A61DAF"/>
    <w:rsid w:val="00A64113"/>
    <w:rsid w:val="00A65F27"/>
    <w:rsid w:val="00A72B11"/>
    <w:rsid w:val="00A734BE"/>
    <w:rsid w:val="00A756BB"/>
    <w:rsid w:val="00A75800"/>
    <w:rsid w:val="00A80390"/>
    <w:rsid w:val="00A821FC"/>
    <w:rsid w:val="00A82AF0"/>
    <w:rsid w:val="00A917D1"/>
    <w:rsid w:val="00A93F31"/>
    <w:rsid w:val="00AA0DC6"/>
    <w:rsid w:val="00AB14BD"/>
    <w:rsid w:val="00AB7FBF"/>
    <w:rsid w:val="00AC2CC3"/>
    <w:rsid w:val="00AC38D4"/>
    <w:rsid w:val="00AC762C"/>
    <w:rsid w:val="00AD1361"/>
    <w:rsid w:val="00AD3BEB"/>
    <w:rsid w:val="00AD43E1"/>
    <w:rsid w:val="00AD64F8"/>
    <w:rsid w:val="00AE06C9"/>
    <w:rsid w:val="00AE2E03"/>
    <w:rsid w:val="00AE6C91"/>
    <w:rsid w:val="00AE78F4"/>
    <w:rsid w:val="00AF0C4E"/>
    <w:rsid w:val="00AF108A"/>
    <w:rsid w:val="00AF3595"/>
    <w:rsid w:val="00AF5509"/>
    <w:rsid w:val="00AF73BE"/>
    <w:rsid w:val="00B02E55"/>
    <w:rsid w:val="00B11028"/>
    <w:rsid w:val="00B12113"/>
    <w:rsid w:val="00B14EF7"/>
    <w:rsid w:val="00B2711F"/>
    <w:rsid w:val="00B27BF5"/>
    <w:rsid w:val="00B32D41"/>
    <w:rsid w:val="00B344CD"/>
    <w:rsid w:val="00B36042"/>
    <w:rsid w:val="00B467F6"/>
    <w:rsid w:val="00B50556"/>
    <w:rsid w:val="00B50E6B"/>
    <w:rsid w:val="00B60EA5"/>
    <w:rsid w:val="00B65B8E"/>
    <w:rsid w:val="00B668F3"/>
    <w:rsid w:val="00B70F99"/>
    <w:rsid w:val="00B72114"/>
    <w:rsid w:val="00B8205D"/>
    <w:rsid w:val="00B84DB2"/>
    <w:rsid w:val="00B86B18"/>
    <w:rsid w:val="00B9456E"/>
    <w:rsid w:val="00BA0922"/>
    <w:rsid w:val="00BA3BBC"/>
    <w:rsid w:val="00BA3C50"/>
    <w:rsid w:val="00BA4665"/>
    <w:rsid w:val="00BA5AA6"/>
    <w:rsid w:val="00BB2654"/>
    <w:rsid w:val="00BB56B3"/>
    <w:rsid w:val="00BB5796"/>
    <w:rsid w:val="00BB6966"/>
    <w:rsid w:val="00BB76E6"/>
    <w:rsid w:val="00BD0EDB"/>
    <w:rsid w:val="00BD1202"/>
    <w:rsid w:val="00BD7650"/>
    <w:rsid w:val="00BE5835"/>
    <w:rsid w:val="00BF4AC2"/>
    <w:rsid w:val="00BF7FE0"/>
    <w:rsid w:val="00C01F6D"/>
    <w:rsid w:val="00C24379"/>
    <w:rsid w:val="00C40A34"/>
    <w:rsid w:val="00C42D07"/>
    <w:rsid w:val="00C450FD"/>
    <w:rsid w:val="00C4601C"/>
    <w:rsid w:val="00C47DDE"/>
    <w:rsid w:val="00C6723C"/>
    <w:rsid w:val="00C71204"/>
    <w:rsid w:val="00C80834"/>
    <w:rsid w:val="00C813B4"/>
    <w:rsid w:val="00C907E1"/>
    <w:rsid w:val="00C94E7A"/>
    <w:rsid w:val="00C9664D"/>
    <w:rsid w:val="00CA2451"/>
    <w:rsid w:val="00CB1351"/>
    <w:rsid w:val="00CC07FD"/>
    <w:rsid w:val="00CC318C"/>
    <w:rsid w:val="00CC6472"/>
    <w:rsid w:val="00CD6267"/>
    <w:rsid w:val="00CE7D50"/>
    <w:rsid w:val="00CF521F"/>
    <w:rsid w:val="00CF58B7"/>
    <w:rsid w:val="00CF7300"/>
    <w:rsid w:val="00D062EA"/>
    <w:rsid w:val="00D076D7"/>
    <w:rsid w:val="00D16CB9"/>
    <w:rsid w:val="00D17F17"/>
    <w:rsid w:val="00D23B94"/>
    <w:rsid w:val="00D25A8E"/>
    <w:rsid w:val="00D351C1"/>
    <w:rsid w:val="00D3693C"/>
    <w:rsid w:val="00D37885"/>
    <w:rsid w:val="00D4067C"/>
    <w:rsid w:val="00D44195"/>
    <w:rsid w:val="00D45686"/>
    <w:rsid w:val="00D63D86"/>
    <w:rsid w:val="00D66E9B"/>
    <w:rsid w:val="00D71320"/>
    <w:rsid w:val="00D71758"/>
    <w:rsid w:val="00D72699"/>
    <w:rsid w:val="00D8389B"/>
    <w:rsid w:val="00D86050"/>
    <w:rsid w:val="00D86BF0"/>
    <w:rsid w:val="00D91089"/>
    <w:rsid w:val="00D94905"/>
    <w:rsid w:val="00D95103"/>
    <w:rsid w:val="00D95391"/>
    <w:rsid w:val="00DA2743"/>
    <w:rsid w:val="00DA4FD5"/>
    <w:rsid w:val="00DA5B12"/>
    <w:rsid w:val="00DB0584"/>
    <w:rsid w:val="00DB60BB"/>
    <w:rsid w:val="00DD267D"/>
    <w:rsid w:val="00DD2F44"/>
    <w:rsid w:val="00DD4C23"/>
    <w:rsid w:val="00DE21D6"/>
    <w:rsid w:val="00DE21E5"/>
    <w:rsid w:val="00DF3945"/>
    <w:rsid w:val="00DF4DF5"/>
    <w:rsid w:val="00DF77A7"/>
    <w:rsid w:val="00E0408B"/>
    <w:rsid w:val="00E1100D"/>
    <w:rsid w:val="00E1423A"/>
    <w:rsid w:val="00E14C09"/>
    <w:rsid w:val="00E16C38"/>
    <w:rsid w:val="00E257B1"/>
    <w:rsid w:val="00E26C62"/>
    <w:rsid w:val="00E316AD"/>
    <w:rsid w:val="00E36DBA"/>
    <w:rsid w:val="00E37883"/>
    <w:rsid w:val="00E45A59"/>
    <w:rsid w:val="00E4777E"/>
    <w:rsid w:val="00E51920"/>
    <w:rsid w:val="00E55000"/>
    <w:rsid w:val="00E56F49"/>
    <w:rsid w:val="00E623D6"/>
    <w:rsid w:val="00E64120"/>
    <w:rsid w:val="00E65E30"/>
    <w:rsid w:val="00E66FFC"/>
    <w:rsid w:val="00E762DA"/>
    <w:rsid w:val="00E82505"/>
    <w:rsid w:val="00E921B6"/>
    <w:rsid w:val="00EB2C05"/>
    <w:rsid w:val="00EC72A1"/>
    <w:rsid w:val="00EC7696"/>
    <w:rsid w:val="00ED6B11"/>
    <w:rsid w:val="00EE01E5"/>
    <w:rsid w:val="00EE2CDD"/>
    <w:rsid w:val="00EE7AE7"/>
    <w:rsid w:val="00EF0485"/>
    <w:rsid w:val="00F024C1"/>
    <w:rsid w:val="00F05175"/>
    <w:rsid w:val="00F055F1"/>
    <w:rsid w:val="00F06BB5"/>
    <w:rsid w:val="00F10F74"/>
    <w:rsid w:val="00F242AC"/>
    <w:rsid w:val="00F317D7"/>
    <w:rsid w:val="00F3555D"/>
    <w:rsid w:val="00F41335"/>
    <w:rsid w:val="00F44FC7"/>
    <w:rsid w:val="00F46399"/>
    <w:rsid w:val="00F51BF6"/>
    <w:rsid w:val="00F53A2B"/>
    <w:rsid w:val="00F571B3"/>
    <w:rsid w:val="00F6644B"/>
    <w:rsid w:val="00F70E9B"/>
    <w:rsid w:val="00F7154E"/>
    <w:rsid w:val="00F72C78"/>
    <w:rsid w:val="00F738BF"/>
    <w:rsid w:val="00F846B8"/>
    <w:rsid w:val="00F86D8C"/>
    <w:rsid w:val="00F91643"/>
    <w:rsid w:val="00FA05D9"/>
    <w:rsid w:val="00FA0813"/>
    <w:rsid w:val="00FA7972"/>
    <w:rsid w:val="00FB281D"/>
    <w:rsid w:val="00FB38E5"/>
    <w:rsid w:val="00FB6447"/>
    <w:rsid w:val="00FB715D"/>
    <w:rsid w:val="00FC10ED"/>
    <w:rsid w:val="00FC2D11"/>
    <w:rsid w:val="00FC49AE"/>
    <w:rsid w:val="00FC4FC2"/>
    <w:rsid w:val="00FC6230"/>
    <w:rsid w:val="00FC76B0"/>
    <w:rsid w:val="00FD69B8"/>
    <w:rsid w:val="00FD6D87"/>
    <w:rsid w:val="00FE0C7F"/>
    <w:rsid w:val="00FE102C"/>
    <w:rsid w:val="00FF118D"/>
    <w:rsid w:val="00FF2626"/>
    <w:rsid w:val="00FF3C43"/>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4BD7E6D"/>
  <w15:docId w15:val="{9E649CEC-CDBC-482A-835B-6397ADA4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2F2EEF"/>
    <w:rPr>
      <w:sz w:val="24"/>
      <w:szCs w:val="24"/>
    </w:rPr>
  </w:style>
  <w:style w:type="paragraph" w:styleId="Heading1">
    <w:name w:val="heading 1"/>
    <w:basedOn w:val="Normal"/>
    <w:next w:val="Paragraph"/>
    <w:link w:val="Heading1Char"/>
    <w:qFormat/>
    <w:rsid w:val="00FC10ED"/>
    <w:pPr>
      <w:keepNext/>
      <w:spacing w:before="240" w:after="120"/>
      <w:outlineLvl w:val="0"/>
    </w:pPr>
    <w:rPr>
      <w:rFonts w:ascii="Arial" w:hAnsi="Arial"/>
      <w:b/>
      <w:bCs/>
      <w:kern w:val="32"/>
      <w:sz w:val="28"/>
      <w:szCs w:val="32"/>
      <w:lang w:val="x-none" w:eastAsia="x-none"/>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lang w:val="x-none" w:eastAsia="x-none"/>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numPr>
        <w:numId w:val="1"/>
      </w:numPr>
      <w:spacing w:before="240" w:after="240" w:line="276" w:lineRule="auto"/>
      <w:ind w:left="709" w:hanging="709"/>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rsid w:val="00FC10ED"/>
    <w:rPr>
      <w:rFonts w:ascii="Arial" w:hAnsi="Arial"/>
      <w:b/>
      <w:bCs/>
      <w:kern w:val="32"/>
      <w:sz w:val="28"/>
      <w:szCs w:val="32"/>
    </w:rPr>
  </w:style>
  <w:style w:type="paragraph" w:customStyle="1" w:styleId="Bullets">
    <w:name w:val="Bullets"/>
    <w:basedOn w:val="Normal"/>
    <w:uiPriority w:val="5"/>
    <w:qFormat/>
    <w:rsid w:val="001A23E4"/>
    <w:pPr>
      <w:numPr>
        <w:numId w:val="2"/>
      </w:numPr>
      <w:spacing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lang w:val="x-none" w:eastAsia="x-none"/>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6921E1"/>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A23E4"/>
    <w:pPr>
      <w:numPr>
        <w:numId w:val="18"/>
      </w:numPr>
      <w:spacing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1A23E4"/>
    <w:pPr>
      <w:spacing w:before="240" w:after="240" w:line="276" w:lineRule="auto"/>
    </w:pPr>
    <w:rPr>
      <w:rFonts w:ascii="Arial" w:hAnsi="Arial"/>
      <w:lang w:val="x-none" w:eastAsia="x-none"/>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
    <w:name w:val="Intro text"/>
    <w:basedOn w:val="Normal"/>
    <w:rsid w:val="006F1BFB"/>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character" w:styleId="CommentReference">
    <w:name w:val="annotation reference"/>
    <w:rsid w:val="002470A4"/>
    <w:rPr>
      <w:sz w:val="16"/>
      <w:szCs w:val="16"/>
    </w:rPr>
  </w:style>
  <w:style w:type="paragraph" w:styleId="CommentText">
    <w:name w:val="annotation text"/>
    <w:basedOn w:val="Normal"/>
    <w:link w:val="CommentTextChar"/>
    <w:rsid w:val="002470A4"/>
    <w:rPr>
      <w:sz w:val="20"/>
      <w:szCs w:val="20"/>
    </w:rPr>
  </w:style>
  <w:style w:type="character" w:customStyle="1" w:styleId="CommentTextChar">
    <w:name w:val="Comment Text Char"/>
    <w:basedOn w:val="DefaultParagraphFont"/>
    <w:link w:val="CommentText"/>
    <w:rsid w:val="002470A4"/>
  </w:style>
  <w:style w:type="paragraph" w:styleId="CommentSubject">
    <w:name w:val="annotation subject"/>
    <w:basedOn w:val="CommentText"/>
    <w:next w:val="CommentText"/>
    <w:link w:val="CommentSubjectChar"/>
    <w:semiHidden/>
    <w:rsid w:val="002470A4"/>
    <w:rPr>
      <w:b/>
      <w:bCs/>
      <w:lang w:val="x-none" w:eastAsia="x-none"/>
    </w:rPr>
  </w:style>
  <w:style w:type="character" w:customStyle="1" w:styleId="CommentSubjectChar">
    <w:name w:val="Comment Subject Char"/>
    <w:link w:val="CommentSubject"/>
    <w:semiHidden/>
    <w:rsid w:val="002470A4"/>
    <w:rPr>
      <w:b/>
      <w:bCs/>
    </w:rPr>
  </w:style>
  <w:style w:type="paragraph" w:customStyle="1" w:styleId="NICEnormal">
    <w:name w:val="NICE normal"/>
    <w:link w:val="NICEnormalChar"/>
    <w:qFormat/>
    <w:rsid w:val="00D45686"/>
    <w:pPr>
      <w:spacing w:after="240" w:line="360" w:lineRule="auto"/>
    </w:pPr>
    <w:rPr>
      <w:rFonts w:ascii="Arial" w:hAnsi="Arial"/>
      <w:sz w:val="24"/>
      <w:szCs w:val="24"/>
      <w:lang w:val="en-US" w:eastAsia="en-US"/>
    </w:rPr>
  </w:style>
  <w:style w:type="character" w:customStyle="1" w:styleId="NICEnormalChar">
    <w:name w:val="NICE normal Char"/>
    <w:link w:val="NICEnormal"/>
    <w:rsid w:val="00D45686"/>
    <w:rPr>
      <w:rFonts w:ascii="Arial" w:hAnsi="Arial"/>
      <w:sz w:val="24"/>
      <w:szCs w:val="24"/>
      <w:lang w:val="en-US" w:eastAsia="en-US" w:bidi="ar-SA"/>
    </w:rPr>
  </w:style>
  <w:style w:type="paragraph" w:styleId="FootnoteText">
    <w:name w:val="footnote text"/>
    <w:basedOn w:val="Normal"/>
    <w:link w:val="FootnoteTextChar"/>
    <w:semiHidden/>
    <w:rsid w:val="003B42E7"/>
    <w:rPr>
      <w:sz w:val="20"/>
      <w:szCs w:val="20"/>
    </w:rPr>
  </w:style>
  <w:style w:type="character" w:customStyle="1" w:styleId="FootnoteTextChar">
    <w:name w:val="Footnote Text Char"/>
    <w:basedOn w:val="DefaultParagraphFont"/>
    <w:link w:val="FootnoteText"/>
    <w:semiHidden/>
    <w:rsid w:val="003B42E7"/>
  </w:style>
  <w:style w:type="character" w:styleId="FootnoteReference">
    <w:name w:val="footnote reference"/>
    <w:semiHidden/>
    <w:rsid w:val="003B42E7"/>
    <w:rPr>
      <w:vertAlign w:val="superscript"/>
    </w:rPr>
  </w:style>
  <w:style w:type="character" w:styleId="Hyperlink">
    <w:name w:val="Hyperlink"/>
    <w:semiHidden/>
    <w:rsid w:val="003B42E7"/>
    <w:rPr>
      <w:color w:val="0000FF"/>
      <w:u w:val="single"/>
    </w:rPr>
  </w:style>
  <w:style w:type="character" w:customStyle="1" w:styleId="ParagraphnonumbersChar">
    <w:name w:val="Paragraph no numbers Char"/>
    <w:link w:val="Paragraphnonumbers"/>
    <w:rsid w:val="00545EF3"/>
    <w:rPr>
      <w:rFonts w:ascii="Arial" w:hAnsi="Arial"/>
      <w:sz w:val="24"/>
      <w:szCs w:val="24"/>
    </w:rPr>
  </w:style>
  <w:style w:type="paragraph" w:customStyle="1" w:styleId="Numberedheading1">
    <w:name w:val="Numbered heading 1"/>
    <w:basedOn w:val="Heading1"/>
    <w:next w:val="NICEnormal"/>
    <w:rsid w:val="005E510A"/>
    <w:pPr>
      <w:numPr>
        <w:numId w:val="22"/>
      </w:numPr>
      <w:spacing w:line="360" w:lineRule="auto"/>
    </w:pPr>
    <w:rPr>
      <w:rFonts w:cs="Arial"/>
      <w:sz w:val="32"/>
      <w:szCs w:val="24"/>
      <w:lang w:eastAsia="en-US"/>
    </w:rPr>
  </w:style>
  <w:style w:type="paragraph" w:customStyle="1" w:styleId="Numberedheading2">
    <w:name w:val="Numbered heading 2"/>
    <w:basedOn w:val="Heading2"/>
    <w:next w:val="NICEnormal"/>
    <w:rsid w:val="005E510A"/>
    <w:pPr>
      <w:numPr>
        <w:ilvl w:val="1"/>
        <w:numId w:val="22"/>
      </w:numPr>
      <w:spacing w:line="360" w:lineRule="auto"/>
    </w:pPr>
    <w:rPr>
      <w:rFonts w:cs="Arial"/>
      <w:lang w:eastAsia="en-US"/>
    </w:rPr>
  </w:style>
  <w:style w:type="paragraph" w:customStyle="1" w:styleId="Numberedheading3">
    <w:name w:val="Numbered heading 3"/>
    <w:basedOn w:val="Heading3"/>
    <w:next w:val="NICEnormal"/>
    <w:rsid w:val="005E510A"/>
    <w:pPr>
      <w:numPr>
        <w:ilvl w:val="2"/>
        <w:numId w:val="22"/>
      </w:numPr>
      <w:spacing w:line="360" w:lineRule="auto"/>
    </w:pPr>
    <w:rPr>
      <w:rFonts w:cs="Arial"/>
      <w:sz w:val="26"/>
      <w:szCs w:val="24"/>
      <w:lang w:eastAsia="en-US"/>
    </w:rPr>
  </w:style>
  <w:style w:type="paragraph" w:customStyle="1" w:styleId="Numberedlevel4text">
    <w:name w:val="Numbered level 4 text"/>
    <w:basedOn w:val="NICEnormal"/>
    <w:next w:val="NICEnormal"/>
    <w:rsid w:val="005E510A"/>
    <w:pPr>
      <w:numPr>
        <w:ilvl w:val="3"/>
        <w:numId w:val="22"/>
      </w:numPr>
    </w:pPr>
  </w:style>
  <w:style w:type="paragraph" w:customStyle="1" w:styleId="NICEnormalsinglespacing">
    <w:name w:val="NICE normal single spacing"/>
    <w:basedOn w:val="NICEnormal"/>
    <w:rsid w:val="000A17BD"/>
    <w:pPr>
      <w:spacing w:line="240" w:lineRule="auto"/>
    </w:pPr>
    <w:rPr>
      <w:lang w:val="en-GB"/>
    </w:rPr>
  </w:style>
  <w:style w:type="paragraph" w:customStyle="1" w:styleId="Title16pt">
    <w:name w:val="Title 16 pt"/>
    <w:basedOn w:val="Title"/>
    <w:rsid w:val="000A17BD"/>
    <w:pPr>
      <w:keepNext/>
    </w:pPr>
    <w:rPr>
      <w:rFonts w:cs="Arial"/>
      <w:lang w:val="en-GB" w:eastAsia="en-GB"/>
    </w:rPr>
  </w:style>
  <w:style w:type="paragraph" w:customStyle="1" w:styleId="Bulletleft2">
    <w:name w:val="Bullet left 2"/>
    <w:basedOn w:val="NICEnormal"/>
    <w:rsid w:val="000A17BD"/>
    <w:pPr>
      <w:numPr>
        <w:ilvl w:val="1"/>
        <w:numId w:val="23"/>
      </w:numPr>
      <w:spacing w:after="0"/>
      <w:ind w:left="568" w:hanging="284"/>
    </w:pPr>
    <w:rPr>
      <w:lang w:val="en-GB"/>
    </w:rPr>
  </w:style>
  <w:style w:type="paragraph" w:customStyle="1" w:styleId="Tabletitle">
    <w:name w:val="Table title"/>
    <w:basedOn w:val="NICEnormal"/>
    <w:next w:val="NICEnormal"/>
    <w:rsid w:val="000A17BD"/>
    <w:pPr>
      <w:keepNext/>
      <w:spacing w:after="60" w:line="240" w:lineRule="auto"/>
    </w:pPr>
    <w:rPr>
      <w:b/>
      <w:lang w:val="en-GB"/>
    </w:rPr>
  </w:style>
  <w:style w:type="paragraph" w:customStyle="1" w:styleId="Tabletext">
    <w:name w:val="Table text"/>
    <w:basedOn w:val="NICEnormalsinglespacing"/>
    <w:rsid w:val="000A17BD"/>
    <w:pPr>
      <w:keepNext/>
      <w:spacing w:after="60"/>
    </w:pPr>
    <w:rPr>
      <w:sz w:val="22"/>
    </w:rPr>
  </w:style>
  <w:style w:type="paragraph" w:customStyle="1" w:styleId="Default">
    <w:name w:val="Default"/>
    <w:rsid w:val="00342E19"/>
    <w:pPr>
      <w:autoSpaceDE w:val="0"/>
      <w:autoSpaceDN w:val="0"/>
      <w:adjustRightInd w:val="0"/>
    </w:pPr>
    <w:rPr>
      <w:rFonts w:ascii="Frutiger LT 45 Light" w:hAnsi="Frutiger LT 45 Light" w:cs="Frutiger LT 45 Light"/>
      <w:color w:val="000000"/>
      <w:sz w:val="24"/>
      <w:szCs w:val="24"/>
    </w:rPr>
  </w:style>
  <w:style w:type="character" w:styleId="FollowedHyperlink">
    <w:name w:val="FollowedHyperlink"/>
    <w:semiHidden/>
    <w:rsid w:val="00B27BF5"/>
    <w:rPr>
      <w:color w:val="800080"/>
      <w:u w:val="single"/>
    </w:rPr>
  </w:style>
  <w:style w:type="paragraph" w:styleId="Revision">
    <w:name w:val="Revision"/>
    <w:hidden/>
    <w:uiPriority w:val="99"/>
    <w:semiHidden/>
    <w:rsid w:val="00667B23"/>
    <w:rPr>
      <w:sz w:val="24"/>
      <w:szCs w:val="24"/>
    </w:rPr>
  </w:style>
  <w:style w:type="character" w:styleId="UnresolvedMention">
    <w:name w:val="Unresolved Mention"/>
    <w:basedOn w:val="DefaultParagraphFont"/>
    <w:uiPriority w:val="99"/>
    <w:semiHidden/>
    <w:unhideWhenUsed/>
    <w:rsid w:val="003C5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8389">
      <w:bodyDiv w:val="1"/>
      <w:marLeft w:val="0"/>
      <w:marRight w:val="0"/>
      <w:marTop w:val="0"/>
      <w:marBottom w:val="0"/>
      <w:divBdr>
        <w:top w:val="none" w:sz="0" w:space="0" w:color="auto"/>
        <w:left w:val="none" w:sz="0" w:space="0" w:color="auto"/>
        <w:bottom w:val="none" w:sz="0" w:space="0" w:color="auto"/>
        <w:right w:val="none" w:sz="0" w:space="0" w:color="auto"/>
      </w:divBdr>
    </w:div>
    <w:div w:id="36509201">
      <w:bodyDiv w:val="1"/>
      <w:marLeft w:val="0"/>
      <w:marRight w:val="0"/>
      <w:marTop w:val="0"/>
      <w:marBottom w:val="0"/>
      <w:divBdr>
        <w:top w:val="none" w:sz="0" w:space="0" w:color="auto"/>
        <w:left w:val="none" w:sz="0" w:space="0" w:color="auto"/>
        <w:bottom w:val="none" w:sz="0" w:space="0" w:color="auto"/>
        <w:right w:val="none" w:sz="0" w:space="0" w:color="auto"/>
      </w:divBdr>
    </w:div>
    <w:div w:id="44725384">
      <w:bodyDiv w:val="1"/>
      <w:marLeft w:val="0"/>
      <w:marRight w:val="0"/>
      <w:marTop w:val="0"/>
      <w:marBottom w:val="0"/>
      <w:divBdr>
        <w:top w:val="none" w:sz="0" w:space="0" w:color="auto"/>
        <w:left w:val="none" w:sz="0" w:space="0" w:color="auto"/>
        <w:bottom w:val="none" w:sz="0" w:space="0" w:color="auto"/>
        <w:right w:val="none" w:sz="0" w:space="0" w:color="auto"/>
      </w:divBdr>
    </w:div>
    <w:div w:id="49690295">
      <w:bodyDiv w:val="1"/>
      <w:marLeft w:val="0"/>
      <w:marRight w:val="0"/>
      <w:marTop w:val="0"/>
      <w:marBottom w:val="0"/>
      <w:divBdr>
        <w:top w:val="none" w:sz="0" w:space="0" w:color="auto"/>
        <w:left w:val="none" w:sz="0" w:space="0" w:color="auto"/>
        <w:bottom w:val="none" w:sz="0" w:space="0" w:color="auto"/>
        <w:right w:val="none" w:sz="0" w:space="0" w:color="auto"/>
      </w:divBdr>
    </w:div>
    <w:div w:id="105972536">
      <w:bodyDiv w:val="1"/>
      <w:marLeft w:val="0"/>
      <w:marRight w:val="0"/>
      <w:marTop w:val="0"/>
      <w:marBottom w:val="0"/>
      <w:divBdr>
        <w:top w:val="none" w:sz="0" w:space="0" w:color="auto"/>
        <w:left w:val="none" w:sz="0" w:space="0" w:color="auto"/>
        <w:bottom w:val="none" w:sz="0" w:space="0" w:color="auto"/>
        <w:right w:val="none" w:sz="0" w:space="0" w:color="auto"/>
      </w:divBdr>
    </w:div>
    <w:div w:id="162792110">
      <w:bodyDiv w:val="1"/>
      <w:marLeft w:val="0"/>
      <w:marRight w:val="0"/>
      <w:marTop w:val="0"/>
      <w:marBottom w:val="0"/>
      <w:divBdr>
        <w:top w:val="none" w:sz="0" w:space="0" w:color="auto"/>
        <w:left w:val="none" w:sz="0" w:space="0" w:color="auto"/>
        <w:bottom w:val="none" w:sz="0" w:space="0" w:color="auto"/>
        <w:right w:val="none" w:sz="0" w:space="0" w:color="auto"/>
      </w:divBdr>
    </w:div>
    <w:div w:id="167715113">
      <w:bodyDiv w:val="1"/>
      <w:marLeft w:val="0"/>
      <w:marRight w:val="0"/>
      <w:marTop w:val="0"/>
      <w:marBottom w:val="0"/>
      <w:divBdr>
        <w:top w:val="none" w:sz="0" w:space="0" w:color="auto"/>
        <w:left w:val="none" w:sz="0" w:space="0" w:color="auto"/>
        <w:bottom w:val="none" w:sz="0" w:space="0" w:color="auto"/>
        <w:right w:val="none" w:sz="0" w:space="0" w:color="auto"/>
      </w:divBdr>
    </w:div>
    <w:div w:id="295373801">
      <w:bodyDiv w:val="1"/>
      <w:marLeft w:val="0"/>
      <w:marRight w:val="0"/>
      <w:marTop w:val="0"/>
      <w:marBottom w:val="0"/>
      <w:divBdr>
        <w:top w:val="none" w:sz="0" w:space="0" w:color="auto"/>
        <w:left w:val="none" w:sz="0" w:space="0" w:color="auto"/>
        <w:bottom w:val="none" w:sz="0" w:space="0" w:color="auto"/>
        <w:right w:val="none" w:sz="0" w:space="0" w:color="auto"/>
      </w:divBdr>
    </w:div>
    <w:div w:id="332731854">
      <w:bodyDiv w:val="1"/>
      <w:marLeft w:val="0"/>
      <w:marRight w:val="0"/>
      <w:marTop w:val="0"/>
      <w:marBottom w:val="0"/>
      <w:divBdr>
        <w:top w:val="none" w:sz="0" w:space="0" w:color="auto"/>
        <w:left w:val="none" w:sz="0" w:space="0" w:color="auto"/>
        <w:bottom w:val="none" w:sz="0" w:space="0" w:color="auto"/>
        <w:right w:val="none" w:sz="0" w:space="0" w:color="auto"/>
      </w:divBdr>
    </w:div>
    <w:div w:id="695890212">
      <w:bodyDiv w:val="1"/>
      <w:marLeft w:val="0"/>
      <w:marRight w:val="0"/>
      <w:marTop w:val="0"/>
      <w:marBottom w:val="0"/>
      <w:divBdr>
        <w:top w:val="none" w:sz="0" w:space="0" w:color="auto"/>
        <w:left w:val="none" w:sz="0" w:space="0" w:color="auto"/>
        <w:bottom w:val="none" w:sz="0" w:space="0" w:color="auto"/>
        <w:right w:val="none" w:sz="0" w:space="0" w:color="auto"/>
      </w:divBdr>
    </w:div>
    <w:div w:id="971786615">
      <w:bodyDiv w:val="1"/>
      <w:marLeft w:val="0"/>
      <w:marRight w:val="0"/>
      <w:marTop w:val="0"/>
      <w:marBottom w:val="0"/>
      <w:divBdr>
        <w:top w:val="none" w:sz="0" w:space="0" w:color="auto"/>
        <w:left w:val="none" w:sz="0" w:space="0" w:color="auto"/>
        <w:bottom w:val="none" w:sz="0" w:space="0" w:color="auto"/>
        <w:right w:val="none" w:sz="0" w:space="0" w:color="auto"/>
      </w:divBdr>
    </w:div>
    <w:div w:id="1080518142">
      <w:bodyDiv w:val="1"/>
      <w:marLeft w:val="0"/>
      <w:marRight w:val="0"/>
      <w:marTop w:val="0"/>
      <w:marBottom w:val="0"/>
      <w:divBdr>
        <w:top w:val="none" w:sz="0" w:space="0" w:color="auto"/>
        <w:left w:val="none" w:sz="0" w:space="0" w:color="auto"/>
        <w:bottom w:val="none" w:sz="0" w:space="0" w:color="auto"/>
        <w:right w:val="none" w:sz="0" w:space="0" w:color="auto"/>
      </w:divBdr>
    </w:div>
    <w:div w:id="1125586440">
      <w:bodyDiv w:val="1"/>
      <w:marLeft w:val="0"/>
      <w:marRight w:val="0"/>
      <w:marTop w:val="0"/>
      <w:marBottom w:val="0"/>
      <w:divBdr>
        <w:top w:val="none" w:sz="0" w:space="0" w:color="auto"/>
        <w:left w:val="none" w:sz="0" w:space="0" w:color="auto"/>
        <w:bottom w:val="none" w:sz="0" w:space="0" w:color="auto"/>
        <w:right w:val="none" w:sz="0" w:space="0" w:color="auto"/>
      </w:divBdr>
    </w:div>
    <w:div w:id="1147938148">
      <w:bodyDiv w:val="1"/>
      <w:marLeft w:val="0"/>
      <w:marRight w:val="0"/>
      <w:marTop w:val="0"/>
      <w:marBottom w:val="0"/>
      <w:divBdr>
        <w:top w:val="none" w:sz="0" w:space="0" w:color="auto"/>
        <w:left w:val="none" w:sz="0" w:space="0" w:color="auto"/>
        <w:bottom w:val="none" w:sz="0" w:space="0" w:color="auto"/>
        <w:right w:val="none" w:sz="0" w:space="0" w:color="auto"/>
      </w:divBdr>
    </w:div>
    <w:div w:id="1256132974">
      <w:bodyDiv w:val="1"/>
      <w:marLeft w:val="0"/>
      <w:marRight w:val="0"/>
      <w:marTop w:val="0"/>
      <w:marBottom w:val="0"/>
      <w:divBdr>
        <w:top w:val="none" w:sz="0" w:space="0" w:color="auto"/>
        <w:left w:val="none" w:sz="0" w:space="0" w:color="auto"/>
        <w:bottom w:val="none" w:sz="0" w:space="0" w:color="auto"/>
        <w:right w:val="none" w:sz="0" w:space="0" w:color="auto"/>
      </w:divBdr>
    </w:div>
    <w:div w:id="1369330865">
      <w:bodyDiv w:val="1"/>
      <w:marLeft w:val="0"/>
      <w:marRight w:val="0"/>
      <w:marTop w:val="0"/>
      <w:marBottom w:val="0"/>
      <w:divBdr>
        <w:top w:val="none" w:sz="0" w:space="0" w:color="auto"/>
        <w:left w:val="none" w:sz="0" w:space="0" w:color="auto"/>
        <w:bottom w:val="none" w:sz="0" w:space="0" w:color="auto"/>
        <w:right w:val="none" w:sz="0" w:space="0" w:color="auto"/>
      </w:divBdr>
    </w:div>
    <w:div w:id="1398355588">
      <w:bodyDiv w:val="1"/>
      <w:marLeft w:val="0"/>
      <w:marRight w:val="0"/>
      <w:marTop w:val="0"/>
      <w:marBottom w:val="0"/>
      <w:divBdr>
        <w:top w:val="none" w:sz="0" w:space="0" w:color="auto"/>
        <w:left w:val="none" w:sz="0" w:space="0" w:color="auto"/>
        <w:bottom w:val="none" w:sz="0" w:space="0" w:color="auto"/>
        <w:right w:val="none" w:sz="0" w:space="0" w:color="auto"/>
      </w:divBdr>
    </w:div>
    <w:div w:id="1411269163">
      <w:bodyDiv w:val="1"/>
      <w:marLeft w:val="0"/>
      <w:marRight w:val="0"/>
      <w:marTop w:val="0"/>
      <w:marBottom w:val="0"/>
      <w:divBdr>
        <w:top w:val="none" w:sz="0" w:space="0" w:color="auto"/>
        <w:left w:val="none" w:sz="0" w:space="0" w:color="auto"/>
        <w:bottom w:val="none" w:sz="0" w:space="0" w:color="auto"/>
        <w:right w:val="none" w:sz="0" w:space="0" w:color="auto"/>
      </w:divBdr>
    </w:div>
    <w:div w:id="1528059246">
      <w:bodyDiv w:val="1"/>
      <w:marLeft w:val="0"/>
      <w:marRight w:val="0"/>
      <w:marTop w:val="0"/>
      <w:marBottom w:val="0"/>
      <w:divBdr>
        <w:top w:val="none" w:sz="0" w:space="0" w:color="auto"/>
        <w:left w:val="none" w:sz="0" w:space="0" w:color="auto"/>
        <w:bottom w:val="none" w:sz="0" w:space="0" w:color="auto"/>
        <w:right w:val="none" w:sz="0" w:space="0" w:color="auto"/>
      </w:divBdr>
    </w:div>
    <w:div w:id="1581938732">
      <w:bodyDiv w:val="1"/>
      <w:marLeft w:val="0"/>
      <w:marRight w:val="0"/>
      <w:marTop w:val="0"/>
      <w:marBottom w:val="0"/>
      <w:divBdr>
        <w:top w:val="none" w:sz="0" w:space="0" w:color="auto"/>
        <w:left w:val="none" w:sz="0" w:space="0" w:color="auto"/>
        <w:bottom w:val="none" w:sz="0" w:space="0" w:color="auto"/>
        <w:right w:val="none" w:sz="0" w:space="0" w:color="auto"/>
      </w:divBdr>
    </w:div>
    <w:div w:id="1755007525">
      <w:bodyDiv w:val="1"/>
      <w:marLeft w:val="0"/>
      <w:marRight w:val="0"/>
      <w:marTop w:val="0"/>
      <w:marBottom w:val="0"/>
      <w:divBdr>
        <w:top w:val="none" w:sz="0" w:space="0" w:color="auto"/>
        <w:left w:val="none" w:sz="0" w:space="0" w:color="auto"/>
        <w:bottom w:val="none" w:sz="0" w:space="0" w:color="auto"/>
        <w:right w:val="none" w:sz="0" w:space="0" w:color="auto"/>
      </w:divBdr>
    </w:div>
    <w:div w:id="1794251544">
      <w:bodyDiv w:val="1"/>
      <w:marLeft w:val="0"/>
      <w:marRight w:val="0"/>
      <w:marTop w:val="0"/>
      <w:marBottom w:val="0"/>
      <w:divBdr>
        <w:top w:val="none" w:sz="0" w:space="0" w:color="auto"/>
        <w:left w:val="none" w:sz="0" w:space="0" w:color="auto"/>
        <w:bottom w:val="none" w:sz="0" w:space="0" w:color="auto"/>
        <w:right w:val="none" w:sz="0" w:space="0" w:color="auto"/>
      </w:divBdr>
    </w:div>
    <w:div w:id="1931037201">
      <w:bodyDiv w:val="1"/>
      <w:marLeft w:val="0"/>
      <w:marRight w:val="0"/>
      <w:marTop w:val="0"/>
      <w:marBottom w:val="0"/>
      <w:divBdr>
        <w:top w:val="none" w:sz="0" w:space="0" w:color="auto"/>
        <w:left w:val="none" w:sz="0" w:space="0" w:color="auto"/>
        <w:bottom w:val="none" w:sz="0" w:space="0" w:color="auto"/>
        <w:right w:val="none" w:sz="0" w:space="0" w:color="auto"/>
      </w:divBdr>
    </w:div>
    <w:div w:id="2110659051">
      <w:bodyDiv w:val="1"/>
      <w:marLeft w:val="0"/>
      <w:marRight w:val="0"/>
      <w:marTop w:val="0"/>
      <w:marBottom w:val="0"/>
      <w:divBdr>
        <w:top w:val="none" w:sz="0" w:space="0" w:color="auto"/>
        <w:left w:val="none" w:sz="0" w:space="0" w:color="auto"/>
        <w:bottom w:val="none" w:sz="0" w:space="0" w:color="auto"/>
        <w:right w:val="none" w:sz="0" w:space="0" w:color="auto"/>
      </w:divBdr>
    </w:div>
    <w:div w:id="213694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falls-applying-all-our-health/falls-applying-all-our-health"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ar.kent.ac.uk/70995/1/Unit%20Costs%202018%20-%20FINAL%20with%20bookmarks%20and%20covers%20%282%29.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cbi.nlm.nih.gov/pubmed/2694493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ns.gov.uk/peoplepopulationandcommunity/populationandmigration/populationestimates/datasets/populationestimatesforukenglandandwalesscotlandandnorthernirelan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71E05-CED4-41AA-81F8-9EE21A29E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BACC85F0</Template>
  <TotalTime>31</TotalTime>
  <Pages>2</Pages>
  <Words>398</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2919</CharactersWithSpaces>
  <SharedDoc>false</SharedDoc>
  <HLinks>
    <vt:vector size="78" baseType="variant">
      <vt:variant>
        <vt:i4>6029358</vt:i4>
      </vt:variant>
      <vt:variant>
        <vt:i4>36</vt:i4>
      </vt:variant>
      <vt:variant>
        <vt:i4>0</vt:i4>
      </vt:variant>
      <vt:variant>
        <vt:i4>5</vt:i4>
      </vt:variant>
      <vt:variant>
        <vt:lpwstr>http://www.ncbi.nlm.nih.gov/pubmed/?term=Abera%20SF%5BAuthor%5D&amp;cauthor=true&amp;cauthor_uid=24880830</vt:lpwstr>
      </vt:variant>
      <vt:variant>
        <vt:lpwstr/>
      </vt:variant>
      <vt:variant>
        <vt:i4>8126487</vt:i4>
      </vt:variant>
      <vt:variant>
        <vt:i4>33</vt:i4>
      </vt:variant>
      <vt:variant>
        <vt:i4>0</vt:i4>
      </vt:variant>
      <vt:variant>
        <vt:i4>5</vt:i4>
      </vt:variant>
      <vt:variant>
        <vt:lpwstr>http://www.ncbi.nlm.nih.gov/pubmed/?term=Abbafati%20C%5BAuthor%5D&amp;cauthor=true&amp;cauthor_uid=24880830</vt:lpwstr>
      </vt:variant>
      <vt:variant>
        <vt:lpwstr/>
      </vt:variant>
      <vt:variant>
        <vt:i4>6750209</vt:i4>
      </vt:variant>
      <vt:variant>
        <vt:i4>30</vt:i4>
      </vt:variant>
      <vt:variant>
        <vt:i4>0</vt:i4>
      </vt:variant>
      <vt:variant>
        <vt:i4>5</vt:i4>
      </vt:variant>
      <vt:variant>
        <vt:lpwstr>http://www.ncbi.nlm.nih.gov/pubmed/?term=Biryukov%20S%5BAuthor%5D&amp;cauthor=true&amp;cauthor_uid=24880830</vt:lpwstr>
      </vt:variant>
      <vt:variant>
        <vt:lpwstr/>
      </vt:variant>
      <vt:variant>
        <vt:i4>3539020</vt:i4>
      </vt:variant>
      <vt:variant>
        <vt:i4>27</vt:i4>
      </vt:variant>
      <vt:variant>
        <vt:i4>0</vt:i4>
      </vt:variant>
      <vt:variant>
        <vt:i4>5</vt:i4>
      </vt:variant>
      <vt:variant>
        <vt:lpwstr>http://www.ncbi.nlm.nih.gov/pubmed/?term=Mullany%20EC%5BAuthor%5D&amp;cauthor=true&amp;cauthor_uid=24880830</vt:lpwstr>
      </vt:variant>
      <vt:variant>
        <vt:lpwstr/>
      </vt:variant>
      <vt:variant>
        <vt:i4>1638447</vt:i4>
      </vt:variant>
      <vt:variant>
        <vt:i4>24</vt:i4>
      </vt:variant>
      <vt:variant>
        <vt:i4>0</vt:i4>
      </vt:variant>
      <vt:variant>
        <vt:i4>5</vt:i4>
      </vt:variant>
      <vt:variant>
        <vt:lpwstr>http://www.ncbi.nlm.nih.gov/pubmed/?term=Margono%20C%5BAuthor%5D&amp;cauthor=true&amp;cauthor_uid=24880830</vt:lpwstr>
      </vt:variant>
      <vt:variant>
        <vt:lpwstr/>
      </vt:variant>
      <vt:variant>
        <vt:i4>2031740</vt:i4>
      </vt:variant>
      <vt:variant>
        <vt:i4>21</vt:i4>
      </vt:variant>
      <vt:variant>
        <vt:i4>0</vt:i4>
      </vt:variant>
      <vt:variant>
        <vt:i4>5</vt:i4>
      </vt:variant>
      <vt:variant>
        <vt:lpwstr>http://www.ncbi.nlm.nih.gov/pubmed/?term=Graetz%20N%5BAuthor%5D&amp;cauthor=true&amp;cauthor_uid=24880830</vt:lpwstr>
      </vt:variant>
      <vt:variant>
        <vt:lpwstr/>
      </vt:variant>
      <vt:variant>
        <vt:i4>65581</vt:i4>
      </vt:variant>
      <vt:variant>
        <vt:i4>18</vt:i4>
      </vt:variant>
      <vt:variant>
        <vt:i4>0</vt:i4>
      </vt:variant>
      <vt:variant>
        <vt:i4>5</vt:i4>
      </vt:variant>
      <vt:variant>
        <vt:lpwstr>http://www.ncbi.nlm.nih.gov/pubmed/?term=Thomson%20B%5BAuthor%5D&amp;cauthor=true&amp;cauthor_uid=24880830</vt:lpwstr>
      </vt:variant>
      <vt:variant>
        <vt:lpwstr/>
      </vt:variant>
      <vt:variant>
        <vt:i4>8126473</vt:i4>
      </vt:variant>
      <vt:variant>
        <vt:i4>15</vt:i4>
      </vt:variant>
      <vt:variant>
        <vt:i4>0</vt:i4>
      </vt:variant>
      <vt:variant>
        <vt:i4>5</vt:i4>
      </vt:variant>
      <vt:variant>
        <vt:lpwstr>http://www.ncbi.nlm.nih.gov/pubmed/?term=Robinson%20M%5BAuthor%5D&amp;cauthor=true&amp;cauthor_uid=24880830</vt:lpwstr>
      </vt:variant>
      <vt:variant>
        <vt:lpwstr/>
      </vt:variant>
      <vt:variant>
        <vt:i4>1835048</vt:i4>
      </vt:variant>
      <vt:variant>
        <vt:i4>12</vt:i4>
      </vt:variant>
      <vt:variant>
        <vt:i4>0</vt:i4>
      </vt:variant>
      <vt:variant>
        <vt:i4>5</vt:i4>
      </vt:variant>
      <vt:variant>
        <vt:lpwstr>http://www.ncbi.nlm.nih.gov/pubmed/?term=Fleming%20T%5BAuthor%5D&amp;cauthor=true&amp;cauthor_uid=24880830</vt:lpwstr>
      </vt:variant>
      <vt:variant>
        <vt:lpwstr/>
      </vt:variant>
      <vt:variant>
        <vt:i4>196725</vt:i4>
      </vt:variant>
      <vt:variant>
        <vt:i4>9</vt:i4>
      </vt:variant>
      <vt:variant>
        <vt:i4>0</vt:i4>
      </vt:variant>
      <vt:variant>
        <vt:i4>5</vt:i4>
      </vt:variant>
      <vt:variant>
        <vt:lpwstr>http://www.ncbi.nlm.nih.gov/pubmed/?term=Ng%20M%5BAuthor%5D&amp;cauthor=true&amp;cauthor_uid=24880830</vt:lpwstr>
      </vt:variant>
      <vt:variant>
        <vt:lpwstr/>
      </vt:variant>
      <vt:variant>
        <vt:i4>8323109</vt:i4>
      </vt:variant>
      <vt:variant>
        <vt:i4>6</vt:i4>
      </vt:variant>
      <vt:variant>
        <vt:i4>0</vt:i4>
      </vt:variant>
      <vt:variant>
        <vt:i4>5</vt:i4>
      </vt:variant>
      <vt:variant>
        <vt:lpwstr>http://www.hscic.gov.uk/catalogue/PUB15751</vt:lpwstr>
      </vt:variant>
      <vt:variant>
        <vt:lpwstr/>
      </vt:variant>
      <vt:variant>
        <vt:i4>2293859</vt:i4>
      </vt:variant>
      <vt:variant>
        <vt:i4>3</vt:i4>
      </vt:variant>
      <vt:variant>
        <vt:i4>0</vt:i4>
      </vt:variant>
      <vt:variant>
        <vt:i4>5</vt:i4>
      </vt:variant>
      <vt:variant>
        <vt:lpwstr>http://www.nice.org.uk/guidance/ph53/resources</vt:lpwstr>
      </vt:variant>
      <vt:variant>
        <vt:lpwstr/>
      </vt:variant>
      <vt:variant>
        <vt:i4>1179713</vt:i4>
      </vt:variant>
      <vt:variant>
        <vt:i4>0</vt:i4>
      </vt:variant>
      <vt:variant>
        <vt:i4>0</vt:i4>
      </vt:variant>
      <vt:variant>
        <vt:i4>5</vt:i4>
      </vt:variant>
      <vt:variant>
        <vt:lpwstr>http://www.pssru.ac.uk/project-pages/unit-costs/2014/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Smith</dc:creator>
  <cp:lastModifiedBy>Craig Grime</cp:lastModifiedBy>
  <cp:revision>8</cp:revision>
  <cp:lastPrinted>2016-07-21T09:36:00Z</cp:lastPrinted>
  <dcterms:created xsi:type="dcterms:W3CDTF">2019-07-24T13:42:00Z</dcterms:created>
  <dcterms:modified xsi:type="dcterms:W3CDTF">2019-07-30T14:40:00Z</dcterms:modified>
</cp:coreProperties>
</file>