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4E99922F" w14:textId="08D1644F"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7489FAE6"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6C6B43FC" w14:textId="1F50B72D" w:rsidR="00482C01" w:rsidRDefault="00482C01" w:rsidP="00482C01">
      <w:pPr>
        <w:jc w:val="center"/>
        <w:rPr>
          <w:rFonts w:ascii="Arial" w:hAnsi="Arial" w:cs="Arial"/>
          <w:b/>
          <w:sz w:val="32"/>
          <w:szCs w:val="32"/>
        </w:rPr>
      </w:pPr>
      <w:r w:rsidRPr="00861C2E">
        <w:rPr>
          <w:rFonts w:ascii="Arial" w:hAnsi="Arial" w:cs="Arial"/>
          <w:b/>
          <w:sz w:val="32"/>
          <w:szCs w:val="32"/>
        </w:rPr>
        <w:t>C</w:t>
      </w:r>
      <w:r w:rsidR="00DB5AE0">
        <w:rPr>
          <w:rFonts w:ascii="Arial" w:hAnsi="Arial" w:cs="Arial"/>
          <w:b/>
          <w:sz w:val="32"/>
          <w:szCs w:val="32"/>
        </w:rPr>
        <w:t xml:space="preserve">onsultation report </w:t>
      </w:r>
      <w:bookmarkStart w:id="3" w:name="_GoBack"/>
      <w:bookmarkEnd w:id="2"/>
      <w:bookmarkEnd w:id="3"/>
    </w:p>
    <w:p w14:paraId="6A1C1341" w14:textId="77777777" w:rsidR="00482C01" w:rsidRDefault="00482C01" w:rsidP="00482C01">
      <w:pPr>
        <w:jc w:val="center"/>
        <w:rPr>
          <w:rFonts w:ascii="Arial" w:hAnsi="Arial" w:cs="Arial"/>
          <w:b/>
          <w:sz w:val="32"/>
          <w:szCs w:val="32"/>
        </w:rPr>
      </w:pPr>
    </w:p>
    <w:p w14:paraId="521B966E" w14:textId="45D31ABC" w:rsidR="003953C7" w:rsidRPr="006375EE" w:rsidRDefault="00575207" w:rsidP="003953C7">
      <w:pPr>
        <w:pStyle w:val="Introtext"/>
        <w:pBdr>
          <w:top w:val="single" w:sz="4" w:space="0" w:color="auto"/>
        </w:pBdr>
        <w:rPr>
          <w:lang w:val="en-GB"/>
        </w:rPr>
      </w:pPr>
      <w:r w:rsidRPr="006375EE">
        <w:rPr>
          <w:b/>
          <w:lang w:val="en-GB"/>
        </w:rPr>
        <w:t>I</w:t>
      </w:r>
      <w:r w:rsidR="003953C7" w:rsidRPr="006375EE">
        <w:rPr>
          <w:b/>
          <w:lang w:val="en-GB"/>
        </w:rPr>
        <w:t>ndicator area:</w:t>
      </w:r>
      <w:r w:rsidR="003953C7" w:rsidRPr="006375EE">
        <w:rPr>
          <w:lang w:val="en-GB"/>
        </w:rPr>
        <w:t xml:space="preserve"> </w:t>
      </w:r>
      <w:r w:rsidR="00986AA9" w:rsidRPr="006375EE">
        <w:t xml:space="preserve"> </w:t>
      </w:r>
      <w:r w:rsidR="006375EE" w:rsidRPr="006375EE">
        <w:t>HIV</w:t>
      </w:r>
      <w:r w:rsidR="00C209D6">
        <w:t xml:space="preserve"> </w:t>
      </w:r>
      <w:r w:rsidR="00C209D6" w:rsidRPr="00C209D6">
        <w:t>testing in areas with high or extremely high HIV prevalence</w:t>
      </w:r>
    </w:p>
    <w:p w14:paraId="0766D06F" w14:textId="04033D53" w:rsidR="006814B9" w:rsidRPr="006375EE" w:rsidRDefault="006814B9" w:rsidP="003953C7">
      <w:pPr>
        <w:pStyle w:val="Introtext"/>
        <w:pBdr>
          <w:top w:val="single" w:sz="4" w:space="0" w:color="auto"/>
        </w:pBdr>
      </w:pPr>
      <w:r w:rsidRPr="006375EE">
        <w:rPr>
          <w:b/>
          <w:lang w:val="en-GB"/>
        </w:rPr>
        <w:t>Consultation period:</w:t>
      </w:r>
      <w:r w:rsidRPr="006375EE">
        <w:rPr>
          <w:lang w:val="en-GB"/>
        </w:rPr>
        <w:t xml:space="preserve"> </w:t>
      </w:r>
      <w:r w:rsidR="006375EE" w:rsidRPr="006375EE">
        <w:rPr>
          <w:lang w:val="en-GB"/>
        </w:rPr>
        <w:t>17 April</w:t>
      </w:r>
      <w:r w:rsidR="00C14404" w:rsidRPr="006375EE">
        <w:rPr>
          <w:lang w:val="en-GB"/>
        </w:rPr>
        <w:t xml:space="preserve"> – </w:t>
      </w:r>
      <w:r w:rsidR="006375EE" w:rsidRPr="006375EE">
        <w:rPr>
          <w:lang w:val="en-GB"/>
        </w:rPr>
        <w:t>16 May 2019</w:t>
      </w:r>
    </w:p>
    <w:p w14:paraId="6C394406" w14:textId="40A7F560" w:rsidR="008C1C95" w:rsidRPr="006375EE" w:rsidRDefault="008C1C95" w:rsidP="008C1C95">
      <w:pPr>
        <w:pStyle w:val="Introtext"/>
        <w:pBdr>
          <w:top w:val="single" w:sz="4" w:space="0" w:color="auto"/>
        </w:pBdr>
        <w:spacing w:before="100" w:beforeAutospacing="1" w:after="100" w:afterAutospacing="1" w:line="360" w:lineRule="auto"/>
        <w:contextualSpacing/>
        <w:rPr>
          <w:lang w:val="en-GB"/>
        </w:rPr>
      </w:pPr>
      <w:r w:rsidRPr="006375EE">
        <w:rPr>
          <w:b/>
          <w:lang w:val="en-GB"/>
        </w:rPr>
        <w:t>Date of Indicator Advisory Committee meeting:</w:t>
      </w:r>
      <w:r w:rsidRPr="006375EE">
        <w:rPr>
          <w:lang w:val="en-GB"/>
        </w:rPr>
        <w:t xml:space="preserve"> </w:t>
      </w:r>
      <w:r w:rsidR="00607C1A">
        <w:rPr>
          <w:lang w:val="en-GB"/>
        </w:rPr>
        <w:t>5</w:t>
      </w:r>
      <w:r w:rsidR="006375EE" w:rsidRPr="006375EE">
        <w:rPr>
          <w:lang w:val="en-GB"/>
        </w:rPr>
        <w:t xml:space="preserve"> June 2019</w:t>
      </w:r>
    </w:p>
    <w:p w14:paraId="2DDDE21F" w14:textId="032236DC" w:rsidR="00987B83" w:rsidRPr="006375EE" w:rsidRDefault="00987B83" w:rsidP="008C1C95">
      <w:pPr>
        <w:pStyle w:val="Introtext"/>
        <w:pBdr>
          <w:top w:val="single" w:sz="4" w:space="0" w:color="auto"/>
        </w:pBdr>
        <w:spacing w:before="100" w:beforeAutospacing="1" w:after="100" w:afterAutospacing="1" w:line="360" w:lineRule="auto"/>
        <w:contextualSpacing/>
        <w:rPr>
          <w:b/>
          <w:lang w:val="en-GB"/>
        </w:rPr>
      </w:pPr>
      <w:r w:rsidRPr="006375EE">
        <w:rPr>
          <w:b/>
          <w:lang w:val="en-GB"/>
        </w:rPr>
        <w:t xml:space="preserve">Output: </w:t>
      </w:r>
      <w:r w:rsidR="00F708AA">
        <w:rPr>
          <w:lang w:val="en-GB"/>
        </w:rPr>
        <w:t>Support for local measurement work</w:t>
      </w:r>
      <w:r w:rsidR="00F708AA" w:rsidRPr="006375EE">
        <w:rPr>
          <w:lang w:val="en-GB"/>
        </w:rPr>
        <w:t xml:space="preserve"> </w:t>
      </w:r>
    </w:p>
    <w:p w14:paraId="348194C1" w14:textId="4DE0B9BD" w:rsidR="00482C01" w:rsidRPr="006375EE" w:rsidRDefault="00482C01" w:rsidP="006B4989">
      <w:pPr>
        <w:pStyle w:val="TOC1"/>
        <w:rPr>
          <w:highlight w:val="yellow"/>
        </w:rPr>
      </w:pPr>
    </w:p>
    <w:p w14:paraId="6A346D7A" w14:textId="77777777" w:rsidR="007F14A6" w:rsidRPr="00B25529" w:rsidRDefault="007F14A6" w:rsidP="007F14A6"/>
    <w:p w14:paraId="7858D874" w14:textId="77777777" w:rsidR="00482C01" w:rsidRPr="00B25529" w:rsidRDefault="00482C01" w:rsidP="006B4989">
      <w:pPr>
        <w:pStyle w:val="TOC1"/>
      </w:pPr>
      <w:r w:rsidRPr="00B25529">
        <w:t>Contents</w:t>
      </w:r>
    </w:p>
    <w:p w14:paraId="104EC400" w14:textId="090A3693" w:rsidR="009319AA" w:rsidRDefault="00472CEC">
      <w:pPr>
        <w:pStyle w:val="TOC1"/>
        <w:rPr>
          <w:rFonts w:asciiTheme="minorHAnsi" w:eastAsiaTheme="minorEastAsia" w:hAnsiTheme="minorHAnsi" w:cstheme="minorBidi"/>
          <w:noProof/>
          <w:sz w:val="22"/>
          <w:szCs w:val="22"/>
          <w:lang w:eastAsia="en-GB"/>
        </w:rPr>
      </w:pPr>
      <w:r w:rsidRPr="00B25529">
        <w:rPr>
          <w:rStyle w:val="Hyperlink"/>
          <w:noProof/>
        </w:rPr>
        <w:fldChar w:fldCharType="begin"/>
      </w:r>
      <w:r w:rsidR="00482C01" w:rsidRPr="00B25529">
        <w:rPr>
          <w:rStyle w:val="Hyperlink"/>
          <w:noProof/>
        </w:rPr>
        <w:instrText xml:space="preserve"> TOC \o "1-3" \h \z \u </w:instrText>
      </w:r>
      <w:r w:rsidRPr="00B25529">
        <w:rPr>
          <w:rStyle w:val="Hyperlink"/>
          <w:noProof/>
        </w:rPr>
        <w:fldChar w:fldCharType="separate"/>
      </w:r>
      <w:hyperlink w:anchor="_Toc9949427" w:history="1">
        <w:r w:rsidR="009319AA" w:rsidRPr="009C3AAF">
          <w:rPr>
            <w:rStyle w:val="Hyperlink"/>
            <w:noProof/>
          </w:rPr>
          <w:t>Introduction</w:t>
        </w:r>
        <w:r w:rsidR="009319AA">
          <w:rPr>
            <w:noProof/>
            <w:webHidden/>
          </w:rPr>
          <w:tab/>
        </w:r>
        <w:r w:rsidR="009319AA">
          <w:rPr>
            <w:noProof/>
            <w:webHidden/>
          </w:rPr>
          <w:fldChar w:fldCharType="begin"/>
        </w:r>
        <w:r w:rsidR="009319AA">
          <w:rPr>
            <w:noProof/>
            <w:webHidden/>
          </w:rPr>
          <w:instrText xml:space="preserve"> PAGEREF _Toc9949427 \h </w:instrText>
        </w:r>
        <w:r w:rsidR="009319AA">
          <w:rPr>
            <w:noProof/>
            <w:webHidden/>
          </w:rPr>
        </w:r>
        <w:r w:rsidR="009319AA">
          <w:rPr>
            <w:noProof/>
            <w:webHidden/>
          </w:rPr>
          <w:fldChar w:fldCharType="separate"/>
        </w:r>
        <w:r w:rsidR="009319AA">
          <w:rPr>
            <w:noProof/>
            <w:webHidden/>
          </w:rPr>
          <w:t>2</w:t>
        </w:r>
        <w:r w:rsidR="009319AA">
          <w:rPr>
            <w:noProof/>
            <w:webHidden/>
          </w:rPr>
          <w:fldChar w:fldCharType="end"/>
        </w:r>
      </w:hyperlink>
    </w:p>
    <w:p w14:paraId="38C1DEA3" w14:textId="62520C65" w:rsidR="009319AA" w:rsidRDefault="002A1C51">
      <w:pPr>
        <w:pStyle w:val="TOC1"/>
        <w:rPr>
          <w:rFonts w:asciiTheme="minorHAnsi" w:eastAsiaTheme="minorEastAsia" w:hAnsiTheme="minorHAnsi" w:cstheme="minorBidi"/>
          <w:noProof/>
          <w:sz w:val="22"/>
          <w:szCs w:val="22"/>
          <w:lang w:eastAsia="en-GB"/>
        </w:rPr>
      </w:pPr>
      <w:hyperlink w:anchor="_Toc9949428" w:history="1">
        <w:r w:rsidR="009319AA" w:rsidRPr="009C3AAF">
          <w:rPr>
            <w:rStyle w:val="Hyperlink"/>
            <w:noProof/>
          </w:rPr>
          <w:t>Summary of indicators included in the consultation</w:t>
        </w:r>
        <w:r w:rsidR="009319AA">
          <w:rPr>
            <w:noProof/>
            <w:webHidden/>
          </w:rPr>
          <w:tab/>
        </w:r>
        <w:r w:rsidR="009319AA">
          <w:rPr>
            <w:noProof/>
            <w:webHidden/>
          </w:rPr>
          <w:fldChar w:fldCharType="begin"/>
        </w:r>
        <w:r w:rsidR="009319AA">
          <w:rPr>
            <w:noProof/>
            <w:webHidden/>
          </w:rPr>
          <w:instrText xml:space="preserve"> PAGEREF _Toc9949428 \h </w:instrText>
        </w:r>
        <w:r w:rsidR="009319AA">
          <w:rPr>
            <w:noProof/>
            <w:webHidden/>
          </w:rPr>
        </w:r>
        <w:r w:rsidR="009319AA">
          <w:rPr>
            <w:noProof/>
            <w:webHidden/>
          </w:rPr>
          <w:fldChar w:fldCharType="separate"/>
        </w:r>
        <w:r w:rsidR="009319AA">
          <w:rPr>
            <w:noProof/>
            <w:webHidden/>
          </w:rPr>
          <w:t>4</w:t>
        </w:r>
        <w:r w:rsidR="009319AA">
          <w:rPr>
            <w:noProof/>
            <w:webHidden/>
          </w:rPr>
          <w:fldChar w:fldCharType="end"/>
        </w:r>
      </w:hyperlink>
    </w:p>
    <w:p w14:paraId="0086D442" w14:textId="3C0D63B8" w:rsidR="009319AA" w:rsidRDefault="002A1C51">
      <w:pPr>
        <w:pStyle w:val="TOC1"/>
        <w:rPr>
          <w:rFonts w:asciiTheme="minorHAnsi" w:eastAsiaTheme="minorEastAsia" w:hAnsiTheme="minorHAnsi" w:cstheme="minorBidi"/>
          <w:noProof/>
          <w:sz w:val="22"/>
          <w:szCs w:val="22"/>
          <w:lang w:eastAsia="en-GB"/>
        </w:rPr>
      </w:pPr>
      <w:hyperlink w:anchor="_Toc9949429" w:history="1">
        <w:r w:rsidR="009319AA" w:rsidRPr="009C3AAF">
          <w:rPr>
            <w:rStyle w:val="Hyperlink"/>
            <w:noProof/>
          </w:rPr>
          <w:t>IND5: HIV testing in newly registered patients</w:t>
        </w:r>
        <w:r w:rsidR="009319AA">
          <w:rPr>
            <w:noProof/>
            <w:webHidden/>
          </w:rPr>
          <w:tab/>
        </w:r>
        <w:r w:rsidR="009319AA">
          <w:rPr>
            <w:noProof/>
            <w:webHidden/>
          </w:rPr>
          <w:fldChar w:fldCharType="begin"/>
        </w:r>
        <w:r w:rsidR="009319AA">
          <w:rPr>
            <w:noProof/>
            <w:webHidden/>
          </w:rPr>
          <w:instrText xml:space="preserve"> PAGEREF _Toc9949429 \h </w:instrText>
        </w:r>
        <w:r w:rsidR="009319AA">
          <w:rPr>
            <w:noProof/>
            <w:webHidden/>
          </w:rPr>
        </w:r>
        <w:r w:rsidR="009319AA">
          <w:rPr>
            <w:noProof/>
            <w:webHidden/>
          </w:rPr>
          <w:fldChar w:fldCharType="separate"/>
        </w:r>
        <w:r w:rsidR="009319AA">
          <w:rPr>
            <w:noProof/>
            <w:webHidden/>
          </w:rPr>
          <w:t>5</w:t>
        </w:r>
        <w:r w:rsidR="009319AA">
          <w:rPr>
            <w:noProof/>
            <w:webHidden/>
          </w:rPr>
          <w:fldChar w:fldCharType="end"/>
        </w:r>
      </w:hyperlink>
    </w:p>
    <w:p w14:paraId="4F898E90" w14:textId="261A8BE2" w:rsidR="009319AA" w:rsidRDefault="002A1C51">
      <w:pPr>
        <w:pStyle w:val="TOC1"/>
        <w:rPr>
          <w:rFonts w:asciiTheme="minorHAnsi" w:eastAsiaTheme="minorEastAsia" w:hAnsiTheme="minorHAnsi" w:cstheme="minorBidi"/>
          <w:noProof/>
          <w:sz w:val="22"/>
          <w:szCs w:val="22"/>
          <w:lang w:eastAsia="en-GB"/>
        </w:rPr>
      </w:pPr>
      <w:hyperlink w:anchor="_Toc9949430" w:history="1">
        <w:r w:rsidR="009319AA" w:rsidRPr="009C3AAF">
          <w:rPr>
            <w:rStyle w:val="Hyperlink"/>
            <w:noProof/>
          </w:rPr>
          <w:t>IND6: Annual HIV testing in patients having a blood test.</w:t>
        </w:r>
        <w:r w:rsidR="009319AA">
          <w:rPr>
            <w:noProof/>
            <w:webHidden/>
          </w:rPr>
          <w:tab/>
        </w:r>
        <w:r w:rsidR="009319AA">
          <w:rPr>
            <w:noProof/>
            <w:webHidden/>
          </w:rPr>
          <w:fldChar w:fldCharType="begin"/>
        </w:r>
        <w:r w:rsidR="009319AA">
          <w:rPr>
            <w:noProof/>
            <w:webHidden/>
          </w:rPr>
          <w:instrText xml:space="preserve"> PAGEREF _Toc9949430 \h </w:instrText>
        </w:r>
        <w:r w:rsidR="009319AA">
          <w:rPr>
            <w:noProof/>
            <w:webHidden/>
          </w:rPr>
        </w:r>
        <w:r w:rsidR="009319AA">
          <w:rPr>
            <w:noProof/>
            <w:webHidden/>
          </w:rPr>
          <w:fldChar w:fldCharType="separate"/>
        </w:r>
        <w:r w:rsidR="009319AA">
          <w:rPr>
            <w:noProof/>
            <w:webHidden/>
          </w:rPr>
          <w:t>6</w:t>
        </w:r>
        <w:r w:rsidR="009319AA">
          <w:rPr>
            <w:noProof/>
            <w:webHidden/>
          </w:rPr>
          <w:fldChar w:fldCharType="end"/>
        </w:r>
      </w:hyperlink>
    </w:p>
    <w:p w14:paraId="6B2F190E" w14:textId="008FB588" w:rsidR="009319AA" w:rsidRDefault="002A1C51">
      <w:pPr>
        <w:pStyle w:val="TOC1"/>
        <w:rPr>
          <w:rFonts w:asciiTheme="minorHAnsi" w:eastAsiaTheme="minorEastAsia" w:hAnsiTheme="minorHAnsi" w:cstheme="minorBidi"/>
          <w:noProof/>
          <w:sz w:val="22"/>
          <w:szCs w:val="22"/>
          <w:lang w:eastAsia="en-GB"/>
        </w:rPr>
      </w:pPr>
      <w:hyperlink w:anchor="_Toc9949431" w:history="1">
        <w:r w:rsidR="009319AA" w:rsidRPr="009C3AAF">
          <w:rPr>
            <w:rStyle w:val="Hyperlink"/>
            <w:noProof/>
          </w:rPr>
          <w:t>General comments</w:t>
        </w:r>
        <w:r w:rsidR="009319AA">
          <w:rPr>
            <w:noProof/>
            <w:webHidden/>
          </w:rPr>
          <w:tab/>
        </w:r>
        <w:r w:rsidR="009319AA">
          <w:rPr>
            <w:noProof/>
            <w:webHidden/>
          </w:rPr>
          <w:fldChar w:fldCharType="begin"/>
        </w:r>
        <w:r w:rsidR="009319AA">
          <w:rPr>
            <w:noProof/>
            <w:webHidden/>
          </w:rPr>
          <w:instrText xml:space="preserve"> PAGEREF _Toc9949431 \h </w:instrText>
        </w:r>
        <w:r w:rsidR="009319AA">
          <w:rPr>
            <w:noProof/>
            <w:webHidden/>
          </w:rPr>
        </w:r>
        <w:r w:rsidR="009319AA">
          <w:rPr>
            <w:noProof/>
            <w:webHidden/>
          </w:rPr>
          <w:fldChar w:fldCharType="separate"/>
        </w:r>
        <w:r w:rsidR="009319AA">
          <w:rPr>
            <w:noProof/>
            <w:webHidden/>
          </w:rPr>
          <w:t>7</w:t>
        </w:r>
        <w:r w:rsidR="009319AA">
          <w:rPr>
            <w:noProof/>
            <w:webHidden/>
          </w:rPr>
          <w:fldChar w:fldCharType="end"/>
        </w:r>
      </w:hyperlink>
    </w:p>
    <w:p w14:paraId="08E1253A" w14:textId="2A4677F1" w:rsidR="009319AA" w:rsidRDefault="002A1C51">
      <w:pPr>
        <w:pStyle w:val="TOC1"/>
        <w:rPr>
          <w:rFonts w:asciiTheme="minorHAnsi" w:eastAsiaTheme="minorEastAsia" w:hAnsiTheme="minorHAnsi" w:cstheme="minorBidi"/>
          <w:noProof/>
          <w:sz w:val="22"/>
          <w:szCs w:val="22"/>
          <w:lang w:eastAsia="en-GB"/>
        </w:rPr>
      </w:pPr>
      <w:hyperlink w:anchor="_Toc9949432" w:history="1">
        <w:r w:rsidR="009319AA" w:rsidRPr="009C3AAF">
          <w:rPr>
            <w:rStyle w:val="Hyperlink"/>
            <w:noProof/>
          </w:rPr>
          <w:t>Appendix A: Consultation comments</w:t>
        </w:r>
        <w:r w:rsidR="009319AA">
          <w:rPr>
            <w:noProof/>
            <w:webHidden/>
          </w:rPr>
          <w:tab/>
        </w:r>
        <w:r w:rsidR="009319AA">
          <w:rPr>
            <w:noProof/>
            <w:webHidden/>
          </w:rPr>
          <w:fldChar w:fldCharType="begin"/>
        </w:r>
        <w:r w:rsidR="009319AA">
          <w:rPr>
            <w:noProof/>
            <w:webHidden/>
          </w:rPr>
          <w:instrText xml:space="preserve"> PAGEREF _Toc9949432 \h </w:instrText>
        </w:r>
        <w:r w:rsidR="009319AA">
          <w:rPr>
            <w:noProof/>
            <w:webHidden/>
          </w:rPr>
        </w:r>
        <w:r w:rsidR="009319AA">
          <w:rPr>
            <w:noProof/>
            <w:webHidden/>
          </w:rPr>
          <w:fldChar w:fldCharType="separate"/>
        </w:r>
        <w:r w:rsidR="009319AA">
          <w:rPr>
            <w:noProof/>
            <w:webHidden/>
          </w:rPr>
          <w:t>8</w:t>
        </w:r>
        <w:r w:rsidR="009319AA">
          <w:rPr>
            <w:noProof/>
            <w:webHidden/>
          </w:rPr>
          <w:fldChar w:fldCharType="end"/>
        </w:r>
      </w:hyperlink>
    </w:p>
    <w:p w14:paraId="43A0535F" w14:textId="27E827E2" w:rsidR="009C3C0C" w:rsidRPr="006375EE" w:rsidRDefault="00472CEC" w:rsidP="00482C01">
      <w:pPr>
        <w:pStyle w:val="Heading1"/>
        <w:rPr>
          <w:rStyle w:val="Hyperlink"/>
          <w:noProof/>
          <w:highlight w:val="yellow"/>
        </w:rPr>
      </w:pPr>
      <w:r w:rsidRPr="00B25529">
        <w:rPr>
          <w:rStyle w:val="Hyperlink"/>
          <w:noProof/>
        </w:rPr>
        <w:fldChar w:fldCharType="end"/>
      </w:r>
    </w:p>
    <w:p w14:paraId="78AB4105" w14:textId="4A306496" w:rsidR="009C3C0C" w:rsidRPr="006375EE" w:rsidRDefault="009C3C0C">
      <w:pPr>
        <w:rPr>
          <w:rStyle w:val="Hyperlink"/>
          <w:rFonts w:ascii="Arial" w:hAnsi="Arial"/>
          <w:b/>
          <w:bCs/>
          <w:noProof/>
          <w:kern w:val="32"/>
          <w:sz w:val="28"/>
          <w:szCs w:val="32"/>
          <w:highlight w:val="yellow"/>
        </w:rPr>
      </w:pPr>
      <w:r w:rsidRPr="006375EE">
        <w:rPr>
          <w:rStyle w:val="Hyperlink"/>
          <w:noProof/>
          <w:highlight w:val="yellow"/>
        </w:rPr>
        <w:br w:type="page"/>
      </w:r>
    </w:p>
    <w:p w14:paraId="1794C98E" w14:textId="77777777" w:rsidR="00607C1A" w:rsidRPr="006D6F7B" w:rsidRDefault="00607C1A" w:rsidP="00607C1A">
      <w:pPr>
        <w:pStyle w:val="Heading1"/>
      </w:pPr>
      <w:bookmarkStart w:id="4" w:name="_Toc9949427"/>
      <w:r w:rsidRPr="006D6F7B">
        <w:lastRenderedPageBreak/>
        <w:t>Introduction</w:t>
      </w:r>
      <w:bookmarkEnd w:id="4"/>
      <w:r w:rsidRPr="006D6F7B">
        <w:t xml:space="preserve"> </w:t>
      </w:r>
    </w:p>
    <w:p w14:paraId="4204FA71" w14:textId="77777777" w:rsidR="00607C1A" w:rsidRDefault="00607C1A" w:rsidP="00607C1A">
      <w:pPr>
        <w:spacing w:before="240" w:after="240" w:line="360" w:lineRule="auto"/>
        <w:rPr>
          <w:rFonts w:ascii="Arial" w:hAnsi="Arial"/>
        </w:rPr>
      </w:pPr>
      <w:r w:rsidRPr="006D6F7B">
        <w:rPr>
          <w:rFonts w:ascii="Arial" w:hAnsi="Arial"/>
        </w:rPr>
        <w:t>We consulted on 2</w:t>
      </w:r>
      <w:r>
        <w:rPr>
          <w:rFonts w:ascii="Arial" w:hAnsi="Arial"/>
        </w:rPr>
        <w:t xml:space="preserve"> n</w:t>
      </w:r>
      <w:r w:rsidRPr="00B25529">
        <w:rPr>
          <w:rFonts w:ascii="Arial" w:hAnsi="Arial"/>
        </w:rPr>
        <w:t>ew HIV testing indicators to help support local implementation of NICE guidance in the small number of local authorities (79/325) with a high or extremely high prevalence of diagnosed HIV</w:t>
      </w:r>
      <w:r>
        <w:rPr>
          <w:rFonts w:ascii="Arial" w:hAnsi="Arial"/>
        </w:rPr>
        <w:t xml:space="preserve"> </w:t>
      </w:r>
      <w:r w:rsidRPr="001F4CD7">
        <w:rPr>
          <w:rFonts w:ascii="Arial" w:hAnsi="Arial" w:cs="Arial"/>
        </w:rPr>
        <w:t>(</w:t>
      </w:r>
      <w:hyperlink r:id="rId8" w:history="1">
        <w:r w:rsidRPr="001F4CD7">
          <w:rPr>
            <w:rStyle w:val="Hyperlink"/>
            <w:rFonts w:ascii="Arial" w:hAnsi="Arial" w:cs="Arial"/>
          </w:rPr>
          <w:t>Progress towards ending the HIV epidemic in the UK: 2018 report</w:t>
        </w:r>
      </w:hyperlink>
      <w:r w:rsidRPr="001F4CD7">
        <w:rPr>
          <w:rFonts w:ascii="Arial" w:hAnsi="Arial" w:cs="Arial"/>
        </w:rPr>
        <w:t xml:space="preserve"> PHE, 2018</w:t>
      </w:r>
      <w:r>
        <w:rPr>
          <w:rFonts w:ascii="Arial" w:hAnsi="Arial"/>
        </w:rPr>
        <w:t>)</w:t>
      </w:r>
      <w:r w:rsidRPr="00B25529">
        <w:rPr>
          <w:rFonts w:ascii="Arial" w:hAnsi="Arial"/>
        </w:rPr>
        <w:t>. These two indicators are designed for these specific geographical locations and are not suitable for consideration for inclusion in the QOF.</w:t>
      </w:r>
    </w:p>
    <w:p w14:paraId="5408A12F" w14:textId="77777777" w:rsidR="00607C1A" w:rsidRPr="00542074" w:rsidRDefault="00607C1A" w:rsidP="00607C1A">
      <w:pPr>
        <w:spacing w:before="240" w:after="240"/>
        <w:rPr>
          <w:rFonts w:ascii="Arial" w:hAnsi="Arial"/>
          <w:b/>
          <w:bCs/>
          <w:sz w:val="28"/>
          <w:szCs w:val="28"/>
          <w:highlight w:val="yellow"/>
        </w:rPr>
      </w:pPr>
      <w:bookmarkStart w:id="5" w:name="_Hlk17817022"/>
      <w:r w:rsidRPr="00542074">
        <w:rPr>
          <w:rFonts w:ascii="Arial" w:hAnsi="Arial"/>
          <w:b/>
        </w:rPr>
        <w:t>Diagnosed HIV prevalence in England, 2017 (per 1,000 population aged 15 to 59 years)</w:t>
      </w:r>
      <w:r w:rsidRPr="00542074">
        <w:rPr>
          <w:rFonts w:ascii="Arial" w:hAnsi="Arial"/>
          <w:b/>
          <w:bCs/>
          <w:sz w:val="28"/>
          <w:szCs w:val="28"/>
          <w:highlight w:val="yellow"/>
        </w:rPr>
        <w:t xml:space="preserve"> </w:t>
      </w:r>
    </w:p>
    <w:bookmarkEnd w:id="5"/>
    <w:p w14:paraId="6A1C63A2" w14:textId="77777777" w:rsidR="00607C1A" w:rsidRDefault="00607C1A" w:rsidP="00607C1A">
      <w:pPr>
        <w:spacing w:before="240" w:after="240" w:line="360" w:lineRule="auto"/>
        <w:rPr>
          <w:rFonts w:ascii="Arial" w:hAnsi="Arial"/>
          <w:b/>
          <w:bCs/>
          <w:sz w:val="28"/>
          <w:szCs w:val="28"/>
          <w:highlight w:val="yellow"/>
        </w:rPr>
      </w:pPr>
      <w:r>
        <w:rPr>
          <w:noProof/>
        </w:rPr>
        <w:drawing>
          <wp:inline distT="0" distB="0" distL="0" distR="0" wp14:anchorId="10680F3C" wp14:editId="4E7BD3E9">
            <wp:extent cx="4619625" cy="4349928"/>
            <wp:effectExtent l="0" t="0" r="0" b="0"/>
            <wp:docPr id="1" name="Picture 1" descr="A map of England showing diagnosed HIV prevalence. Areas in and around London, and some other areas scattered across the country, show a high or extremely high prevalence compared to the rest of the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1533" cy="4398806"/>
                    </a:xfrm>
                    <a:prstGeom prst="rect">
                      <a:avLst/>
                    </a:prstGeom>
                  </pic:spPr>
                </pic:pic>
              </a:graphicData>
            </a:graphic>
          </wp:inline>
        </w:drawing>
      </w:r>
      <w:r w:rsidRPr="006375EE">
        <w:rPr>
          <w:rFonts w:ascii="Arial" w:hAnsi="Arial"/>
          <w:b/>
          <w:bCs/>
          <w:sz w:val="28"/>
          <w:szCs w:val="28"/>
          <w:highlight w:val="yellow"/>
        </w:rPr>
        <w:t xml:space="preserve"> </w:t>
      </w:r>
    </w:p>
    <w:p w14:paraId="3739F26D" w14:textId="77777777" w:rsidR="00294AA8" w:rsidRDefault="00294AA8" w:rsidP="00294AA8">
      <w:pPr>
        <w:pStyle w:val="Paragraph"/>
        <w:spacing w:line="360" w:lineRule="auto"/>
      </w:pPr>
      <w:r>
        <w:t>In England 79 of 325 local authorities have a high diagnosed prevalence (&gt;2 per 1,000 population) of these 19 have an extremely high prevalence, defined as 5 per 1,000 population (</w:t>
      </w:r>
      <w:hyperlink r:id="rId10" w:history="1">
        <w:r w:rsidRPr="001F4CD7">
          <w:rPr>
            <w:rStyle w:val="Hyperlink"/>
          </w:rPr>
          <w:t>Progress towards ending the HIV epidemic in the UK: 2018 report</w:t>
        </w:r>
      </w:hyperlink>
      <w:r>
        <w:t xml:space="preserve"> PHE, 2018).</w:t>
      </w:r>
    </w:p>
    <w:p w14:paraId="45161D1C" w14:textId="77777777" w:rsidR="00294AA8" w:rsidRDefault="00294AA8" w:rsidP="00294AA8">
      <w:pPr>
        <w:pStyle w:val="Paragraph"/>
        <w:spacing w:line="360" w:lineRule="auto"/>
      </w:pPr>
      <w:r>
        <w:lastRenderedPageBreak/>
        <w:t>Increasing the uptake of HIV testing is important to reduce late diagnosis. Early diagnosis improves treatment outcomes and reduces the risk of transmission. Late diagnosis is the most important predictor of morbidity and premature mortality among people with HIV infection. People diagnosed late are likely to have been living with an undiagnosed HIV infection for around 3 to 5 years and may have been at risk of passing HIV on to partners. One-year mortality among people diagnosed late in 2015 was 26.07 per 1000, compared to 1.62 per 1000 among people diagnosed promptly (</w:t>
      </w:r>
      <w:hyperlink r:id="rId11" w:history="1">
        <w:r w:rsidRPr="007E1BDA">
          <w:rPr>
            <w:rStyle w:val="Hyperlink"/>
          </w:rPr>
          <w:t>HIV testing in England: 2017 report</w:t>
        </w:r>
      </w:hyperlink>
      <w:r>
        <w:t>, PHE 2017).</w:t>
      </w:r>
    </w:p>
    <w:p w14:paraId="7C678905" w14:textId="77777777" w:rsidR="00294AA8" w:rsidRDefault="00294AA8" w:rsidP="00294AA8">
      <w:pPr>
        <w:pStyle w:val="Paragraph"/>
        <w:spacing w:line="360" w:lineRule="auto"/>
      </w:pPr>
      <w:r>
        <w:t>Reducing HIV incidence and undiagnosed infection in high-risk populations are key aims of Public Health England (</w:t>
      </w:r>
      <w:hyperlink r:id="rId12" w:history="1">
        <w:r w:rsidRPr="007E1BDA">
          <w:rPr>
            <w:rStyle w:val="Hyperlink"/>
          </w:rPr>
          <w:t>HIV testing in England: 2016 report</w:t>
        </w:r>
      </w:hyperlink>
      <w:r>
        <w:t>, PHE 2016).</w:t>
      </w:r>
    </w:p>
    <w:p w14:paraId="2B007A75" w14:textId="77777777" w:rsidR="00294AA8" w:rsidRDefault="00294AA8" w:rsidP="00294AA8">
      <w:pPr>
        <w:pStyle w:val="Paragraph"/>
        <w:spacing w:line="360" w:lineRule="auto"/>
      </w:pPr>
      <w:r>
        <w:t>Offering HIV testing routinely in GP surgeries in areas of high and extremely high prevalence will help to ensure that an HIV test is regarded as routine practice and help reduce stigma.</w:t>
      </w:r>
    </w:p>
    <w:p w14:paraId="7D95FBA5" w14:textId="77777777" w:rsidR="00607C1A" w:rsidRDefault="00607C1A" w:rsidP="00607C1A">
      <w:pPr>
        <w:pStyle w:val="Paragraph"/>
        <w:spacing w:before="0" w:after="0" w:line="360" w:lineRule="auto"/>
      </w:pPr>
      <w:r>
        <w:t>People with late undiagnosed HIV have a greater chance of clinical deterioration and</w:t>
      </w:r>
    </w:p>
    <w:p w14:paraId="7DE3F4D4" w14:textId="77777777" w:rsidR="00607C1A" w:rsidRDefault="00607C1A" w:rsidP="00607C1A">
      <w:pPr>
        <w:pStyle w:val="Paragraph"/>
        <w:spacing w:before="0" w:after="0" w:line="360" w:lineRule="auto"/>
      </w:pPr>
      <w:r>
        <w:t>opportunistic infections. Those who are detected much later also have a reduced</w:t>
      </w:r>
    </w:p>
    <w:p w14:paraId="2D346E04" w14:textId="77777777" w:rsidR="00607C1A" w:rsidRDefault="00607C1A" w:rsidP="00607C1A">
      <w:pPr>
        <w:pStyle w:val="Paragraph"/>
        <w:spacing w:before="0" w:after="0" w:line="360" w:lineRule="auto"/>
      </w:pPr>
      <w:r>
        <w:t>response to HIV treatments, meaning that there are additional costs associated with</w:t>
      </w:r>
    </w:p>
    <w:p w14:paraId="4F6D52D0" w14:textId="77777777" w:rsidR="00607C1A" w:rsidRDefault="00607C1A" w:rsidP="00607C1A">
      <w:pPr>
        <w:pStyle w:val="Paragraph"/>
        <w:spacing w:before="0" w:after="0" w:line="360" w:lineRule="auto"/>
      </w:pPr>
      <w:r>
        <w:t>treating opportunistic infections. Direct clinical costs for a person with a late HIV</w:t>
      </w:r>
    </w:p>
    <w:p w14:paraId="300EDAB8" w14:textId="77777777" w:rsidR="00607C1A" w:rsidRDefault="00607C1A" w:rsidP="00607C1A">
      <w:pPr>
        <w:pStyle w:val="Paragraph"/>
        <w:spacing w:before="0" w:after="0" w:line="360" w:lineRule="auto"/>
      </w:pPr>
      <w:r>
        <w:t xml:space="preserve">diagnosis </w:t>
      </w:r>
      <w:proofErr w:type="gramStart"/>
      <w:r>
        <w:t>are</w:t>
      </w:r>
      <w:proofErr w:type="gramEnd"/>
      <w:r>
        <w:t xml:space="preserve"> also twice as high in the first year, in comparison to someone who is</w:t>
      </w:r>
    </w:p>
    <w:p w14:paraId="44E98090" w14:textId="77777777" w:rsidR="00607C1A" w:rsidRDefault="00607C1A" w:rsidP="00607C1A">
      <w:pPr>
        <w:pStyle w:val="Paragraph"/>
        <w:spacing w:before="0" w:after="0" w:line="360" w:lineRule="auto"/>
      </w:pPr>
      <w:r>
        <w:t>diagnosed early. These costs are largely attributable to higher inpatient costs of</w:t>
      </w:r>
    </w:p>
    <w:p w14:paraId="4CF5E53C" w14:textId="77777777" w:rsidR="00607C1A" w:rsidRDefault="00607C1A" w:rsidP="00607C1A">
      <w:pPr>
        <w:pStyle w:val="Paragraph"/>
        <w:spacing w:before="0" w:after="0" w:line="360" w:lineRule="auto"/>
      </w:pPr>
      <w:r>
        <w:t xml:space="preserve">hospital admission, which is why testing early can have large economic benefits to both the person diagnosed and from a societal perspective. Interventions to expand testing beyond routine settings have been shown to be beneficial, feasible </w:t>
      </w:r>
      <w:proofErr w:type="gramStart"/>
      <w:r>
        <w:t>and also</w:t>
      </w:r>
      <w:proofErr w:type="gramEnd"/>
      <w:r>
        <w:t xml:space="preserve"> cost-effective to people being tested and to the staff involved. (</w:t>
      </w:r>
      <w:hyperlink r:id="rId13" w:history="1">
        <w:r w:rsidRPr="00C07D8E">
          <w:rPr>
            <w:rStyle w:val="Hyperlink"/>
          </w:rPr>
          <w:t>HIV testing: increasing uptake among people who may have undiagnosed HIV economic report</w:t>
        </w:r>
      </w:hyperlink>
      <w:r>
        <w:t>, NICE 2016)</w:t>
      </w:r>
    </w:p>
    <w:p w14:paraId="649086EB" w14:textId="77777777" w:rsidR="00607C1A" w:rsidRDefault="00607C1A">
      <w:pPr>
        <w:rPr>
          <w:rFonts w:ascii="Arial" w:hAnsi="Arial"/>
          <w:b/>
          <w:bCs/>
          <w:kern w:val="32"/>
          <w:sz w:val="28"/>
          <w:szCs w:val="32"/>
        </w:rPr>
      </w:pPr>
      <w:r>
        <w:br w:type="page"/>
      </w:r>
    </w:p>
    <w:p w14:paraId="5CEA5107" w14:textId="0F7A5EB9" w:rsidR="006814B9" w:rsidRPr="00221491" w:rsidRDefault="00D47082" w:rsidP="006814B9">
      <w:pPr>
        <w:pStyle w:val="Heading1"/>
      </w:pPr>
      <w:bookmarkStart w:id="6" w:name="_Toc9949428"/>
      <w:r w:rsidRPr="00221491">
        <w:lastRenderedPageBreak/>
        <w:t>Summary of i</w:t>
      </w:r>
      <w:r w:rsidR="006814B9" w:rsidRPr="00221491">
        <w:t xml:space="preserve">ndicators </w:t>
      </w:r>
      <w:r w:rsidR="00657C65" w:rsidRPr="00221491">
        <w:t xml:space="preserve">included in the </w:t>
      </w:r>
      <w:r w:rsidR="006814B9" w:rsidRPr="00221491">
        <w:t>consultation</w:t>
      </w:r>
      <w:bookmarkEnd w:id="6"/>
    </w:p>
    <w:p w14:paraId="48223B5F" w14:textId="77777777" w:rsidR="00221491" w:rsidRPr="00221491" w:rsidRDefault="00221491">
      <w:pPr>
        <w:rPr>
          <w:rFonts w:cs="Arial"/>
          <w:szCs w:val="28"/>
        </w:rPr>
      </w:pPr>
    </w:p>
    <w:tbl>
      <w:tblPr>
        <w:tblStyle w:val="TableGrid"/>
        <w:tblW w:w="9498" w:type="dxa"/>
        <w:tblInd w:w="-5" w:type="dxa"/>
        <w:tblLayout w:type="fixed"/>
        <w:tblLook w:val="01E0" w:firstRow="1" w:lastRow="1" w:firstColumn="1" w:lastColumn="1" w:noHBand="0" w:noVBand="0"/>
      </w:tblPr>
      <w:tblGrid>
        <w:gridCol w:w="1106"/>
        <w:gridCol w:w="2863"/>
        <w:gridCol w:w="5529"/>
      </w:tblGrid>
      <w:tr w:rsidR="00221491" w:rsidRPr="00221491" w14:paraId="3DBC739D" w14:textId="77777777" w:rsidTr="00C23217">
        <w:trPr>
          <w:trHeight w:val="263"/>
        </w:trPr>
        <w:tc>
          <w:tcPr>
            <w:tcW w:w="1106" w:type="dxa"/>
          </w:tcPr>
          <w:p w14:paraId="0FF4168F" w14:textId="77777777" w:rsidR="00221491" w:rsidRPr="00221491" w:rsidRDefault="00221491" w:rsidP="00C23217">
            <w:pPr>
              <w:rPr>
                <w:rFonts w:ascii="Arial" w:hAnsi="Arial" w:cs="Arial"/>
                <w:sz w:val="22"/>
                <w:szCs w:val="22"/>
              </w:rPr>
            </w:pPr>
            <w:r w:rsidRPr="00221491">
              <w:rPr>
                <w:rFonts w:ascii="Arial" w:hAnsi="Arial" w:cs="Arial"/>
                <w:b/>
                <w:sz w:val="22"/>
                <w:szCs w:val="22"/>
              </w:rPr>
              <w:t>ID</w:t>
            </w:r>
          </w:p>
        </w:tc>
        <w:tc>
          <w:tcPr>
            <w:tcW w:w="2863" w:type="dxa"/>
          </w:tcPr>
          <w:p w14:paraId="22122160" w14:textId="77777777" w:rsidR="00221491" w:rsidRPr="00221491" w:rsidRDefault="00221491" w:rsidP="00C23217">
            <w:pPr>
              <w:pStyle w:val="Tabletext"/>
              <w:rPr>
                <w:rFonts w:cs="Arial"/>
                <w:b/>
                <w:bCs/>
                <w:szCs w:val="22"/>
              </w:rPr>
            </w:pPr>
            <w:r w:rsidRPr="00221491">
              <w:rPr>
                <w:rFonts w:cs="Arial"/>
                <w:b/>
                <w:szCs w:val="22"/>
                <w:lang w:val="en-GB"/>
              </w:rPr>
              <w:t>Indicator wording</w:t>
            </w:r>
          </w:p>
        </w:tc>
        <w:tc>
          <w:tcPr>
            <w:tcW w:w="5529" w:type="dxa"/>
          </w:tcPr>
          <w:p w14:paraId="2C9726E9" w14:textId="77777777" w:rsidR="00221491" w:rsidRPr="00221491" w:rsidRDefault="00221491" w:rsidP="00C23217">
            <w:pPr>
              <w:rPr>
                <w:rFonts w:ascii="Arial" w:hAnsi="Arial" w:cs="Arial"/>
                <w:sz w:val="22"/>
                <w:szCs w:val="22"/>
              </w:rPr>
            </w:pPr>
            <w:r w:rsidRPr="00221491">
              <w:rPr>
                <w:rFonts w:ascii="Arial" w:hAnsi="Arial" w:cs="Arial"/>
                <w:b/>
                <w:sz w:val="22"/>
                <w:szCs w:val="22"/>
              </w:rPr>
              <w:t>Evidence source</w:t>
            </w:r>
          </w:p>
        </w:tc>
      </w:tr>
      <w:tr w:rsidR="00221491" w:rsidRPr="00221491" w14:paraId="7DB9D326" w14:textId="77777777" w:rsidTr="00C23217">
        <w:trPr>
          <w:trHeight w:val="263"/>
        </w:trPr>
        <w:tc>
          <w:tcPr>
            <w:tcW w:w="1106" w:type="dxa"/>
          </w:tcPr>
          <w:p w14:paraId="01AC2601" w14:textId="77777777" w:rsidR="00221491" w:rsidRPr="00221491" w:rsidRDefault="00221491" w:rsidP="00C23217">
            <w:pPr>
              <w:rPr>
                <w:rFonts w:ascii="Arial" w:hAnsi="Arial" w:cs="Arial"/>
                <w:sz w:val="22"/>
                <w:szCs w:val="22"/>
              </w:rPr>
            </w:pPr>
            <w:r w:rsidRPr="00221491">
              <w:rPr>
                <w:rFonts w:ascii="Arial" w:hAnsi="Arial" w:cs="Arial"/>
                <w:sz w:val="22"/>
                <w:szCs w:val="22"/>
              </w:rPr>
              <w:t>IND5</w:t>
            </w:r>
          </w:p>
        </w:tc>
        <w:tc>
          <w:tcPr>
            <w:tcW w:w="2863" w:type="dxa"/>
          </w:tcPr>
          <w:p w14:paraId="443AB148" w14:textId="77777777" w:rsidR="00221491" w:rsidRPr="00221491" w:rsidRDefault="00221491" w:rsidP="00C23217">
            <w:pPr>
              <w:pStyle w:val="Tabletext"/>
            </w:pPr>
            <w:r w:rsidRPr="00221491">
              <w:t>The percentage of adults and young people newly registered with a GP in an area of high or extremely high HIV prevalence who receive an HIV test within 3 months of registration.</w:t>
            </w:r>
          </w:p>
        </w:tc>
        <w:tc>
          <w:tcPr>
            <w:tcW w:w="5529" w:type="dxa"/>
          </w:tcPr>
          <w:p w14:paraId="1AAFE47D" w14:textId="77777777" w:rsidR="00221491" w:rsidRPr="00221491" w:rsidRDefault="00221491" w:rsidP="00C23217">
            <w:pPr>
              <w:pStyle w:val="Default"/>
              <w:spacing w:after="60"/>
              <w:rPr>
                <w:rFonts w:ascii="Arial" w:hAnsi="Arial" w:cs="Arial"/>
                <w:color w:val="auto"/>
                <w:sz w:val="22"/>
                <w:szCs w:val="22"/>
                <w:lang w:eastAsia="en-US"/>
              </w:rPr>
            </w:pPr>
            <w:r w:rsidRPr="00221491">
              <w:rPr>
                <w:rFonts w:ascii="Arial" w:hAnsi="Arial" w:cs="Arial"/>
                <w:color w:val="auto"/>
                <w:sz w:val="22"/>
                <w:szCs w:val="22"/>
                <w:lang w:eastAsia="en-US"/>
              </w:rPr>
              <w:t xml:space="preserve">NICE guidance NG60 (2016): </w:t>
            </w:r>
            <w:hyperlink r:id="rId14" w:history="1">
              <w:r w:rsidRPr="00221491">
                <w:rPr>
                  <w:rStyle w:val="Hyperlink"/>
                  <w:rFonts w:ascii="Arial" w:hAnsi="Arial" w:cs="Arial"/>
                  <w:sz w:val="22"/>
                  <w:szCs w:val="22"/>
                  <w:lang w:eastAsia="en-US"/>
                </w:rPr>
                <w:t>HIV testing: increasing uptake among people who may have undiagnosed HIV</w:t>
              </w:r>
            </w:hyperlink>
            <w:r w:rsidRPr="00221491">
              <w:rPr>
                <w:rFonts w:ascii="Arial" w:hAnsi="Arial" w:cs="Arial"/>
                <w:color w:val="auto"/>
                <w:sz w:val="22"/>
                <w:szCs w:val="22"/>
                <w:lang w:eastAsia="en-US"/>
              </w:rPr>
              <w:t xml:space="preserve">. Recommendation 1.1.9. </w:t>
            </w:r>
          </w:p>
          <w:p w14:paraId="68DD44E8" w14:textId="77777777" w:rsidR="00221491" w:rsidRPr="00221491" w:rsidRDefault="00221491" w:rsidP="00C23217">
            <w:pPr>
              <w:pStyle w:val="Default"/>
              <w:spacing w:after="60"/>
              <w:rPr>
                <w:rFonts w:ascii="Arial" w:hAnsi="Arial" w:cs="Arial"/>
                <w:color w:val="auto"/>
                <w:sz w:val="22"/>
                <w:szCs w:val="22"/>
                <w:lang w:eastAsia="en-US"/>
              </w:rPr>
            </w:pPr>
          </w:p>
          <w:p w14:paraId="0BA96CA6" w14:textId="77777777" w:rsidR="00221491" w:rsidRPr="00221491" w:rsidRDefault="00221491" w:rsidP="00C23217">
            <w:pPr>
              <w:spacing w:after="60"/>
              <w:rPr>
                <w:rFonts w:ascii="Arial" w:hAnsi="Arial" w:cs="Arial"/>
                <w:sz w:val="22"/>
                <w:szCs w:val="22"/>
              </w:rPr>
            </w:pPr>
            <w:r w:rsidRPr="00221491">
              <w:rPr>
                <w:rFonts w:ascii="Arial" w:hAnsi="Arial" w:cs="Arial"/>
                <w:sz w:val="22"/>
                <w:szCs w:val="22"/>
              </w:rPr>
              <w:t xml:space="preserve">NICE quality standard QS157 (2017): </w:t>
            </w:r>
            <w:hyperlink r:id="rId15" w:history="1">
              <w:r w:rsidRPr="00221491">
                <w:rPr>
                  <w:rStyle w:val="Hyperlink"/>
                  <w:rFonts w:ascii="Arial" w:hAnsi="Arial" w:cs="Arial"/>
                  <w:sz w:val="22"/>
                  <w:szCs w:val="22"/>
                </w:rPr>
                <w:t>HIV testing: encouraging uptake</w:t>
              </w:r>
            </w:hyperlink>
            <w:r w:rsidRPr="00221491">
              <w:rPr>
                <w:rFonts w:ascii="Arial" w:hAnsi="Arial" w:cs="Arial"/>
                <w:sz w:val="22"/>
                <w:szCs w:val="22"/>
              </w:rPr>
              <w:t>. Statement 2.</w:t>
            </w:r>
            <w:r w:rsidRPr="00221491">
              <w:rPr>
                <w:sz w:val="22"/>
                <w:szCs w:val="22"/>
              </w:rPr>
              <w:t xml:space="preserve"> </w:t>
            </w:r>
          </w:p>
        </w:tc>
      </w:tr>
      <w:tr w:rsidR="00221491" w:rsidRPr="00221491" w14:paraId="67F97118" w14:textId="77777777" w:rsidTr="00C23217">
        <w:trPr>
          <w:trHeight w:val="263"/>
        </w:trPr>
        <w:tc>
          <w:tcPr>
            <w:tcW w:w="1106" w:type="dxa"/>
          </w:tcPr>
          <w:p w14:paraId="5CE65782" w14:textId="77777777" w:rsidR="00221491" w:rsidRPr="00221491" w:rsidRDefault="00221491" w:rsidP="00C23217">
            <w:pPr>
              <w:rPr>
                <w:rFonts w:ascii="Arial" w:hAnsi="Arial" w:cs="Arial"/>
                <w:sz w:val="22"/>
                <w:szCs w:val="22"/>
              </w:rPr>
            </w:pPr>
            <w:r w:rsidRPr="00221491">
              <w:rPr>
                <w:rFonts w:ascii="Arial" w:hAnsi="Arial" w:cs="Arial"/>
                <w:sz w:val="22"/>
                <w:szCs w:val="22"/>
              </w:rPr>
              <w:t>IND6</w:t>
            </w:r>
          </w:p>
        </w:tc>
        <w:tc>
          <w:tcPr>
            <w:tcW w:w="2863" w:type="dxa"/>
          </w:tcPr>
          <w:p w14:paraId="0BB7F610" w14:textId="77777777" w:rsidR="00221491" w:rsidRPr="00221491" w:rsidRDefault="00221491" w:rsidP="00C23217">
            <w:pPr>
              <w:pStyle w:val="Tabletext"/>
            </w:pPr>
            <w:r w:rsidRPr="00221491">
              <w:t>The percentage of adults and young people at a GP surgery in an area of high or extremely high HIV prevalence who have not had an HIV test in the last 12 months, who are having a blood test and receive an HIV test at the same time.</w:t>
            </w:r>
          </w:p>
        </w:tc>
        <w:tc>
          <w:tcPr>
            <w:tcW w:w="5529" w:type="dxa"/>
          </w:tcPr>
          <w:p w14:paraId="2B678381" w14:textId="77777777" w:rsidR="00221491" w:rsidRPr="00221491" w:rsidRDefault="00221491" w:rsidP="00C23217">
            <w:pPr>
              <w:pStyle w:val="Default"/>
              <w:spacing w:after="60"/>
              <w:rPr>
                <w:rFonts w:ascii="Arial" w:hAnsi="Arial" w:cs="Arial"/>
                <w:color w:val="auto"/>
                <w:sz w:val="22"/>
                <w:szCs w:val="22"/>
                <w:lang w:eastAsia="en-US"/>
              </w:rPr>
            </w:pPr>
            <w:r w:rsidRPr="00221491">
              <w:rPr>
                <w:rFonts w:ascii="Arial" w:hAnsi="Arial" w:cs="Arial"/>
                <w:color w:val="auto"/>
                <w:sz w:val="22"/>
                <w:szCs w:val="22"/>
                <w:lang w:eastAsia="en-US"/>
              </w:rPr>
              <w:t xml:space="preserve">NICE guidance NG60 (2016): </w:t>
            </w:r>
            <w:hyperlink r:id="rId16" w:history="1">
              <w:r w:rsidRPr="00221491">
                <w:rPr>
                  <w:rStyle w:val="Hyperlink"/>
                  <w:rFonts w:ascii="Arial" w:hAnsi="Arial" w:cs="Arial"/>
                  <w:sz w:val="22"/>
                  <w:szCs w:val="22"/>
                  <w:lang w:eastAsia="en-US"/>
                </w:rPr>
                <w:t>HIV testing: increasing uptake among people who may have undiagnosed HIV</w:t>
              </w:r>
            </w:hyperlink>
            <w:r w:rsidRPr="00221491">
              <w:rPr>
                <w:rFonts w:ascii="Arial" w:hAnsi="Arial" w:cs="Arial"/>
                <w:color w:val="auto"/>
                <w:sz w:val="22"/>
                <w:szCs w:val="22"/>
                <w:lang w:eastAsia="en-US"/>
              </w:rPr>
              <w:t xml:space="preserve">. Recommendation 1.1.9. </w:t>
            </w:r>
          </w:p>
          <w:p w14:paraId="3D2CAE7A" w14:textId="77777777" w:rsidR="00221491" w:rsidRPr="00221491" w:rsidRDefault="00221491" w:rsidP="00C23217">
            <w:pPr>
              <w:pStyle w:val="Default"/>
              <w:spacing w:after="60"/>
              <w:rPr>
                <w:rFonts w:ascii="Arial" w:hAnsi="Arial" w:cs="Arial"/>
                <w:color w:val="auto"/>
                <w:sz w:val="22"/>
                <w:szCs w:val="22"/>
                <w:lang w:eastAsia="en-US"/>
              </w:rPr>
            </w:pPr>
          </w:p>
          <w:p w14:paraId="762E4427" w14:textId="77777777" w:rsidR="00221491" w:rsidRPr="00221491" w:rsidRDefault="00221491" w:rsidP="00C23217">
            <w:pPr>
              <w:rPr>
                <w:rFonts w:ascii="Arial" w:hAnsi="Arial" w:cs="Arial"/>
                <w:sz w:val="22"/>
                <w:szCs w:val="22"/>
              </w:rPr>
            </w:pPr>
            <w:r w:rsidRPr="00221491">
              <w:rPr>
                <w:rFonts w:ascii="Arial" w:hAnsi="Arial" w:cs="Arial"/>
                <w:sz w:val="22"/>
                <w:szCs w:val="22"/>
              </w:rPr>
              <w:t xml:space="preserve">NICE quality standard QS157 (2017): </w:t>
            </w:r>
            <w:hyperlink r:id="rId17" w:history="1">
              <w:r w:rsidRPr="00221491">
                <w:rPr>
                  <w:rStyle w:val="Hyperlink"/>
                  <w:rFonts w:ascii="Arial" w:hAnsi="Arial" w:cs="Arial"/>
                  <w:sz w:val="22"/>
                  <w:szCs w:val="22"/>
                </w:rPr>
                <w:t>HIV testing: encouraging uptake</w:t>
              </w:r>
            </w:hyperlink>
            <w:r w:rsidRPr="00221491">
              <w:rPr>
                <w:rFonts w:ascii="Arial" w:hAnsi="Arial" w:cs="Arial"/>
                <w:sz w:val="22"/>
                <w:szCs w:val="22"/>
              </w:rPr>
              <w:t>. Statement 2.</w:t>
            </w:r>
          </w:p>
        </w:tc>
      </w:tr>
    </w:tbl>
    <w:p w14:paraId="4758E4BB" w14:textId="77777777" w:rsidR="002B6DD6" w:rsidRDefault="002B6DD6">
      <w:pPr>
        <w:rPr>
          <w:rFonts w:cs="Arial"/>
          <w:szCs w:val="28"/>
          <w:highlight w:val="yellow"/>
        </w:rPr>
      </w:pPr>
    </w:p>
    <w:p w14:paraId="10C223D8" w14:textId="7FE3203E" w:rsidR="00BF24FE" w:rsidRPr="006375EE" w:rsidRDefault="00BF24FE">
      <w:pPr>
        <w:rPr>
          <w:rFonts w:ascii="Arial" w:hAnsi="Arial" w:cs="Arial"/>
          <w:b/>
          <w:bCs/>
          <w:kern w:val="32"/>
          <w:sz w:val="28"/>
          <w:szCs w:val="28"/>
          <w:highlight w:val="yellow"/>
        </w:rPr>
      </w:pPr>
      <w:r w:rsidRPr="006375EE">
        <w:rPr>
          <w:rFonts w:cs="Arial"/>
          <w:szCs w:val="28"/>
          <w:highlight w:val="yellow"/>
        </w:rPr>
        <w:br w:type="page"/>
      </w:r>
    </w:p>
    <w:p w14:paraId="3D397A98" w14:textId="62E4896E" w:rsidR="007E7FF4" w:rsidRPr="00607C1A" w:rsidRDefault="007E7FF4" w:rsidP="00607C1A">
      <w:pPr>
        <w:pStyle w:val="Heading1"/>
      </w:pPr>
      <w:bookmarkStart w:id="7" w:name="_Toc9949429"/>
      <w:bookmarkStart w:id="8" w:name="_Hlk8208562"/>
      <w:r w:rsidRPr="00607C1A">
        <w:lastRenderedPageBreak/>
        <w:t>IND5: HIV testing in newly registered patients</w:t>
      </w:r>
      <w:bookmarkEnd w:id="7"/>
    </w:p>
    <w:bookmarkEnd w:id="8"/>
    <w:p w14:paraId="6120E498" w14:textId="193BD20E" w:rsidR="007E7FF4" w:rsidRPr="006375EE" w:rsidRDefault="007E7FF4" w:rsidP="007E7FF4">
      <w:pPr>
        <w:pStyle w:val="Paragraph"/>
        <w:spacing w:line="360" w:lineRule="auto"/>
        <w:rPr>
          <w:i/>
          <w:highlight w:val="yellow"/>
        </w:rPr>
      </w:pPr>
      <w:r w:rsidRPr="007E7FF4">
        <w:rPr>
          <w:i/>
        </w:rPr>
        <w:t>The percentage of adults and young people newly registered with a GP in an area of high or extremely high HIV prevalence who receive an HIV test within 3 months of registration.</w:t>
      </w:r>
    </w:p>
    <w:p w14:paraId="0AF12A00" w14:textId="29C171BB" w:rsidR="001C093E" w:rsidRDefault="001C093E" w:rsidP="007E7FF4">
      <w:pPr>
        <w:pStyle w:val="Paragraph"/>
        <w:spacing w:line="360" w:lineRule="auto"/>
        <w:rPr>
          <w:b/>
          <w:bCs/>
          <w:kern w:val="32"/>
          <w:u w:val="single"/>
        </w:rPr>
      </w:pPr>
      <w:r>
        <w:rPr>
          <w:b/>
          <w:bCs/>
          <w:kern w:val="32"/>
          <w:u w:val="single"/>
        </w:rPr>
        <w:t>Rationale</w:t>
      </w:r>
    </w:p>
    <w:p w14:paraId="6C5D6BD0" w14:textId="7BADED57" w:rsidR="001C093E" w:rsidRDefault="00294AA8" w:rsidP="001C093E">
      <w:pPr>
        <w:pStyle w:val="Paragraph"/>
        <w:spacing w:line="360" w:lineRule="auto"/>
      </w:pPr>
      <w:r>
        <w:t>Increasing the uptake of HIV testing reduces late diagnosis and the risk of transmission. W</w:t>
      </w:r>
      <w:r w:rsidRPr="00294AA8">
        <w:t xml:space="preserve">hen </w:t>
      </w:r>
      <w:r w:rsidR="008D2B94">
        <w:t xml:space="preserve">a </w:t>
      </w:r>
      <w:r w:rsidRPr="00294AA8">
        <w:t>new patient register</w:t>
      </w:r>
      <w:r w:rsidR="008D2B94">
        <w:t>s</w:t>
      </w:r>
      <w:r w:rsidRPr="00294AA8">
        <w:t xml:space="preserve"> with a </w:t>
      </w:r>
      <w:r>
        <w:t xml:space="preserve">general practice, </w:t>
      </w:r>
      <w:r w:rsidRPr="00294AA8">
        <w:t xml:space="preserve">their overall health is </w:t>
      </w:r>
      <w:proofErr w:type="gramStart"/>
      <w:r w:rsidRPr="00294AA8">
        <w:t>assessed</w:t>
      </w:r>
      <w:proofErr w:type="gramEnd"/>
      <w:r w:rsidRPr="00294AA8">
        <w:t xml:space="preserve"> and </w:t>
      </w:r>
      <w:r w:rsidR="008D2B94">
        <w:t>this</w:t>
      </w:r>
      <w:r>
        <w:t xml:space="preserve"> provides an</w:t>
      </w:r>
      <w:r w:rsidRPr="00294AA8">
        <w:t xml:space="preserve"> opportunity </w:t>
      </w:r>
      <w:r w:rsidR="008D2B94">
        <w:t>in high or extremely</w:t>
      </w:r>
      <w:r w:rsidR="009319AA">
        <w:t xml:space="preserve"> </w:t>
      </w:r>
      <w:r w:rsidR="008D2B94">
        <w:t>high prevalence</w:t>
      </w:r>
      <w:r w:rsidR="008D2B94" w:rsidRPr="00294AA8">
        <w:t xml:space="preserve"> </w:t>
      </w:r>
      <w:r w:rsidR="008D2B94">
        <w:t xml:space="preserve">areas to </w:t>
      </w:r>
      <w:r w:rsidRPr="00294AA8">
        <w:t>promote HIV testing.</w:t>
      </w:r>
    </w:p>
    <w:p w14:paraId="002368CF" w14:textId="60E4FC84" w:rsidR="007E7FF4" w:rsidRPr="00D83B57" w:rsidRDefault="007E7FF4" w:rsidP="007E7FF4">
      <w:pPr>
        <w:pStyle w:val="Paragraph"/>
        <w:spacing w:line="360" w:lineRule="auto"/>
        <w:rPr>
          <w:b/>
          <w:bCs/>
          <w:kern w:val="32"/>
          <w:u w:val="single"/>
        </w:rPr>
      </w:pPr>
      <w:r w:rsidRPr="00D83B57">
        <w:rPr>
          <w:b/>
          <w:bCs/>
          <w:kern w:val="32"/>
          <w:u w:val="single"/>
        </w:rPr>
        <w:t>Summary of consultation comments</w:t>
      </w:r>
    </w:p>
    <w:p w14:paraId="33EB7129" w14:textId="77777777" w:rsidR="007E7FF4" w:rsidRPr="005A2885" w:rsidRDefault="007E7FF4" w:rsidP="007E7FF4">
      <w:pPr>
        <w:pStyle w:val="Paragraph"/>
        <w:spacing w:line="360" w:lineRule="auto"/>
      </w:pPr>
      <w:r w:rsidRPr="005A2885">
        <w:t>Stakeholders outlined the following concerns about the indicator:</w:t>
      </w:r>
    </w:p>
    <w:p w14:paraId="0958F26C" w14:textId="3897DE89" w:rsidR="0092634C" w:rsidRDefault="00672238" w:rsidP="007E7FF4">
      <w:pPr>
        <w:pStyle w:val="Bulletleft1"/>
      </w:pPr>
      <w:r w:rsidRPr="005A2885">
        <w:t xml:space="preserve">opposition to this </w:t>
      </w:r>
      <w:r w:rsidR="005A2885">
        <w:t>indicator</w:t>
      </w:r>
      <w:r w:rsidRPr="005A2885">
        <w:t xml:space="preserve"> as it is </w:t>
      </w:r>
      <w:r w:rsidR="00E84E5D">
        <w:t xml:space="preserve">seen as </w:t>
      </w:r>
      <w:r w:rsidRPr="005A2885">
        <w:t xml:space="preserve">population screening </w:t>
      </w:r>
      <w:r w:rsidR="005A2885">
        <w:t>which</w:t>
      </w:r>
      <w:r w:rsidR="005A2885" w:rsidRPr="005A2885">
        <w:t xml:space="preserve"> is excluded from the GMS contract</w:t>
      </w:r>
    </w:p>
    <w:p w14:paraId="6A6105E3" w14:textId="7C10716F" w:rsidR="007E7FF4" w:rsidRDefault="00E84E5D" w:rsidP="007E7FF4">
      <w:pPr>
        <w:pStyle w:val="Bulletleft1"/>
      </w:pPr>
      <w:r>
        <w:t>the need for</w:t>
      </w:r>
      <w:r w:rsidR="005A2885">
        <w:t xml:space="preserve"> more evidence on </w:t>
      </w:r>
      <w:r w:rsidR="005A2885" w:rsidRPr="005A2885">
        <w:t>the groups that would benefit from this indicator</w:t>
      </w:r>
    </w:p>
    <w:p w14:paraId="0DED0376" w14:textId="6FD8C097" w:rsidR="005A2885" w:rsidRDefault="005A2885" w:rsidP="007E7FF4">
      <w:pPr>
        <w:pStyle w:val="Bulletleft1"/>
      </w:pPr>
      <w:r w:rsidRPr="005A2885">
        <w:t xml:space="preserve">widespread introduction of testing in primary care </w:t>
      </w:r>
      <w:r>
        <w:t>requires</w:t>
      </w:r>
      <w:r w:rsidRPr="005A2885">
        <w:t xml:space="preserve"> discussion with hospital sexual health services that commonly carry out tests and manage patients </w:t>
      </w:r>
    </w:p>
    <w:p w14:paraId="3C2ACF9C" w14:textId="1EF2ABAE" w:rsidR="00F90054" w:rsidRDefault="005A2885" w:rsidP="007E7FF4">
      <w:pPr>
        <w:pStyle w:val="Bulletleft1"/>
      </w:pPr>
      <w:r w:rsidRPr="005A2885">
        <w:t xml:space="preserve">unintended consequences </w:t>
      </w:r>
      <w:r>
        <w:t>relating to</w:t>
      </w:r>
      <w:r w:rsidRPr="005A2885">
        <w:t xml:space="preserve"> confidentiality, requirements for additional training for GP </w:t>
      </w:r>
      <w:r w:rsidR="00970C5C">
        <w:t>p</w:t>
      </w:r>
      <w:r w:rsidRPr="005A2885">
        <w:t>ractice staff</w:t>
      </w:r>
      <w:r>
        <w:t xml:space="preserve">, </w:t>
      </w:r>
      <w:r w:rsidRPr="005A2885">
        <w:t>insurance implications and possible stigma</w:t>
      </w:r>
    </w:p>
    <w:p w14:paraId="5D80294F" w14:textId="283E47BB" w:rsidR="005A2885" w:rsidRPr="005A2885" w:rsidRDefault="00F90054" w:rsidP="007E7FF4">
      <w:pPr>
        <w:pStyle w:val="Bulletleft1"/>
      </w:pPr>
      <w:r>
        <w:t xml:space="preserve">the concept of using defined high and </w:t>
      </w:r>
      <w:r w:rsidR="00183AE8">
        <w:t>extremely</w:t>
      </w:r>
      <w:r>
        <w:t xml:space="preserve"> high prevalence areas to focus testing</w:t>
      </w:r>
      <w:r w:rsidR="00993DDC">
        <w:t>.</w:t>
      </w:r>
    </w:p>
    <w:p w14:paraId="237C6BC0" w14:textId="77777777" w:rsidR="007E7FF4" w:rsidRPr="00993DDC" w:rsidRDefault="007E7FF4" w:rsidP="007E7FF4">
      <w:pPr>
        <w:pStyle w:val="Paragraph"/>
        <w:keepNext/>
        <w:spacing w:line="360" w:lineRule="auto"/>
        <w:rPr>
          <w:u w:val="single"/>
        </w:rPr>
      </w:pPr>
      <w:r w:rsidRPr="00993DDC">
        <w:rPr>
          <w:b/>
          <w:u w:val="single"/>
        </w:rPr>
        <w:t>Considerations for the advisory committee</w:t>
      </w:r>
    </w:p>
    <w:p w14:paraId="773E62DD" w14:textId="77777777" w:rsidR="007E7FF4" w:rsidRPr="00993DDC" w:rsidRDefault="007E7FF4" w:rsidP="007E7FF4">
      <w:pPr>
        <w:pStyle w:val="Paragraphnonumbers"/>
        <w:spacing w:line="360" w:lineRule="auto"/>
      </w:pPr>
      <w:r w:rsidRPr="00993DDC">
        <w:t>The committee is asked to consider:</w:t>
      </w:r>
    </w:p>
    <w:p w14:paraId="0162DC37" w14:textId="7B73B4BA" w:rsidR="00F90054" w:rsidRPr="00F90054" w:rsidRDefault="00993DDC" w:rsidP="007E7FF4">
      <w:pPr>
        <w:pStyle w:val="Bulletleft1"/>
        <w:numPr>
          <w:ilvl w:val="1"/>
          <w:numId w:val="10"/>
        </w:numPr>
        <w:tabs>
          <w:tab w:val="clear" w:pos="567"/>
          <w:tab w:val="num" w:pos="284"/>
        </w:tabs>
        <w:ind w:left="284" w:hanging="284"/>
      </w:pPr>
      <w:r w:rsidRPr="00993DDC">
        <w:t>if th</w:t>
      </w:r>
      <w:r w:rsidR="00F90054">
        <w:t>e indicator represents</w:t>
      </w:r>
      <w:r w:rsidRPr="00993DDC">
        <w:t xml:space="preserve"> population screening and </w:t>
      </w:r>
      <w:r w:rsidR="00F90054">
        <w:t>whether this is appropriate</w:t>
      </w:r>
    </w:p>
    <w:p w14:paraId="1D3F60E4" w14:textId="1E6455AC" w:rsidR="007E7FF4" w:rsidRPr="00993DDC" w:rsidRDefault="00DE226B" w:rsidP="007E7FF4">
      <w:pPr>
        <w:pStyle w:val="Bulletleft1"/>
        <w:numPr>
          <w:ilvl w:val="1"/>
          <w:numId w:val="10"/>
        </w:numPr>
        <w:tabs>
          <w:tab w:val="clear" w:pos="567"/>
          <w:tab w:val="num" w:pos="284"/>
        </w:tabs>
        <w:ind w:left="284" w:hanging="284"/>
        <w:rPr>
          <w:b/>
          <w:bCs/>
        </w:rPr>
      </w:pPr>
      <w:r w:rsidRPr="00DE226B">
        <w:t xml:space="preserve">should the target population </w:t>
      </w:r>
      <w:r>
        <w:t xml:space="preserve">be refined </w:t>
      </w:r>
      <w:proofErr w:type="gramStart"/>
      <w:r w:rsidRPr="00DE226B">
        <w:t>further</w:t>
      </w:r>
      <w:proofErr w:type="gramEnd"/>
    </w:p>
    <w:p w14:paraId="38BD04D4" w14:textId="4E9C98C6" w:rsidR="00F90054" w:rsidRPr="00F90054" w:rsidRDefault="00993DDC" w:rsidP="007E7FF4">
      <w:pPr>
        <w:pStyle w:val="Bulletleft1"/>
        <w:numPr>
          <w:ilvl w:val="1"/>
          <w:numId w:val="10"/>
        </w:numPr>
        <w:tabs>
          <w:tab w:val="clear" w:pos="567"/>
          <w:tab w:val="num" w:pos="284"/>
        </w:tabs>
        <w:ind w:left="284" w:hanging="284"/>
        <w:rPr>
          <w:b/>
          <w:bCs/>
        </w:rPr>
      </w:pPr>
      <w:r w:rsidRPr="00993DDC">
        <w:t>the potential unintended consequences of the indicator</w:t>
      </w:r>
      <w:r w:rsidR="00F90054">
        <w:t>:</w:t>
      </w:r>
    </w:p>
    <w:p w14:paraId="10A2BF8E" w14:textId="77777777" w:rsidR="00F90054" w:rsidRPr="00F90054" w:rsidRDefault="00F90054" w:rsidP="00F90054">
      <w:pPr>
        <w:pStyle w:val="Bulletleft1"/>
        <w:numPr>
          <w:ilvl w:val="2"/>
          <w:numId w:val="10"/>
        </w:numPr>
        <w:rPr>
          <w:b/>
          <w:bCs/>
        </w:rPr>
      </w:pPr>
      <w:r>
        <w:t>resource and training implications</w:t>
      </w:r>
    </w:p>
    <w:p w14:paraId="2374C187" w14:textId="5E6A78FD" w:rsidR="007E7FF4" w:rsidRPr="00993DDC" w:rsidRDefault="00F90054" w:rsidP="00F90054">
      <w:pPr>
        <w:pStyle w:val="Bulletleft1"/>
        <w:numPr>
          <w:ilvl w:val="2"/>
          <w:numId w:val="10"/>
        </w:numPr>
        <w:rPr>
          <w:b/>
          <w:bCs/>
        </w:rPr>
      </w:pPr>
      <w:r>
        <w:t>the impact on sexual health services</w:t>
      </w:r>
      <w:r w:rsidR="007E7FF4" w:rsidRPr="00993DDC">
        <w:t xml:space="preserve">. </w:t>
      </w:r>
    </w:p>
    <w:p w14:paraId="6B3DD60F" w14:textId="788EFA66" w:rsidR="007E7FF4" w:rsidRPr="006375EE" w:rsidRDefault="007E7FF4" w:rsidP="00294AA8">
      <w:pPr>
        <w:pStyle w:val="Heading1"/>
        <w:rPr>
          <w:highlight w:val="yellow"/>
        </w:rPr>
      </w:pPr>
      <w:bookmarkStart w:id="9" w:name="_Toc9949430"/>
      <w:r w:rsidRPr="007E7FF4">
        <w:lastRenderedPageBreak/>
        <w:t>IND</w:t>
      </w:r>
      <w:r>
        <w:t>6</w:t>
      </w:r>
      <w:r w:rsidRPr="007E7FF4">
        <w:t>: Annual HIV testing in patients having a blood test.</w:t>
      </w:r>
      <w:bookmarkEnd w:id="9"/>
    </w:p>
    <w:p w14:paraId="3E49E29A" w14:textId="20291A0F" w:rsidR="007E7FF4" w:rsidRPr="006375EE" w:rsidRDefault="007E7FF4" w:rsidP="007E7FF4">
      <w:pPr>
        <w:pStyle w:val="Paragraph"/>
        <w:spacing w:line="360" w:lineRule="auto"/>
        <w:rPr>
          <w:i/>
          <w:highlight w:val="yellow"/>
        </w:rPr>
      </w:pPr>
      <w:r w:rsidRPr="007E7FF4">
        <w:rPr>
          <w:i/>
        </w:rPr>
        <w:t>The percentage of adults and young people at a GP surgery in an area of high or extremely high HIV prevalence who have not had an HIV test in the last 12 months, who are having a blood test and receive an HIV test at the same time.</w:t>
      </w:r>
    </w:p>
    <w:p w14:paraId="6AB93554" w14:textId="683759A0" w:rsidR="001C093E" w:rsidRDefault="001C093E" w:rsidP="007E7FF4">
      <w:pPr>
        <w:pStyle w:val="Paragraph"/>
        <w:spacing w:line="360" w:lineRule="auto"/>
        <w:rPr>
          <w:b/>
          <w:bCs/>
          <w:kern w:val="32"/>
          <w:u w:val="single"/>
        </w:rPr>
      </w:pPr>
      <w:r>
        <w:rPr>
          <w:b/>
          <w:bCs/>
          <w:kern w:val="32"/>
          <w:u w:val="single"/>
        </w:rPr>
        <w:t>Rationale</w:t>
      </w:r>
    </w:p>
    <w:p w14:paraId="62B2DB51" w14:textId="43419638" w:rsidR="00294AA8" w:rsidRDefault="00294AA8" w:rsidP="00294AA8">
      <w:pPr>
        <w:pStyle w:val="Paragraph"/>
        <w:spacing w:line="360" w:lineRule="auto"/>
      </w:pPr>
      <w:r>
        <w:t xml:space="preserve">Increasing the uptake of HIV testing reduces late diagnosis and the risk of transmission. </w:t>
      </w:r>
      <w:r w:rsidR="008D2B94">
        <w:t>W</w:t>
      </w:r>
      <w:r w:rsidR="008D2B94" w:rsidRPr="00294AA8">
        <w:t xml:space="preserve">hen </w:t>
      </w:r>
      <w:r w:rsidR="008D2B94">
        <w:t xml:space="preserve">a </w:t>
      </w:r>
      <w:r w:rsidR="008D2B94" w:rsidRPr="00294AA8">
        <w:t xml:space="preserve">patient </w:t>
      </w:r>
      <w:r w:rsidR="008D2B94">
        <w:t>has a blood test for another reason, it is an</w:t>
      </w:r>
      <w:r w:rsidR="008D2B94" w:rsidRPr="00294AA8">
        <w:t xml:space="preserve"> opportunity </w:t>
      </w:r>
      <w:r w:rsidR="008D2B94">
        <w:t>in high or extremely</w:t>
      </w:r>
      <w:r w:rsidR="009319AA">
        <w:t xml:space="preserve"> </w:t>
      </w:r>
      <w:r w:rsidR="008D2B94">
        <w:t>high prevalence</w:t>
      </w:r>
      <w:r w:rsidR="008D2B94" w:rsidRPr="00294AA8">
        <w:t xml:space="preserve"> </w:t>
      </w:r>
      <w:r w:rsidR="008D2B94">
        <w:t xml:space="preserve">areas to </w:t>
      </w:r>
      <w:r w:rsidR="008D2B94" w:rsidRPr="00294AA8">
        <w:t>promote HIV testing.</w:t>
      </w:r>
    </w:p>
    <w:p w14:paraId="1DF3813D" w14:textId="5E3FD8D7" w:rsidR="007E7FF4" w:rsidRPr="00D83B57" w:rsidRDefault="007E7FF4" w:rsidP="007E7FF4">
      <w:pPr>
        <w:pStyle w:val="Paragraph"/>
        <w:spacing w:line="360" w:lineRule="auto"/>
        <w:rPr>
          <w:b/>
          <w:bCs/>
          <w:kern w:val="32"/>
          <w:u w:val="single"/>
        </w:rPr>
      </w:pPr>
      <w:r w:rsidRPr="00D83B57">
        <w:rPr>
          <w:b/>
          <w:bCs/>
          <w:kern w:val="32"/>
          <w:u w:val="single"/>
        </w:rPr>
        <w:t>Summary of consultation comments</w:t>
      </w:r>
    </w:p>
    <w:p w14:paraId="790DCB30" w14:textId="77777777" w:rsidR="007E7FF4" w:rsidRPr="005A2885" w:rsidRDefault="007E7FF4" w:rsidP="007E7FF4">
      <w:pPr>
        <w:pStyle w:val="Paragraph"/>
        <w:spacing w:line="360" w:lineRule="auto"/>
      </w:pPr>
      <w:r w:rsidRPr="005A2885">
        <w:t>Stakeholders outlined the following concerns about the indicator:</w:t>
      </w:r>
    </w:p>
    <w:p w14:paraId="6A6EED0E" w14:textId="7CEA0F04" w:rsidR="00183AE8" w:rsidRPr="005A2885" w:rsidRDefault="00183AE8" w:rsidP="00183AE8">
      <w:pPr>
        <w:pStyle w:val="Bulletleft1"/>
      </w:pPr>
      <w:r>
        <w:t>the concept of using defined high and extremely high prevalence areas to focus testing</w:t>
      </w:r>
    </w:p>
    <w:p w14:paraId="49BACE42" w14:textId="6215216E" w:rsidR="00993DDC" w:rsidRDefault="005A2885" w:rsidP="007E7FF4">
      <w:pPr>
        <w:pStyle w:val="Bulletleft1"/>
      </w:pPr>
      <w:r w:rsidRPr="001A75A1">
        <w:t>the</w:t>
      </w:r>
      <w:r w:rsidR="00F13430">
        <w:t xml:space="preserve"> </w:t>
      </w:r>
      <w:r w:rsidR="00183AE8">
        <w:t>ability of primary care staff to provide an appropriate level of advice on the diagnosis</w:t>
      </w:r>
      <w:r w:rsidR="00F5794A">
        <w:t>,</w:t>
      </w:r>
      <w:r w:rsidR="00183AE8">
        <w:t xml:space="preserve"> treatment</w:t>
      </w:r>
      <w:r w:rsidR="00F5794A">
        <w:t xml:space="preserve"> and potential infection transfer </w:t>
      </w:r>
      <w:r w:rsidR="00183AE8">
        <w:t xml:space="preserve">for HIV compared </w:t>
      </w:r>
      <w:r w:rsidR="0092634C">
        <w:t xml:space="preserve">to </w:t>
      </w:r>
      <w:r w:rsidR="00183AE8">
        <w:t xml:space="preserve">sexual health infections routinely </w:t>
      </w:r>
      <w:r w:rsidR="00F5794A">
        <w:t>seen in primary care.</w:t>
      </w:r>
      <w:r w:rsidR="00183AE8">
        <w:t xml:space="preserve"> </w:t>
      </w:r>
    </w:p>
    <w:p w14:paraId="0C1DB00D" w14:textId="77777777" w:rsidR="007E7FF4" w:rsidRPr="00993DDC" w:rsidRDefault="007E7FF4" w:rsidP="007E7FF4">
      <w:pPr>
        <w:pStyle w:val="Paragraph"/>
        <w:keepNext/>
        <w:spacing w:line="360" w:lineRule="auto"/>
        <w:rPr>
          <w:u w:val="single"/>
        </w:rPr>
      </w:pPr>
      <w:r w:rsidRPr="00993DDC">
        <w:rPr>
          <w:b/>
          <w:u w:val="single"/>
        </w:rPr>
        <w:t>Considerations for the advisory committee</w:t>
      </w:r>
    </w:p>
    <w:p w14:paraId="69F7936C" w14:textId="77777777" w:rsidR="007E7FF4" w:rsidRPr="00993DDC" w:rsidRDefault="007E7FF4" w:rsidP="007E7FF4">
      <w:pPr>
        <w:pStyle w:val="Paragraphnonumbers"/>
        <w:spacing w:line="360" w:lineRule="auto"/>
      </w:pPr>
      <w:r w:rsidRPr="00993DDC">
        <w:t>The committee is asked to consider:</w:t>
      </w:r>
    </w:p>
    <w:p w14:paraId="48A85DBF" w14:textId="0054F2F4" w:rsidR="00993DDC" w:rsidRPr="00993DDC" w:rsidRDefault="00F5794A" w:rsidP="00993DDC">
      <w:pPr>
        <w:pStyle w:val="Bulletleft1"/>
        <w:numPr>
          <w:ilvl w:val="1"/>
          <w:numId w:val="10"/>
        </w:numPr>
        <w:tabs>
          <w:tab w:val="clear" w:pos="567"/>
          <w:tab w:val="num" w:pos="284"/>
        </w:tabs>
        <w:ind w:left="284" w:hanging="284"/>
        <w:rPr>
          <w:sz w:val="28"/>
          <w:szCs w:val="28"/>
        </w:rPr>
      </w:pPr>
      <w:r>
        <w:t>the use of high and extremely high prevalence areas</w:t>
      </w:r>
    </w:p>
    <w:p w14:paraId="2897A1DF" w14:textId="3DD1A206" w:rsidR="00993DDC" w:rsidRPr="00993DDC" w:rsidRDefault="00F5794A" w:rsidP="00993DDC">
      <w:pPr>
        <w:pStyle w:val="Bulletleft1"/>
        <w:numPr>
          <w:ilvl w:val="1"/>
          <w:numId w:val="10"/>
        </w:numPr>
        <w:tabs>
          <w:tab w:val="clear" w:pos="567"/>
          <w:tab w:val="num" w:pos="284"/>
        </w:tabs>
        <w:ind w:left="284" w:hanging="284"/>
        <w:rPr>
          <w:sz w:val="28"/>
          <w:szCs w:val="28"/>
        </w:rPr>
      </w:pPr>
      <w:r>
        <w:t xml:space="preserve">the ability to </w:t>
      </w:r>
      <w:proofErr w:type="spellStart"/>
      <w:r w:rsidR="00993DDC" w:rsidRPr="00993DDC">
        <w:t>normali</w:t>
      </w:r>
      <w:r>
        <w:t>s</w:t>
      </w:r>
      <w:r w:rsidR="00F13430">
        <w:t>e</w:t>
      </w:r>
      <w:proofErr w:type="spellEnd"/>
      <w:r w:rsidR="00993DDC" w:rsidRPr="00993DDC">
        <w:t xml:space="preserve"> HIV </w:t>
      </w:r>
      <w:r w:rsidR="007E1BDA">
        <w:t>testing</w:t>
      </w:r>
      <w:r>
        <w:t xml:space="preserve"> and </w:t>
      </w:r>
      <w:r w:rsidR="009319AA">
        <w:t>long-term</w:t>
      </w:r>
      <w:r>
        <w:t xml:space="preserve"> treatment </w:t>
      </w:r>
      <w:r w:rsidR="00993DDC" w:rsidRPr="00993DDC">
        <w:t>with other sexual health infections treated in primary care</w:t>
      </w:r>
      <w:r w:rsidR="003B45ED">
        <w:t>.</w:t>
      </w:r>
    </w:p>
    <w:p w14:paraId="0A8E5C00" w14:textId="0579B168" w:rsidR="00D73835" w:rsidRPr="00993DDC" w:rsidRDefault="00D73835" w:rsidP="00993DDC">
      <w:pPr>
        <w:pStyle w:val="Bulletleft1"/>
        <w:numPr>
          <w:ilvl w:val="0"/>
          <w:numId w:val="0"/>
        </w:numPr>
        <w:ind w:left="284"/>
        <w:rPr>
          <w:sz w:val="28"/>
          <w:szCs w:val="28"/>
          <w:highlight w:val="yellow"/>
        </w:rPr>
      </w:pPr>
      <w:r w:rsidRPr="00993DDC">
        <w:rPr>
          <w:sz w:val="28"/>
          <w:szCs w:val="28"/>
          <w:highlight w:val="yellow"/>
        </w:rPr>
        <w:br w:type="page"/>
      </w:r>
    </w:p>
    <w:p w14:paraId="126C31B0" w14:textId="0F532A3E" w:rsidR="00D73835" w:rsidRPr="007E7FF4" w:rsidRDefault="00D73835" w:rsidP="00511471">
      <w:pPr>
        <w:pStyle w:val="Heading1"/>
      </w:pPr>
      <w:bookmarkStart w:id="10" w:name="_Toc9949431"/>
      <w:r w:rsidRPr="007E7FF4">
        <w:lastRenderedPageBreak/>
        <w:t>General comments</w:t>
      </w:r>
      <w:bookmarkEnd w:id="10"/>
      <w:r w:rsidRPr="007E7FF4">
        <w:t xml:space="preserve"> </w:t>
      </w:r>
    </w:p>
    <w:p w14:paraId="5BBADD91" w14:textId="65E4A322" w:rsidR="00D73835" w:rsidRPr="00D83B57" w:rsidRDefault="00D73835" w:rsidP="005C3893">
      <w:pPr>
        <w:pStyle w:val="Paragraph"/>
        <w:spacing w:line="360" w:lineRule="auto"/>
      </w:pPr>
      <w:r w:rsidRPr="00D83B57">
        <w:t xml:space="preserve">The following is a summary of general comments on the </w:t>
      </w:r>
      <w:r w:rsidR="00D83B57" w:rsidRPr="00D83B57">
        <w:t>draft</w:t>
      </w:r>
      <w:r w:rsidRPr="00D83B57">
        <w:t xml:space="preserve"> indicators:</w:t>
      </w:r>
    </w:p>
    <w:p w14:paraId="2AD2D918" w14:textId="619991A7" w:rsidR="00D73835" w:rsidRPr="00672238" w:rsidRDefault="00993DDC" w:rsidP="0089230A">
      <w:pPr>
        <w:pStyle w:val="Bulletleft1"/>
      </w:pPr>
      <w:r>
        <w:t>a</w:t>
      </w:r>
      <w:r w:rsidR="00D73835" w:rsidRPr="00672238">
        <w:t xml:space="preserve"> stakeholder</w:t>
      </w:r>
      <w:r w:rsidR="00672238" w:rsidRPr="00672238">
        <w:t xml:space="preserve"> suggested this could be done routinely on an opt-out basis by nurses and midwives in GP surgeries with the patient informed when blood is drawn. The lab costs of the tests should not </w:t>
      </w:r>
      <w:proofErr w:type="spellStart"/>
      <w:r w:rsidR="00672238" w:rsidRPr="00672238">
        <w:t>penalise</w:t>
      </w:r>
      <w:proofErr w:type="spellEnd"/>
      <w:r w:rsidR="00672238" w:rsidRPr="00672238">
        <w:t xml:space="preserve"> GPs</w:t>
      </w:r>
    </w:p>
    <w:p w14:paraId="5B48D7C0" w14:textId="2B754C68" w:rsidR="00672238" w:rsidRPr="00672238" w:rsidRDefault="00993DDC" w:rsidP="0089230A">
      <w:pPr>
        <w:pStyle w:val="Bulletleft1"/>
      </w:pPr>
      <w:r>
        <w:t>a</w:t>
      </w:r>
      <w:r w:rsidR="00672238" w:rsidRPr="00672238">
        <w:t xml:space="preserve"> stakeholder commented that making HIV testing part of routine practice for patients who are having a blood test will </w:t>
      </w:r>
      <w:r w:rsidR="00F5794A">
        <w:t>reduce the stigma associated with</w:t>
      </w:r>
      <w:r w:rsidR="00672238" w:rsidRPr="00672238">
        <w:t xml:space="preserve"> HIV testing and reduce undiagnosed HIV</w:t>
      </w:r>
    </w:p>
    <w:p w14:paraId="3AF29A93" w14:textId="500CA0A7" w:rsidR="00672238" w:rsidRDefault="00993DDC" w:rsidP="005C3893">
      <w:pPr>
        <w:pStyle w:val="Bulletleft1"/>
      </w:pPr>
      <w:r>
        <w:t>a</w:t>
      </w:r>
      <w:r w:rsidR="00672238" w:rsidRPr="00672238">
        <w:t xml:space="preserve"> stakeholder felt that</w:t>
      </w:r>
      <w:r w:rsidR="00F5794A">
        <w:t xml:space="preserve"> the indicator was really advocating</w:t>
      </w:r>
      <w:r w:rsidR="00672238" w:rsidRPr="00672238">
        <w:t xml:space="preserve"> opt out testing every time somebody has a blood sample taken</w:t>
      </w:r>
    </w:p>
    <w:p w14:paraId="76D502CA" w14:textId="1CE59B62" w:rsidR="001A75A1" w:rsidRDefault="00993DDC" w:rsidP="005C3893">
      <w:pPr>
        <w:pStyle w:val="Bulletleft1"/>
      </w:pPr>
      <w:r>
        <w:t>a</w:t>
      </w:r>
      <w:r w:rsidR="001A75A1" w:rsidRPr="00672238">
        <w:t xml:space="preserve"> stakeholder queried whether these indicators have been discussed with BHIVA or PHE national infection service</w:t>
      </w:r>
    </w:p>
    <w:p w14:paraId="062280E3" w14:textId="502112E2" w:rsidR="003B45ED" w:rsidRDefault="003B45ED" w:rsidP="005C3893">
      <w:pPr>
        <w:pStyle w:val="Bulletleft1"/>
      </w:pPr>
      <w:r w:rsidRPr="003B45ED">
        <w:t>the central collation and publication of the data collected via these indicators</w:t>
      </w:r>
      <w:r>
        <w:t xml:space="preserve"> would be welcomed</w:t>
      </w:r>
      <w:r w:rsidRPr="003B45ED">
        <w:t xml:space="preserve"> </w:t>
      </w:r>
    </w:p>
    <w:p w14:paraId="2F86C389" w14:textId="2CCD29DA" w:rsidR="003B45ED" w:rsidRDefault="003B45ED" w:rsidP="005C3893">
      <w:pPr>
        <w:pStyle w:val="Bulletleft1"/>
      </w:pPr>
      <w:r w:rsidRPr="003B45ED">
        <w:t xml:space="preserve">the numerators and denominators </w:t>
      </w:r>
      <w:r>
        <w:t xml:space="preserve">should be </w:t>
      </w:r>
      <w:r w:rsidRPr="003B45ED">
        <w:t>broken down by gender, sexual orientation, ethnicity, age group and area</w:t>
      </w:r>
      <w:r>
        <w:t>, and</w:t>
      </w:r>
      <w:r w:rsidRPr="003B45ED">
        <w:t xml:space="preserve"> it would be good to link the testing data with positivity data to inform future policies</w:t>
      </w:r>
    </w:p>
    <w:p w14:paraId="60326D14" w14:textId="7FE7D8A1" w:rsidR="001A75A1" w:rsidRPr="00672238" w:rsidRDefault="00993DDC" w:rsidP="005C3893">
      <w:pPr>
        <w:pStyle w:val="Bulletleft1"/>
      </w:pPr>
      <w:r>
        <w:t>a</w:t>
      </w:r>
      <w:r w:rsidR="001A75A1">
        <w:t xml:space="preserve"> stakeholder commented that</w:t>
      </w:r>
      <w:r w:rsidR="001A75A1" w:rsidRPr="001A75A1">
        <w:t xml:space="preserve"> national support and encouragement will be needed for CCGs to take this up</w:t>
      </w:r>
    </w:p>
    <w:p w14:paraId="1818117B" w14:textId="35D73A55" w:rsidR="001A75A1" w:rsidRDefault="003B45ED" w:rsidP="001A75A1">
      <w:pPr>
        <w:pStyle w:val="Bulletleft1"/>
      </w:pPr>
      <w:r>
        <w:t>6</w:t>
      </w:r>
      <w:r w:rsidR="001A75A1">
        <w:t xml:space="preserve"> stakeholders supported these proposed indicators.</w:t>
      </w:r>
    </w:p>
    <w:p w14:paraId="7311875D" w14:textId="77777777" w:rsidR="001A75A1" w:rsidRDefault="001A75A1" w:rsidP="001A75A1">
      <w:pPr>
        <w:pStyle w:val="Bulletleft1"/>
        <w:numPr>
          <w:ilvl w:val="0"/>
          <w:numId w:val="0"/>
        </w:numPr>
        <w:ind w:left="284" w:hanging="284"/>
      </w:pPr>
    </w:p>
    <w:p w14:paraId="057CC993" w14:textId="6E63506E" w:rsidR="001A75A1" w:rsidRPr="00672238" w:rsidRDefault="001A75A1" w:rsidP="001A75A1">
      <w:pPr>
        <w:pStyle w:val="Bulletleft1"/>
        <w:numPr>
          <w:ilvl w:val="0"/>
          <w:numId w:val="0"/>
        </w:numPr>
        <w:ind w:left="284" w:hanging="284"/>
        <w:sectPr w:rsidR="001A75A1" w:rsidRPr="00672238" w:rsidSect="009F1902">
          <w:headerReference w:type="default" r:id="rId18"/>
          <w:footerReference w:type="default" r:id="rId19"/>
          <w:pgSz w:w="11907" w:h="16840" w:code="9"/>
          <w:pgMar w:top="1440" w:right="1440" w:bottom="1440" w:left="1440" w:header="709" w:footer="709" w:gutter="0"/>
          <w:pgNumType w:chapStyle="1"/>
          <w:cols w:space="708"/>
          <w:docGrid w:linePitch="360"/>
        </w:sectPr>
      </w:pPr>
    </w:p>
    <w:p w14:paraId="123085F8" w14:textId="563D373C" w:rsidR="00D73835" w:rsidRPr="006375EE" w:rsidRDefault="00D73835" w:rsidP="00511471">
      <w:pPr>
        <w:pStyle w:val="Bulletleft1last"/>
        <w:numPr>
          <w:ilvl w:val="0"/>
          <w:numId w:val="0"/>
        </w:numPr>
        <w:rPr>
          <w:highlight w:val="yellow"/>
        </w:rPr>
      </w:pPr>
    </w:p>
    <w:p w14:paraId="6FD71D8E" w14:textId="6AB3FFEF" w:rsidR="00C130C8" w:rsidRPr="001A75A1" w:rsidRDefault="00C130C8" w:rsidP="00511471">
      <w:pPr>
        <w:pStyle w:val="Heading1"/>
      </w:pPr>
      <w:bookmarkStart w:id="11" w:name="_Toc9949432"/>
      <w:r w:rsidRPr="001A75A1">
        <w:t>Appendix A</w:t>
      </w:r>
      <w:r w:rsidR="00BB716A" w:rsidRPr="001A75A1">
        <w:t>: C</w:t>
      </w:r>
      <w:r w:rsidRPr="001A75A1">
        <w:t>onsultation comments</w:t>
      </w:r>
      <w:bookmarkEnd w:id="11"/>
      <w:r w:rsidRPr="001A75A1">
        <w:t xml:space="preserve"> </w:t>
      </w:r>
    </w:p>
    <w:tbl>
      <w:tblPr>
        <w:tblStyle w:val="TableGrid"/>
        <w:tblW w:w="14884" w:type="dxa"/>
        <w:tblLayout w:type="fixed"/>
        <w:tblLook w:val="0020" w:firstRow="1" w:lastRow="0" w:firstColumn="0" w:lastColumn="0" w:noHBand="0" w:noVBand="0"/>
      </w:tblPr>
      <w:tblGrid>
        <w:gridCol w:w="562"/>
        <w:gridCol w:w="1139"/>
        <w:gridCol w:w="1985"/>
        <w:gridCol w:w="11198"/>
      </w:tblGrid>
      <w:tr w:rsidR="00AB487A" w:rsidRPr="001A75A1" w14:paraId="6A3A7C2A" w14:textId="77777777" w:rsidTr="00773DE6">
        <w:trPr>
          <w:trHeight w:val="316"/>
        </w:trPr>
        <w:tc>
          <w:tcPr>
            <w:tcW w:w="562" w:type="dxa"/>
          </w:tcPr>
          <w:p w14:paraId="20D8A8A7" w14:textId="77777777" w:rsidR="00AB487A" w:rsidRPr="001A75A1" w:rsidRDefault="00AB487A" w:rsidP="00AB487A">
            <w:pPr>
              <w:pStyle w:val="TableText1"/>
              <w:jc w:val="center"/>
              <w:rPr>
                <w:b/>
                <w:sz w:val="20"/>
                <w:szCs w:val="20"/>
              </w:rPr>
            </w:pPr>
            <w:r w:rsidRPr="001A75A1">
              <w:rPr>
                <w:b/>
                <w:sz w:val="20"/>
                <w:szCs w:val="20"/>
              </w:rPr>
              <w:t>ID</w:t>
            </w:r>
          </w:p>
        </w:tc>
        <w:tc>
          <w:tcPr>
            <w:tcW w:w="1139" w:type="dxa"/>
          </w:tcPr>
          <w:p w14:paraId="32CAD8FF" w14:textId="77777777" w:rsidR="00AB487A" w:rsidRPr="001A75A1" w:rsidRDefault="00AB487A" w:rsidP="00AB487A">
            <w:pPr>
              <w:pStyle w:val="TableText1"/>
              <w:rPr>
                <w:b/>
              </w:rPr>
            </w:pPr>
            <w:r w:rsidRPr="001A75A1">
              <w:rPr>
                <w:rFonts w:cs="Arial"/>
                <w:b/>
                <w:bCs/>
                <w:color w:val="000000"/>
                <w:sz w:val="20"/>
                <w:szCs w:val="20"/>
              </w:rPr>
              <w:t>Indicator</w:t>
            </w:r>
          </w:p>
        </w:tc>
        <w:tc>
          <w:tcPr>
            <w:tcW w:w="1985" w:type="dxa"/>
          </w:tcPr>
          <w:p w14:paraId="2AF38FAC" w14:textId="77777777" w:rsidR="00AB487A" w:rsidRPr="001A75A1" w:rsidRDefault="00AB487A" w:rsidP="00AB487A">
            <w:pPr>
              <w:pStyle w:val="TableText1"/>
              <w:rPr>
                <w:b/>
              </w:rPr>
            </w:pPr>
            <w:r w:rsidRPr="001A75A1">
              <w:rPr>
                <w:rFonts w:cs="Arial"/>
                <w:b/>
                <w:bCs/>
                <w:color w:val="000000"/>
                <w:sz w:val="20"/>
                <w:szCs w:val="20"/>
              </w:rPr>
              <w:t>Stakeholder</w:t>
            </w:r>
          </w:p>
        </w:tc>
        <w:tc>
          <w:tcPr>
            <w:tcW w:w="11198" w:type="dxa"/>
          </w:tcPr>
          <w:p w14:paraId="5CDB7593" w14:textId="77777777" w:rsidR="00AB487A" w:rsidRPr="001A75A1" w:rsidRDefault="00AB487A" w:rsidP="00AB487A">
            <w:pPr>
              <w:pStyle w:val="TableText1"/>
              <w:rPr>
                <w:b/>
              </w:rPr>
            </w:pPr>
            <w:r w:rsidRPr="001A75A1">
              <w:rPr>
                <w:rFonts w:cs="Arial"/>
                <w:b/>
                <w:bCs/>
                <w:color w:val="000000"/>
                <w:sz w:val="20"/>
                <w:szCs w:val="20"/>
              </w:rPr>
              <w:t>Comment</w:t>
            </w:r>
          </w:p>
        </w:tc>
      </w:tr>
      <w:tr w:rsidR="001A75A1" w:rsidRPr="006375EE" w14:paraId="30DE252E" w14:textId="77777777" w:rsidTr="00773DE6">
        <w:trPr>
          <w:trHeight w:val="259"/>
        </w:trPr>
        <w:tc>
          <w:tcPr>
            <w:tcW w:w="562" w:type="dxa"/>
          </w:tcPr>
          <w:p w14:paraId="507F7CF0" w14:textId="34F35462" w:rsidR="001A75A1" w:rsidRPr="00C9372C" w:rsidRDefault="00C9372C" w:rsidP="001A75A1">
            <w:pPr>
              <w:pStyle w:val="TableText1"/>
              <w:jc w:val="center"/>
              <w:rPr>
                <w:rFonts w:cs="Arial"/>
                <w:sz w:val="20"/>
                <w:szCs w:val="20"/>
              </w:rPr>
            </w:pPr>
            <w:r w:rsidRPr="00C9372C">
              <w:rPr>
                <w:rFonts w:cs="Arial"/>
                <w:sz w:val="20"/>
                <w:szCs w:val="20"/>
              </w:rPr>
              <w:t>1</w:t>
            </w:r>
          </w:p>
        </w:tc>
        <w:tc>
          <w:tcPr>
            <w:tcW w:w="1139" w:type="dxa"/>
          </w:tcPr>
          <w:p w14:paraId="45E8E904" w14:textId="77777777" w:rsidR="001A75A1" w:rsidRPr="00C9372C" w:rsidRDefault="001A75A1" w:rsidP="001A75A1">
            <w:pPr>
              <w:pStyle w:val="TableText1"/>
              <w:rPr>
                <w:rFonts w:cs="Arial"/>
                <w:szCs w:val="20"/>
              </w:rPr>
            </w:pPr>
            <w:r w:rsidRPr="00C9372C">
              <w:rPr>
                <w:rFonts w:cs="Arial"/>
                <w:color w:val="000000"/>
                <w:sz w:val="20"/>
                <w:szCs w:val="20"/>
              </w:rPr>
              <w:t>General comment</w:t>
            </w:r>
          </w:p>
        </w:tc>
        <w:tc>
          <w:tcPr>
            <w:tcW w:w="1985" w:type="dxa"/>
          </w:tcPr>
          <w:p w14:paraId="13401287" w14:textId="3BD875DF" w:rsidR="001A75A1" w:rsidRPr="00C9372C" w:rsidRDefault="001A75A1" w:rsidP="001A75A1">
            <w:pPr>
              <w:pStyle w:val="TableText1"/>
              <w:rPr>
                <w:rFonts w:cs="Arial"/>
                <w:szCs w:val="20"/>
              </w:rPr>
            </w:pPr>
            <w:r w:rsidRPr="00C9372C">
              <w:rPr>
                <w:rFonts w:cs="Arial"/>
                <w:sz w:val="20"/>
                <w:szCs w:val="20"/>
              </w:rPr>
              <w:t>British HIV Association (BHIVA)</w:t>
            </w:r>
          </w:p>
        </w:tc>
        <w:tc>
          <w:tcPr>
            <w:tcW w:w="11198" w:type="dxa"/>
          </w:tcPr>
          <w:p w14:paraId="6D4F860C" w14:textId="77777777" w:rsidR="001A75A1" w:rsidRPr="00C9372C" w:rsidRDefault="001A75A1" w:rsidP="001A75A1">
            <w:pPr>
              <w:pStyle w:val="Default"/>
              <w:numPr>
                <w:ilvl w:val="0"/>
                <w:numId w:val="63"/>
              </w:numPr>
              <w:rPr>
                <w:rFonts w:ascii="Arial" w:hAnsi="Arial" w:cs="Arial"/>
                <w:b/>
                <w:color w:val="auto"/>
                <w:sz w:val="20"/>
                <w:szCs w:val="20"/>
              </w:rPr>
            </w:pPr>
            <w:r w:rsidRPr="00C9372C">
              <w:rPr>
                <w:rFonts w:ascii="Arial" w:hAnsi="Arial" w:cs="Arial"/>
                <w:b/>
                <w:color w:val="auto"/>
                <w:sz w:val="20"/>
                <w:szCs w:val="20"/>
              </w:rPr>
              <w:t xml:space="preserve">Do you think there are any barriers to implementing the care described by these indicators? </w:t>
            </w:r>
          </w:p>
          <w:p w14:paraId="1ED67D90" w14:textId="77777777" w:rsidR="001A75A1" w:rsidRPr="00C9372C" w:rsidRDefault="001A75A1" w:rsidP="001A75A1">
            <w:pPr>
              <w:pStyle w:val="Default"/>
              <w:ind w:left="360"/>
              <w:rPr>
                <w:rFonts w:ascii="Arial" w:hAnsi="Arial" w:cs="Arial"/>
                <w:color w:val="auto"/>
                <w:sz w:val="20"/>
                <w:szCs w:val="20"/>
              </w:rPr>
            </w:pPr>
            <w:r w:rsidRPr="00C9372C">
              <w:rPr>
                <w:rFonts w:ascii="Arial" w:hAnsi="Arial" w:cs="Arial"/>
                <w:color w:val="auto"/>
                <w:sz w:val="20"/>
                <w:szCs w:val="20"/>
              </w:rPr>
              <w:t>The most obvious issue facing GPs is the unsustainable increase in demand for their time and resources, coupled with a decline in their numbers. Unless this initiative is delivered in such a way that it has little or no impact on the quantity of extra work they are being asked to deliver, it will fail.</w:t>
            </w:r>
          </w:p>
          <w:p w14:paraId="259BB2E3" w14:textId="77777777" w:rsidR="001A75A1" w:rsidRPr="00C9372C" w:rsidRDefault="001A75A1" w:rsidP="001A75A1">
            <w:pPr>
              <w:pStyle w:val="Default"/>
              <w:ind w:left="360"/>
              <w:rPr>
                <w:rFonts w:ascii="Arial" w:hAnsi="Arial" w:cs="Arial"/>
                <w:color w:val="auto"/>
                <w:sz w:val="20"/>
                <w:szCs w:val="20"/>
              </w:rPr>
            </w:pPr>
            <w:r w:rsidRPr="00C9372C">
              <w:rPr>
                <w:rFonts w:ascii="Arial" w:hAnsi="Arial" w:cs="Arial"/>
                <w:color w:val="auto"/>
                <w:sz w:val="20"/>
                <w:szCs w:val="20"/>
              </w:rPr>
              <w:t>One possible solution is to approach this in the same way as antenatal HIV testing, where most testing is done routinely on an opt-out basis by nurses and midwives in GP surgeries. HIV testing could then be done as a routine part of care, with the patient informed when blood is drawn by whoever is doing it.</w:t>
            </w:r>
          </w:p>
          <w:p w14:paraId="1C1370E1" w14:textId="612A836F" w:rsidR="001A75A1" w:rsidRPr="00C9372C" w:rsidRDefault="001A75A1" w:rsidP="001A75A1">
            <w:pPr>
              <w:pStyle w:val="TableText1"/>
              <w:rPr>
                <w:rFonts w:cs="Arial"/>
                <w:szCs w:val="20"/>
              </w:rPr>
            </w:pPr>
            <w:r w:rsidRPr="00C9372C">
              <w:rPr>
                <w:rFonts w:cs="Arial"/>
                <w:sz w:val="20"/>
                <w:szCs w:val="20"/>
              </w:rPr>
              <w:t>The lab costs of the routine opt-out tests must also not penalise GPs who participate. If these match the antenatal HIV screening costs, rather than are charged as stand-alone HIV testing costs, this will help.</w:t>
            </w:r>
          </w:p>
        </w:tc>
      </w:tr>
      <w:tr w:rsidR="001A75A1" w:rsidRPr="006375EE" w14:paraId="4A7A4D7B" w14:textId="77777777" w:rsidTr="00773DE6">
        <w:tc>
          <w:tcPr>
            <w:tcW w:w="562" w:type="dxa"/>
          </w:tcPr>
          <w:p w14:paraId="55452D73" w14:textId="75F8F0F7" w:rsidR="001A75A1" w:rsidRPr="00C9372C" w:rsidRDefault="00C9372C" w:rsidP="001A75A1">
            <w:pPr>
              <w:pStyle w:val="TableText1"/>
              <w:jc w:val="center"/>
              <w:rPr>
                <w:rFonts w:cs="Arial"/>
                <w:sz w:val="20"/>
                <w:szCs w:val="20"/>
              </w:rPr>
            </w:pPr>
            <w:r w:rsidRPr="00C9372C">
              <w:rPr>
                <w:rFonts w:cs="Arial"/>
                <w:sz w:val="20"/>
                <w:szCs w:val="20"/>
              </w:rPr>
              <w:t>2</w:t>
            </w:r>
          </w:p>
        </w:tc>
        <w:tc>
          <w:tcPr>
            <w:tcW w:w="1139" w:type="dxa"/>
          </w:tcPr>
          <w:p w14:paraId="59ED8984" w14:textId="77777777" w:rsidR="001A75A1" w:rsidRPr="00C9372C" w:rsidRDefault="001A75A1" w:rsidP="001A75A1">
            <w:pPr>
              <w:pStyle w:val="TableText1"/>
              <w:rPr>
                <w:rFonts w:cs="Arial"/>
                <w:szCs w:val="20"/>
              </w:rPr>
            </w:pPr>
            <w:r w:rsidRPr="00C9372C">
              <w:rPr>
                <w:rFonts w:cs="Arial"/>
                <w:color w:val="000000"/>
                <w:sz w:val="20"/>
                <w:szCs w:val="20"/>
              </w:rPr>
              <w:t>General comment</w:t>
            </w:r>
          </w:p>
        </w:tc>
        <w:tc>
          <w:tcPr>
            <w:tcW w:w="1985" w:type="dxa"/>
          </w:tcPr>
          <w:p w14:paraId="08C166A5" w14:textId="3F2C4539" w:rsidR="001A75A1" w:rsidRPr="00C9372C" w:rsidRDefault="001A75A1" w:rsidP="001A75A1">
            <w:pPr>
              <w:pStyle w:val="TableText1"/>
              <w:rPr>
                <w:rFonts w:cs="Arial"/>
                <w:szCs w:val="20"/>
              </w:rPr>
            </w:pPr>
            <w:r w:rsidRPr="00C9372C">
              <w:rPr>
                <w:rFonts w:cs="Arial"/>
                <w:sz w:val="20"/>
                <w:szCs w:val="20"/>
              </w:rPr>
              <w:t>British HIV Association (BHIVA)</w:t>
            </w:r>
          </w:p>
        </w:tc>
        <w:tc>
          <w:tcPr>
            <w:tcW w:w="11198" w:type="dxa"/>
          </w:tcPr>
          <w:p w14:paraId="62CE4964" w14:textId="77777777" w:rsidR="001A75A1" w:rsidRPr="00C9372C" w:rsidRDefault="001A75A1" w:rsidP="001A75A1">
            <w:pPr>
              <w:pStyle w:val="Default"/>
              <w:numPr>
                <w:ilvl w:val="0"/>
                <w:numId w:val="63"/>
              </w:numPr>
              <w:rPr>
                <w:rFonts w:ascii="Arial" w:hAnsi="Arial" w:cs="Arial"/>
                <w:color w:val="auto"/>
                <w:sz w:val="20"/>
                <w:szCs w:val="20"/>
              </w:rPr>
            </w:pPr>
            <w:r w:rsidRPr="00C9372C">
              <w:rPr>
                <w:rFonts w:ascii="Arial" w:hAnsi="Arial" w:cs="Arial"/>
                <w:b/>
                <w:color w:val="auto"/>
                <w:sz w:val="20"/>
                <w:szCs w:val="20"/>
              </w:rPr>
              <w:t>Do you think there are potential unintended consequences to implementing/ using any of these indicators</w:t>
            </w:r>
            <w:r w:rsidRPr="00C9372C">
              <w:rPr>
                <w:rFonts w:ascii="Arial" w:hAnsi="Arial" w:cs="Arial"/>
                <w:color w:val="auto"/>
                <w:sz w:val="20"/>
                <w:szCs w:val="20"/>
              </w:rPr>
              <w:t xml:space="preserve">? </w:t>
            </w:r>
          </w:p>
          <w:p w14:paraId="7E8B8BAC" w14:textId="1EE2704D" w:rsidR="001A75A1" w:rsidRPr="00C9372C" w:rsidRDefault="001A75A1" w:rsidP="001A75A1">
            <w:pPr>
              <w:pStyle w:val="TableText1"/>
              <w:rPr>
                <w:rFonts w:cs="Arial"/>
                <w:szCs w:val="20"/>
              </w:rPr>
            </w:pPr>
            <w:r w:rsidRPr="00C9372C">
              <w:rPr>
                <w:rFonts w:cs="Arial"/>
                <w:sz w:val="20"/>
                <w:szCs w:val="20"/>
              </w:rPr>
              <w:t>Making HIV testing part of routine practice for patients who are having a blood test will help destigmatise HIV testing and reduce undiagnosed HIV. One effect of this initiative over time could be the reduction in new positive diagnoses, which may lead some to question the value of testing for what will then be becoming an increasingly rare problem.</w:t>
            </w:r>
          </w:p>
        </w:tc>
      </w:tr>
      <w:tr w:rsidR="001A75A1" w:rsidRPr="006375EE" w14:paraId="2BF40E2D" w14:textId="77777777" w:rsidTr="00773DE6">
        <w:tc>
          <w:tcPr>
            <w:tcW w:w="562" w:type="dxa"/>
          </w:tcPr>
          <w:p w14:paraId="40469552" w14:textId="6A412ADD" w:rsidR="001A75A1" w:rsidRPr="00C9372C" w:rsidRDefault="00C9372C" w:rsidP="001A75A1">
            <w:pPr>
              <w:pStyle w:val="TableText1"/>
              <w:jc w:val="center"/>
              <w:rPr>
                <w:rFonts w:cs="Arial"/>
                <w:sz w:val="20"/>
                <w:szCs w:val="20"/>
              </w:rPr>
            </w:pPr>
            <w:r w:rsidRPr="00C9372C">
              <w:rPr>
                <w:rFonts w:cs="Arial"/>
                <w:sz w:val="20"/>
                <w:szCs w:val="20"/>
              </w:rPr>
              <w:t>3</w:t>
            </w:r>
          </w:p>
        </w:tc>
        <w:tc>
          <w:tcPr>
            <w:tcW w:w="1139" w:type="dxa"/>
          </w:tcPr>
          <w:p w14:paraId="6EDB51BD" w14:textId="2734A38C" w:rsidR="001A75A1" w:rsidRPr="00C9372C" w:rsidRDefault="001A75A1" w:rsidP="001A75A1">
            <w:pPr>
              <w:pStyle w:val="TableText1"/>
              <w:rPr>
                <w:rFonts w:cs="Arial"/>
                <w:color w:val="000000"/>
                <w:sz w:val="20"/>
                <w:szCs w:val="20"/>
              </w:rPr>
            </w:pPr>
            <w:r w:rsidRPr="00C9372C">
              <w:rPr>
                <w:rFonts w:cs="Arial"/>
                <w:color w:val="000000"/>
                <w:sz w:val="20"/>
                <w:szCs w:val="20"/>
              </w:rPr>
              <w:t>General comment</w:t>
            </w:r>
          </w:p>
        </w:tc>
        <w:tc>
          <w:tcPr>
            <w:tcW w:w="1985" w:type="dxa"/>
          </w:tcPr>
          <w:p w14:paraId="6EDBAF87" w14:textId="6FFAEDD2" w:rsidR="001A75A1" w:rsidRPr="00C9372C" w:rsidRDefault="001A75A1" w:rsidP="001A75A1">
            <w:pPr>
              <w:pStyle w:val="TableText1"/>
              <w:rPr>
                <w:rFonts w:cs="Arial"/>
                <w:color w:val="000000"/>
                <w:sz w:val="20"/>
                <w:szCs w:val="20"/>
              </w:rPr>
            </w:pPr>
            <w:r w:rsidRPr="00C9372C">
              <w:rPr>
                <w:rFonts w:cs="Arial"/>
                <w:sz w:val="20"/>
                <w:szCs w:val="20"/>
              </w:rPr>
              <w:t>British HIV Association (BHIVA)</w:t>
            </w:r>
          </w:p>
        </w:tc>
        <w:tc>
          <w:tcPr>
            <w:tcW w:w="11198" w:type="dxa"/>
          </w:tcPr>
          <w:p w14:paraId="088285CE" w14:textId="77777777" w:rsidR="001A75A1" w:rsidRPr="00C9372C" w:rsidRDefault="001A75A1" w:rsidP="001A75A1">
            <w:pPr>
              <w:pStyle w:val="Default"/>
              <w:numPr>
                <w:ilvl w:val="0"/>
                <w:numId w:val="63"/>
              </w:numPr>
              <w:rPr>
                <w:rFonts w:ascii="Arial" w:hAnsi="Arial" w:cs="Arial"/>
                <w:b/>
                <w:color w:val="auto"/>
                <w:sz w:val="20"/>
                <w:szCs w:val="20"/>
              </w:rPr>
            </w:pPr>
            <w:r w:rsidRPr="00C9372C">
              <w:rPr>
                <w:rFonts w:ascii="Arial" w:hAnsi="Arial" w:cs="Arial"/>
                <w:b/>
                <w:color w:val="auto"/>
                <w:sz w:val="20"/>
                <w:szCs w:val="20"/>
              </w:rPr>
              <w:t xml:space="preserve">Do you think there is potential for differential impact (in respect of age, disability, gender and gender reassignment, pregnancy and maternity, race, religion or belief, and sexual orientation)? If so, please state whether this is adverse or positive and for which group. </w:t>
            </w:r>
          </w:p>
          <w:p w14:paraId="7CE9AF39" w14:textId="1253F4B3" w:rsidR="001A75A1" w:rsidRPr="00C9372C" w:rsidRDefault="001A75A1" w:rsidP="001A75A1">
            <w:pPr>
              <w:pStyle w:val="TableText1"/>
              <w:rPr>
                <w:rFonts w:cs="Arial"/>
                <w:color w:val="000000"/>
                <w:sz w:val="20"/>
                <w:szCs w:val="20"/>
              </w:rPr>
            </w:pPr>
            <w:r w:rsidRPr="00C9372C">
              <w:rPr>
                <w:rFonts w:cs="Arial"/>
                <w:sz w:val="20"/>
                <w:szCs w:val="20"/>
              </w:rPr>
              <w:t>Not if the testing is communicated as being part of routine practice and takes place in areas defined by evidence of high prevalence.</w:t>
            </w:r>
          </w:p>
        </w:tc>
      </w:tr>
      <w:tr w:rsidR="001A75A1" w:rsidRPr="006375EE" w14:paraId="4E7DDB19" w14:textId="77777777" w:rsidTr="00773DE6">
        <w:tc>
          <w:tcPr>
            <w:tcW w:w="562" w:type="dxa"/>
          </w:tcPr>
          <w:p w14:paraId="5373E5A1" w14:textId="6116594B" w:rsidR="001A75A1" w:rsidRPr="00C9372C" w:rsidRDefault="00C9372C" w:rsidP="001A75A1">
            <w:pPr>
              <w:pStyle w:val="TableText1"/>
              <w:jc w:val="center"/>
              <w:rPr>
                <w:rFonts w:cs="Arial"/>
                <w:sz w:val="20"/>
                <w:szCs w:val="20"/>
              </w:rPr>
            </w:pPr>
            <w:r w:rsidRPr="00C9372C">
              <w:rPr>
                <w:rFonts w:cs="Arial"/>
                <w:sz w:val="20"/>
                <w:szCs w:val="20"/>
              </w:rPr>
              <w:t>4</w:t>
            </w:r>
          </w:p>
        </w:tc>
        <w:tc>
          <w:tcPr>
            <w:tcW w:w="1139" w:type="dxa"/>
          </w:tcPr>
          <w:p w14:paraId="203D220A" w14:textId="2972FF1D" w:rsidR="001A75A1" w:rsidRPr="00C9372C" w:rsidRDefault="001A75A1" w:rsidP="001A75A1">
            <w:pPr>
              <w:pStyle w:val="TableText1"/>
              <w:rPr>
                <w:rFonts w:cs="Arial"/>
                <w:color w:val="000000"/>
                <w:sz w:val="20"/>
                <w:szCs w:val="20"/>
              </w:rPr>
            </w:pPr>
            <w:r w:rsidRPr="00C9372C">
              <w:rPr>
                <w:rFonts w:cs="Arial"/>
                <w:color w:val="000000"/>
                <w:sz w:val="20"/>
                <w:szCs w:val="20"/>
              </w:rPr>
              <w:t>General comment</w:t>
            </w:r>
          </w:p>
        </w:tc>
        <w:tc>
          <w:tcPr>
            <w:tcW w:w="1985" w:type="dxa"/>
          </w:tcPr>
          <w:p w14:paraId="644F9739" w14:textId="39DF27BB" w:rsidR="001A75A1" w:rsidRPr="00C9372C" w:rsidRDefault="001A75A1" w:rsidP="001A75A1">
            <w:pPr>
              <w:pStyle w:val="TableText1"/>
              <w:rPr>
                <w:rFonts w:cs="Arial"/>
                <w:color w:val="000000"/>
                <w:sz w:val="20"/>
                <w:szCs w:val="20"/>
              </w:rPr>
            </w:pPr>
            <w:r w:rsidRPr="00C9372C">
              <w:rPr>
                <w:rFonts w:cs="Arial"/>
                <w:sz w:val="20"/>
                <w:szCs w:val="20"/>
              </w:rPr>
              <w:t>British HIV Association (BHIVA)</w:t>
            </w:r>
          </w:p>
        </w:tc>
        <w:tc>
          <w:tcPr>
            <w:tcW w:w="11198" w:type="dxa"/>
          </w:tcPr>
          <w:p w14:paraId="41040D52" w14:textId="77777777" w:rsidR="001A75A1" w:rsidRPr="00C9372C" w:rsidRDefault="001A75A1" w:rsidP="001A75A1">
            <w:pPr>
              <w:pStyle w:val="Default"/>
              <w:numPr>
                <w:ilvl w:val="0"/>
                <w:numId w:val="63"/>
              </w:numPr>
              <w:rPr>
                <w:rFonts w:ascii="Arial" w:hAnsi="Arial" w:cs="Arial"/>
                <w:b/>
                <w:color w:val="auto"/>
                <w:sz w:val="20"/>
                <w:szCs w:val="20"/>
              </w:rPr>
            </w:pPr>
            <w:r w:rsidRPr="00C9372C">
              <w:rPr>
                <w:rFonts w:ascii="Arial" w:hAnsi="Arial" w:cs="Arial"/>
                <w:b/>
                <w:color w:val="auto"/>
                <w:sz w:val="20"/>
                <w:szCs w:val="20"/>
              </w:rPr>
              <w:t xml:space="preserve">If you think any of these indicators may have an adverse impact in different groups in the community, can you suggest how the indicator might be delivered differently to different groups to reduce health inequalities? </w:t>
            </w:r>
          </w:p>
          <w:p w14:paraId="537FDB34" w14:textId="77777777" w:rsidR="001A75A1" w:rsidRPr="00C9372C" w:rsidRDefault="001A75A1" w:rsidP="001A75A1">
            <w:pPr>
              <w:pStyle w:val="Default"/>
              <w:ind w:left="720"/>
              <w:rPr>
                <w:rFonts w:ascii="Arial" w:hAnsi="Arial" w:cs="Arial"/>
                <w:color w:val="auto"/>
                <w:sz w:val="20"/>
                <w:szCs w:val="20"/>
              </w:rPr>
            </w:pPr>
          </w:p>
          <w:p w14:paraId="5C694B62" w14:textId="6B09409D" w:rsidR="001A75A1" w:rsidRPr="00C9372C" w:rsidRDefault="001A75A1" w:rsidP="001A75A1">
            <w:pPr>
              <w:pStyle w:val="TableText1"/>
              <w:rPr>
                <w:rFonts w:cs="Arial"/>
                <w:color w:val="000000"/>
                <w:sz w:val="20"/>
                <w:szCs w:val="20"/>
              </w:rPr>
            </w:pPr>
            <w:r w:rsidRPr="00C9372C">
              <w:rPr>
                <w:rFonts w:cs="Arial"/>
                <w:sz w:val="20"/>
                <w:szCs w:val="20"/>
              </w:rPr>
              <w:t>Not if the testing is communicated as being part of routine practice and takes place in areas defined by evidence of high prevalence. Withholding testing from stigmatised groups in society doesn’t help anyone.</w:t>
            </w:r>
          </w:p>
        </w:tc>
      </w:tr>
      <w:tr w:rsidR="001A75A1" w:rsidRPr="006375EE" w14:paraId="7FB81CCE" w14:textId="77777777" w:rsidTr="00773DE6">
        <w:tc>
          <w:tcPr>
            <w:tcW w:w="562" w:type="dxa"/>
          </w:tcPr>
          <w:p w14:paraId="63D204EE" w14:textId="316C7980" w:rsidR="001A75A1" w:rsidRPr="00C9372C" w:rsidRDefault="00C9372C" w:rsidP="001A75A1">
            <w:pPr>
              <w:pStyle w:val="TableText1"/>
              <w:jc w:val="center"/>
              <w:rPr>
                <w:rFonts w:cs="Arial"/>
                <w:sz w:val="20"/>
                <w:szCs w:val="20"/>
              </w:rPr>
            </w:pPr>
            <w:r w:rsidRPr="00C9372C">
              <w:rPr>
                <w:rFonts w:cs="Arial"/>
                <w:sz w:val="20"/>
                <w:szCs w:val="20"/>
              </w:rPr>
              <w:t>5</w:t>
            </w:r>
          </w:p>
        </w:tc>
        <w:tc>
          <w:tcPr>
            <w:tcW w:w="1139" w:type="dxa"/>
          </w:tcPr>
          <w:p w14:paraId="0B141BAB" w14:textId="3BB1B96D" w:rsidR="001A75A1" w:rsidRPr="00C9372C" w:rsidRDefault="001A75A1" w:rsidP="001A75A1">
            <w:pPr>
              <w:pStyle w:val="TableText1"/>
              <w:rPr>
                <w:rFonts w:cs="Arial"/>
                <w:color w:val="000000"/>
                <w:sz w:val="20"/>
                <w:szCs w:val="20"/>
              </w:rPr>
            </w:pPr>
            <w:r w:rsidRPr="00C9372C">
              <w:rPr>
                <w:rFonts w:cs="Arial"/>
                <w:color w:val="000000"/>
                <w:sz w:val="20"/>
                <w:szCs w:val="20"/>
              </w:rPr>
              <w:t>General comment</w:t>
            </w:r>
          </w:p>
        </w:tc>
        <w:tc>
          <w:tcPr>
            <w:tcW w:w="1985" w:type="dxa"/>
          </w:tcPr>
          <w:p w14:paraId="1D76369B" w14:textId="298366B9" w:rsidR="001A75A1" w:rsidRPr="00C9372C" w:rsidRDefault="001A75A1" w:rsidP="001A75A1">
            <w:pPr>
              <w:pStyle w:val="TableText1"/>
              <w:rPr>
                <w:rFonts w:cs="Arial"/>
                <w:color w:val="000000"/>
                <w:sz w:val="20"/>
                <w:szCs w:val="20"/>
              </w:rPr>
            </w:pPr>
            <w:r w:rsidRPr="00C9372C">
              <w:rPr>
                <w:rFonts w:cs="Arial"/>
                <w:sz w:val="20"/>
                <w:szCs w:val="20"/>
              </w:rPr>
              <w:t>British Infection Association</w:t>
            </w:r>
          </w:p>
        </w:tc>
        <w:tc>
          <w:tcPr>
            <w:tcW w:w="11198" w:type="dxa"/>
          </w:tcPr>
          <w:p w14:paraId="5B1996B9" w14:textId="31088F5D" w:rsidR="001A75A1" w:rsidRPr="00C9372C" w:rsidRDefault="001A75A1" w:rsidP="001A75A1">
            <w:pPr>
              <w:pStyle w:val="TableText1"/>
              <w:rPr>
                <w:rFonts w:cs="Arial"/>
                <w:color w:val="000000"/>
                <w:sz w:val="20"/>
                <w:szCs w:val="20"/>
              </w:rPr>
            </w:pPr>
            <w:r w:rsidRPr="00C9372C">
              <w:rPr>
                <w:rFonts w:cs="Arial"/>
                <w:sz w:val="20"/>
                <w:szCs w:val="20"/>
              </w:rPr>
              <w:t>We strongly support this indicator to encourage increased HIV testing.</w:t>
            </w:r>
          </w:p>
        </w:tc>
      </w:tr>
      <w:tr w:rsidR="001A75A1" w:rsidRPr="006375EE" w14:paraId="4A220181" w14:textId="77777777" w:rsidTr="00773DE6">
        <w:tc>
          <w:tcPr>
            <w:tcW w:w="562" w:type="dxa"/>
          </w:tcPr>
          <w:p w14:paraId="25F6AA2F" w14:textId="297DE284" w:rsidR="001A75A1" w:rsidRPr="00C9372C" w:rsidRDefault="00C9372C" w:rsidP="001A75A1">
            <w:pPr>
              <w:pStyle w:val="TableText1"/>
              <w:jc w:val="center"/>
              <w:rPr>
                <w:rFonts w:cs="Arial"/>
                <w:sz w:val="20"/>
                <w:szCs w:val="20"/>
              </w:rPr>
            </w:pPr>
            <w:r w:rsidRPr="00C9372C">
              <w:rPr>
                <w:rFonts w:cs="Arial"/>
                <w:sz w:val="20"/>
                <w:szCs w:val="20"/>
              </w:rPr>
              <w:t>6</w:t>
            </w:r>
          </w:p>
        </w:tc>
        <w:tc>
          <w:tcPr>
            <w:tcW w:w="1139" w:type="dxa"/>
          </w:tcPr>
          <w:p w14:paraId="02EB9FA6" w14:textId="2C2365C9" w:rsidR="001A75A1" w:rsidRPr="00C9372C" w:rsidRDefault="001A75A1" w:rsidP="001A75A1">
            <w:pPr>
              <w:pStyle w:val="TableText1"/>
              <w:rPr>
                <w:rFonts w:cs="Arial"/>
                <w:color w:val="000000"/>
                <w:sz w:val="20"/>
                <w:szCs w:val="20"/>
              </w:rPr>
            </w:pPr>
            <w:r w:rsidRPr="00C9372C">
              <w:rPr>
                <w:rFonts w:cs="Arial"/>
                <w:color w:val="000000"/>
                <w:sz w:val="20"/>
                <w:szCs w:val="20"/>
              </w:rPr>
              <w:t>General comment</w:t>
            </w:r>
          </w:p>
        </w:tc>
        <w:tc>
          <w:tcPr>
            <w:tcW w:w="1985" w:type="dxa"/>
          </w:tcPr>
          <w:p w14:paraId="24585D3A" w14:textId="737EADDB" w:rsidR="001A75A1" w:rsidRPr="00C9372C" w:rsidRDefault="001A75A1" w:rsidP="001A75A1">
            <w:pPr>
              <w:pStyle w:val="TableText1"/>
              <w:rPr>
                <w:rFonts w:cs="Arial"/>
                <w:sz w:val="20"/>
                <w:szCs w:val="20"/>
              </w:rPr>
            </w:pPr>
            <w:r w:rsidRPr="00C9372C">
              <w:rPr>
                <w:rFonts w:cs="Arial"/>
                <w:sz w:val="20"/>
                <w:szCs w:val="20"/>
              </w:rPr>
              <w:t>Chelsea and Westminster NHS Foundation Trust - HIV Clinical Reference Group</w:t>
            </w:r>
          </w:p>
        </w:tc>
        <w:tc>
          <w:tcPr>
            <w:tcW w:w="11198" w:type="dxa"/>
          </w:tcPr>
          <w:p w14:paraId="6CFD3D35" w14:textId="5DE0B28D" w:rsidR="001A75A1" w:rsidRPr="00C9372C" w:rsidRDefault="001A75A1" w:rsidP="001A75A1">
            <w:pPr>
              <w:pStyle w:val="TableText1"/>
              <w:rPr>
                <w:rFonts w:cs="Arial"/>
                <w:sz w:val="20"/>
                <w:szCs w:val="20"/>
              </w:rPr>
            </w:pPr>
            <w:r w:rsidRPr="00C9372C">
              <w:rPr>
                <w:rFonts w:cs="Arial"/>
                <w:sz w:val="20"/>
                <w:szCs w:val="20"/>
              </w:rPr>
              <w:t>HIV CRG supports these indicators although we understand that many challenges remain in their implementation. There is now a large evidence base supporting best practice relating to HIV testing in primary care and we hope that these indicators will support the expansion and maintenance of such testing.</w:t>
            </w:r>
          </w:p>
        </w:tc>
      </w:tr>
      <w:tr w:rsidR="001A75A1" w:rsidRPr="006375EE" w14:paraId="2FE4B81D" w14:textId="77777777" w:rsidTr="00773DE6">
        <w:tc>
          <w:tcPr>
            <w:tcW w:w="562" w:type="dxa"/>
          </w:tcPr>
          <w:p w14:paraId="477A250B" w14:textId="5D67B293" w:rsidR="001A75A1" w:rsidRPr="00C9372C" w:rsidRDefault="00C9372C" w:rsidP="001A75A1">
            <w:pPr>
              <w:pStyle w:val="TableText1"/>
              <w:jc w:val="center"/>
              <w:rPr>
                <w:rFonts w:cs="Arial"/>
                <w:sz w:val="20"/>
                <w:szCs w:val="20"/>
              </w:rPr>
            </w:pPr>
            <w:r w:rsidRPr="00C9372C">
              <w:rPr>
                <w:rFonts w:cs="Arial"/>
                <w:sz w:val="20"/>
                <w:szCs w:val="20"/>
              </w:rPr>
              <w:lastRenderedPageBreak/>
              <w:t>7</w:t>
            </w:r>
          </w:p>
        </w:tc>
        <w:tc>
          <w:tcPr>
            <w:tcW w:w="1139" w:type="dxa"/>
          </w:tcPr>
          <w:p w14:paraId="33EBE226" w14:textId="6504AC08" w:rsidR="001A75A1" w:rsidRPr="00C9372C" w:rsidRDefault="001A75A1" w:rsidP="001A75A1">
            <w:pPr>
              <w:pStyle w:val="TableText1"/>
              <w:rPr>
                <w:rFonts w:cs="Arial"/>
                <w:color w:val="000000"/>
                <w:sz w:val="20"/>
                <w:szCs w:val="20"/>
              </w:rPr>
            </w:pPr>
            <w:r w:rsidRPr="00C9372C">
              <w:rPr>
                <w:rFonts w:cs="Arial"/>
                <w:color w:val="000000"/>
                <w:sz w:val="20"/>
                <w:szCs w:val="20"/>
              </w:rPr>
              <w:t>General comment</w:t>
            </w:r>
          </w:p>
        </w:tc>
        <w:tc>
          <w:tcPr>
            <w:tcW w:w="1985" w:type="dxa"/>
          </w:tcPr>
          <w:p w14:paraId="7B4FACC2" w14:textId="476AC1D9" w:rsidR="001A75A1" w:rsidRPr="00C9372C" w:rsidRDefault="001A75A1" w:rsidP="001A75A1">
            <w:pPr>
              <w:pStyle w:val="TableText1"/>
              <w:rPr>
                <w:rFonts w:cs="Arial"/>
                <w:sz w:val="20"/>
                <w:szCs w:val="20"/>
              </w:rPr>
            </w:pPr>
            <w:r w:rsidRPr="00C9372C">
              <w:rPr>
                <w:rFonts w:cs="Arial"/>
                <w:sz w:val="20"/>
                <w:szCs w:val="20"/>
              </w:rPr>
              <w:t>Coventry City Council, Public Health</w:t>
            </w:r>
          </w:p>
        </w:tc>
        <w:tc>
          <w:tcPr>
            <w:tcW w:w="11198" w:type="dxa"/>
          </w:tcPr>
          <w:p w14:paraId="659B864F" w14:textId="77777777" w:rsidR="001A75A1" w:rsidRPr="00C9372C" w:rsidRDefault="001A75A1" w:rsidP="001A75A1">
            <w:pPr>
              <w:rPr>
                <w:rFonts w:ascii="Arial" w:hAnsi="Arial" w:cs="Arial"/>
                <w:sz w:val="20"/>
                <w:szCs w:val="20"/>
              </w:rPr>
            </w:pPr>
            <w:r w:rsidRPr="00C9372C">
              <w:rPr>
                <w:rFonts w:ascii="Arial" w:hAnsi="Arial" w:cs="Arial"/>
                <w:sz w:val="20"/>
                <w:szCs w:val="20"/>
              </w:rPr>
              <w:t xml:space="preserve">Whilst we are very supportive of the indicator being used, it looks like it will not be part of the national QOF scheme, and so it is likely for local CCGs to decide if they wish to incentivise it locally. We would be interested in how national support for encouraging CCGs to do this could be provided, as we think it may help us get local support for it. </w:t>
            </w:r>
          </w:p>
          <w:p w14:paraId="1A7C74CB" w14:textId="77777777" w:rsidR="001A75A1" w:rsidRPr="00C9372C" w:rsidRDefault="001A75A1" w:rsidP="001A75A1">
            <w:pPr>
              <w:rPr>
                <w:rFonts w:ascii="Arial" w:hAnsi="Arial" w:cs="Arial"/>
                <w:sz w:val="20"/>
                <w:szCs w:val="20"/>
              </w:rPr>
            </w:pPr>
          </w:p>
          <w:p w14:paraId="3AA39054" w14:textId="4D22390C" w:rsidR="001A75A1" w:rsidRPr="00C9372C" w:rsidRDefault="001A75A1" w:rsidP="00C9372C">
            <w:pPr>
              <w:rPr>
                <w:rFonts w:ascii="Arial" w:hAnsi="Arial" w:cs="Arial"/>
                <w:sz w:val="20"/>
                <w:szCs w:val="20"/>
              </w:rPr>
            </w:pPr>
            <w:r w:rsidRPr="00C9372C">
              <w:rPr>
                <w:rFonts w:ascii="Arial" w:hAnsi="Arial" w:cs="Arial"/>
                <w:sz w:val="20"/>
                <w:szCs w:val="20"/>
              </w:rPr>
              <w:t xml:space="preserve">Overall our feedback is really one of support, but a caution that there needs to be national support and encouragement for CCGs to take this up. </w:t>
            </w:r>
          </w:p>
        </w:tc>
      </w:tr>
      <w:tr w:rsidR="001A75A1" w:rsidRPr="006375EE" w14:paraId="0A935900" w14:textId="77777777" w:rsidTr="00773DE6">
        <w:tc>
          <w:tcPr>
            <w:tcW w:w="562" w:type="dxa"/>
          </w:tcPr>
          <w:p w14:paraId="0F404606" w14:textId="6E3A9C53" w:rsidR="001A75A1" w:rsidRPr="00C9372C" w:rsidRDefault="00C9372C" w:rsidP="001A75A1">
            <w:pPr>
              <w:pStyle w:val="TableText1"/>
              <w:jc w:val="center"/>
              <w:rPr>
                <w:rFonts w:cs="Arial"/>
                <w:sz w:val="20"/>
                <w:szCs w:val="20"/>
              </w:rPr>
            </w:pPr>
            <w:r w:rsidRPr="00C9372C">
              <w:rPr>
                <w:rFonts w:cs="Arial"/>
                <w:sz w:val="20"/>
                <w:szCs w:val="20"/>
              </w:rPr>
              <w:t>8</w:t>
            </w:r>
          </w:p>
        </w:tc>
        <w:tc>
          <w:tcPr>
            <w:tcW w:w="1139" w:type="dxa"/>
          </w:tcPr>
          <w:p w14:paraId="2FCB1033" w14:textId="7F488AD7" w:rsidR="001A75A1" w:rsidRPr="00C9372C" w:rsidRDefault="001A75A1" w:rsidP="001A75A1">
            <w:pPr>
              <w:pStyle w:val="TableText1"/>
              <w:rPr>
                <w:rFonts w:cs="Arial"/>
                <w:color w:val="000000"/>
                <w:sz w:val="20"/>
                <w:szCs w:val="20"/>
              </w:rPr>
            </w:pPr>
            <w:r w:rsidRPr="00C9372C">
              <w:rPr>
                <w:rFonts w:cs="Arial"/>
                <w:color w:val="000000"/>
                <w:sz w:val="20"/>
                <w:szCs w:val="20"/>
              </w:rPr>
              <w:t>General comment</w:t>
            </w:r>
          </w:p>
        </w:tc>
        <w:tc>
          <w:tcPr>
            <w:tcW w:w="1985" w:type="dxa"/>
          </w:tcPr>
          <w:p w14:paraId="1C393AF6" w14:textId="518FA4D7" w:rsidR="001A75A1" w:rsidRPr="00C9372C" w:rsidRDefault="001A75A1" w:rsidP="001A75A1">
            <w:pPr>
              <w:pStyle w:val="TableText1"/>
              <w:rPr>
                <w:rFonts w:cs="Arial"/>
                <w:sz w:val="20"/>
                <w:szCs w:val="20"/>
              </w:rPr>
            </w:pPr>
            <w:r w:rsidRPr="00C9372C">
              <w:rPr>
                <w:rFonts w:cs="Arial"/>
                <w:sz w:val="20"/>
                <w:szCs w:val="20"/>
              </w:rPr>
              <w:t>National AIDS Trust</w:t>
            </w:r>
          </w:p>
        </w:tc>
        <w:tc>
          <w:tcPr>
            <w:tcW w:w="11198" w:type="dxa"/>
          </w:tcPr>
          <w:p w14:paraId="5A97BF50" w14:textId="0EB3A9D8" w:rsidR="001A75A1" w:rsidRPr="00C9372C" w:rsidRDefault="001A75A1" w:rsidP="001A75A1">
            <w:pPr>
              <w:pStyle w:val="TableText1"/>
              <w:rPr>
                <w:rFonts w:cs="Arial"/>
                <w:sz w:val="20"/>
                <w:szCs w:val="20"/>
              </w:rPr>
            </w:pPr>
            <w:r w:rsidRPr="00C9372C">
              <w:rPr>
                <w:rFonts w:cs="Arial"/>
                <w:sz w:val="20"/>
                <w:szCs w:val="20"/>
              </w:rPr>
              <w:t>NAT strongly supports the two proposed indicators relating to HIV testing in primary care.</w:t>
            </w:r>
          </w:p>
        </w:tc>
      </w:tr>
      <w:tr w:rsidR="003B45ED" w:rsidRPr="006375EE" w14:paraId="2ADE1FB3" w14:textId="77777777" w:rsidTr="00773DE6">
        <w:tc>
          <w:tcPr>
            <w:tcW w:w="562" w:type="dxa"/>
          </w:tcPr>
          <w:p w14:paraId="10B4AE8E" w14:textId="18E046DE" w:rsidR="003B45ED" w:rsidRPr="00C9372C" w:rsidRDefault="00513E74" w:rsidP="003B45ED">
            <w:pPr>
              <w:pStyle w:val="TableText1"/>
              <w:jc w:val="center"/>
              <w:rPr>
                <w:rFonts w:cs="Arial"/>
                <w:sz w:val="20"/>
                <w:szCs w:val="20"/>
              </w:rPr>
            </w:pPr>
            <w:r>
              <w:rPr>
                <w:rFonts w:cs="Arial"/>
                <w:sz w:val="20"/>
                <w:szCs w:val="20"/>
              </w:rPr>
              <w:t>9</w:t>
            </w:r>
          </w:p>
        </w:tc>
        <w:tc>
          <w:tcPr>
            <w:tcW w:w="1139" w:type="dxa"/>
          </w:tcPr>
          <w:p w14:paraId="7E994271" w14:textId="1103C497" w:rsidR="003B45ED" w:rsidRPr="00C9372C" w:rsidRDefault="003B45ED" w:rsidP="003B45ED">
            <w:pPr>
              <w:pStyle w:val="TableText1"/>
              <w:rPr>
                <w:rFonts w:cs="Arial"/>
                <w:color w:val="000000"/>
                <w:sz w:val="20"/>
                <w:szCs w:val="20"/>
              </w:rPr>
            </w:pPr>
            <w:r w:rsidRPr="00C9372C">
              <w:rPr>
                <w:rFonts w:cs="Arial"/>
                <w:color w:val="000000"/>
                <w:sz w:val="20"/>
                <w:szCs w:val="20"/>
              </w:rPr>
              <w:t>General comment</w:t>
            </w:r>
          </w:p>
        </w:tc>
        <w:tc>
          <w:tcPr>
            <w:tcW w:w="1985" w:type="dxa"/>
          </w:tcPr>
          <w:p w14:paraId="5896E67B" w14:textId="14ABDFD9" w:rsidR="003B45ED" w:rsidRPr="00C9372C" w:rsidRDefault="003B45ED" w:rsidP="003B45ED">
            <w:pPr>
              <w:pStyle w:val="TableText1"/>
              <w:rPr>
                <w:rFonts w:cs="Arial"/>
                <w:sz w:val="20"/>
                <w:szCs w:val="20"/>
              </w:rPr>
            </w:pPr>
            <w:r>
              <w:rPr>
                <w:rFonts w:cs="Arial"/>
                <w:sz w:val="20"/>
              </w:rPr>
              <w:t>Public Health England</w:t>
            </w:r>
          </w:p>
        </w:tc>
        <w:tc>
          <w:tcPr>
            <w:tcW w:w="11198" w:type="dxa"/>
          </w:tcPr>
          <w:p w14:paraId="010D71A2" w14:textId="77777777" w:rsidR="003B45ED" w:rsidRPr="003B45ED" w:rsidRDefault="003B45ED" w:rsidP="003B45ED">
            <w:pPr>
              <w:rPr>
                <w:rFonts w:ascii="Arial" w:hAnsi="Arial" w:cs="Arial"/>
                <w:sz w:val="20"/>
                <w:szCs w:val="20"/>
                <w:lang w:eastAsia="en-GB"/>
              </w:rPr>
            </w:pPr>
            <w:r w:rsidRPr="003B45ED">
              <w:rPr>
                <w:rFonts w:ascii="Arial" w:hAnsi="Arial" w:cs="Arial"/>
                <w:sz w:val="20"/>
                <w:szCs w:val="20"/>
                <w:lang w:eastAsia="en-GB"/>
              </w:rPr>
              <w:t>PHE supports the introduction of the two human immunodeficiency virus (HIV) testing indicators (HIV testing among newly registered people and among those having a blood test). PHE would welcome the central collation and publication of the data collected via these indicators. It would be important to see the numerators and denominators broken down by gender, sexual orientation, ethnicity, age group and area. If possible, it would be good to link the testing data with positivity data to inform future policies.</w:t>
            </w:r>
          </w:p>
          <w:p w14:paraId="3014D939" w14:textId="77777777" w:rsidR="003B45ED" w:rsidRPr="00C9372C" w:rsidRDefault="003B45ED" w:rsidP="003B45ED">
            <w:pPr>
              <w:pStyle w:val="TableText1"/>
              <w:rPr>
                <w:rFonts w:cs="Arial"/>
                <w:sz w:val="20"/>
                <w:szCs w:val="20"/>
              </w:rPr>
            </w:pPr>
          </w:p>
        </w:tc>
      </w:tr>
      <w:tr w:rsidR="003B45ED" w:rsidRPr="006375EE" w14:paraId="515000AA" w14:textId="77777777" w:rsidTr="00773DE6">
        <w:tc>
          <w:tcPr>
            <w:tcW w:w="562" w:type="dxa"/>
          </w:tcPr>
          <w:p w14:paraId="2F98EDB9" w14:textId="2268362A" w:rsidR="003B45ED" w:rsidRPr="00C9372C" w:rsidRDefault="003B45ED" w:rsidP="003B45ED">
            <w:pPr>
              <w:pStyle w:val="TableText1"/>
              <w:jc w:val="center"/>
              <w:rPr>
                <w:rFonts w:cs="Arial"/>
                <w:sz w:val="20"/>
                <w:szCs w:val="20"/>
              </w:rPr>
            </w:pPr>
            <w:r>
              <w:rPr>
                <w:rFonts w:cs="Arial"/>
                <w:sz w:val="20"/>
                <w:szCs w:val="20"/>
              </w:rPr>
              <w:t>1</w:t>
            </w:r>
            <w:r w:rsidR="00513E74">
              <w:rPr>
                <w:rFonts w:cs="Arial"/>
                <w:sz w:val="20"/>
                <w:szCs w:val="20"/>
              </w:rPr>
              <w:t>0</w:t>
            </w:r>
          </w:p>
        </w:tc>
        <w:tc>
          <w:tcPr>
            <w:tcW w:w="1139" w:type="dxa"/>
          </w:tcPr>
          <w:p w14:paraId="18E491C0" w14:textId="1D035571" w:rsidR="003B45ED" w:rsidRPr="00C9372C" w:rsidRDefault="003B45ED" w:rsidP="003B45ED">
            <w:pPr>
              <w:pStyle w:val="TableText1"/>
              <w:rPr>
                <w:rFonts w:cs="Arial"/>
                <w:color w:val="000000"/>
                <w:sz w:val="20"/>
                <w:szCs w:val="20"/>
              </w:rPr>
            </w:pPr>
            <w:r w:rsidRPr="00C9372C">
              <w:rPr>
                <w:rFonts w:cs="Arial"/>
                <w:color w:val="000000"/>
                <w:sz w:val="20"/>
                <w:szCs w:val="20"/>
              </w:rPr>
              <w:t>General comment</w:t>
            </w:r>
          </w:p>
        </w:tc>
        <w:tc>
          <w:tcPr>
            <w:tcW w:w="1985" w:type="dxa"/>
          </w:tcPr>
          <w:p w14:paraId="13B8276D" w14:textId="3070B98E" w:rsidR="003B45ED" w:rsidRPr="00C9372C" w:rsidRDefault="003B45ED" w:rsidP="003B45ED">
            <w:pPr>
              <w:pStyle w:val="TableText1"/>
              <w:rPr>
                <w:rFonts w:cs="Arial"/>
                <w:color w:val="000000"/>
                <w:sz w:val="20"/>
                <w:szCs w:val="20"/>
              </w:rPr>
            </w:pPr>
            <w:r w:rsidRPr="00C9372C">
              <w:rPr>
                <w:rFonts w:cs="Arial"/>
                <w:sz w:val="20"/>
                <w:szCs w:val="20"/>
              </w:rPr>
              <w:t>Royal College of Pathologists</w:t>
            </w:r>
          </w:p>
        </w:tc>
        <w:tc>
          <w:tcPr>
            <w:tcW w:w="11198" w:type="dxa"/>
          </w:tcPr>
          <w:p w14:paraId="1ACD4EAD" w14:textId="6F8B3D19" w:rsidR="003B45ED" w:rsidRPr="00C9372C" w:rsidRDefault="003B45ED" w:rsidP="003B45ED">
            <w:pPr>
              <w:pStyle w:val="TableText1"/>
              <w:rPr>
                <w:rFonts w:cs="Arial"/>
                <w:color w:val="000000"/>
                <w:sz w:val="20"/>
                <w:szCs w:val="20"/>
              </w:rPr>
            </w:pPr>
            <w:r w:rsidRPr="00C9372C">
              <w:rPr>
                <w:rFonts w:cs="Arial"/>
                <w:sz w:val="20"/>
                <w:szCs w:val="20"/>
              </w:rPr>
              <w:t xml:space="preserve">If what they are </w:t>
            </w:r>
            <w:proofErr w:type="gramStart"/>
            <w:r w:rsidRPr="00C9372C">
              <w:rPr>
                <w:rFonts w:cs="Arial"/>
                <w:sz w:val="20"/>
                <w:szCs w:val="20"/>
              </w:rPr>
              <w:t>actually conceptually</w:t>
            </w:r>
            <w:proofErr w:type="gramEnd"/>
            <w:r w:rsidRPr="00C9372C">
              <w:rPr>
                <w:rFonts w:cs="Arial"/>
                <w:sz w:val="20"/>
                <w:szCs w:val="20"/>
              </w:rPr>
              <w:t xml:space="preserve"> recommending is opt out testing every time somebody has a blood sample taken, they would be much advised to say so, quite how this would be encompassed within the current state of the NHS is anybody’s guess. Has this been discussed by BHIVA or indeed with PHE national infection service?</w:t>
            </w:r>
          </w:p>
        </w:tc>
      </w:tr>
      <w:tr w:rsidR="003B45ED" w:rsidRPr="006375EE" w14:paraId="35FE99A2" w14:textId="77777777" w:rsidTr="00773DE6">
        <w:tc>
          <w:tcPr>
            <w:tcW w:w="562" w:type="dxa"/>
          </w:tcPr>
          <w:p w14:paraId="3A26E5C9" w14:textId="008AA8F0" w:rsidR="003B45ED" w:rsidRPr="00C9372C" w:rsidRDefault="003B45ED" w:rsidP="003B45ED">
            <w:pPr>
              <w:pStyle w:val="TableText1"/>
              <w:jc w:val="center"/>
              <w:rPr>
                <w:rFonts w:cs="Arial"/>
                <w:sz w:val="20"/>
                <w:szCs w:val="20"/>
              </w:rPr>
            </w:pPr>
            <w:r w:rsidRPr="00C9372C">
              <w:rPr>
                <w:rFonts w:cs="Arial"/>
                <w:sz w:val="20"/>
                <w:szCs w:val="20"/>
              </w:rPr>
              <w:t>1</w:t>
            </w:r>
            <w:r w:rsidR="00513E74">
              <w:rPr>
                <w:rFonts w:cs="Arial"/>
                <w:sz w:val="20"/>
                <w:szCs w:val="20"/>
              </w:rPr>
              <w:t>1</w:t>
            </w:r>
          </w:p>
        </w:tc>
        <w:tc>
          <w:tcPr>
            <w:tcW w:w="1139" w:type="dxa"/>
          </w:tcPr>
          <w:p w14:paraId="014A303B" w14:textId="66ED1AA6" w:rsidR="003B45ED" w:rsidRPr="00C9372C" w:rsidRDefault="003B45ED" w:rsidP="003B45ED">
            <w:pPr>
              <w:pStyle w:val="TableText1"/>
              <w:rPr>
                <w:rFonts w:cs="Arial"/>
                <w:color w:val="000000"/>
                <w:sz w:val="20"/>
                <w:szCs w:val="20"/>
              </w:rPr>
            </w:pPr>
            <w:r w:rsidRPr="00C9372C">
              <w:rPr>
                <w:rFonts w:cs="Arial"/>
                <w:color w:val="000000"/>
                <w:sz w:val="20"/>
                <w:szCs w:val="20"/>
              </w:rPr>
              <w:t>IND5</w:t>
            </w:r>
          </w:p>
        </w:tc>
        <w:tc>
          <w:tcPr>
            <w:tcW w:w="1985" w:type="dxa"/>
          </w:tcPr>
          <w:p w14:paraId="1629039B" w14:textId="2973C0EF" w:rsidR="003B45ED" w:rsidRPr="00C9372C" w:rsidRDefault="003B45ED" w:rsidP="003B45ED">
            <w:pPr>
              <w:pStyle w:val="TableText1"/>
              <w:rPr>
                <w:rFonts w:cs="Arial"/>
                <w:color w:val="000000"/>
                <w:sz w:val="20"/>
                <w:szCs w:val="20"/>
              </w:rPr>
            </w:pPr>
            <w:r w:rsidRPr="00C9372C">
              <w:rPr>
                <w:rFonts w:cs="Arial"/>
                <w:sz w:val="20"/>
                <w:szCs w:val="20"/>
              </w:rPr>
              <w:t>British Medical Association</w:t>
            </w:r>
          </w:p>
        </w:tc>
        <w:tc>
          <w:tcPr>
            <w:tcW w:w="11198" w:type="dxa"/>
          </w:tcPr>
          <w:p w14:paraId="716A9EB3" w14:textId="77777777" w:rsidR="003B45ED" w:rsidRPr="00C9372C" w:rsidRDefault="003B45ED" w:rsidP="003B45ED">
            <w:pPr>
              <w:rPr>
                <w:rFonts w:ascii="Arial" w:hAnsi="Arial" w:cs="Arial"/>
                <w:sz w:val="20"/>
                <w:szCs w:val="20"/>
              </w:rPr>
            </w:pPr>
            <w:r w:rsidRPr="00C9372C">
              <w:rPr>
                <w:rFonts w:ascii="Arial" w:hAnsi="Arial" w:cs="Arial"/>
                <w:sz w:val="20"/>
                <w:szCs w:val="20"/>
              </w:rPr>
              <w:t>IND5: The percentage of adults and young people newly registered with a GP in an area of high or extremely high HIV prevalence who receive an HIV test within 3 months of registration.</w:t>
            </w:r>
          </w:p>
          <w:p w14:paraId="22573603" w14:textId="77777777" w:rsidR="003B45ED" w:rsidRPr="00C9372C" w:rsidRDefault="003B45ED" w:rsidP="003B45ED">
            <w:pPr>
              <w:rPr>
                <w:rFonts w:ascii="Arial" w:hAnsi="Arial" w:cs="Arial"/>
                <w:sz w:val="20"/>
                <w:szCs w:val="20"/>
              </w:rPr>
            </w:pPr>
          </w:p>
          <w:p w14:paraId="3E7BFF51" w14:textId="06BFC3AC" w:rsidR="003B45ED" w:rsidRPr="00C9372C" w:rsidRDefault="003B45ED" w:rsidP="003B45ED">
            <w:pPr>
              <w:pStyle w:val="TableText1"/>
              <w:rPr>
                <w:rFonts w:cs="Arial"/>
                <w:b/>
                <w:bCs/>
                <w:color w:val="000000"/>
                <w:sz w:val="20"/>
                <w:szCs w:val="20"/>
              </w:rPr>
            </w:pPr>
            <w:r w:rsidRPr="00C9372C">
              <w:rPr>
                <w:rFonts w:cs="Arial"/>
                <w:sz w:val="20"/>
                <w:szCs w:val="20"/>
              </w:rPr>
              <w:t>We oppose this indicator. This is a form of population screening and so should only take place if assessed as worthwhile by the UK National Screening Committee and with appropriate contracts in place to provide the service.  Screening activities are excluded from the General Medical Services Contract and as such are not suitable for quality standards, unless a contracted service has been agreed.</w:t>
            </w:r>
          </w:p>
        </w:tc>
      </w:tr>
      <w:tr w:rsidR="003B45ED" w:rsidRPr="006375EE" w14:paraId="3715E464" w14:textId="77777777" w:rsidTr="00773DE6">
        <w:tc>
          <w:tcPr>
            <w:tcW w:w="562" w:type="dxa"/>
          </w:tcPr>
          <w:p w14:paraId="411D905E" w14:textId="58B3ACE5" w:rsidR="003B45ED" w:rsidRPr="00C9372C" w:rsidRDefault="003B45ED" w:rsidP="003B45ED">
            <w:pPr>
              <w:pStyle w:val="TableText1"/>
              <w:jc w:val="center"/>
              <w:rPr>
                <w:rFonts w:cs="Arial"/>
                <w:sz w:val="20"/>
                <w:szCs w:val="20"/>
              </w:rPr>
            </w:pPr>
            <w:r w:rsidRPr="00C9372C">
              <w:rPr>
                <w:rFonts w:cs="Arial"/>
                <w:sz w:val="20"/>
                <w:szCs w:val="20"/>
              </w:rPr>
              <w:t>1</w:t>
            </w:r>
            <w:r w:rsidR="00513E74">
              <w:rPr>
                <w:rFonts w:cs="Arial"/>
                <w:sz w:val="20"/>
                <w:szCs w:val="20"/>
              </w:rPr>
              <w:t>2</w:t>
            </w:r>
          </w:p>
        </w:tc>
        <w:tc>
          <w:tcPr>
            <w:tcW w:w="1139" w:type="dxa"/>
          </w:tcPr>
          <w:p w14:paraId="26384C21" w14:textId="57F4489D" w:rsidR="003B45ED" w:rsidRPr="00C9372C" w:rsidRDefault="003B45ED" w:rsidP="003B45ED">
            <w:pPr>
              <w:pStyle w:val="TableText1"/>
              <w:rPr>
                <w:rFonts w:cs="Arial"/>
                <w:color w:val="000000"/>
                <w:sz w:val="20"/>
                <w:szCs w:val="20"/>
              </w:rPr>
            </w:pPr>
            <w:r w:rsidRPr="00C9372C">
              <w:rPr>
                <w:rFonts w:cs="Arial"/>
                <w:color w:val="000000"/>
                <w:sz w:val="20"/>
                <w:szCs w:val="20"/>
              </w:rPr>
              <w:t>IND5</w:t>
            </w:r>
          </w:p>
        </w:tc>
        <w:tc>
          <w:tcPr>
            <w:tcW w:w="1985" w:type="dxa"/>
          </w:tcPr>
          <w:p w14:paraId="58CD49A1" w14:textId="0866F90A" w:rsidR="003B45ED" w:rsidRPr="00C9372C" w:rsidRDefault="003B45ED" w:rsidP="003B45ED">
            <w:pPr>
              <w:pStyle w:val="TableText1"/>
              <w:rPr>
                <w:rFonts w:cs="Arial"/>
                <w:color w:val="000000"/>
                <w:sz w:val="20"/>
                <w:szCs w:val="20"/>
              </w:rPr>
            </w:pPr>
            <w:r w:rsidRPr="00C9372C">
              <w:rPr>
                <w:rFonts w:cs="Arial"/>
                <w:sz w:val="20"/>
                <w:szCs w:val="20"/>
              </w:rPr>
              <w:t>National Pharmaceutical Advisers Group (PAG)</w:t>
            </w:r>
          </w:p>
        </w:tc>
        <w:tc>
          <w:tcPr>
            <w:tcW w:w="11198" w:type="dxa"/>
          </w:tcPr>
          <w:p w14:paraId="568E95CE" w14:textId="6E1007A5" w:rsidR="003B45ED" w:rsidRPr="00C9372C" w:rsidRDefault="003B45ED" w:rsidP="003B45ED">
            <w:pPr>
              <w:pStyle w:val="TableText1"/>
              <w:rPr>
                <w:rFonts w:cs="Arial"/>
                <w:b/>
                <w:bCs/>
                <w:color w:val="000000"/>
                <w:sz w:val="20"/>
                <w:szCs w:val="20"/>
              </w:rPr>
            </w:pPr>
            <w:r w:rsidRPr="00C9372C">
              <w:rPr>
                <w:rFonts w:cs="Arial"/>
                <w:sz w:val="20"/>
                <w:szCs w:val="20"/>
              </w:rPr>
              <w:t xml:space="preserve">Agree with rationale however the widespread introduction of such testing in primary care would require careful consideration and discussion with hospital sexual health services that more commonly carry out tests and manage patients. There can be unintended consequences in relation to confidentiality, requirements for additional training for GP Practice staff and implications in relation to insurance implications and possible stigma and differential treatment by GP Practice Staff when dealing with patients </w:t>
            </w:r>
            <w:proofErr w:type="spellStart"/>
            <w:proofErr w:type="gramStart"/>
            <w:r w:rsidRPr="00C9372C">
              <w:rPr>
                <w:rFonts w:cs="Arial"/>
                <w:sz w:val="20"/>
                <w:szCs w:val="20"/>
              </w:rPr>
              <w:t>who’s</w:t>
            </w:r>
            <w:proofErr w:type="spellEnd"/>
            <w:proofErr w:type="gramEnd"/>
            <w:r w:rsidRPr="00C9372C">
              <w:rPr>
                <w:rFonts w:cs="Arial"/>
                <w:sz w:val="20"/>
                <w:szCs w:val="20"/>
              </w:rPr>
              <w:t xml:space="preserve"> status becomes known.</w:t>
            </w:r>
          </w:p>
        </w:tc>
      </w:tr>
      <w:tr w:rsidR="003B45ED" w:rsidRPr="006375EE" w14:paraId="7BBE119B" w14:textId="77777777" w:rsidTr="00773DE6">
        <w:tc>
          <w:tcPr>
            <w:tcW w:w="562" w:type="dxa"/>
          </w:tcPr>
          <w:p w14:paraId="1BECCF7F" w14:textId="1BC30285" w:rsidR="003B45ED" w:rsidRPr="00C9372C" w:rsidRDefault="003B45ED" w:rsidP="003B45ED">
            <w:pPr>
              <w:pStyle w:val="TableText1"/>
              <w:jc w:val="center"/>
              <w:rPr>
                <w:rFonts w:cs="Arial"/>
                <w:sz w:val="20"/>
                <w:szCs w:val="20"/>
              </w:rPr>
            </w:pPr>
            <w:r w:rsidRPr="00C9372C">
              <w:rPr>
                <w:rFonts w:cs="Arial"/>
                <w:sz w:val="20"/>
                <w:szCs w:val="20"/>
              </w:rPr>
              <w:t>1</w:t>
            </w:r>
            <w:r w:rsidR="00513E74">
              <w:rPr>
                <w:rFonts w:cs="Arial"/>
                <w:sz w:val="20"/>
                <w:szCs w:val="20"/>
              </w:rPr>
              <w:t>3</w:t>
            </w:r>
          </w:p>
        </w:tc>
        <w:tc>
          <w:tcPr>
            <w:tcW w:w="1139" w:type="dxa"/>
          </w:tcPr>
          <w:p w14:paraId="66E10816" w14:textId="00B6C1B8" w:rsidR="003B45ED" w:rsidRPr="00C9372C" w:rsidRDefault="003B45ED" w:rsidP="003B45ED">
            <w:pPr>
              <w:pStyle w:val="TableText1"/>
              <w:rPr>
                <w:rFonts w:cs="Arial"/>
                <w:color w:val="000000"/>
                <w:sz w:val="20"/>
                <w:szCs w:val="20"/>
              </w:rPr>
            </w:pPr>
            <w:r w:rsidRPr="00C9372C">
              <w:rPr>
                <w:rFonts w:cs="Arial"/>
                <w:color w:val="000000"/>
                <w:sz w:val="20"/>
                <w:szCs w:val="20"/>
              </w:rPr>
              <w:t>IND5</w:t>
            </w:r>
          </w:p>
        </w:tc>
        <w:tc>
          <w:tcPr>
            <w:tcW w:w="1985" w:type="dxa"/>
          </w:tcPr>
          <w:p w14:paraId="620022BC" w14:textId="0AA1E880" w:rsidR="003B45ED" w:rsidRPr="00C9372C" w:rsidRDefault="003B45ED" w:rsidP="003B45ED">
            <w:pPr>
              <w:pStyle w:val="TableText1"/>
              <w:rPr>
                <w:rFonts w:cs="Arial"/>
                <w:color w:val="000000"/>
                <w:sz w:val="20"/>
                <w:szCs w:val="20"/>
              </w:rPr>
            </w:pPr>
            <w:r w:rsidRPr="00C9372C">
              <w:rPr>
                <w:rFonts w:cs="Arial"/>
                <w:sz w:val="20"/>
                <w:szCs w:val="20"/>
              </w:rPr>
              <w:t>Royal College of General Practitioners</w:t>
            </w:r>
          </w:p>
        </w:tc>
        <w:tc>
          <w:tcPr>
            <w:tcW w:w="11198" w:type="dxa"/>
          </w:tcPr>
          <w:p w14:paraId="2D239002" w14:textId="77777777" w:rsidR="003B45ED" w:rsidRPr="00C9372C" w:rsidRDefault="003B45ED" w:rsidP="003B45ED">
            <w:pPr>
              <w:autoSpaceDE w:val="0"/>
              <w:autoSpaceDN w:val="0"/>
              <w:adjustRightInd w:val="0"/>
              <w:rPr>
                <w:rFonts w:ascii="Arial" w:hAnsi="Arial" w:cs="Arial"/>
                <w:b/>
                <w:sz w:val="20"/>
                <w:szCs w:val="20"/>
                <w:lang w:eastAsia="en-GB"/>
              </w:rPr>
            </w:pPr>
            <w:r w:rsidRPr="00C9372C">
              <w:rPr>
                <w:rFonts w:ascii="Arial" w:hAnsi="Arial" w:cs="Arial"/>
                <w:sz w:val="20"/>
                <w:szCs w:val="20"/>
                <w:lang w:eastAsia="en-GB"/>
              </w:rPr>
              <w:t xml:space="preserve">IND5: The percentage of adults and young people newly registered with a GP in an area of high or extremely high HIV prevalence who receive an HIV test within 3 months of registration. </w:t>
            </w:r>
            <w:r w:rsidRPr="00C9372C">
              <w:rPr>
                <w:rFonts w:ascii="Arial" w:hAnsi="Arial" w:cs="Arial"/>
                <w:b/>
                <w:sz w:val="20"/>
                <w:szCs w:val="20"/>
                <w:lang w:eastAsia="en-GB"/>
              </w:rPr>
              <w:t>New</w:t>
            </w:r>
          </w:p>
          <w:p w14:paraId="4858633C" w14:textId="77777777" w:rsidR="003B45ED" w:rsidRPr="00C9372C" w:rsidRDefault="003B45ED" w:rsidP="003B45ED">
            <w:pPr>
              <w:autoSpaceDE w:val="0"/>
              <w:autoSpaceDN w:val="0"/>
              <w:adjustRightInd w:val="0"/>
              <w:rPr>
                <w:rFonts w:ascii="Arial" w:hAnsi="Arial" w:cs="Arial"/>
                <w:b/>
                <w:sz w:val="20"/>
                <w:szCs w:val="20"/>
                <w:lang w:eastAsia="en-GB"/>
              </w:rPr>
            </w:pPr>
          </w:p>
          <w:p w14:paraId="3A4171F8" w14:textId="5138282E" w:rsidR="003B45ED" w:rsidRPr="00C9372C" w:rsidRDefault="003B45ED" w:rsidP="003B45ED">
            <w:pPr>
              <w:autoSpaceDE w:val="0"/>
              <w:autoSpaceDN w:val="0"/>
              <w:adjustRightInd w:val="0"/>
              <w:rPr>
                <w:rFonts w:ascii="Arial" w:hAnsi="Arial" w:cs="Arial"/>
                <w:sz w:val="20"/>
                <w:szCs w:val="20"/>
                <w:lang w:eastAsia="en-GB"/>
              </w:rPr>
            </w:pPr>
            <w:r w:rsidRPr="00C9372C">
              <w:rPr>
                <w:rFonts w:ascii="Arial" w:hAnsi="Arial" w:cs="Arial"/>
                <w:b/>
                <w:sz w:val="20"/>
                <w:szCs w:val="20"/>
                <w:lang w:eastAsia="en-GB"/>
              </w:rPr>
              <w:t xml:space="preserve">We do not support this indicator. </w:t>
            </w:r>
            <w:bookmarkStart w:id="12" w:name="_Hlk9232872"/>
            <w:r w:rsidRPr="00C9372C">
              <w:rPr>
                <w:rFonts w:ascii="Arial" w:hAnsi="Arial" w:cs="Arial"/>
                <w:sz w:val="20"/>
                <w:szCs w:val="20"/>
                <w:lang w:eastAsia="en-GB"/>
              </w:rPr>
              <w:t xml:space="preserve">There needs to be more evidence on the groups that would benefit from this indicator.  Factors such as high practice turnover need to be considered, as well as </w:t>
            </w:r>
            <w:proofErr w:type="gramStart"/>
            <w:r w:rsidRPr="00C9372C">
              <w:rPr>
                <w:rFonts w:ascii="Arial" w:hAnsi="Arial" w:cs="Arial"/>
                <w:sz w:val="20"/>
                <w:szCs w:val="20"/>
                <w:lang w:eastAsia="en-GB"/>
              </w:rPr>
              <w:t>sufficient</w:t>
            </w:r>
            <w:proofErr w:type="gramEnd"/>
            <w:r w:rsidRPr="00C9372C">
              <w:rPr>
                <w:rFonts w:ascii="Arial" w:hAnsi="Arial" w:cs="Arial"/>
                <w:sz w:val="20"/>
                <w:szCs w:val="20"/>
                <w:lang w:eastAsia="en-GB"/>
              </w:rPr>
              <w:t xml:space="preserve"> resources need to be in place to allow appropriate management following a diagnosis</w:t>
            </w:r>
            <w:bookmarkEnd w:id="12"/>
            <w:r w:rsidRPr="00C9372C">
              <w:rPr>
                <w:rFonts w:ascii="Arial" w:hAnsi="Arial" w:cs="Arial"/>
                <w:sz w:val="20"/>
                <w:szCs w:val="20"/>
                <w:lang w:eastAsia="en-GB"/>
              </w:rPr>
              <w:t xml:space="preserve">.  </w:t>
            </w:r>
          </w:p>
        </w:tc>
      </w:tr>
      <w:tr w:rsidR="003B45ED" w:rsidRPr="006375EE" w14:paraId="4A3BFE34" w14:textId="77777777" w:rsidTr="00773DE6">
        <w:tc>
          <w:tcPr>
            <w:tcW w:w="562" w:type="dxa"/>
          </w:tcPr>
          <w:p w14:paraId="1AF4430C" w14:textId="1151431C" w:rsidR="003B45ED" w:rsidRPr="00C9372C" w:rsidRDefault="003B45ED" w:rsidP="003B45ED">
            <w:pPr>
              <w:pStyle w:val="TableText1"/>
              <w:jc w:val="center"/>
              <w:rPr>
                <w:rFonts w:cs="Arial"/>
                <w:sz w:val="20"/>
                <w:szCs w:val="20"/>
              </w:rPr>
            </w:pPr>
            <w:r w:rsidRPr="00C9372C">
              <w:rPr>
                <w:rFonts w:cs="Arial"/>
                <w:sz w:val="20"/>
                <w:szCs w:val="20"/>
              </w:rPr>
              <w:t>1</w:t>
            </w:r>
            <w:r w:rsidR="00513E74">
              <w:rPr>
                <w:rFonts w:cs="Arial"/>
                <w:sz w:val="20"/>
                <w:szCs w:val="20"/>
              </w:rPr>
              <w:t>4</w:t>
            </w:r>
          </w:p>
        </w:tc>
        <w:tc>
          <w:tcPr>
            <w:tcW w:w="1139" w:type="dxa"/>
          </w:tcPr>
          <w:p w14:paraId="27BCDCE8" w14:textId="6F29D28D" w:rsidR="003B45ED" w:rsidRPr="00C9372C" w:rsidRDefault="003B45ED" w:rsidP="003B45ED">
            <w:pPr>
              <w:pStyle w:val="TableText1"/>
              <w:rPr>
                <w:rFonts w:cs="Arial"/>
                <w:color w:val="000000"/>
                <w:sz w:val="20"/>
                <w:szCs w:val="20"/>
              </w:rPr>
            </w:pPr>
            <w:r w:rsidRPr="00C9372C">
              <w:rPr>
                <w:rFonts w:cs="Arial"/>
                <w:color w:val="000000"/>
                <w:sz w:val="20"/>
                <w:szCs w:val="20"/>
              </w:rPr>
              <w:t>IND5</w:t>
            </w:r>
          </w:p>
        </w:tc>
        <w:tc>
          <w:tcPr>
            <w:tcW w:w="1985" w:type="dxa"/>
          </w:tcPr>
          <w:p w14:paraId="137376F1" w14:textId="327F52B3" w:rsidR="003B45ED" w:rsidRPr="00C9372C" w:rsidRDefault="003B45ED" w:rsidP="003B45ED">
            <w:pPr>
              <w:pStyle w:val="TableText1"/>
              <w:rPr>
                <w:rFonts w:cs="Arial"/>
                <w:sz w:val="20"/>
                <w:szCs w:val="20"/>
              </w:rPr>
            </w:pPr>
            <w:r w:rsidRPr="00C9372C">
              <w:rPr>
                <w:rFonts w:cs="Arial"/>
                <w:sz w:val="20"/>
                <w:szCs w:val="20"/>
              </w:rPr>
              <w:t>Royal College of Pathologists</w:t>
            </w:r>
          </w:p>
        </w:tc>
        <w:tc>
          <w:tcPr>
            <w:tcW w:w="11198" w:type="dxa"/>
          </w:tcPr>
          <w:p w14:paraId="4FA6BA0A" w14:textId="59947105" w:rsidR="003B45ED" w:rsidRPr="00C9372C" w:rsidRDefault="003B45ED" w:rsidP="003B45ED">
            <w:pPr>
              <w:autoSpaceDE w:val="0"/>
              <w:autoSpaceDN w:val="0"/>
              <w:adjustRightInd w:val="0"/>
              <w:rPr>
                <w:rFonts w:ascii="Arial" w:hAnsi="Arial" w:cs="Arial"/>
                <w:sz w:val="20"/>
                <w:szCs w:val="20"/>
                <w:lang w:eastAsia="en-GB"/>
              </w:rPr>
            </w:pPr>
            <w:r w:rsidRPr="00C9372C">
              <w:rPr>
                <w:rFonts w:ascii="Arial" w:hAnsi="Arial" w:cs="Arial"/>
                <w:sz w:val="20"/>
                <w:szCs w:val="20"/>
              </w:rPr>
              <w:t xml:space="preserve">What does an area of high or extremely high HIV prevalence mean? Yes, one can make statistical comments based on the number of known cases in a geographical </w:t>
            </w:r>
            <w:proofErr w:type="gramStart"/>
            <w:r w:rsidRPr="00C9372C">
              <w:rPr>
                <w:rFonts w:ascii="Arial" w:hAnsi="Arial" w:cs="Arial"/>
                <w:sz w:val="20"/>
                <w:szCs w:val="20"/>
              </w:rPr>
              <w:t>area</w:t>
            </w:r>
            <w:proofErr w:type="gramEnd"/>
            <w:r w:rsidRPr="00C9372C">
              <w:rPr>
                <w:rFonts w:ascii="Arial" w:hAnsi="Arial" w:cs="Arial"/>
                <w:sz w:val="20"/>
                <w:szCs w:val="20"/>
              </w:rPr>
              <w:t xml:space="preserve"> but this is so impacted upon by the size of the denominator population that it is of questionable value at all. The concept that you can usefully define in the UK “areas” of high endemicity is flawed from </w:t>
            </w:r>
            <w:r w:rsidRPr="00C9372C">
              <w:rPr>
                <w:rFonts w:ascii="Arial" w:hAnsi="Arial" w:cs="Arial"/>
                <w:sz w:val="20"/>
                <w:szCs w:val="20"/>
              </w:rPr>
              <w:lastRenderedPageBreak/>
              <w:t xml:space="preserve">the start. </w:t>
            </w:r>
            <w:proofErr w:type="gramStart"/>
            <w:r w:rsidRPr="00C9372C">
              <w:rPr>
                <w:rFonts w:ascii="Arial" w:hAnsi="Arial" w:cs="Arial"/>
                <w:sz w:val="20"/>
                <w:szCs w:val="20"/>
              </w:rPr>
              <w:t>Indeed</w:t>
            </w:r>
            <w:proofErr w:type="gramEnd"/>
            <w:r w:rsidRPr="00C9372C">
              <w:rPr>
                <w:rFonts w:ascii="Arial" w:hAnsi="Arial" w:cs="Arial"/>
                <w:sz w:val="20"/>
                <w:szCs w:val="20"/>
              </w:rPr>
              <w:t xml:space="preserve"> I think the following rationale section is also flawed, presumably on the principle of wishing to “reduce stigma”. What surely would be more sensible, cost-effective and defensible would be to ensure that people at an increased risk of either acquiring or already being infected with HIV should be offered testing. </w:t>
            </w:r>
          </w:p>
        </w:tc>
      </w:tr>
      <w:tr w:rsidR="003B45ED" w:rsidRPr="006375EE" w14:paraId="79C71048" w14:textId="77777777" w:rsidTr="00773DE6">
        <w:tc>
          <w:tcPr>
            <w:tcW w:w="562" w:type="dxa"/>
          </w:tcPr>
          <w:p w14:paraId="783EA793" w14:textId="08012D2B" w:rsidR="003B45ED" w:rsidRPr="00902CB1" w:rsidRDefault="003B45ED" w:rsidP="003B45ED">
            <w:pPr>
              <w:pStyle w:val="TableText1"/>
              <w:jc w:val="center"/>
              <w:rPr>
                <w:rFonts w:cs="Arial"/>
                <w:sz w:val="20"/>
                <w:szCs w:val="20"/>
              </w:rPr>
            </w:pPr>
            <w:r>
              <w:rPr>
                <w:rFonts w:cs="Arial"/>
                <w:sz w:val="20"/>
                <w:szCs w:val="20"/>
              </w:rPr>
              <w:lastRenderedPageBreak/>
              <w:t>1</w:t>
            </w:r>
            <w:r w:rsidR="00513E74">
              <w:rPr>
                <w:rFonts w:cs="Arial"/>
                <w:sz w:val="20"/>
                <w:szCs w:val="20"/>
              </w:rPr>
              <w:t>5</w:t>
            </w:r>
          </w:p>
        </w:tc>
        <w:tc>
          <w:tcPr>
            <w:tcW w:w="1139" w:type="dxa"/>
          </w:tcPr>
          <w:p w14:paraId="16AFB5DE" w14:textId="275AECE5" w:rsidR="003B45ED" w:rsidRPr="00902CB1" w:rsidRDefault="003B45ED" w:rsidP="003B45ED">
            <w:pPr>
              <w:pStyle w:val="TableText1"/>
              <w:rPr>
                <w:rFonts w:cs="Arial"/>
                <w:color w:val="000000"/>
                <w:sz w:val="20"/>
                <w:szCs w:val="20"/>
              </w:rPr>
            </w:pPr>
            <w:r w:rsidRPr="00902CB1">
              <w:rPr>
                <w:rFonts w:cs="Arial"/>
                <w:color w:val="000000"/>
                <w:sz w:val="20"/>
                <w:szCs w:val="20"/>
              </w:rPr>
              <w:t>IND6</w:t>
            </w:r>
          </w:p>
        </w:tc>
        <w:tc>
          <w:tcPr>
            <w:tcW w:w="1985" w:type="dxa"/>
          </w:tcPr>
          <w:p w14:paraId="6DE0C077" w14:textId="5BE2B95C" w:rsidR="003B45ED" w:rsidRPr="001A75A1" w:rsidRDefault="003B45ED" w:rsidP="003B45ED">
            <w:pPr>
              <w:pStyle w:val="TableText1"/>
              <w:rPr>
                <w:rFonts w:cs="Arial"/>
                <w:color w:val="000000"/>
                <w:sz w:val="20"/>
                <w:szCs w:val="20"/>
                <w:highlight w:val="yellow"/>
              </w:rPr>
            </w:pPr>
            <w:r w:rsidRPr="001A75A1">
              <w:rPr>
                <w:rFonts w:cs="Arial"/>
                <w:sz w:val="20"/>
                <w:szCs w:val="20"/>
              </w:rPr>
              <w:t>National Pharmaceutical Advisers Group (PAG)</w:t>
            </w:r>
          </w:p>
        </w:tc>
        <w:tc>
          <w:tcPr>
            <w:tcW w:w="11198" w:type="dxa"/>
          </w:tcPr>
          <w:p w14:paraId="6244859F" w14:textId="794314D7" w:rsidR="003B45ED" w:rsidRPr="006375EE" w:rsidRDefault="003B45ED" w:rsidP="003B45ED">
            <w:pPr>
              <w:pStyle w:val="TableText1"/>
              <w:rPr>
                <w:rFonts w:cs="Arial"/>
                <w:b/>
                <w:bCs/>
                <w:color w:val="000000"/>
                <w:sz w:val="20"/>
                <w:szCs w:val="20"/>
                <w:highlight w:val="yellow"/>
              </w:rPr>
            </w:pPr>
            <w:r w:rsidRPr="00857C27">
              <w:rPr>
                <w:rFonts w:cs="Arial"/>
                <w:sz w:val="20"/>
                <w:szCs w:val="20"/>
              </w:rPr>
              <w:t xml:space="preserve">As in 5 above however </w:t>
            </w:r>
            <w:bookmarkStart w:id="13" w:name="_Hlk9233080"/>
            <w:r w:rsidRPr="00857C27">
              <w:rPr>
                <w:rFonts w:cs="Arial"/>
                <w:sz w:val="20"/>
                <w:szCs w:val="20"/>
              </w:rPr>
              <w:t>there may be a wider discussion to be had around diagnosis and treatment of HIV in primary care normalising it with other sexual health infections that may be treated in primary care. HIV is now considered a long-term manageable condition like many others and patients are now expected to reach normal life expectancy along with the ageing population and earlier diagnosis and treatment leads to reduced mortality and transfer of infection. This infection transfer is particularly important in areas of high prevalence</w:t>
            </w:r>
            <w:bookmarkEnd w:id="13"/>
            <w:r w:rsidRPr="00857C27">
              <w:rPr>
                <w:rFonts w:cs="Arial"/>
                <w:sz w:val="20"/>
                <w:szCs w:val="20"/>
              </w:rPr>
              <w:t>.</w:t>
            </w:r>
          </w:p>
        </w:tc>
      </w:tr>
      <w:tr w:rsidR="003B45ED" w:rsidRPr="006375EE" w14:paraId="457EDF24" w14:textId="77777777" w:rsidTr="00773DE6">
        <w:tc>
          <w:tcPr>
            <w:tcW w:w="562" w:type="dxa"/>
          </w:tcPr>
          <w:p w14:paraId="5F141704" w14:textId="02CAD535" w:rsidR="003B45ED" w:rsidRPr="00902CB1" w:rsidRDefault="003B45ED" w:rsidP="003B45ED">
            <w:pPr>
              <w:pStyle w:val="TableText1"/>
              <w:jc w:val="center"/>
              <w:rPr>
                <w:rFonts w:cs="Arial"/>
                <w:sz w:val="20"/>
                <w:szCs w:val="20"/>
              </w:rPr>
            </w:pPr>
            <w:r>
              <w:rPr>
                <w:rFonts w:cs="Arial"/>
                <w:sz w:val="20"/>
                <w:szCs w:val="20"/>
              </w:rPr>
              <w:t>1</w:t>
            </w:r>
            <w:r w:rsidR="00513E74">
              <w:rPr>
                <w:rFonts w:cs="Arial"/>
                <w:sz w:val="20"/>
                <w:szCs w:val="20"/>
              </w:rPr>
              <w:t>6</w:t>
            </w:r>
          </w:p>
        </w:tc>
        <w:tc>
          <w:tcPr>
            <w:tcW w:w="1139" w:type="dxa"/>
          </w:tcPr>
          <w:p w14:paraId="20C3D5B6" w14:textId="1CA9CC83" w:rsidR="003B45ED" w:rsidRPr="00902CB1" w:rsidRDefault="003B45ED" w:rsidP="003B45ED">
            <w:pPr>
              <w:pStyle w:val="TableText1"/>
              <w:rPr>
                <w:rFonts w:cs="Arial"/>
                <w:color w:val="000000"/>
                <w:sz w:val="20"/>
                <w:szCs w:val="20"/>
              </w:rPr>
            </w:pPr>
            <w:r w:rsidRPr="00902CB1">
              <w:rPr>
                <w:rFonts w:cs="Arial"/>
                <w:color w:val="000000"/>
                <w:sz w:val="20"/>
                <w:szCs w:val="20"/>
              </w:rPr>
              <w:t>IND6</w:t>
            </w:r>
          </w:p>
        </w:tc>
        <w:tc>
          <w:tcPr>
            <w:tcW w:w="1985" w:type="dxa"/>
          </w:tcPr>
          <w:p w14:paraId="13EA781E" w14:textId="27B6BBA5" w:rsidR="003B45ED" w:rsidRPr="001A75A1" w:rsidRDefault="003B45ED" w:rsidP="003B45ED">
            <w:pPr>
              <w:pStyle w:val="TableText1"/>
              <w:rPr>
                <w:rFonts w:cs="Arial"/>
                <w:color w:val="000000"/>
                <w:sz w:val="20"/>
                <w:szCs w:val="20"/>
                <w:highlight w:val="yellow"/>
              </w:rPr>
            </w:pPr>
            <w:r w:rsidRPr="001A75A1">
              <w:rPr>
                <w:rFonts w:cs="Arial"/>
                <w:sz w:val="20"/>
                <w:szCs w:val="20"/>
              </w:rPr>
              <w:t>Royal College of Pathologists</w:t>
            </w:r>
          </w:p>
        </w:tc>
        <w:tc>
          <w:tcPr>
            <w:tcW w:w="11198" w:type="dxa"/>
          </w:tcPr>
          <w:p w14:paraId="250ED7F0" w14:textId="2723D4A7" w:rsidR="003B45ED" w:rsidRPr="006375EE" w:rsidRDefault="003B45ED" w:rsidP="003B45ED">
            <w:pPr>
              <w:pStyle w:val="TableText1"/>
              <w:rPr>
                <w:rFonts w:cs="Arial"/>
                <w:b/>
                <w:bCs/>
                <w:color w:val="000000"/>
                <w:sz w:val="20"/>
                <w:szCs w:val="20"/>
                <w:highlight w:val="yellow"/>
              </w:rPr>
            </w:pPr>
            <w:r w:rsidRPr="00857C27">
              <w:rPr>
                <w:rFonts w:cs="Arial"/>
                <w:sz w:val="20"/>
                <w:szCs w:val="20"/>
              </w:rPr>
              <w:t xml:space="preserve">The same critique applies to the second section on requirement for measuring the annual testing rate in the population represented by “an area of high endemicity”. Nobody questions the value of early diagnosis and </w:t>
            </w:r>
            <w:proofErr w:type="gramStart"/>
            <w:r w:rsidRPr="00857C27">
              <w:rPr>
                <w:rFonts w:cs="Arial"/>
                <w:sz w:val="20"/>
                <w:szCs w:val="20"/>
              </w:rPr>
              <w:t>treatment,</w:t>
            </w:r>
            <w:proofErr w:type="gramEnd"/>
            <w:r w:rsidRPr="00857C27">
              <w:rPr>
                <w:rFonts w:cs="Arial"/>
                <w:sz w:val="20"/>
                <w:szCs w:val="20"/>
              </w:rPr>
              <w:t xml:space="preserve"> this goes without saying. </w:t>
            </w:r>
            <w:bookmarkStart w:id="14" w:name="_Hlk9233028"/>
            <w:r w:rsidRPr="00857C27">
              <w:rPr>
                <w:rFonts w:cs="Arial"/>
                <w:sz w:val="20"/>
                <w:szCs w:val="20"/>
              </w:rPr>
              <w:t>The approach recommended by NICE does not seem to take any account of the compartmentalisation within the behavioural aspects of HIV transmission. It appears to be a response to statistical figuring of prevalence of HIV infection in various populations across the country and is of doubtful value</w:t>
            </w:r>
            <w:bookmarkEnd w:id="14"/>
            <w:r w:rsidRPr="00857C27">
              <w:rPr>
                <w:rFonts w:cs="Arial"/>
                <w:sz w:val="20"/>
                <w:szCs w:val="20"/>
              </w:rPr>
              <w:t>.</w:t>
            </w:r>
          </w:p>
        </w:tc>
      </w:tr>
    </w:tbl>
    <w:p w14:paraId="418C8A7A" w14:textId="77777777" w:rsidR="00E24E02" w:rsidRPr="006966FC" w:rsidRDefault="00E24E02" w:rsidP="009A3F7F">
      <w:pPr>
        <w:pStyle w:val="Heading1"/>
        <w:rPr>
          <w:rFonts w:cs="Arial"/>
          <w:sz w:val="22"/>
          <w:szCs w:val="22"/>
        </w:rPr>
      </w:pPr>
    </w:p>
    <w:sectPr w:rsidR="00E24E02" w:rsidRPr="006966FC" w:rsidSect="00511471">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A3B6" w14:textId="77777777" w:rsidR="006375EE" w:rsidRDefault="006375EE" w:rsidP="00446BEE">
      <w:r>
        <w:separator/>
      </w:r>
    </w:p>
  </w:endnote>
  <w:endnote w:type="continuationSeparator" w:id="0">
    <w:p w14:paraId="22EB9B1D" w14:textId="77777777" w:rsidR="006375EE" w:rsidRDefault="006375E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B07A" w14:textId="3B143C03" w:rsidR="006375EE" w:rsidRPr="008C1C95" w:rsidRDefault="006375EE" w:rsidP="008C1C95">
    <w:pPr>
      <w:pStyle w:val="Footer"/>
      <w:jc w:val="right"/>
    </w:pP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63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57E4" w14:textId="77777777" w:rsidR="006375EE" w:rsidRDefault="006375EE" w:rsidP="00446BEE">
      <w:r>
        <w:separator/>
      </w:r>
    </w:p>
  </w:footnote>
  <w:footnote w:type="continuationSeparator" w:id="0">
    <w:p w14:paraId="1B316AC4" w14:textId="77777777" w:rsidR="006375EE" w:rsidRDefault="006375E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F22A" w14:textId="07E1ABBF" w:rsidR="006375EE" w:rsidRPr="00670FFB" w:rsidRDefault="00C209D6" w:rsidP="00670FFB">
    <w:pPr>
      <w:pStyle w:val="Header"/>
      <w:jc w:val="right"/>
      <w:rPr>
        <w:b/>
        <w:bCs/>
        <w:sz w:val="22"/>
        <w:szCs w:val="22"/>
      </w:rPr>
    </w:pPr>
    <w:r w:rsidRPr="00656693">
      <w:rPr>
        <w:b/>
        <w:bCs/>
        <w:sz w:val="22"/>
        <w:szCs w:val="22"/>
      </w:rPr>
      <w:t xml:space="preserve">ITEM </w:t>
    </w:r>
    <w:r w:rsidR="00656693" w:rsidRPr="00656693">
      <w:rPr>
        <w:b/>
        <w:bCs/>
        <w:sz w:val="22"/>
        <w:szCs w:val="22"/>
      </w:rPr>
      <w:t>3a</w:t>
    </w:r>
    <w:r w:rsidR="001C093E">
      <w:rPr>
        <w:b/>
        <w:bCs/>
        <w:sz w:val="22"/>
        <w:szCs w:val="22"/>
      </w:rPr>
      <w:t>(i)</w:t>
    </w:r>
    <w:r w:rsidR="006375EE" w:rsidRPr="00656693">
      <w:rPr>
        <w:b/>
        <w:bCs/>
        <w:sz w:val="22"/>
        <w:szCs w:val="22"/>
      </w:rPr>
      <w:t xml:space="preserve"> –</w:t>
    </w:r>
    <w:r w:rsidRPr="00656693">
      <w:rPr>
        <w:b/>
        <w:bCs/>
        <w:sz w:val="22"/>
        <w:szCs w:val="22"/>
      </w:rPr>
      <w:t xml:space="preserve">HIV testing in areas with high or extremely high HIV prevalence </w:t>
    </w:r>
    <w:r w:rsidR="006375EE" w:rsidRPr="00656693">
      <w:rPr>
        <w:b/>
        <w:bCs/>
        <w:sz w:val="22"/>
        <w:szCs w:val="22"/>
      </w:rPr>
      <w:t>–</w:t>
    </w:r>
    <w:r w:rsidR="006375EE">
      <w:rPr>
        <w:b/>
        <w:bCs/>
        <w:sz w:val="22"/>
        <w:szCs w:val="22"/>
      </w:rPr>
      <w:t xml:space="preserve"> consultation report</w:t>
    </w:r>
  </w:p>
  <w:p w14:paraId="686E1FB0" w14:textId="77777777" w:rsidR="006375EE" w:rsidRPr="00482C01" w:rsidRDefault="006375EE"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00083"/>
    <w:multiLevelType w:val="hybridMultilevel"/>
    <w:tmpl w:val="89E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6F8"/>
    <w:multiLevelType w:val="hybridMultilevel"/>
    <w:tmpl w:val="4480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93A73"/>
    <w:multiLevelType w:val="hybridMultilevel"/>
    <w:tmpl w:val="7C6E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530775"/>
    <w:multiLevelType w:val="hybridMultilevel"/>
    <w:tmpl w:val="4782DA2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D65B2A"/>
    <w:multiLevelType w:val="hybridMultilevel"/>
    <w:tmpl w:val="386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7644E"/>
    <w:multiLevelType w:val="multilevel"/>
    <w:tmpl w:val="F3D86946"/>
    <w:numStyleLink w:val="Tablebulletindented"/>
  </w:abstractNum>
  <w:abstractNum w:abstractNumId="28"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01BFD"/>
    <w:multiLevelType w:val="multilevel"/>
    <w:tmpl w:val="F3D86946"/>
    <w:numStyleLink w:val="Tablebulletindented"/>
  </w:abstractNum>
  <w:abstractNum w:abstractNumId="3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1A74A7"/>
    <w:multiLevelType w:val="multilevel"/>
    <w:tmpl w:val="AB7C2810"/>
    <w:numStyleLink w:val="Tablebulletleft"/>
  </w:abstractNum>
  <w:abstractNum w:abstractNumId="32" w15:restartNumberingAfterBreak="0">
    <w:nsid w:val="5583485C"/>
    <w:multiLevelType w:val="hybridMultilevel"/>
    <w:tmpl w:val="46FC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4520F4"/>
    <w:multiLevelType w:val="multilevel"/>
    <w:tmpl w:val="AB7C2810"/>
    <w:numStyleLink w:val="Tablebulletleft"/>
  </w:abstractNum>
  <w:abstractNum w:abstractNumId="36" w15:restartNumberingAfterBreak="0">
    <w:nsid w:val="5D92015F"/>
    <w:multiLevelType w:val="multilevel"/>
    <w:tmpl w:val="AB7C2810"/>
    <w:numStyleLink w:val="Tablebulletleft"/>
  </w:abstractNum>
  <w:abstractNum w:abstractNumId="3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D3419C"/>
    <w:multiLevelType w:val="multilevel"/>
    <w:tmpl w:val="F3D86946"/>
    <w:numStyleLink w:val="Tablebulletindented"/>
  </w:abstractNum>
  <w:abstractNum w:abstractNumId="39" w15:restartNumberingAfterBreak="0">
    <w:nsid w:val="61234B40"/>
    <w:multiLevelType w:val="hybridMultilevel"/>
    <w:tmpl w:val="13D4F5E2"/>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A054AC"/>
    <w:multiLevelType w:val="multilevel"/>
    <w:tmpl w:val="8A3A3D5A"/>
    <w:numStyleLink w:val="Tablebullet"/>
  </w:abstractNum>
  <w:abstractNum w:abstractNumId="4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A34081"/>
    <w:multiLevelType w:val="multilevel"/>
    <w:tmpl w:val="F3D86946"/>
    <w:numStyleLink w:val="Tablebulletindented"/>
  </w:abstractNum>
  <w:abstractNum w:abstractNumId="44" w15:restartNumberingAfterBreak="0">
    <w:nsid w:val="6BAC01BF"/>
    <w:multiLevelType w:val="hybridMultilevel"/>
    <w:tmpl w:val="6D84F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280F37"/>
    <w:multiLevelType w:val="multilevel"/>
    <w:tmpl w:val="F3D86946"/>
    <w:numStyleLink w:val="Tablebulletindented"/>
  </w:abstractNum>
  <w:abstractNum w:abstractNumId="46" w15:restartNumberingAfterBreak="0">
    <w:nsid w:val="7D364CCB"/>
    <w:multiLevelType w:val="multilevel"/>
    <w:tmpl w:val="AB7C2810"/>
    <w:numStyleLink w:val="Tablebulletleft"/>
  </w:abstractNum>
  <w:num w:numId="1">
    <w:abstractNumId w:val="42"/>
  </w:num>
  <w:num w:numId="2">
    <w:abstractNumId w:val="11"/>
  </w:num>
  <w:num w:numId="3">
    <w:abstractNumId w:val="34"/>
  </w:num>
  <w:num w:numId="4">
    <w:abstractNumId w:val="12"/>
  </w:num>
  <w:num w:numId="5">
    <w:abstractNumId w:val="25"/>
  </w:num>
  <w:num w:numId="6">
    <w:abstractNumId w:val="1"/>
  </w:num>
  <w:num w:numId="7">
    <w:abstractNumId w:val="10"/>
  </w:num>
  <w:num w:numId="8">
    <w:abstractNumId w:val="22"/>
  </w:num>
  <w:num w:numId="9">
    <w:abstractNumId w:val="23"/>
  </w:num>
  <w:num w:numId="10">
    <w:abstractNumId w:val="5"/>
  </w:num>
  <w:num w:numId="11">
    <w:abstractNumId w:val="8"/>
  </w:num>
  <w:num w:numId="12">
    <w:abstractNumId w:val="2"/>
  </w:num>
  <w:num w:numId="13">
    <w:abstractNumId w:val="41"/>
  </w:num>
  <w:num w:numId="14">
    <w:abstractNumId w:val="15"/>
  </w:num>
  <w:num w:numId="15">
    <w:abstractNumId w:val="9"/>
  </w:num>
  <w:num w:numId="16">
    <w:abstractNumId w:val="18"/>
  </w:num>
  <w:num w:numId="17">
    <w:abstractNumId w:val="16"/>
  </w:num>
  <w:num w:numId="18">
    <w:abstractNumId w:val="19"/>
  </w:num>
  <w:num w:numId="19">
    <w:abstractNumId w:val="30"/>
  </w:num>
  <w:num w:numId="20">
    <w:abstractNumId w:val="6"/>
  </w:num>
  <w:num w:numId="21">
    <w:abstractNumId w:val="37"/>
  </w:num>
  <w:num w:numId="22">
    <w:abstractNumId w:val="26"/>
  </w:num>
  <w:num w:numId="23">
    <w:abstractNumId w:val="39"/>
  </w:num>
  <w:num w:numId="24">
    <w:abstractNumId w:val="0"/>
  </w:num>
  <w:num w:numId="25">
    <w:abstractNumId w:val="4"/>
  </w:num>
  <w:num w:numId="26">
    <w:abstractNumId w:val="46"/>
  </w:num>
  <w:num w:numId="27">
    <w:abstractNumId w:val="35"/>
  </w:num>
  <w:num w:numId="28">
    <w:abstractNumId w:val="36"/>
  </w:num>
  <w:num w:numId="29">
    <w:abstractNumId w:val="31"/>
  </w:num>
  <w:num w:numId="30">
    <w:abstractNumId w:val="33"/>
  </w:num>
  <w:num w:numId="31">
    <w:abstractNumId w:val="27"/>
  </w:num>
  <w:num w:numId="32">
    <w:abstractNumId w:val="38"/>
  </w:num>
  <w:num w:numId="33">
    <w:abstractNumId w:val="29"/>
  </w:num>
  <w:num w:numId="34">
    <w:abstractNumId w:val="45"/>
  </w:num>
  <w:num w:numId="35">
    <w:abstractNumId w:val="43"/>
  </w:num>
  <w:num w:numId="36">
    <w:abstractNumId w:val="17"/>
  </w:num>
  <w:num w:numId="37">
    <w:abstractNumId w:val="40"/>
  </w:num>
  <w:num w:numId="38">
    <w:abstractNumId w:val="44"/>
  </w:num>
  <w:num w:numId="39">
    <w:abstractNumId w:val="14"/>
  </w:num>
  <w:num w:numId="40">
    <w:abstractNumId w:val="13"/>
  </w:num>
  <w:num w:numId="41">
    <w:abstractNumId w:val="28"/>
  </w:num>
  <w:num w:numId="42">
    <w:abstractNumId w:val="7"/>
  </w:num>
  <w:num w:numId="43">
    <w:abstractNumId w:val="5"/>
  </w:num>
  <w:num w:numId="44">
    <w:abstractNumId w:val="2"/>
  </w:num>
  <w:num w:numId="45">
    <w:abstractNumId w:val="8"/>
  </w:num>
  <w:num w:numId="46">
    <w:abstractNumId w:val="2"/>
  </w:num>
  <w:num w:numId="47">
    <w:abstractNumId w:val="8"/>
  </w:num>
  <w:num w:numId="48">
    <w:abstractNumId w:val="8"/>
  </w:num>
  <w:num w:numId="49">
    <w:abstractNumId w:val="8"/>
  </w:num>
  <w:num w:numId="50">
    <w:abstractNumId w:val="5"/>
  </w:num>
  <w:num w:numId="51">
    <w:abstractNumId w:val="5"/>
  </w:num>
  <w:num w:numId="52">
    <w:abstractNumId w:val="5"/>
  </w:num>
  <w:num w:numId="53">
    <w:abstractNumId w:val="8"/>
  </w:num>
  <w:num w:numId="54">
    <w:abstractNumId w:val="5"/>
  </w:num>
  <w:num w:numId="55">
    <w:abstractNumId w:val="5"/>
  </w:num>
  <w:num w:numId="56">
    <w:abstractNumId w:val="5"/>
  </w:num>
  <w:num w:numId="57">
    <w:abstractNumId w:val="5"/>
  </w:num>
  <w:num w:numId="58">
    <w:abstractNumId w:val="5"/>
  </w:num>
  <w:num w:numId="59">
    <w:abstractNumId w:val="20"/>
  </w:num>
  <w:num w:numId="60">
    <w:abstractNumId w:val="32"/>
  </w:num>
  <w:num w:numId="61">
    <w:abstractNumId w:val="3"/>
  </w:num>
  <w:num w:numId="62">
    <w:abstractNumId w:val="21"/>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76F"/>
    <w:rsid w:val="0002231A"/>
    <w:rsid w:val="00023CA5"/>
    <w:rsid w:val="00024D0A"/>
    <w:rsid w:val="00025A5C"/>
    <w:rsid w:val="000300AE"/>
    <w:rsid w:val="00030385"/>
    <w:rsid w:val="0003213D"/>
    <w:rsid w:val="00035D96"/>
    <w:rsid w:val="00037552"/>
    <w:rsid w:val="000414CD"/>
    <w:rsid w:val="000453F8"/>
    <w:rsid w:val="00050710"/>
    <w:rsid w:val="000524FA"/>
    <w:rsid w:val="00052A67"/>
    <w:rsid w:val="00052B85"/>
    <w:rsid w:val="00053145"/>
    <w:rsid w:val="00057A05"/>
    <w:rsid w:val="00060DA1"/>
    <w:rsid w:val="0006231E"/>
    <w:rsid w:val="00062405"/>
    <w:rsid w:val="00063213"/>
    <w:rsid w:val="00063B7C"/>
    <w:rsid w:val="00065B8F"/>
    <w:rsid w:val="000660D6"/>
    <w:rsid w:val="000675B4"/>
    <w:rsid w:val="00070065"/>
    <w:rsid w:val="0007042D"/>
    <w:rsid w:val="000710A1"/>
    <w:rsid w:val="000769BB"/>
    <w:rsid w:val="00077062"/>
    <w:rsid w:val="00077EEC"/>
    <w:rsid w:val="0008047F"/>
    <w:rsid w:val="00081BFA"/>
    <w:rsid w:val="00081C69"/>
    <w:rsid w:val="000853CB"/>
    <w:rsid w:val="00087149"/>
    <w:rsid w:val="00094BC2"/>
    <w:rsid w:val="00094C1B"/>
    <w:rsid w:val="000963D1"/>
    <w:rsid w:val="000A638C"/>
    <w:rsid w:val="000A7163"/>
    <w:rsid w:val="000B1301"/>
    <w:rsid w:val="000B1CBF"/>
    <w:rsid w:val="000B34B8"/>
    <w:rsid w:val="000B5939"/>
    <w:rsid w:val="000B5EBE"/>
    <w:rsid w:val="000C22B9"/>
    <w:rsid w:val="000C4EE8"/>
    <w:rsid w:val="000D04B0"/>
    <w:rsid w:val="000D1487"/>
    <w:rsid w:val="000D3776"/>
    <w:rsid w:val="000E0E0D"/>
    <w:rsid w:val="000E4899"/>
    <w:rsid w:val="000E7E3C"/>
    <w:rsid w:val="000F3B49"/>
    <w:rsid w:val="000F6502"/>
    <w:rsid w:val="000F731E"/>
    <w:rsid w:val="001043B0"/>
    <w:rsid w:val="00110A94"/>
    <w:rsid w:val="00110AD8"/>
    <w:rsid w:val="00112FAE"/>
    <w:rsid w:val="001131E2"/>
    <w:rsid w:val="001134E7"/>
    <w:rsid w:val="00116C13"/>
    <w:rsid w:val="00121C0F"/>
    <w:rsid w:val="00124CBD"/>
    <w:rsid w:val="001252AE"/>
    <w:rsid w:val="00125557"/>
    <w:rsid w:val="001259D1"/>
    <w:rsid w:val="001306F4"/>
    <w:rsid w:val="00130EC7"/>
    <w:rsid w:val="00134FDA"/>
    <w:rsid w:val="00135081"/>
    <w:rsid w:val="001352C4"/>
    <w:rsid w:val="00136466"/>
    <w:rsid w:val="001368F7"/>
    <w:rsid w:val="00140B46"/>
    <w:rsid w:val="001413FC"/>
    <w:rsid w:val="00145D3C"/>
    <w:rsid w:val="00147CD3"/>
    <w:rsid w:val="001503E8"/>
    <w:rsid w:val="00154516"/>
    <w:rsid w:val="00156264"/>
    <w:rsid w:val="00156529"/>
    <w:rsid w:val="001579DA"/>
    <w:rsid w:val="00161EBC"/>
    <w:rsid w:val="00165770"/>
    <w:rsid w:val="00165B01"/>
    <w:rsid w:val="00166C1A"/>
    <w:rsid w:val="0017169E"/>
    <w:rsid w:val="0017396B"/>
    <w:rsid w:val="00175BE8"/>
    <w:rsid w:val="00175F5D"/>
    <w:rsid w:val="00177200"/>
    <w:rsid w:val="00182263"/>
    <w:rsid w:val="0018281C"/>
    <w:rsid w:val="00183AE8"/>
    <w:rsid w:val="00185F6B"/>
    <w:rsid w:val="00192188"/>
    <w:rsid w:val="001936A7"/>
    <w:rsid w:val="00193D4B"/>
    <w:rsid w:val="00194E6C"/>
    <w:rsid w:val="00196653"/>
    <w:rsid w:val="001976DA"/>
    <w:rsid w:val="001A056C"/>
    <w:rsid w:val="001A23E4"/>
    <w:rsid w:val="001A281B"/>
    <w:rsid w:val="001A3011"/>
    <w:rsid w:val="001A48E7"/>
    <w:rsid w:val="001A73CD"/>
    <w:rsid w:val="001A75A1"/>
    <w:rsid w:val="001B06E1"/>
    <w:rsid w:val="001B1619"/>
    <w:rsid w:val="001B187B"/>
    <w:rsid w:val="001B3C11"/>
    <w:rsid w:val="001B3FEC"/>
    <w:rsid w:val="001B5300"/>
    <w:rsid w:val="001B65B3"/>
    <w:rsid w:val="001B6878"/>
    <w:rsid w:val="001B6DC2"/>
    <w:rsid w:val="001C093E"/>
    <w:rsid w:val="001C27F3"/>
    <w:rsid w:val="001C74F4"/>
    <w:rsid w:val="001D0D90"/>
    <w:rsid w:val="001D24D0"/>
    <w:rsid w:val="001D298F"/>
    <w:rsid w:val="001D3D36"/>
    <w:rsid w:val="001D6E16"/>
    <w:rsid w:val="001E08E9"/>
    <w:rsid w:val="001E0B63"/>
    <w:rsid w:val="001E0E8C"/>
    <w:rsid w:val="001E586B"/>
    <w:rsid w:val="001F1315"/>
    <w:rsid w:val="001F1D2D"/>
    <w:rsid w:val="001F4CD7"/>
    <w:rsid w:val="001F6AB0"/>
    <w:rsid w:val="00203B08"/>
    <w:rsid w:val="00204572"/>
    <w:rsid w:val="00205FBE"/>
    <w:rsid w:val="00207174"/>
    <w:rsid w:val="00210375"/>
    <w:rsid w:val="002128D3"/>
    <w:rsid w:val="002132AF"/>
    <w:rsid w:val="00214828"/>
    <w:rsid w:val="00214A72"/>
    <w:rsid w:val="00215444"/>
    <w:rsid w:val="00220661"/>
    <w:rsid w:val="00221491"/>
    <w:rsid w:val="0022189B"/>
    <w:rsid w:val="002229AD"/>
    <w:rsid w:val="00224AEE"/>
    <w:rsid w:val="00225FF4"/>
    <w:rsid w:val="00230A13"/>
    <w:rsid w:val="002331C6"/>
    <w:rsid w:val="00236B76"/>
    <w:rsid w:val="002408EA"/>
    <w:rsid w:val="00241410"/>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330E"/>
    <w:rsid w:val="00294AA8"/>
    <w:rsid w:val="002A1C51"/>
    <w:rsid w:val="002A5503"/>
    <w:rsid w:val="002A6812"/>
    <w:rsid w:val="002A7339"/>
    <w:rsid w:val="002A7A24"/>
    <w:rsid w:val="002B6DD6"/>
    <w:rsid w:val="002B71D2"/>
    <w:rsid w:val="002C1A7E"/>
    <w:rsid w:val="002C2893"/>
    <w:rsid w:val="002C292E"/>
    <w:rsid w:val="002C3718"/>
    <w:rsid w:val="002C5955"/>
    <w:rsid w:val="002C5BFD"/>
    <w:rsid w:val="002C7316"/>
    <w:rsid w:val="002C73DF"/>
    <w:rsid w:val="002D028E"/>
    <w:rsid w:val="002D12BB"/>
    <w:rsid w:val="002D20E7"/>
    <w:rsid w:val="002D2C7E"/>
    <w:rsid w:val="002D2CC4"/>
    <w:rsid w:val="002D2D5C"/>
    <w:rsid w:val="002D2FD2"/>
    <w:rsid w:val="002D58EA"/>
    <w:rsid w:val="002D7242"/>
    <w:rsid w:val="002E13A4"/>
    <w:rsid w:val="002F133C"/>
    <w:rsid w:val="002F13B0"/>
    <w:rsid w:val="002F2EEF"/>
    <w:rsid w:val="002F3E31"/>
    <w:rsid w:val="002F58D0"/>
    <w:rsid w:val="002F67D9"/>
    <w:rsid w:val="002F69F1"/>
    <w:rsid w:val="003015B5"/>
    <w:rsid w:val="0030244C"/>
    <w:rsid w:val="003030A7"/>
    <w:rsid w:val="003052E9"/>
    <w:rsid w:val="00310E3D"/>
    <w:rsid w:val="00311ED0"/>
    <w:rsid w:val="00311FE4"/>
    <w:rsid w:val="00314933"/>
    <w:rsid w:val="0031497D"/>
    <w:rsid w:val="00316D48"/>
    <w:rsid w:val="003236DA"/>
    <w:rsid w:val="00324C60"/>
    <w:rsid w:val="00326131"/>
    <w:rsid w:val="00326482"/>
    <w:rsid w:val="00330EED"/>
    <w:rsid w:val="003351B7"/>
    <w:rsid w:val="0033631A"/>
    <w:rsid w:val="00336946"/>
    <w:rsid w:val="00340D15"/>
    <w:rsid w:val="0034411F"/>
    <w:rsid w:val="00344166"/>
    <w:rsid w:val="00351FA4"/>
    <w:rsid w:val="00351FDE"/>
    <w:rsid w:val="003524BA"/>
    <w:rsid w:val="00352FD0"/>
    <w:rsid w:val="00355BED"/>
    <w:rsid w:val="0035645A"/>
    <w:rsid w:val="00357C1E"/>
    <w:rsid w:val="003604C3"/>
    <w:rsid w:val="00362EE3"/>
    <w:rsid w:val="00365698"/>
    <w:rsid w:val="00367685"/>
    <w:rsid w:val="00367A82"/>
    <w:rsid w:val="00370ACD"/>
    <w:rsid w:val="00371E29"/>
    <w:rsid w:val="003722FA"/>
    <w:rsid w:val="00372E3B"/>
    <w:rsid w:val="003731E6"/>
    <w:rsid w:val="00373EA4"/>
    <w:rsid w:val="00374EB6"/>
    <w:rsid w:val="00375AE7"/>
    <w:rsid w:val="00376C2A"/>
    <w:rsid w:val="00377277"/>
    <w:rsid w:val="00377304"/>
    <w:rsid w:val="00381BEA"/>
    <w:rsid w:val="00381FB7"/>
    <w:rsid w:val="00384141"/>
    <w:rsid w:val="003861AC"/>
    <w:rsid w:val="003862A5"/>
    <w:rsid w:val="00390249"/>
    <w:rsid w:val="003953C7"/>
    <w:rsid w:val="003A03DC"/>
    <w:rsid w:val="003A39A0"/>
    <w:rsid w:val="003A3E2A"/>
    <w:rsid w:val="003B0286"/>
    <w:rsid w:val="003B091A"/>
    <w:rsid w:val="003B1C33"/>
    <w:rsid w:val="003B298F"/>
    <w:rsid w:val="003B45ED"/>
    <w:rsid w:val="003B69AA"/>
    <w:rsid w:val="003C3023"/>
    <w:rsid w:val="003C39D1"/>
    <w:rsid w:val="003C5735"/>
    <w:rsid w:val="003C7AAF"/>
    <w:rsid w:val="003D2D5E"/>
    <w:rsid w:val="003D52EA"/>
    <w:rsid w:val="003D58F7"/>
    <w:rsid w:val="003D5D5A"/>
    <w:rsid w:val="003D6018"/>
    <w:rsid w:val="003E0602"/>
    <w:rsid w:val="003E0BD4"/>
    <w:rsid w:val="003E12B1"/>
    <w:rsid w:val="003E1787"/>
    <w:rsid w:val="003E22FC"/>
    <w:rsid w:val="003F0EB9"/>
    <w:rsid w:val="003F2EC0"/>
    <w:rsid w:val="003F40D1"/>
    <w:rsid w:val="003F42F7"/>
    <w:rsid w:val="003F540E"/>
    <w:rsid w:val="003F694A"/>
    <w:rsid w:val="003F7CE6"/>
    <w:rsid w:val="003F7D78"/>
    <w:rsid w:val="00405B03"/>
    <w:rsid w:val="004068EA"/>
    <w:rsid w:val="004075B6"/>
    <w:rsid w:val="00410E4D"/>
    <w:rsid w:val="00411C38"/>
    <w:rsid w:val="0041238E"/>
    <w:rsid w:val="004150FB"/>
    <w:rsid w:val="00420952"/>
    <w:rsid w:val="00422E2D"/>
    <w:rsid w:val="00423C0E"/>
    <w:rsid w:val="00423DB4"/>
    <w:rsid w:val="0042425C"/>
    <w:rsid w:val="004271A0"/>
    <w:rsid w:val="004306C0"/>
    <w:rsid w:val="004440AF"/>
    <w:rsid w:val="00446BEE"/>
    <w:rsid w:val="00450E6D"/>
    <w:rsid w:val="00451463"/>
    <w:rsid w:val="004518F7"/>
    <w:rsid w:val="0045334C"/>
    <w:rsid w:val="004539D9"/>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237B"/>
    <w:rsid w:val="004A664D"/>
    <w:rsid w:val="004B1325"/>
    <w:rsid w:val="004B4360"/>
    <w:rsid w:val="004B5F89"/>
    <w:rsid w:val="004B686A"/>
    <w:rsid w:val="004B688D"/>
    <w:rsid w:val="004C3670"/>
    <w:rsid w:val="004C3BFD"/>
    <w:rsid w:val="004D1267"/>
    <w:rsid w:val="004D26AD"/>
    <w:rsid w:val="004D2897"/>
    <w:rsid w:val="004D39E2"/>
    <w:rsid w:val="004D756F"/>
    <w:rsid w:val="004E0E78"/>
    <w:rsid w:val="004E4C4B"/>
    <w:rsid w:val="004E54B6"/>
    <w:rsid w:val="004F12E4"/>
    <w:rsid w:val="004F242D"/>
    <w:rsid w:val="004F3269"/>
    <w:rsid w:val="004F7D3A"/>
    <w:rsid w:val="005025A1"/>
    <w:rsid w:val="00502C4B"/>
    <w:rsid w:val="0050409D"/>
    <w:rsid w:val="00505407"/>
    <w:rsid w:val="00505DA4"/>
    <w:rsid w:val="00510FAD"/>
    <w:rsid w:val="00511471"/>
    <w:rsid w:val="00511887"/>
    <w:rsid w:val="005127C1"/>
    <w:rsid w:val="005138B7"/>
    <w:rsid w:val="00513E74"/>
    <w:rsid w:val="005143BA"/>
    <w:rsid w:val="005243EC"/>
    <w:rsid w:val="005249CF"/>
    <w:rsid w:val="00525DD1"/>
    <w:rsid w:val="00527A29"/>
    <w:rsid w:val="005343E1"/>
    <w:rsid w:val="00542074"/>
    <w:rsid w:val="00545970"/>
    <w:rsid w:val="00550783"/>
    <w:rsid w:val="00555CC8"/>
    <w:rsid w:val="00556B58"/>
    <w:rsid w:val="005577FA"/>
    <w:rsid w:val="0056425E"/>
    <w:rsid w:val="00565745"/>
    <w:rsid w:val="0056705D"/>
    <w:rsid w:val="00571370"/>
    <w:rsid w:val="00575207"/>
    <w:rsid w:val="00580FF4"/>
    <w:rsid w:val="00583913"/>
    <w:rsid w:val="005842A7"/>
    <w:rsid w:val="00584C95"/>
    <w:rsid w:val="00584CC9"/>
    <w:rsid w:val="00585FCF"/>
    <w:rsid w:val="00586210"/>
    <w:rsid w:val="00586316"/>
    <w:rsid w:val="00590E29"/>
    <w:rsid w:val="005935C0"/>
    <w:rsid w:val="00596607"/>
    <w:rsid w:val="005A014D"/>
    <w:rsid w:val="005A188D"/>
    <w:rsid w:val="005A2885"/>
    <w:rsid w:val="005A4AD8"/>
    <w:rsid w:val="005A50D3"/>
    <w:rsid w:val="005A576F"/>
    <w:rsid w:val="005A64F3"/>
    <w:rsid w:val="005A6AB3"/>
    <w:rsid w:val="005B0095"/>
    <w:rsid w:val="005B5C8B"/>
    <w:rsid w:val="005B73E7"/>
    <w:rsid w:val="005C3893"/>
    <w:rsid w:val="005C7DB5"/>
    <w:rsid w:val="005D15B9"/>
    <w:rsid w:val="005D1E0A"/>
    <w:rsid w:val="005D4C95"/>
    <w:rsid w:val="005E0AC1"/>
    <w:rsid w:val="005E437F"/>
    <w:rsid w:val="005E58ED"/>
    <w:rsid w:val="005E6B30"/>
    <w:rsid w:val="005F25FD"/>
    <w:rsid w:val="005F3989"/>
    <w:rsid w:val="005F3C5C"/>
    <w:rsid w:val="005F5AFD"/>
    <w:rsid w:val="005F6BB8"/>
    <w:rsid w:val="005F6F0A"/>
    <w:rsid w:val="005F7681"/>
    <w:rsid w:val="00601291"/>
    <w:rsid w:val="0060351B"/>
    <w:rsid w:val="00607959"/>
    <w:rsid w:val="00607C1A"/>
    <w:rsid w:val="0061221F"/>
    <w:rsid w:val="00614078"/>
    <w:rsid w:val="006150A0"/>
    <w:rsid w:val="0062228B"/>
    <w:rsid w:val="00624430"/>
    <w:rsid w:val="00625AEE"/>
    <w:rsid w:val="00627687"/>
    <w:rsid w:val="006276D1"/>
    <w:rsid w:val="006279C2"/>
    <w:rsid w:val="006375EE"/>
    <w:rsid w:val="00637F2A"/>
    <w:rsid w:val="00642C45"/>
    <w:rsid w:val="0064313B"/>
    <w:rsid w:val="0064604F"/>
    <w:rsid w:val="00651D20"/>
    <w:rsid w:val="006523CB"/>
    <w:rsid w:val="0065348A"/>
    <w:rsid w:val="006557A6"/>
    <w:rsid w:val="00656693"/>
    <w:rsid w:val="00657C65"/>
    <w:rsid w:val="006635D1"/>
    <w:rsid w:val="006639FD"/>
    <w:rsid w:val="00664F8F"/>
    <w:rsid w:val="00666A4E"/>
    <w:rsid w:val="00667C21"/>
    <w:rsid w:val="00670FFB"/>
    <w:rsid w:val="00672238"/>
    <w:rsid w:val="006802CA"/>
    <w:rsid w:val="006814B9"/>
    <w:rsid w:val="00683039"/>
    <w:rsid w:val="0068417E"/>
    <w:rsid w:val="00684913"/>
    <w:rsid w:val="006862FD"/>
    <w:rsid w:val="00686B35"/>
    <w:rsid w:val="00686D56"/>
    <w:rsid w:val="006921E1"/>
    <w:rsid w:val="00692F13"/>
    <w:rsid w:val="006937D0"/>
    <w:rsid w:val="00693996"/>
    <w:rsid w:val="00696325"/>
    <w:rsid w:val="006966FC"/>
    <w:rsid w:val="006A2C36"/>
    <w:rsid w:val="006A5E06"/>
    <w:rsid w:val="006B44E2"/>
    <w:rsid w:val="006B4989"/>
    <w:rsid w:val="006C602A"/>
    <w:rsid w:val="006D05D9"/>
    <w:rsid w:val="006D4325"/>
    <w:rsid w:val="006D55A6"/>
    <w:rsid w:val="006D6BD0"/>
    <w:rsid w:val="006D6F7B"/>
    <w:rsid w:val="006E09CB"/>
    <w:rsid w:val="006E2124"/>
    <w:rsid w:val="006E23A2"/>
    <w:rsid w:val="006E303F"/>
    <w:rsid w:val="006E4E37"/>
    <w:rsid w:val="006E5D76"/>
    <w:rsid w:val="006E776D"/>
    <w:rsid w:val="006F17D4"/>
    <w:rsid w:val="006F255A"/>
    <w:rsid w:val="006F5228"/>
    <w:rsid w:val="006F6463"/>
    <w:rsid w:val="0070542C"/>
    <w:rsid w:val="007067D1"/>
    <w:rsid w:val="00713287"/>
    <w:rsid w:val="007136A7"/>
    <w:rsid w:val="007139DD"/>
    <w:rsid w:val="007143AC"/>
    <w:rsid w:val="00716007"/>
    <w:rsid w:val="00716835"/>
    <w:rsid w:val="00716ACF"/>
    <w:rsid w:val="007210C5"/>
    <w:rsid w:val="00730AA4"/>
    <w:rsid w:val="00732C44"/>
    <w:rsid w:val="00734CC7"/>
    <w:rsid w:val="00736348"/>
    <w:rsid w:val="00736448"/>
    <w:rsid w:val="00736D41"/>
    <w:rsid w:val="00737F84"/>
    <w:rsid w:val="00740203"/>
    <w:rsid w:val="007434C4"/>
    <w:rsid w:val="007469C6"/>
    <w:rsid w:val="00746C13"/>
    <w:rsid w:val="00747C1C"/>
    <w:rsid w:val="00752F55"/>
    <w:rsid w:val="007573F4"/>
    <w:rsid w:val="007574DD"/>
    <w:rsid w:val="00760E09"/>
    <w:rsid w:val="00762D25"/>
    <w:rsid w:val="00762FFF"/>
    <w:rsid w:val="00763FE4"/>
    <w:rsid w:val="007646C3"/>
    <w:rsid w:val="007647C1"/>
    <w:rsid w:val="0076595B"/>
    <w:rsid w:val="0076743A"/>
    <w:rsid w:val="00770B9A"/>
    <w:rsid w:val="007718E7"/>
    <w:rsid w:val="00773DE6"/>
    <w:rsid w:val="007825BE"/>
    <w:rsid w:val="007831FB"/>
    <w:rsid w:val="007839C3"/>
    <w:rsid w:val="00783E53"/>
    <w:rsid w:val="00785266"/>
    <w:rsid w:val="00785616"/>
    <w:rsid w:val="007910D0"/>
    <w:rsid w:val="00791BB8"/>
    <w:rsid w:val="00792D69"/>
    <w:rsid w:val="007969DF"/>
    <w:rsid w:val="0079772A"/>
    <w:rsid w:val="007B5378"/>
    <w:rsid w:val="007C4561"/>
    <w:rsid w:val="007C4814"/>
    <w:rsid w:val="007C516A"/>
    <w:rsid w:val="007C6CFD"/>
    <w:rsid w:val="007D28D7"/>
    <w:rsid w:val="007D31FD"/>
    <w:rsid w:val="007E1B11"/>
    <w:rsid w:val="007E1BDA"/>
    <w:rsid w:val="007E2014"/>
    <w:rsid w:val="007E21F8"/>
    <w:rsid w:val="007E2696"/>
    <w:rsid w:val="007E3374"/>
    <w:rsid w:val="007E6A87"/>
    <w:rsid w:val="007E78BD"/>
    <w:rsid w:val="007E7FF4"/>
    <w:rsid w:val="007F14A6"/>
    <w:rsid w:val="007F71A5"/>
    <w:rsid w:val="007F744E"/>
    <w:rsid w:val="007F7F72"/>
    <w:rsid w:val="008010D5"/>
    <w:rsid w:val="0080217C"/>
    <w:rsid w:val="00802828"/>
    <w:rsid w:val="0080288C"/>
    <w:rsid w:val="0080417F"/>
    <w:rsid w:val="00804466"/>
    <w:rsid w:val="00806468"/>
    <w:rsid w:val="00807FF1"/>
    <w:rsid w:val="008100D4"/>
    <w:rsid w:val="00810C89"/>
    <w:rsid w:val="008137AD"/>
    <w:rsid w:val="008138B2"/>
    <w:rsid w:val="00813C4A"/>
    <w:rsid w:val="00815862"/>
    <w:rsid w:val="00817C3D"/>
    <w:rsid w:val="00820118"/>
    <w:rsid w:val="00822301"/>
    <w:rsid w:val="00822F81"/>
    <w:rsid w:val="008274B0"/>
    <w:rsid w:val="0082752E"/>
    <w:rsid w:val="008318F6"/>
    <w:rsid w:val="0083313E"/>
    <w:rsid w:val="008331BB"/>
    <w:rsid w:val="00833D43"/>
    <w:rsid w:val="00840FF7"/>
    <w:rsid w:val="00841169"/>
    <w:rsid w:val="00844032"/>
    <w:rsid w:val="008443D8"/>
    <w:rsid w:val="008445E7"/>
    <w:rsid w:val="00847D3A"/>
    <w:rsid w:val="00855549"/>
    <w:rsid w:val="00861B3D"/>
    <w:rsid w:val="00865CE7"/>
    <w:rsid w:val="0086701C"/>
    <w:rsid w:val="00867262"/>
    <w:rsid w:val="0087024E"/>
    <w:rsid w:val="00870BDD"/>
    <w:rsid w:val="008717F1"/>
    <w:rsid w:val="008738A8"/>
    <w:rsid w:val="00876F5C"/>
    <w:rsid w:val="00880ED3"/>
    <w:rsid w:val="00883721"/>
    <w:rsid w:val="00890137"/>
    <w:rsid w:val="008904D0"/>
    <w:rsid w:val="008924E3"/>
    <w:rsid w:val="0089270D"/>
    <w:rsid w:val="008A124E"/>
    <w:rsid w:val="008A1DAE"/>
    <w:rsid w:val="008A247E"/>
    <w:rsid w:val="008A2C2A"/>
    <w:rsid w:val="008A35A2"/>
    <w:rsid w:val="008A3D62"/>
    <w:rsid w:val="008A6605"/>
    <w:rsid w:val="008B183A"/>
    <w:rsid w:val="008B4B98"/>
    <w:rsid w:val="008C183F"/>
    <w:rsid w:val="008C1C95"/>
    <w:rsid w:val="008C3D9F"/>
    <w:rsid w:val="008C4122"/>
    <w:rsid w:val="008C669E"/>
    <w:rsid w:val="008D2A77"/>
    <w:rsid w:val="008D2B94"/>
    <w:rsid w:val="008D62F8"/>
    <w:rsid w:val="008D652E"/>
    <w:rsid w:val="008D6A3E"/>
    <w:rsid w:val="008E1B3C"/>
    <w:rsid w:val="008E4419"/>
    <w:rsid w:val="008E56A4"/>
    <w:rsid w:val="008E5BA8"/>
    <w:rsid w:val="008E664D"/>
    <w:rsid w:val="008E6FCA"/>
    <w:rsid w:val="008F2FAE"/>
    <w:rsid w:val="008F4B70"/>
    <w:rsid w:val="008F4E22"/>
    <w:rsid w:val="008F61C4"/>
    <w:rsid w:val="009019A9"/>
    <w:rsid w:val="00902CB1"/>
    <w:rsid w:val="00904953"/>
    <w:rsid w:val="009052F5"/>
    <w:rsid w:val="009072F7"/>
    <w:rsid w:val="00907BFE"/>
    <w:rsid w:val="00907C13"/>
    <w:rsid w:val="00907DF5"/>
    <w:rsid w:val="00910C1F"/>
    <w:rsid w:val="00911263"/>
    <w:rsid w:val="0091321D"/>
    <w:rsid w:val="0091391C"/>
    <w:rsid w:val="00916CED"/>
    <w:rsid w:val="00917909"/>
    <w:rsid w:val="00917D07"/>
    <w:rsid w:val="0092122F"/>
    <w:rsid w:val="009225D9"/>
    <w:rsid w:val="0092393F"/>
    <w:rsid w:val="00925F15"/>
    <w:rsid w:val="0092634C"/>
    <w:rsid w:val="0092757A"/>
    <w:rsid w:val="00930715"/>
    <w:rsid w:val="0093101C"/>
    <w:rsid w:val="009319AA"/>
    <w:rsid w:val="0093543E"/>
    <w:rsid w:val="00937E8B"/>
    <w:rsid w:val="009460E7"/>
    <w:rsid w:val="00947FDB"/>
    <w:rsid w:val="00952219"/>
    <w:rsid w:val="009543A4"/>
    <w:rsid w:val="00955F17"/>
    <w:rsid w:val="009562D0"/>
    <w:rsid w:val="00957124"/>
    <w:rsid w:val="00960CC3"/>
    <w:rsid w:val="0096180D"/>
    <w:rsid w:val="00961E3B"/>
    <w:rsid w:val="00962360"/>
    <w:rsid w:val="009669AD"/>
    <w:rsid w:val="00966EB0"/>
    <w:rsid w:val="00970115"/>
    <w:rsid w:val="00970C5C"/>
    <w:rsid w:val="00972945"/>
    <w:rsid w:val="00973C64"/>
    <w:rsid w:val="00974384"/>
    <w:rsid w:val="00974D81"/>
    <w:rsid w:val="00976903"/>
    <w:rsid w:val="009769A5"/>
    <w:rsid w:val="00977F9C"/>
    <w:rsid w:val="00983AF5"/>
    <w:rsid w:val="00986AA9"/>
    <w:rsid w:val="00987296"/>
    <w:rsid w:val="00987B83"/>
    <w:rsid w:val="00987E66"/>
    <w:rsid w:val="00990173"/>
    <w:rsid w:val="00992244"/>
    <w:rsid w:val="00993567"/>
    <w:rsid w:val="00993DDC"/>
    <w:rsid w:val="00995A38"/>
    <w:rsid w:val="009965E1"/>
    <w:rsid w:val="009A23F7"/>
    <w:rsid w:val="009A2B2A"/>
    <w:rsid w:val="009A38DA"/>
    <w:rsid w:val="009A3F7F"/>
    <w:rsid w:val="009A75C4"/>
    <w:rsid w:val="009B0897"/>
    <w:rsid w:val="009B276A"/>
    <w:rsid w:val="009B3223"/>
    <w:rsid w:val="009B4063"/>
    <w:rsid w:val="009B52E5"/>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44F8"/>
    <w:rsid w:val="00A1592C"/>
    <w:rsid w:val="00A15A1F"/>
    <w:rsid w:val="00A16F4B"/>
    <w:rsid w:val="00A17B57"/>
    <w:rsid w:val="00A240EE"/>
    <w:rsid w:val="00A3050E"/>
    <w:rsid w:val="00A32C40"/>
    <w:rsid w:val="00A3325A"/>
    <w:rsid w:val="00A4094A"/>
    <w:rsid w:val="00A426BE"/>
    <w:rsid w:val="00A526EF"/>
    <w:rsid w:val="00A53E97"/>
    <w:rsid w:val="00A60794"/>
    <w:rsid w:val="00A611CE"/>
    <w:rsid w:val="00A7018B"/>
    <w:rsid w:val="00A70A7A"/>
    <w:rsid w:val="00A74AE2"/>
    <w:rsid w:val="00A756BB"/>
    <w:rsid w:val="00A77B63"/>
    <w:rsid w:val="00A80F87"/>
    <w:rsid w:val="00A8249A"/>
    <w:rsid w:val="00A85968"/>
    <w:rsid w:val="00A866E2"/>
    <w:rsid w:val="00A879B5"/>
    <w:rsid w:val="00A90FB2"/>
    <w:rsid w:val="00A922F5"/>
    <w:rsid w:val="00A96317"/>
    <w:rsid w:val="00A9690E"/>
    <w:rsid w:val="00A9779D"/>
    <w:rsid w:val="00AA276F"/>
    <w:rsid w:val="00AA32D3"/>
    <w:rsid w:val="00AA4327"/>
    <w:rsid w:val="00AA7A0F"/>
    <w:rsid w:val="00AB09A9"/>
    <w:rsid w:val="00AB1BBA"/>
    <w:rsid w:val="00AB3D08"/>
    <w:rsid w:val="00AB487A"/>
    <w:rsid w:val="00AB5614"/>
    <w:rsid w:val="00AB744E"/>
    <w:rsid w:val="00AC2019"/>
    <w:rsid w:val="00AC63A6"/>
    <w:rsid w:val="00AC7C93"/>
    <w:rsid w:val="00AD09F8"/>
    <w:rsid w:val="00AD23FF"/>
    <w:rsid w:val="00AD3BCE"/>
    <w:rsid w:val="00AD56B1"/>
    <w:rsid w:val="00AD7CB3"/>
    <w:rsid w:val="00AE0661"/>
    <w:rsid w:val="00AE22A6"/>
    <w:rsid w:val="00AE495F"/>
    <w:rsid w:val="00AE537D"/>
    <w:rsid w:val="00AE5576"/>
    <w:rsid w:val="00AE5854"/>
    <w:rsid w:val="00AE76CB"/>
    <w:rsid w:val="00AF108A"/>
    <w:rsid w:val="00AF10F5"/>
    <w:rsid w:val="00AF1393"/>
    <w:rsid w:val="00AF5D31"/>
    <w:rsid w:val="00AF6DD8"/>
    <w:rsid w:val="00B01831"/>
    <w:rsid w:val="00B0269C"/>
    <w:rsid w:val="00B02E55"/>
    <w:rsid w:val="00B0389A"/>
    <w:rsid w:val="00B0538C"/>
    <w:rsid w:val="00B05396"/>
    <w:rsid w:val="00B06D4E"/>
    <w:rsid w:val="00B11A62"/>
    <w:rsid w:val="00B14C5C"/>
    <w:rsid w:val="00B14DDE"/>
    <w:rsid w:val="00B157D0"/>
    <w:rsid w:val="00B17DE0"/>
    <w:rsid w:val="00B25529"/>
    <w:rsid w:val="00B265EB"/>
    <w:rsid w:val="00B27031"/>
    <w:rsid w:val="00B307EC"/>
    <w:rsid w:val="00B341DA"/>
    <w:rsid w:val="00B44CE2"/>
    <w:rsid w:val="00B53A23"/>
    <w:rsid w:val="00B54BE5"/>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6D83"/>
    <w:rsid w:val="00B87486"/>
    <w:rsid w:val="00B87E05"/>
    <w:rsid w:val="00B909E1"/>
    <w:rsid w:val="00B91264"/>
    <w:rsid w:val="00B94316"/>
    <w:rsid w:val="00B956ED"/>
    <w:rsid w:val="00B96E71"/>
    <w:rsid w:val="00B97C95"/>
    <w:rsid w:val="00BA02F9"/>
    <w:rsid w:val="00BA164A"/>
    <w:rsid w:val="00BA31F9"/>
    <w:rsid w:val="00BA3FDA"/>
    <w:rsid w:val="00BA4313"/>
    <w:rsid w:val="00BA4784"/>
    <w:rsid w:val="00BA49EA"/>
    <w:rsid w:val="00BA4F42"/>
    <w:rsid w:val="00BA513C"/>
    <w:rsid w:val="00BA714E"/>
    <w:rsid w:val="00BA7AA3"/>
    <w:rsid w:val="00BB4FE5"/>
    <w:rsid w:val="00BB544C"/>
    <w:rsid w:val="00BB6334"/>
    <w:rsid w:val="00BB6352"/>
    <w:rsid w:val="00BB716A"/>
    <w:rsid w:val="00BC0422"/>
    <w:rsid w:val="00BC2765"/>
    <w:rsid w:val="00BC3D2A"/>
    <w:rsid w:val="00BC4575"/>
    <w:rsid w:val="00BC4CA0"/>
    <w:rsid w:val="00BC6FC8"/>
    <w:rsid w:val="00BC7ABB"/>
    <w:rsid w:val="00BD3051"/>
    <w:rsid w:val="00BD38BB"/>
    <w:rsid w:val="00BD4879"/>
    <w:rsid w:val="00BD50F7"/>
    <w:rsid w:val="00BD674E"/>
    <w:rsid w:val="00BE10A8"/>
    <w:rsid w:val="00BE2BC8"/>
    <w:rsid w:val="00BE5835"/>
    <w:rsid w:val="00BE5D71"/>
    <w:rsid w:val="00BE7D2D"/>
    <w:rsid w:val="00BF0116"/>
    <w:rsid w:val="00BF1474"/>
    <w:rsid w:val="00BF24FE"/>
    <w:rsid w:val="00BF28F7"/>
    <w:rsid w:val="00BF3B0A"/>
    <w:rsid w:val="00BF4B06"/>
    <w:rsid w:val="00BF54C1"/>
    <w:rsid w:val="00BF5BDB"/>
    <w:rsid w:val="00BF672F"/>
    <w:rsid w:val="00BF7FE0"/>
    <w:rsid w:val="00C0050E"/>
    <w:rsid w:val="00C0570D"/>
    <w:rsid w:val="00C07D8E"/>
    <w:rsid w:val="00C130C8"/>
    <w:rsid w:val="00C13168"/>
    <w:rsid w:val="00C13F60"/>
    <w:rsid w:val="00C14404"/>
    <w:rsid w:val="00C203C9"/>
    <w:rsid w:val="00C209D6"/>
    <w:rsid w:val="00C22E43"/>
    <w:rsid w:val="00C23238"/>
    <w:rsid w:val="00C235DF"/>
    <w:rsid w:val="00C2539E"/>
    <w:rsid w:val="00C278DE"/>
    <w:rsid w:val="00C3004B"/>
    <w:rsid w:val="00C31F4C"/>
    <w:rsid w:val="00C3209A"/>
    <w:rsid w:val="00C32ADC"/>
    <w:rsid w:val="00C35755"/>
    <w:rsid w:val="00C42E13"/>
    <w:rsid w:val="00C4427F"/>
    <w:rsid w:val="00C47DDE"/>
    <w:rsid w:val="00C50912"/>
    <w:rsid w:val="00C50FF0"/>
    <w:rsid w:val="00C56073"/>
    <w:rsid w:val="00C578C1"/>
    <w:rsid w:val="00C63347"/>
    <w:rsid w:val="00C64D23"/>
    <w:rsid w:val="00C67B74"/>
    <w:rsid w:val="00C7123A"/>
    <w:rsid w:val="00C7128F"/>
    <w:rsid w:val="00C71666"/>
    <w:rsid w:val="00C7331B"/>
    <w:rsid w:val="00C74667"/>
    <w:rsid w:val="00C74D07"/>
    <w:rsid w:val="00C803FD"/>
    <w:rsid w:val="00C80EB4"/>
    <w:rsid w:val="00C86682"/>
    <w:rsid w:val="00C90846"/>
    <w:rsid w:val="00C92700"/>
    <w:rsid w:val="00C9372C"/>
    <w:rsid w:val="00C94681"/>
    <w:rsid w:val="00CA129E"/>
    <w:rsid w:val="00CA20B5"/>
    <w:rsid w:val="00CA3562"/>
    <w:rsid w:val="00CA371D"/>
    <w:rsid w:val="00CB0A27"/>
    <w:rsid w:val="00CB35D9"/>
    <w:rsid w:val="00CB4A8A"/>
    <w:rsid w:val="00CB60DD"/>
    <w:rsid w:val="00CC04DE"/>
    <w:rsid w:val="00CC12E7"/>
    <w:rsid w:val="00CC3F84"/>
    <w:rsid w:val="00CC6E2D"/>
    <w:rsid w:val="00CD24A8"/>
    <w:rsid w:val="00CD315A"/>
    <w:rsid w:val="00CD319A"/>
    <w:rsid w:val="00CD5502"/>
    <w:rsid w:val="00CE0526"/>
    <w:rsid w:val="00CE1ED9"/>
    <w:rsid w:val="00CF0BB4"/>
    <w:rsid w:val="00CF1BB4"/>
    <w:rsid w:val="00CF2FF8"/>
    <w:rsid w:val="00CF3F6B"/>
    <w:rsid w:val="00CF4851"/>
    <w:rsid w:val="00CF58B7"/>
    <w:rsid w:val="00D0069F"/>
    <w:rsid w:val="00D05493"/>
    <w:rsid w:val="00D07D5E"/>
    <w:rsid w:val="00D11C27"/>
    <w:rsid w:val="00D13EFE"/>
    <w:rsid w:val="00D148D5"/>
    <w:rsid w:val="00D16E6A"/>
    <w:rsid w:val="00D1792B"/>
    <w:rsid w:val="00D20373"/>
    <w:rsid w:val="00D224A1"/>
    <w:rsid w:val="00D2279D"/>
    <w:rsid w:val="00D22FF4"/>
    <w:rsid w:val="00D2772A"/>
    <w:rsid w:val="00D349ED"/>
    <w:rsid w:val="00D351C1"/>
    <w:rsid w:val="00D35E64"/>
    <w:rsid w:val="00D36CA3"/>
    <w:rsid w:val="00D4249C"/>
    <w:rsid w:val="00D428BC"/>
    <w:rsid w:val="00D44776"/>
    <w:rsid w:val="00D44CE7"/>
    <w:rsid w:val="00D45804"/>
    <w:rsid w:val="00D46BC7"/>
    <w:rsid w:val="00D47082"/>
    <w:rsid w:val="00D51245"/>
    <w:rsid w:val="00D516FE"/>
    <w:rsid w:val="00D532B8"/>
    <w:rsid w:val="00D54B6F"/>
    <w:rsid w:val="00D54E73"/>
    <w:rsid w:val="00D575A3"/>
    <w:rsid w:val="00D613A6"/>
    <w:rsid w:val="00D617A6"/>
    <w:rsid w:val="00D650EA"/>
    <w:rsid w:val="00D737C5"/>
    <w:rsid w:val="00D73835"/>
    <w:rsid w:val="00D7722A"/>
    <w:rsid w:val="00D80B1B"/>
    <w:rsid w:val="00D82293"/>
    <w:rsid w:val="00D83B57"/>
    <w:rsid w:val="00D8405B"/>
    <w:rsid w:val="00D86BF0"/>
    <w:rsid w:val="00D86DCB"/>
    <w:rsid w:val="00D939B7"/>
    <w:rsid w:val="00D950D8"/>
    <w:rsid w:val="00D95477"/>
    <w:rsid w:val="00DA293D"/>
    <w:rsid w:val="00DA777A"/>
    <w:rsid w:val="00DB0188"/>
    <w:rsid w:val="00DB26A8"/>
    <w:rsid w:val="00DB4F9F"/>
    <w:rsid w:val="00DB5728"/>
    <w:rsid w:val="00DB5AE0"/>
    <w:rsid w:val="00DB6161"/>
    <w:rsid w:val="00DB70FB"/>
    <w:rsid w:val="00DC334D"/>
    <w:rsid w:val="00DC6AAD"/>
    <w:rsid w:val="00DE165D"/>
    <w:rsid w:val="00DE226B"/>
    <w:rsid w:val="00DE2FD7"/>
    <w:rsid w:val="00DE45A3"/>
    <w:rsid w:val="00DE5EE7"/>
    <w:rsid w:val="00DF1EC1"/>
    <w:rsid w:val="00DF343E"/>
    <w:rsid w:val="00DF67C3"/>
    <w:rsid w:val="00DF6CEB"/>
    <w:rsid w:val="00E009D9"/>
    <w:rsid w:val="00E03F71"/>
    <w:rsid w:val="00E045EE"/>
    <w:rsid w:val="00E06ED0"/>
    <w:rsid w:val="00E1082D"/>
    <w:rsid w:val="00E130CB"/>
    <w:rsid w:val="00E14934"/>
    <w:rsid w:val="00E172BE"/>
    <w:rsid w:val="00E2160E"/>
    <w:rsid w:val="00E24E02"/>
    <w:rsid w:val="00E25895"/>
    <w:rsid w:val="00E30CA9"/>
    <w:rsid w:val="00E408AB"/>
    <w:rsid w:val="00E41E68"/>
    <w:rsid w:val="00E43B2D"/>
    <w:rsid w:val="00E460A6"/>
    <w:rsid w:val="00E50CB6"/>
    <w:rsid w:val="00E51920"/>
    <w:rsid w:val="00E53A58"/>
    <w:rsid w:val="00E54D26"/>
    <w:rsid w:val="00E63ADD"/>
    <w:rsid w:val="00E64120"/>
    <w:rsid w:val="00E65FA3"/>
    <w:rsid w:val="00E678CB"/>
    <w:rsid w:val="00E67D1E"/>
    <w:rsid w:val="00E707FD"/>
    <w:rsid w:val="00E71348"/>
    <w:rsid w:val="00E71657"/>
    <w:rsid w:val="00E745BB"/>
    <w:rsid w:val="00E8010A"/>
    <w:rsid w:val="00E8229C"/>
    <w:rsid w:val="00E836E5"/>
    <w:rsid w:val="00E84601"/>
    <w:rsid w:val="00E84E5D"/>
    <w:rsid w:val="00E85E09"/>
    <w:rsid w:val="00E8605D"/>
    <w:rsid w:val="00E92CE2"/>
    <w:rsid w:val="00E93CDD"/>
    <w:rsid w:val="00E977FB"/>
    <w:rsid w:val="00EA0944"/>
    <w:rsid w:val="00EA1325"/>
    <w:rsid w:val="00EA22D5"/>
    <w:rsid w:val="00EA241F"/>
    <w:rsid w:val="00EA25CF"/>
    <w:rsid w:val="00EA2704"/>
    <w:rsid w:val="00EA4221"/>
    <w:rsid w:val="00EB2FE6"/>
    <w:rsid w:val="00EB3CD8"/>
    <w:rsid w:val="00EB6F5F"/>
    <w:rsid w:val="00ED246E"/>
    <w:rsid w:val="00ED379C"/>
    <w:rsid w:val="00ED4D08"/>
    <w:rsid w:val="00ED5834"/>
    <w:rsid w:val="00ED6AAF"/>
    <w:rsid w:val="00EE065C"/>
    <w:rsid w:val="00EE3926"/>
    <w:rsid w:val="00EE5D34"/>
    <w:rsid w:val="00EE7263"/>
    <w:rsid w:val="00EE776F"/>
    <w:rsid w:val="00EF319C"/>
    <w:rsid w:val="00EF7C4A"/>
    <w:rsid w:val="00F00846"/>
    <w:rsid w:val="00F02496"/>
    <w:rsid w:val="00F027E4"/>
    <w:rsid w:val="00F055F1"/>
    <w:rsid w:val="00F05A46"/>
    <w:rsid w:val="00F13430"/>
    <w:rsid w:val="00F15458"/>
    <w:rsid w:val="00F22278"/>
    <w:rsid w:val="00F253B4"/>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1024"/>
    <w:rsid w:val="00F5122A"/>
    <w:rsid w:val="00F51940"/>
    <w:rsid w:val="00F51A84"/>
    <w:rsid w:val="00F523CD"/>
    <w:rsid w:val="00F53495"/>
    <w:rsid w:val="00F559F9"/>
    <w:rsid w:val="00F561EE"/>
    <w:rsid w:val="00F5794A"/>
    <w:rsid w:val="00F63D66"/>
    <w:rsid w:val="00F64504"/>
    <w:rsid w:val="00F6458C"/>
    <w:rsid w:val="00F6478A"/>
    <w:rsid w:val="00F6661C"/>
    <w:rsid w:val="00F6682D"/>
    <w:rsid w:val="00F701C7"/>
    <w:rsid w:val="00F708AA"/>
    <w:rsid w:val="00F7721E"/>
    <w:rsid w:val="00F77823"/>
    <w:rsid w:val="00F77FD4"/>
    <w:rsid w:val="00F81C15"/>
    <w:rsid w:val="00F82391"/>
    <w:rsid w:val="00F85718"/>
    <w:rsid w:val="00F858CA"/>
    <w:rsid w:val="00F87E9D"/>
    <w:rsid w:val="00F90054"/>
    <w:rsid w:val="00F9034E"/>
    <w:rsid w:val="00F916DC"/>
    <w:rsid w:val="00F94BD6"/>
    <w:rsid w:val="00F958CC"/>
    <w:rsid w:val="00FA464E"/>
    <w:rsid w:val="00FA60EE"/>
    <w:rsid w:val="00FB2379"/>
    <w:rsid w:val="00FB25E5"/>
    <w:rsid w:val="00FB3848"/>
    <w:rsid w:val="00FB5293"/>
    <w:rsid w:val="00FB5446"/>
    <w:rsid w:val="00FC0D46"/>
    <w:rsid w:val="00FC10ED"/>
    <w:rsid w:val="00FC2D11"/>
    <w:rsid w:val="00FC373B"/>
    <w:rsid w:val="00FC6230"/>
    <w:rsid w:val="00FD05BA"/>
    <w:rsid w:val="00FD0638"/>
    <w:rsid w:val="00FD2A0A"/>
    <w:rsid w:val="00FD3934"/>
    <w:rsid w:val="00FD40F7"/>
    <w:rsid w:val="00FD5913"/>
    <w:rsid w:val="00FE0558"/>
    <w:rsid w:val="00FE0BF6"/>
    <w:rsid w:val="00FE11E8"/>
    <w:rsid w:val="00FE29B5"/>
    <w:rsid w:val="00FE32EB"/>
    <w:rsid w:val="00FE3AFF"/>
    <w:rsid w:val="00FE6591"/>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0327BEC1"/>
  <w15:docId w15:val="{CA0667E6-99B1-4C44-B71A-3329F4E4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6B4989"/>
    <w:pPr>
      <w:tabs>
        <w:tab w:val="right" w:leader="dot" w:pos="9017"/>
      </w:tabs>
    </w:pPr>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902CB1"/>
    <w:pPr>
      <w:tabs>
        <w:tab w:val="right" w:leader="dot" w:pos="9017"/>
      </w:tabs>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5"/>
      </w:numPr>
    </w:pPr>
  </w:style>
  <w:style w:type="numbering" w:customStyle="1" w:styleId="Tablebulletindented">
    <w:name w:val="Table bullet indented"/>
    <w:basedOn w:val="NoList"/>
    <w:rsid w:val="00ED6AAF"/>
    <w:pPr>
      <w:numPr>
        <w:numId w:val="30"/>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4"/>
      </w:numPr>
      <w:contextualSpacing/>
    </w:pPr>
    <w:rPr>
      <w:rFonts w:ascii="Arial" w:hAnsi="Arial" w:cs="Arial"/>
      <w:spacing w:val="-3"/>
    </w:rPr>
  </w:style>
  <w:style w:type="numbering" w:customStyle="1" w:styleId="Tablebullet">
    <w:name w:val="Table bullet"/>
    <w:basedOn w:val="NoList"/>
    <w:rsid w:val="00ED6AAF"/>
    <w:pPr>
      <w:numPr>
        <w:numId w:val="3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63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194635">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iv-in-the-united-kingdom" TargetMode="External"/><Relationship Id="rId13" Type="http://schemas.openxmlformats.org/officeDocument/2006/relationships/hyperlink" Target="https://www.nice.org.uk/guidance/ng60/resour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hiv-in-the-united-kingdom" TargetMode="External"/><Relationship Id="rId17" Type="http://schemas.openxmlformats.org/officeDocument/2006/relationships/hyperlink" Target="https://www.nice.org.uk/guidance/qs157" TargetMode="External"/><Relationship Id="rId2" Type="http://schemas.openxmlformats.org/officeDocument/2006/relationships/numbering" Target="numbering.xml"/><Relationship Id="rId16" Type="http://schemas.openxmlformats.org/officeDocument/2006/relationships/hyperlink" Target="https://www.nice.org.uk/guidance/ng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iv-in-the-united-kingdom" TargetMode="External"/><Relationship Id="rId5" Type="http://schemas.openxmlformats.org/officeDocument/2006/relationships/webSettings" Target="webSettings.xml"/><Relationship Id="rId15" Type="http://schemas.openxmlformats.org/officeDocument/2006/relationships/hyperlink" Target="https://www.nice.org.uk/guidance/qs157" TargetMode="External"/><Relationship Id="rId10" Type="http://schemas.openxmlformats.org/officeDocument/2006/relationships/hyperlink" Target="https://www.gov.uk/government/publications/hiv-in-the-united-kingd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ice.org.uk/guidance/ng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4D4A-AD54-4AC0-9C54-07097D07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DEDF654B</Template>
  <TotalTime>40</TotalTime>
  <Pages>10</Pages>
  <Words>2616</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Lacey</dc:creator>
  <cp:keywords/>
  <cp:lastModifiedBy>Esther Clifford</cp:lastModifiedBy>
  <cp:revision>9</cp:revision>
  <cp:lastPrinted>2019-05-24T11:08:00Z</cp:lastPrinted>
  <dcterms:created xsi:type="dcterms:W3CDTF">2019-05-28T07:49:00Z</dcterms:created>
  <dcterms:modified xsi:type="dcterms:W3CDTF">2019-08-28T11:47:00Z</dcterms:modified>
</cp:coreProperties>
</file>