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0E4E6E" w:rsidRDefault="00E202F5" w:rsidP="00402391">
      <w:pPr>
        <w:pStyle w:val="Title"/>
      </w:pPr>
      <w:r w:rsidRPr="000E4E6E">
        <w:t xml:space="preserve">NATIONAL INSTITUTE FOR HEALTH AND </w:t>
      </w:r>
      <w:r w:rsidR="00A547C9" w:rsidRPr="000E4E6E">
        <w:t>CARE</w:t>
      </w:r>
      <w:r w:rsidRPr="000E4E6E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0E4E6E">
        <w:t xml:space="preserve">NICE </w:t>
      </w:r>
      <w:r w:rsidR="00126C3F" w:rsidRPr="000E4E6E">
        <w:t>indicator guidance</w:t>
      </w:r>
    </w:p>
    <w:p w14:paraId="48D659BB" w14:textId="77777777" w:rsidR="00281C48" w:rsidRDefault="00281C48" w:rsidP="00281C48">
      <w:pPr>
        <w:pStyle w:val="NICEnormal"/>
      </w:pPr>
      <w:r>
        <w:t>Date first published on NICE menu: August 2019</w:t>
      </w:r>
    </w:p>
    <w:p w14:paraId="623D2423" w14:textId="59D0AA34" w:rsidR="00281C48" w:rsidRPr="00126C3F" w:rsidRDefault="00281C48" w:rsidP="00281C48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8D43EE">
        <w:t>April 2022</w:t>
      </w:r>
    </w:p>
    <w:p w14:paraId="1EAD3328" w14:textId="7C3D8567" w:rsidR="00281C48" w:rsidRDefault="00281C48" w:rsidP="00281C48">
      <w:pPr>
        <w:pStyle w:val="Heading1"/>
        <w:spacing w:line="360" w:lineRule="auto"/>
      </w:pPr>
      <w:r w:rsidRPr="00126C3F">
        <w:t xml:space="preserve">Indicator </w:t>
      </w:r>
      <w:r>
        <w:t>NM19</w:t>
      </w:r>
      <w:r w:rsidR="00BB39CB">
        <w:t>2</w:t>
      </w:r>
    </w:p>
    <w:p w14:paraId="19D66B05" w14:textId="6D0F864E" w:rsidR="000E4E6E" w:rsidRDefault="008D43EE" w:rsidP="00281C48">
      <w:pPr>
        <w:pStyle w:val="NICEnormal"/>
        <w:rPr>
          <w:b/>
          <w:bCs/>
        </w:rPr>
      </w:pPr>
      <w:r w:rsidRPr="008D43EE">
        <w:t>The percentage of patients aged 80 years and over with a history of stroke or TIA in whom the last blood pressure reading (measured in the preceding 12 months) is below 150/90 mmHg</w:t>
      </w:r>
      <w:r w:rsidR="000E4E6E">
        <w:t>.</w:t>
      </w:r>
      <w:r w:rsidR="000E4E6E" w:rsidRPr="000E4E6E">
        <w:t xml:space="preserve"> </w:t>
      </w:r>
    </w:p>
    <w:p w14:paraId="18778417" w14:textId="55E3A8FA" w:rsidR="00806B97" w:rsidRDefault="00806B97" w:rsidP="007B1A1E">
      <w:pPr>
        <w:pStyle w:val="Heading1"/>
      </w:pPr>
      <w:r w:rsidRPr="00806B97">
        <w:t xml:space="preserve">Indicator type </w:t>
      </w:r>
    </w:p>
    <w:p w14:paraId="32616629" w14:textId="1D674D20" w:rsidR="003145C9" w:rsidRPr="00C21BC2" w:rsidRDefault="000E4E6E" w:rsidP="00281C48">
      <w:pPr>
        <w:pStyle w:val="NICEnormal"/>
      </w:pPr>
      <w:r>
        <w:t xml:space="preserve">General practice indicator suitable for use in the </w:t>
      </w:r>
      <w:r w:rsidR="009969C9">
        <w:t>QOF</w:t>
      </w:r>
      <w:r>
        <w:t xml:space="preserve">. </w:t>
      </w:r>
    </w:p>
    <w:p w14:paraId="20705D2C" w14:textId="4B4BD3A4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67825117" w14:textId="07A05E3E" w:rsidR="007B1A1E" w:rsidRDefault="00B47E09" w:rsidP="00281C48">
      <w:pPr>
        <w:pStyle w:val="NICEnormal"/>
      </w:pPr>
      <w:r>
        <w:t xml:space="preserve">High blood pressure (hypertension) is a major risk factor for ischemic and </w:t>
      </w:r>
      <w:r w:rsidRPr="00B47E09">
        <w:t>hemorrhagic</w:t>
      </w:r>
      <w:r>
        <w:t xml:space="preserve"> stroke, and untreated, it is</w:t>
      </w:r>
      <w:r w:rsidR="001D29A6">
        <w:t xml:space="preserve"> typically associated with a progressive rise in blood pressure. There is no natural cut-off above which hypertension definitively </w:t>
      </w:r>
      <w:r w:rsidR="008D43EE">
        <w:t>exists,</w:t>
      </w:r>
      <w:r w:rsidR="001D29A6">
        <w:t xml:space="preserve"> but the risk associated with increasing blood pressure is continuous, with each 2mmHg rise resulting in a 10% </w:t>
      </w:r>
      <w:proofErr w:type="gramStart"/>
      <w:r w:rsidR="001D29A6">
        <w:t>increase</w:t>
      </w:r>
      <w:proofErr w:type="gramEnd"/>
      <w:r w:rsidR="001D29A6">
        <w:t xml:space="preserve"> risk of mortality in stroke. It is very common in the UK, particularly among older people; at least one quarter of adults – and half of those older than 60 – have high blood pressure. </w:t>
      </w:r>
    </w:p>
    <w:p w14:paraId="5CBA37E8" w14:textId="17B1CD50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584D229E" w14:textId="389A3181" w:rsidR="00D27F17" w:rsidRPr="00D27F17" w:rsidRDefault="001D29A6" w:rsidP="00281C48">
      <w:pPr>
        <w:pStyle w:val="NICEnormal"/>
        <w:rPr>
          <w:b/>
          <w:bCs/>
        </w:rPr>
      </w:pPr>
      <w:r>
        <w:t xml:space="preserve">Treatment of hypertension after diagnosis involves lifestyle advice and drug therapy. </w:t>
      </w:r>
      <w:r w:rsidR="000E4E6E">
        <w:t>The aim of treating people to this target is to promote secondary prevention of vascular events through satisfactory blood pressure control</w:t>
      </w:r>
      <w:r>
        <w:t>. For people aged 80 years and over with a history of stroke or TIA</w:t>
      </w:r>
      <w:r w:rsidR="000E4E6E">
        <w:t xml:space="preserve"> </w:t>
      </w:r>
      <w:r w:rsidR="008D43EE">
        <w:t xml:space="preserve">once </w:t>
      </w:r>
      <w:r w:rsidR="001B32B5">
        <w:t xml:space="preserve">the target of </w:t>
      </w:r>
      <w:r w:rsidR="008D43EE">
        <w:t xml:space="preserve">below </w:t>
      </w:r>
      <w:r w:rsidR="001B32B5">
        <w:t>150/90 mmHg</w:t>
      </w:r>
      <w:r w:rsidR="008D43EE">
        <w:t xml:space="preserve"> is achieved</w:t>
      </w:r>
      <w:r w:rsidR="007B2840">
        <w:t xml:space="preserve">, an annual check-up is needed. </w:t>
      </w:r>
    </w:p>
    <w:p w14:paraId="69D4A75D" w14:textId="3FE7CB0F" w:rsidR="00D141B1" w:rsidRDefault="00D141B1" w:rsidP="00D141B1">
      <w:pPr>
        <w:pStyle w:val="Heading1"/>
        <w:rPr>
          <w:i/>
        </w:rPr>
      </w:pPr>
      <w:r w:rsidRPr="001F2B33">
        <w:lastRenderedPageBreak/>
        <w:t xml:space="preserve">Source guidance </w:t>
      </w:r>
    </w:p>
    <w:p w14:paraId="1E259BBD" w14:textId="0CD98DA9" w:rsidR="00D141B1" w:rsidRDefault="008D43EE" w:rsidP="00D141B1">
      <w:pPr>
        <w:pStyle w:val="NICEnormal"/>
      </w:pPr>
      <w:hyperlink r:id="rId7" w:history="1">
        <w:r w:rsidRPr="00A520B9">
          <w:rPr>
            <w:rStyle w:val="Hyperlink"/>
          </w:rPr>
          <w:t>Hypertension in adults: diagnosis and management</w:t>
        </w:r>
      </w:hyperlink>
      <w:r>
        <w:t xml:space="preserve"> </w:t>
      </w:r>
      <w:r w:rsidRPr="00BD6253">
        <w:t>(</w:t>
      </w:r>
      <w:r>
        <w:t>2019, updated 2022</w:t>
      </w:r>
      <w:r w:rsidRPr="00BD6253">
        <w:t xml:space="preserve">) NICE guideline </w:t>
      </w:r>
      <w:r>
        <w:t>NG136</w:t>
      </w:r>
      <w:r w:rsidRPr="00BD6253">
        <w:t>, recommendation</w:t>
      </w:r>
      <w:r>
        <w:t xml:space="preserve"> </w:t>
      </w:r>
      <w:r w:rsidRPr="009C6EDA">
        <w:t>1.</w:t>
      </w:r>
      <w:r>
        <w:t>4.21</w:t>
      </w:r>
      <w:r w:rsidR="00B47E09">
        <w:t>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111C3682" w:rsidR="0009195D" w:rsidRDefault="00D141B1" w:rsidP="00D141B1">
      <w:pPr>
        <w:pStyle w:val="NICEnormal"/>
      </w:pPr>
      <w:r>
        <w:t xml:space="preserve">Numerator: </w:t>
      </w:r>
      <w:r w:rsidR="00496906">
        <w:t xml:space="preserve">The number of </w:t>
      </w:r>
      <w:r w:rsidR="00B51E26">
        <w:t xml:space="preserve">patients </w:t>
      </w:r>
      <w:r w:rsidR="00BB7215">
        <w:t xml:space="preserve">in the denominator </w:t>
      </w:r>
      <w:r w:rsidR="00B51E26">
        <w:t>in whom the last blood pressure reading (measured in the preceding 12 months) is</w:t>
      </w:r>
      <w:r w:rsidR="008D43EE">
        <w:t xml:space="preserve"> below</w:t>
      </w:r>
      <w:r w:rsidR="00B51E26">
        <w:t xml:space="preserve"> 150/90 mmHg. </w:t>
      </w:r>
    </w:p>
    <w:p w14:paraId="06B62F8F" w14:textId="34E8068D" w:rsidR="00D141B1" w:rsidRDefault="00D141B1" w:rsidP="00D141B1">
      <w:pPr>
        <w:pStyle w:val="NICEnormal"/>
      </w:pPr>
      <w:r>
        <w:t>Denominator:</w:t>
      </w:r>
      <w:r w:rsidR="00B51E26">
        <w:t xml:space="preserve"> </w:t>
      </w:r>
      <w:r w:rsidR="00BB7215">
        <w:t>The number of pa</w:t>
      </w:r>
      <w:r w:rsidR="00B51E26">
        <w:t xml:space="preserve">tients </w:t>
      </w:r>
      <w:r w:rsidR="00411C8B">
        <w:t xml:space="preserve">aged 80 years and over </w:t>
      </w:r>
      <w:r w:rsidR="00BB7215">
        <w:t>with a history of stroke or TIA</w:t>
      </w:r>
      <w:r w:rsidR="00B51E26">
        <w:t xml:space="preserve">.  </w:t>
      </w:r>
    </w:p>
    <w:p w14:paraId="04501E11" w14:textId="354D2DC1" w:rsidR="0009195D" w:rsidRDefault="0009195D" w:rsidP="00D141B1">
      <w:pPr>
        <w:pStyle w:val="NICEnormal"/>
      </w:pPr>
      <w:r>
        <w:t xml:space="preserve">Calculation: </w:t>
      </w:r>
      <w:r w:rsidRPr="005449B6">
        <w:t>(Numerator/denominator)</w:t>
      </w:r>
      <w:r w:rsidR="009969C9">
        <w:t xml:space="preserve"> </w:t>
      </w:r>
      <w:r w:rsidRPr="005449B6">
        <w:t>*</w:t>
      </w:r>
      <w:r w:rsidR="009969C9">
        <w:t xml:space="preserve"> </w:t>
      </w:r>
      <w:r w:rsidRPr="005449B6">
        <w:t>100</w:t>
      </w:r>
      <w:r w:rsidR="009969C9">
        <w:t>.</w:t>
      </w:r>
    </w:p>
    <w:p w14:paraId="6DBFA869" w14:textId="741F5AF0" w:rsidR="00032261" w:rsidRDefault="00D141B1" w:rsidP="00D141B1">
      <w:pPr>
        <w:pStyle w:val="NICEnormal"/>
      </w:pPr>
      <w:r>
        <w:t>Exclusions:</w:t>
      </w:r>
      <w:r w:rsidR="00034638">
        <w:t xml:space="preserve"> </w:t>
      </w:r>
      <w:r w:rsidR="00BB7215">
        <w:t>None</w:t>
      </w:r>
      <w:r w:rsidR="009B65B4">
        <w:t xml:space="preserve">. </w:t>
      </w:r>
    </w:p>
    <w:p w14:paraId="6A68F8E1" w14:textId="0AE69E6B" w:rsidR="00BB7215" w:rsidRDefault="00706451" w:rsidP="00BB7215">
      <w:pPr>
        <w:pStyle w:val="NICEnormal"/>
      </w:pPr>
      <w:r>
        <w:t xml:space="preserve">Minimum population: </w:t>
      </w:r>
      <w:r w:rsidR="00BB7215" w:rsidRPr="00B41B12">
        <w:t xml:space="preserve">The indicator would be appropriate to assess performance at individual general practice level. </w:t>
      </w:r>
    </w:p>
    <w:p w14:paraId="5820CAB2" w14:textId="77777777" w:rsidR="00BB7215" w:rsidRPr="0009195D" w:rsidRDefault="00BB7215" w:rsidP="00BB7215">
      <w:pPr>
        <w:pStyle w:val="Heading1"/>
      </w:pPr>
      <w:r w:rsidRPr="0009195D">
        <w:t>Further information</w:t>
      </w:r>
    </w:p>
    <w:p w14:paraId="7D0CEB46" w14:textId="77777777" w:rsidR="00BB7215" w:rsidRPr="0009195D" w:rsidRDefault="00BB7215" w:rsidP="00BB7215">
      <w:pPr>
        <w:pStyle w:val="NICEnormal"/>
      </w:pPr>
      <w:bookmarkStart w:id="0" w:name="_Hlk14183092"/>
      <w:bookmarkStart w:id="1" w:name="_Hlk14250706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  <w:bookmarkEnd w:id="1"/>
    </w:p>
    <w:p w14:paraId="70B822BC" w14:textId="2F04E8F0" w:rsidR="0009195D" w:rsidRPr="0009195D" w:rsidRDefault="0009195D" w:rsidP="00BB7215">
      <w:pPr>
        <w:pStyle w:val="NICEnormal"/>
      </w:pPr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6BAE23D4" w:rsidR="00245B12" w:rsidRPr="00EA7F52" w:rsidRDefault="00D141B1" w:rsidP="00D141B1">
    <w:pPr>
      <w:pStyle w:val="Footer"/>
    </w:pPr>
    <w:r>
      <w:t xml:space="preserve">NICE indicator guidance: </w:t>
    </w:r>
    <w:r w:rsidR="00CE7C0B">
      <w:t>NM</w:t>
    </w:r>
    <w:r w:rsidR="00BB7215">
      <w:t>192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93974"/>
    <w:multiLevelType w:val="hybridMultilevel"/>
    <w:tmpl w:val="88A82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0900800">
    <w:abstractNumId w:val="23"/>
  </w:num>
  <w:num w:numId="2" w16cid:durableId="865947681">
    <w:abstractNumId w:val="26"/>
  </w:num>
  <w:num w:numId="3" w16cid:durableId="413553070">
    <w:abstractNumId w:val="26"/>
    <w:lvlOverride w:ilvl="0">
      <w:startOverride w:val="1"/>
    </w:lvlOverride>
  </w:num>
  <w:num w:numId="4" w16cid:durableId="2135361822">
    <w:abstractNumId w:val="26"/>
    <w:lvlOverride w:ilvl="0">
      <w:startOverride w:val="1"/>
    </w:lvlOverride>
  </w:num>
  <w:num w:numId="5" w16cid:durableId="1893418922">
    <w:abstractNumId w:val="26"/>
    <w:lvlOverride w:ilvl="0">
      <w:startOverride w:val="1"/>
    </w:lvlOverride>
  </w:num>
  <w:num w:numId="6" w16cid:durableId="1493831883">
    <w:abstractNumId w:val="26"/>
    <w:lvlOverride w:ilvl="0">
      <w:startOverride w:val="1"/>
    </w:lvlOverride>
  </w:num>
  <w:num w:numId="7" w16cid:durableId="1788624545">
    <w:abstractNumId w:val="26"/>
    <w:lvlOverride w:ilvl="0">
      <w:startOverride w:val="1"/>
    </w:lvlOverride>
  </w:num>
  <w:num w:numId="8" w16cid:durableId="697269207">
    <w:abstractNumId w:val="9"/>
  </w:num>
  <w:num w:numId="9" w16cid:durableId="1403943825">
    <w:abstractNumId w:val="7"/>
  </w:num>
  <w:num w:numId="10" w16cid:durableId="1770733380">
    <w:abstractNumId w:val="6"/>
  </w:num>
  <w:num w:numId="11" w16cid:durableId="1298294914">
    <w:abstractNumId w:val="5"/>
  </w:num>
  <w:num w:numId="12" w16cid:durableId="2076925768">
    <w:abstractNumId w:val="4"/>
  </w:num>
  <w:num w:numId="13" w16cid:durableId="147600670">
    <w:abstractNumId w:val="8"/>
  </w:num>
  <w:num w:numId="14" w16cid:durableId="2088841671">
    <w:abstractNumId w:val="3"/>
  </w:num>
  <w:num w:numId="15" w16cid:durableId="1005014942">
    <w:abstractNumId w:val="2"/>
  </w:num>
  <w:num w:numId="16" w16cid:durableId="1826969941">
    <w:abstractNumId w:val="1"/>
  </w:num>
  <w:num w:numId="17" w16cid:durableId="846480333">
    <w:abstractNumId w:val="0"/>
  </w:num>
  <w:num w:numId="18" w16cid:durableId="1575241724">
    <w:abstractNumId w:val="16"/>
  </w:num>
  <w:num w:numId="19" w16cid:durableId="1379472957">
    <w:abstractNumId w:val="16"/>
    <w:lvlOverride w:ilvl="0">
      <w:startOverride w:val="1"/>
    </w:lvlOverride>
  </w:num>
  <w:num w:numId="20" w16cid:durableId="561210072">
    <w:abstractNumId w:val="12"/>
  </w:num>
  <w:num w:numId="21" w16cid:durableId="977148567">
    <w:abstractNumId w:val="13"/>
  </w:num>
  <w:num w:numId="22" w16cid:durableId="201017560">
    <w:abstractNumId w:val="17"/>
  </w:num>
  <w:num w:numId="23" w16cid:durableId="1665622592">
    <w:abstractNumId w:val="18"/>
  </w:num>
  <w:num w:numId="24" w16cid:durableId="442849746">
    <w:abstractNumId w:val="23"/>
  </w:num>
  <w:num w:numId="25" w16cid:durableId="774054562">
    <w:abstractNumId w:val="20"/>
  </w:num>
  <w:num w:numId="26" w16cid:durableId="80956210">
    <w:abstractNumId w:val="28"/>
  </w:num>
  <w:num w:numId="27" w16cid:durableId="1538273286">
    <w:abstractNumId w:val="27"/>
  </w:num>
  <w:num w:numId="28" w16cid:durableId="1524979644">
    <w:abstractNumId w:val="30"/>
  </w:num>
  <w:num w:numId="29" w16cid:durableId="629673430">
    <w:abstractNumId w:val="14"/>
  </w:num>
  <w:num w:numId="30" w16cid:durableId="1398481999">
    <w:abstractNumId w:val="15"/>
  </w:num>
  <w:num w:numId="31" w16cid:durableId="708069162">
    <w:abstractNumId w:val="11"/>
  </w:num>
  <w:num w:numId="32" w16cid:durableId="1085611092">
    <w:abstractNumId w:val="25"/>
  </w:num>
  <w:num w:numId="33" w16cid:durableId="336855843">
    <w:abstractNumId w:val="29"/>
  </w:num>
  <w:num w:numId="34" w16cid:durableId="1603757357">
    <w:abstractNumId w:val="19"/>
  </w:num>
  <w:num w:numId="35" w16cid:durableId="2114550297">
    <w:abstractNumId w:val="10"/>
  </w:num>
  <w:num w:numId="36" w16cid:durableId="2026516624">
    <w:abstractNumId w:val="23"/>
  </w:num>
  <w:num w:numId="37" w16cid:durableId="1048456118">
    <w:abstractNumId w:val="24"/>
  </w:num>
  <w:num w:numId="38" w16cid:durableId="206143459">
    <w:abstractNumId w:val="22"/>
  </w:num>
  <w:num w:numId="39" w16cid:durableId="2990015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9E0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2261"/>
    <w:rsid w:val="00033C41"/>
    <w:rsid w:val="00034638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4E6E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2B5"/>
    <w:rsid w:val="001B3EA6"/>
    <w:rsid w:val="001B5A4C"/>
    <w:rsid w:val="001B65B3"/>
    <w:rsid w:val="001C31E9"/>
    <w:rsid w:val="001C506B"/>
    <w:rsid w:val="001C7C0D"/>
    <w:rsid w:val="001D0FBE"/>
    <w:rsid w:val="001D29A6"/>
    <w:rsid w:val="001D5DCC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1C48"/>
    <w:rsid w:val="002826F0"/>
    <w:rsid w:val="00297EFD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145C9"/>
    <w:rsid w:val="00336D76"/>
    <w:rsid w:val="00337052"/>
    <w:rsid w:val="003370E6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A1A59"/>
    <w:rsid w:val="003B53D0"/>
    <w:rsid w:val="003C7AAF"/>
    <w:rsid w:val="003D602E"/>
    <w:rsid w:val="003D61BE"/>
    <w:rsid w:val="003D6D57"/>
    <w:rsid w:val="003E1C96"/>
    <w:rsid w:val="003E38A5"/>
    <w:rsid w:val="00402391"/>
    <w:rsid w:val="00402436"/>
    <w:rsid w:val="004070CA"/>
    <w:rsid w:val="004075B6"/>
    <w:rsid w:val="00411C8B"/>
    <w:rsid w:val="00412C67"/>
    <w:rsid w:val="00417A17"/>
    <w:rsid w:val="00420952"/>
    <w:rsid w:val="00424869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906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789"/>
    <w:rsid w:val="005309E5"/>
    <w:rsid w:val="005312F6"/>
    <w:rsid w:val="005444CE"/>
    <w:rsid w:val="005449B6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D78FC"/>
    <w:rsid w:val="006E3BEB"/>
    <w:rsid w:val="006F0A86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1A1E"/>
    <w:rsid w:val="007B2840"/>
    <w:rsid w:val="007B5B4D"/>
    <w:rsid w:val="007B5CC6"/>
    <w:rsid w:val="007C3F12"/>
    <w:rsid w:val="007C6EDB"/>
    <w:rsid w:val="007D5B33"/>
    <w:rsid w:val="007E5A42"/>
    <w:rsid w:val="007E7021"/>
    <w:rsid w:val="007E7F51"/>
    <w:rsid w:val="007F0382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5E6B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D43EE"/>
    <w:rsid w:val="008E081F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969C9"/>
    <w:rsid w:val="009A6DFF"/>
    <w:rsid w:val="009B65B4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A658E"/>
    <w:rsid w:val="00AB2242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47E09"/>
    <w:rsid w:val="00B51E26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B39CB"/>
    <w:rsid w:val="00BB7215"/>
    <w:rsid w:val="00BC05E2"/>
    <w:rsid w:val="00BC4FA5"/>
    <w:rsid w:val="00BC6478"/>
    <w:rsid w:val="00BD08A8"/>
    <w:rsid w:val="00BD3430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1BC2"/>
    <w:rsid w:val="00C25D8A"/>
    <w:rsid w:val="00C35731"/>
    <w:rsid w:val="00C42C69"/>
    <w:rsid w:val="00C46D9D"/>
    <w:rsid w:val="00C4726C"/>
    <w:rsid w:val="00C478C4"/>
    <w:rsid w:val="00C47CDD"/>
    <w:rsid w:val="00C625B6"/>
    <w:rsid w:val="00C64673"/>
    <w:rsid w:val="00C66A0A"/>
    <w:rsid w:val="00C67481"/>
    <w:rsid w:val="00C80100"/>
    <w:rsid w:val="00C80D72"/>
    <w:rsid w:val="00C80EC7"/>
    <w:rsid w:val="00C8355F"/>
    <w:rsid w:val="00C84AE8"/>
    <w:rsid w:val="00C8732C"/>
    <w:rsid w:val="00C952C7"/>
    <w:rsid w:val="00C96411"/>
    <w:rsid w:val="00CA0AA3"/>
    <w:rsid w:val="00CA2F61"/>
    <w:rsid w:val="00CA6A8F"/>
    <w:rsid w:val="00CB07C6"/>
    <w:rsid w:val="00CB2C9F"/>
    <w:rsid w:val="00CB52E4"/>
    <w:rsid w:val="00CC2B2E"/>
    <w:rsid w:val="00CD5E73"/>
    <w:rsid w:val="00CD78CA"/>
    <w:rsid w:val="00CE7C0B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27F17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96C5B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3890"/>
    <w:rsid w:val="00DE4457"/>
    <w:rsid w:val="00DF45AD"/>
    <w:rsid w:val="00DF637B"/>
    <w:rsid w:val="00DF7DE7"/>
    <w:rsid w:val="00E02ADB"/>
    <w:rsid w:val="00E05591"/>
    <w:rsid w:val="00E05FA8"/>
    <w:rsid w:val="00E06D6C"/>
    <w:rsid w:val="00E10F96"/>
    <w:rsid w:val="00E131B5"/>
    <w:rsid w:val="00E14372"/>
    <w:rsid w:val="00E202F5"/>
    <w:rsid w:val="00E22E21"/>
    <w:rsid w:val="00E24349"/>
    <w:rsid w:val="00E24522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2020-10-27T15:28:00Z</dcterms:created>
  <dcterms:modified xsi:type="dcterms:W3CDTF">2022-04-20T15:51:00Z</dcterms:modified>
</cp:coreProperties>
</file>