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696601A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1262DD">
        <w:t xml:space="preserve">August </w:t>
      </w:r>
      <w:r w:rsidR="00B0158B">
        <w:t>2019</w:t>
      </w:r>
    </w:p>
    <w:p w14:paraId="06BAB3FE" w14:textId="49C90BDC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>:</w:t>
      </w:r>
      <w:r w:rsidR="001262DD">
        <w:t xml:space="preserve"> </w:t>
      </w:r>
      <w:r w:rsidR="00B0158B">
        <w:t>N/A</w:t>
      </w:r>
    </w:p>
    <w:p w14:paraId="6107852F" w14:textId="40D8CF30" w:rsidR="006F0A86" w:rsidRDefault="006F0A86" w:rsidP="00126C3F">
      <w:pPr>
        <w:pStyle w:val="Heading1"/>
      </w:pPr>
      <w:r w:rsidRPr="00126C3F">
        <w:t xml:space="preserve">Indicator </w:t>
      </w:r>
      <w:r w:rsidR="001262DD">
        <w:t>NM</w:t>
      </w:r>
      <w:r w:rsidR="00F2308D">
        <w:t>19</w:t>
      </w:r>
      <w:r w:rsidR="009F7AA3">
        <w:t>4</w:t>
      </w:r>
    </w:p>
    <w:p w14:paraId="0A6C169D" w14:textId="36542FF3" w:rsidR="00611A1D" w:rsidRPr="00611A1D" w:rsidRDefault="001262DD" w:rsidP="00611A1D">
      <w:pPr>
        <w:pStyle w:val="Paragraph"/>
      </w:pPr>
      <w:r>
        <w:t xml:space="preserve">The percentage of patients with </w:t>
      </w:r>
      <w:r w:rsidR="00B0158B">
        <w:t xml:space="preserve">very </w:t>
      </w:r>
      <w:r w:rsidR="00C376FC">
        <w:t xml:space="preserve">severe </w:t>
      </w:r>
      <w:r>
        <w:t>chronic obstructive pulmonary disease (COPD) with a record of oxygen saturation value within the preceding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662BE831" w14:textId="52554881" w:rsidR="00B0158B" w:rsidRPr="001D4746" w:rsidRDefault="00B0158B" w:rsidP="00B0158B">
      <w:pPr>
        <w:pStyle w:val="Paragraph"/>
      </w:pPr>
      <w:r w:rsidRPr="001D4746">
        <w:t xml:space="preserve">General practice indicator suitable for use in the </w:t>
      </w:r>
      <w:r w:rsidR="00D612D5">
        <w:t>QOF</w:t>
      </w:r>
      <w:r w:rsidRPr="001D4746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60728040" w14:textId="1B3784A8" w:rsidR="007E1504" w:rsidRDefault="007E1504" w:rsidP="00126C3F">
      <w:pPr>
        <w:pStyle w:val="NICEnormal"/>
      </w:pPr>
      <w:r>
        <w:t>Chronic obstructive pulmonary disorder (COPD)</w:t>
      </w:r>
      <w:r w:rsidR="004F2783">
        <w:t xml:space="preserve"> is characterized by airflow obstruction which is progressive and not fully reversible. The airflow obstruction results from chronic inflammation, </w:t>
      </w:r>
      <w:proofErr w:type="gramStart"/>
      <w:r w:rsidR="004F2783">
        <w:t>most commonly cause</w:t>
      </w:r>
      <w:r w:rsidR="00C30902">
        <w:t>d</w:t>
      </w:r>
      <w:proofErr w:type="gramEnd"/>
      <w:r w:rsidR="004F2783">
        <w:t xml:space="preserve"> by smoking. It produces symptoms, disability and impaired quality of life which may respond to pharmacological and other therapies, but these have limited impact on airway obstruction. </w:t>
      </w:r>
      <w:r w:rsidR="00B56CB3">
        <w:t>The need for l</w:t>
      </w:r>
      <w:r w:rsidR="00C30902">
        <w:t xml:space="preserve">ong term oxygen therapy </w:t>
      </w:r>
      <w:r w:rsidR="00B56CB3">
        <w:t>should be assessed in patients with</w:t>
      </w:r>
      <w:r w:rsidR="00C30902">
        <w:t xml:space="preserve"> stage 4 disease, very severe airflow obstruction and the presence of other symptoms suggesting low oxygen saturation and when oxygen saturation is 92% or less. 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4D4A1A1D" w14:textId="148E86FE" w:rsidR="00C30902" w:rsidRDefault="00C30902" w:rsidP="00BD6253">
      <w:pPr>
        <w:pStyle w:val="NICEnormal"/>
      </w:pPr>
      <w:r>
        <w:t>This indicator</w:t>
      </w:r>
      <w:r w:rsidR="00B56CB3">
        <w:t xml:space="preserve"> supports identification of patients who would benefit from long term oxygen therapy. Oxygen saturation of 92% or less when breathing air indicates the need for further assessment by measurement of partial pressure of oxygen (PaO</w:t>
      </w:r>
      <w:r w:rsidR="00B56CB3" w:rsidRPr="00B56CB3">
        <w:rPr>
          <w:vertAlign w:val="subscript"/>
        </w:rPr>
        <w:t>2</w:t>
      </w:r>
      <w:r w:rsidR="00B56CB3">
        <w:t xml:space="preserve">) using an arterial blood gas sample. </w:t>
      </w:r>
      <w:proofErr w:type="spellStart"/>
      <w:r w:rsidR="00B56CB3">
        <w:t>Hypoxaemia</w:t>
      </w:r>
      <w:proofErr w:type="spellEnd"/>
      <w:r w:rsidR="00B56CB3">
        <w:t xml:space="preserve"> can result in right-sided heart failure, peripheral oedema and has a poor prognosis and untreated the 5-year survival is less than 50%. L</w:t>
      </w:r>
      <w:r>
        <w:t xml:space="preserve">ong term oxygen therapy can </w:t>
      </w:r>
      <w:r>
        <w:lastRenderedPageBreak/>
        <w:t xml:space="preserve">reduce the incidence of </w:t>
      </w:r>
      <w:proofErr w:type="spellStart"/>
      <w:r>
        <w:t>polycythaemia</w:t>
      </w:r>
      <w:proofErr w:type="spellEnd"/>
      <w:r w:rsidR="00B56CB3">
        <w:t xml:space="preserve">, reduce </w:t>
      </w:r>
      <w:r>
        <w:t xml:space="preserve">progression of pulmonary </w:t>
      </w:r>
      <w:proofErr w:type="gramStart"/>
      <w:r>
        <w:t>hypertension</w:t>
      </w:r>
      <w:proofErr w:type="gramEnd"/>
      <w:r>
        <w:t xml:space="preserve"> and</w:t>
      </w:r>
      <w:r w:rsidR="00E5638E" w:rsidRPr="00E5638E">
        <w:t xml:space="preserve"> </w:t>
      </w:r>
      <w:r w:rsidR="00E5638E">
        <w:t xml:space="preserve">improve survival in patients with COPD who have </w:t>
      </w:r>
      <w:proofErr w:type="spellStart"/>
      <w:r w:rsidR="00E5638E">
        <w:t>hypoxaemia</w:t>
      </w:r>
      <w:proofErr w:type="spellEnd"/>
      <w:r w:rsidR="00E5638E">
        <w:t>,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4015D925" w:rsidR="00D141B1" w:rsidRPr="00BD6253" w:rsidRDefault="00000000" w:rsidP="00D141B1">
      <w:pPr>
        <w:pStyle w:val="NICEnormal"/>
      </w:pPr>
      <w:hyperlink r:id="rId8" w:history="1">
        <w:r w:rsidR="00B56CB3" w:rsidRPr="00631AC5">
          <w:rPr>
            <w:rStyle w:val="Hyperlink"/>
          </w:rPr>
          <w:t>Chronic obstructive pulmonary disease in over 16s: diagnosis and management</w:t>
        </w:r>
      </w:hyperlink>
      <w:r w:rsidR="00B56CB3">
        <w:t xml:space="preserve"> (2018) NICE guideline NG115, recommendation</w:t>
      </w:r>
      <w:r w:rsidR="00D05468">
        <w:t xml:space="preserve"> 1.2.140</w:t>
      </w:r>
      <w:r w:rsidR="00631AC5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10DF8C3B" w:rsidR="0009195D" w:rsidRDefault="00D141B1" w:rsidP="00D141B1">
      <w:pPr>
        <w:pStyle w:val="NICEnormal"/>
      </w:pPr>
      <w:r>
        <w:t xml:space="preserve">Numerator: </w:t>
      </w:r>
      <w:r w:rsidR="00E5638E">
        <w:t>The number of patients in the denominator who have a record of oxygen saturation value within the preceding 12 months.</w:t>
      </w:r>
    </w:p>
    <w:p w14:paraId="06B62F8F" w14:textId="29455BC8" w:rsidR="00D141B1" w:rsidRDefault="00D141B1" w:rsidP="00D141B1">
      <w:pPr>
        <w:pStyle w:val="NICEnormal"/>
      </w:pPr>
      <w:r>
        <w:t xml:space="preserve">Denominator: </w:t>
      </w:r>
      <w:r w:rsidR="00E5638E">
        <w:t xml:space="preserve">The number of patients with </w:t>
      </w:r>
      <w:r w:rsidR="00B0158B">
        <w:t xml:space="preserve">very severe </w:t>
      </w:r>
      <w:r w:rsidR="00E5638E">
        <w:t>COPD</w:t>
      </w:r>
      <w:r w:rsidR="004F65F6">
        <w:t xml:space="preserve"> (stage 4, FEV1% predicted &lt;30%)</w:t>
      </w:r>
      <w:r w:rsidR="003231EE">
        <w:t>.</w:t>
      </w:r>
    </w:p>
    <w:p w14:paraId="04501E11" w14:textId="0DBE7190" w:rsidR="0009195D" w:rsidRDefault="0009195D" w:rsidP="00D141B1">
      <w:pPr>
        <w:pStyle w:val="NICEnormal"/>
      </w:pPr>
      <w:r>
        <w:t>Calculation</w:t>
      </w:r>
      <w:r w:rsidRPr="00E5638E">
        <w:t>: (Numerator/denominator)</w:t>
      </w:r>
      <w:r w:rsidR="00D612D5">
        <w:t xml:space="preserve"> </w:t>
      </w:r>
      <w:r w:rsidRPr="00E5638E">
        <w:t>*</w:t>
      </w:r>
      <w:r w:rsidR="00D612D5">
        <w:t xml:space="preserve"> </w:t>
      </w:r>
      <w:r w:rsidRPr="00E5638E">
        <w:t>100</w:t>
      </w:r>
      <w:r w:rsidR="00D612D5">
        <w:t>.</w:t>
      </w:r>
    </w:p>
    <w:p w14:paraId="200701E0" w14:textId="0430C4EE" w:rsidR="00D141B1" w:rsidRDefault="00D141B1" w:rsidP="00D141B1">
      <w:pPr>
        <w:pStyle w:val="NICEnormal"/>
      </w:pPr>
      <w:r>
        <w:t xml:space="preserve">Exclusions: </w:t>
      </w:r>
      <w:r w:rsidR="00B0158B">
        <w:t>None</w:t>
      </w:r>
      <w:r w:rsidR="00E5638E">
        <w:t xml:space="preserve">. </w:t>
      </w:r>
    </w:p>
    <w:p w14:paraId="15239063" w14:textId="07A7CB4C" w:rsidR="00706451" w:rsidRDefault="00706451" w:rsidP="00D141B1">
      <w:pPr>
        <w:pStyle w:val="NICEnormal"/>
      </w:pPr>
      <w:r>
        <w:t>Minimum population</w:t>
      </w:r>
      <w:r w:rsidRPr="00E5638E">
        <w:t>:</w:t>
      </w:r>
      <w:r w:rsidR="000D5395" w:rsidRPr="00E5638E">
        <w:t xml:space="preserve"> </w:t>
      </w:r>
      <w:r w:rsidR="00B0158B" w:rsidRPr="001D4746">
        <w:t>The indicator would be appropriate to assess performance at individual general practice level</w:t>
      </w:r>
      <w:r w:rsidR="000D5395" w:rsidRPr="001D4746">
        <w:t>.</w:t>
      </w:r>
      <w:r w:rsidR="000D5395" w:rsidRPr="00E5638E">
        <w:t xml:space="preserve">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3FDD21A6" w14:textId="77777777" w:rsidR="00EE61B7" w:rsidRPr="0009195D" w:rsidRDefault="00EE61B7" w:rsidP="00EE61B7">
      <w:pPr>
        <w:pStyle w:val="NICEnormal"/>
      </w:pPr>
      <w:bookmarkStart w:id="0" w:name="_Hlk14183092"/>
      <w:bookmarkStart w:id="1" w:name="_Hlk14250706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bookmarkEnd w:id="1"/>
    <w:p w14:paraId="70B822BC" w14:textId="01453568" w:rsidR="0009195D" w:rsidRPr="0009195D" w:rsidRDefault="0009195D" w:rsidP="00EE61B7">
      <w:pPr>
        <w:pStyle w:val="NICEnormal"/>
      </w:pPr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EB42" w14:textId="77777777" w:rsidR="00C95307" w:rsidRDefault="00C95307" w:rsidP="00446BEE">
      <w:r>
        <w:separator/>
      </w:r>
    </w:p>
  </w:endnote>
  <w:endnote w:type="continuationSeparator" w:id="0">
    <w:p w14:paraId="74FC93FE" w14:textId="77777777" w:rsidR="00C95307" w:rsidRDefault="00C9530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D1D287C" w:rsidR="00245B12" w:rsidRPr="00EA7F52" w:rsidRDefault="00D141B1" w:rsidP="00D141B1">
    <w:pPr>
      <w:pStyle w:val="Footer"/>
    </w:pPr>
    <w:r>
      <w:t xml:space="preserve">NICE indicator guidance: </w:t>
    </w:r>
    <w:r w:rsidR="00631AC5">
      <w:t>NM</w:t>
    </w:r>
    <w:r w:rsidR="00F2308D">
      <w:t>19</w:t>
    </w:r>
    <w:r w:rsidR="004A04F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2F27" w14:textId="77777777" w:rsidR="00C95307" w:rsidRDefault="00C95307" w:rsidP="00446BEE">
      <w:r>
        <w:separator/>
      </w:r>
    </w:p>
  </w:footnote>
  <w:footnote w:type="continuationSeparator" w:id="0">
    <w:p w14:paraId="622343BE" w14:textId="77777777" w:rsidR="00C95307" w:rsidRDefault="00C9530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845435">
    <w:abstractNumId w:val="22"/>
  </w:num>
  <w:num w:numId="2" w16cid:durableId="1971133679">
    <w:abstractNumId w:val="25"/>
  </w:num>
  <w:num w:numId="3" w16cid:durableId="1501851819">
    <w:abstractNumId w:val="25"/>
    <w:lvlOverride w:ilvl="0">
      <w:startOverride w:val="1"/>
    </w:lvlOverride>
  </w:num>
  <w:num w:numId="4" w16cid:durableId="1596982902">
    <w:abstractNumId w:val="25"/>
    <w:lvlOverride w:ilvl="0">
      <w:startOverride w:val="1"/>
    </w:lvlOverride>
  </w:num>
  <w:num w:numId="5" w16cid:durableId="18240693">
    <w:abstractNumId w:val="25"/>
    <w:lvlOverride w:ilvl="0">
      <w:startOverride w:val="1"/>
    </w:lvlOverride>
  </w:num>
  <w:num w:numId="6" w16cid:durableId="1585187206">
    <w:abstractNumId w:val="25"/>
    <w:lvlOverride w:ilvl="0">
      <w:startOverride w:val="1"/>
    </w:lvlOverride>
  </w:num>
  <w:num w:numId="7" w16cid:durableId="1928732830">
    <w:abstractNumId w:val="25"/>
    <w:lvlOverride w:ilvl="0">
      <w:startOverride w:val="1"/>
    </w:lvlOverride>
  </w:num>
  <w:num w:numId="8" w16cid:durableId="641034266">
    <w:abstractNumId w:val="9"/>
  </w:num>
  <w:num w:numId="9" w16cid:durableId="1572274644">
    <w:abstractNumId w:val="7"/>
  </w:num>
  <w:num w:numId="10" w16cid:durableId="946275070">
    <w:abstractNumId w:val="6"/>
  </w:num>
  <w:num w:numId="11" w16cid:durableId="875116376">
    <w:abstractNumId w:val="5"/>
  </w:num>
  <w:num w:numId="12" w16cid:durableId="641153711">
    <w:abstractNumId w:val="4"/>
  </w:num>
  <w:num w:numId="13" w16cid:durableId="1078795556">
    <w:abstractNumId w:val="8"/>
  </w:num>
  <w:num w:numId="14" w16cid:durableId="214513569">
    <w:abstractNumId w:val="3"/>
  </w:num>
  <w:num w:numId="15" w16cid:durableId="981958573">
    <w:abstractNumId w:val="2"/>
  </w:num>
  <w:num w:numId="16" w16cid:durableId="1049308213">
    <w:abstractNumId w:val="1"/>
  </w:num>
  <w:num w:numId="17" w16cid:durableId="1750544124">
    <w:abstractNumId w:val="0"/>
  </w:num>
  <w:num w:numId="18" w16cid:durableId="154808113">
    <w:abstractNumId w:val="16"/>
  </w:num>
  <w:num w:numId="19" w16cid:durableId="1620377946">
    <w:abstractNumId w:val="16"/>
    <w:lvlOverride w:ilvl="0">
      <w:startOverride w:val="1"/>
    </w:lvlOverride>
  </w:num>
  <w:num w:numId="20" w16cid:durableId="1906867307">
    <w:abstractNumId w:val="12"/>
  </w:num>
  <w:num w:numId="21" w16cid:durableId="1797798402">
    <w:abstractNumId w:val="13"/>
  </w:num>
  <w:num w:numId="22" w16cid:durableId="322928608">
    <w:abstractNumId w:val="17"/>
  </w:num>
  <w:num w:numId="23" w16cid:durableId="326057636">
    <w:abstractNumId w:val="18"/>
  </w:num>
  <w:num w:numId="24" w16cid:durableId="577524224">
    <w:abstractNumId w:val="22"/>
  </w:num>
  <w:num w:numId="25" w16cid:durableId="1856962782">
    <w:abstractNumId w:val="20"/>
  </w:num>
  <w:num w:numId="26" w16cid:durableId="171144223">
    <w:abstractNumId w:val="27"/>
  </w:num>
  <w:num w:numId="27" w16cid:durableId="42993777">
    <w:abstractNumId w:val="26"/>
  </w:num>
  <w:num w:numId="28" w16cid:durableId="676268082">
    <w:abstractNumId w:val="29"/>
  </w:num>
  <w:num w:numId="29" w16cid:durableId="2096244979">
    <w:abstractNumId w:val="14"/>
  </w:num>
  <w:num w:numId="30" w16cid:durableId="1719355940">
    <w:abstractNumId w:val="15"/>
  </w:num>
  <w:num w:numId="31" w16cid:durableId="2010058413">
    <w:abstractNumId w:val="11"/>
  </w:num>
  <w:num w:numId="32" w16cid:durableId="348410989">
    <w:abstractNumId w:val="24"/>
  </w:num>
  <w:num w:numId="33" w16cid:durableId="71435746">
    <w:abstractNumId w:val="28"/>
  </w:num>
  <w:num w:numId="34" w16cid:durableId="1822190584">
    <w:abstractNumId w:val="19"/>
  </w:num>
  <w:num w:numId="35" w16cid:durableId="31076626">
    <w:abstractNumId w:val="10"/>
  </w:num>
  <w:num w:numId="36" w16cid:durableId="932982096">
    <w:abstractNumId w:val="22"/>
  </w:num>
  <w:num w:numId="37" w16cid:durableId="1412893220">
    <w:abstractNumId w:val="23"/>
  </w:num>
  <w:num w:numId="38" w16cid:durableId="8982433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0AF7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2DD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D4746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31EE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2162"/>
    <w:rsid w:val="0039354B"/>
    <w:rsid w:val="003B53D0"/>
    <w:rsid w:val="003C7AAF"/>
    <w:rsid w:val="003D61BE"/>
    <w:rsid w:val="003D6D57"/>
    <w:rsid w:val="003E1C96"/>
    <w:rsid w:val="003E38A5"/>
    <w:rsid w:val="004002B3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04F6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4F2783"/>
    <w:rsid w:val="004F65F6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AC5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036F"/>
    <w:rsid w:val="007E1504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451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4229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7AA3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58B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56CB3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41D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0902"/>
    <w:rsid w:val="00C35731"/>
    <w:rsid w:val="00C376FC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530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468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12D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5638E"/>
    <w:rsid w:val="00E64120"/>
    <w:rsid w:val="00E660A1"/>
    <w:rsid w:val="00E70679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E61B7"/>
    <w:rsid w:val="00EF0440"/>
    <w:rsid w:val="00F014C2"/>
    <w:rsid w:val="00F025CE"/>
    <w:rsid w:val="00F050A1"/>
    <w:rsid w:val="00F055F1"/>
    <w:rsid w:val="00F07B2C"/>
    <w:rsid w:val="00F13F5B"/>
    <w:rsid w:val="00F16F1D"/>
    <w:rsid w:val="00F2308D"/>
    <w:rsid w:val="00F35DD0"/>
    <w:rsid w:val="00F362B0"/>
    <w:rsid w:val="00F45D6F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8365-B44A-46CB-9008-9B605599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2023-09-18T10:31:00Z</dcterms:created>
  <dcterms:modified xsi:type="dcterms:W3CDTF">2023-09-18T10:31:00Z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2023-09-18T10:31:08Z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465427d9-f283-4b6a-8884-af61a0960785</vt:lpwstr>
  </property>
  <property fmtid="{D5CDD505-2E9C-101B-9397-08002B2CF9AE}" pid="8" name="MSIP_Label_c69d85d5-6d9e-4305-a294-1f636ec0f2d6_ContentBits">
    <vt:lpwstr>0</vt:lpwstr>
  </property>
</Properties>
</file>