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38689985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0027BB">
        <w:t xml:space="preserve">October </w:t>
      </w:r>
      <w:r w:rsidR="00D7263A">
        <w:t>2021</w:t>
      </w:r>
    </w:p>
    <w:p w14:paraId="06BAB3FE" w14:textId="20AB206B" w:rsidR="00B8026E" w:rsidRPr="00126C3F" w:rsidRDefault="00B8026E" w:rsidP="00EE354D">
      <w:pPr>
        <w:pStyle w:val="Paragraph"/>
        <w:rPr>
          <w:b/>
        </w:rPr>
      </w:pPr>
      <w:r>
        <w:t>Last upd</w:t>
      </w:r>
      <w:r w:rsidRPr="00D7263A">
        <w:t xml:space="preserve">ate: </w:t>
      </w:r>
      <w:r w:rsidR="00D7263A" w:rsidRPr="00D7263A">
        <w:t>N/A</w:t>
      </w:r>
    </w:p>
    <w:p w14:paraId="6107852F" w14:textId="0971EB75" w:rsidR="006F0A86" w:rsidRDefault="006F0A86" w:rsidP="00126C3F">
      <w:pPr>
        <w:pStyle w:val="Heading1"/>
      </w:pPr>
      <w:r w:rsidRPr="00126C3F">
        <w:t xml:space="preserve">Indicator </w:t>
      </w:r>
      <w:r w:rsidR="00D30D67">
        <w:t>NM206</w:t>
      </w:r>
    </w:p>
    <w:p w14:paraId="0A6C169D" w14:textId="1E5C4503" w:rsidR="00611A1D" w:rsidRPr="00611A1D" w:rsidRDefault="00D7263A" w:rsidP="00611A1D">
      <w:pPr>
        <w:pStyle w:val="Paragraph"/>
      </w:pPr>
      <w:r>
        <w:t xml:space="preserve">The percentage of babies who reached </w:t>
      </w:r>
      <w:r w:rsidR="002F0B24">
        <w:t>24 weeks</w:t>
      </w:r>
      <w:r>
        <w:t xml:space="preserve"> old in the preceding 12 months, who have received 2 doses </w:t>
      </w:r>
      <w:r w:rsidR="00305251">
        <w:t>o</w:t>
      </w:r>
      <w:r>
        <w:t xml:space="preserve">f rotavirus vaccine before the age of </w:t>
      </w:r>
      <w:r w:rsidR="002F0B24">
        <w:t>24 weeks</w:t>
      </w:r>
      <w:r>
        <w:t>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7C80C1AF" w14:textId="2D81756D" w:rsidR="001C31E9" w:rsidRPr="00F6535D" w:rsidRDefault="001C31E9" w:rsidP="00F6535D">
      <w:pPr>
        <w:pStyle w:val="Paragraph"/>
      </w:pPr>
      <w:r w:rsidRPr="00D7263A">
        <w:t>General practice indicator suitable for use in the Quality and Outcomes Framework.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55DFE51F" w14:textId="5C9003B1" w:rsidR="00A86BD6" w:rsidRDefault="00E03E32" w:rsidP="00EE354D">
      <w:pPr>
        <w:pStyle w:val="Paragraph"/>
      </w:pPr>
      <w:r>
        <w:t>Rotavirus is highly contagious and leads to gastroenteritis. The routine immunisation schedule states that the rotavirus vaccine is due at 8 and 12 weeks old</w:t>
      </w:r>
      <w:r w:rsidR="00C662D0">
        <w:t>.</w:t>
      </w:r>
      <w:r w:rsidR="00C662D0" w:rsidRPr="00C662D0">
        <w:t xml:space="preserve"> </w:t>
      </w:r>
      <w:r w:rsidR="00C662D0">
        <w:t xml:space="preserve">The indicator supports vaccination with rotavirus vaccine according to the routine immunisation schedule. </w:t>
      </w:r>
      <w:r w:rsidR="00C662D0" w:rsidRPr="00E03E32">
        <w:t>This indicator measures receipt of 2 doses of the rotavirus vaccine before 24 weeks</w:t>
      </w:r>
      <w:r w:rsidR="00C662D0">
        <w:t xml:space="preserve"> to ensure inclusion of a babies who had delay to vaccination due to acute illness with fever but achieve immunisation against rotavirus before the vaccine is contraindicated</w:t>
      </w:r>
      <w:r w:rsidR="00C662D0" w:rsidRPr="00E03E32">
        <w:t>.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1E259BBD" w14:textId="5D639821" w:rsidR="00D141B1" w:rsidRDefault="004F360E" w:rsidP="00EE354D">
      <w:pPr>
        <w:pStyle w:val="Paragraph"/>
      </w:pPr>
      <w:hyperlink r:id="rId7" w:history="1">
        <w:r w:rsidR="00E03E32" w:rsidRPr="00305251">
          <w:rPr>
            <w:rStyle w:val="Hyperlink"/>
          </w:rPr>
          <w:t>Immunisations: reducing differences in uptake in under 19s. NICE public health guideline PH21</w:t>
        </w:r>
      </w:hyperlink>
      <w:r w:rsidR="00E03E32">
        <w:t xml:space="preserve"> (</w:t>
      </w:r>
      <w:r w:rsidR="00F167E7">
        <w:t>2009, updated 2017), recommendations 1, 2 and 3.</w:t>
      </w:r>
      <w:r w:rsidR="00D141B1">
        <w:t xml:space="preserve"> </w:t>
      </w:r>
    </w:p>
    <w:p w14:paraId="6AF2D1B1" w14:textId="1C390B87" w:rsidR="004C4ABD" w:rsidRPr="00BD6253" w:rsidRDefault="004F360E" w:rsidP="00EE354D">
      <w:pPr>
        <w:pStyle w:val="Paragraph"/>
      </w:pPr>
      <w:hyperlink r:id="rId8" w:history="1">
        <w:r w:rsidR="00F167E7" w:rsidRPr="00F167E7">
          <w:rPr>
            <w:rStyle w:val="Hyperlink"/>
          </w:rPr>
          <w:t>Immunizations – childhood</w:t>
        </w:r>
      </w:hyperlink>
      <w:r w:rsidR="00F167E7">
        <w:t xml:space="preserve"> (2021) NICE clinical knowledge summary.</w:t>
      </w:r>
    </w:p>
    <w:p w14:paraId="05AD89C4" w14:textId="77777777" w:rsidR="00D141B1" w:rsidRDefault="00D141B1" w:rsidP="00126C3F">
      <w:pPr>
        <w:pStyle w:val="Heading1"/>
      </w:pPr>
      <w:r>
        <w:lastRenderedPageBreak/>
        <w:t xml:space="preserve">Specification </w:t>
      </w:r>
    </w:p>
    <w:p w14:paraId="4B62A813" w14:textId="409D514D" w:rsidR="0009195D" w:rsidRDefault="00D141B1" w:rsidP="00EE354D">
      <w:pPr>
        <w:pStyle w:val="Paragraph"/>
      </w:pPr>
      <w:r>
        <w:t xml:space="preserve">Numerator: </w:t>
      </w:r>
      <w:r w:rsidR="00D7263A">
        <w:t xml:space="preserve">The number in the denominator who received 2 doses of a rotavirus vaccine before </w:t>
      </w:r>
      <w:r w:rsidR="007669B7">
        <w:t xml:space="preserve">they reached </w:t>
      </w:r>
      <w:r w:rsidR="00D7263A">
        <w:t>24 weeks old.</w:t>
      </w:r>
      <w:r w:rsidR="0009195D" w:rsidRPr="0009195D">
        <w:t xml:space="preserve"> </w:t>
      </w:r>
    </w:p>
    <w:p w14:paraId="06B62F8F" w14:textId="31CFD2B7" w:rsidR="00D141B1" w:rsidRDefault="00D141B1" w:rsidP="00EE354D">
      <w:pPr>
        <w:pStyle w:val="Paragraph"/>
      </w:pPr>
      <w:r>
        <w:t xml:space="preserve">Denominator: </w:t>
      </w:r>
      <w:r w:rsidR="00D7263A">
        <w:t>The number of babies who reached 24 weeks old in the preceding 12 months.</w:t>
      </w:r>
    </w:p>
    <w:p w14:paraId="04501E11" w14:textId="257F01FE" w:rsidR="0009195D" w:rsidRDefault="0009195D" w:rsidP="00EE354D">
      <w:pPr>
        <w:pStyle w:val="Paragraph"/>
      </w:pPr>
      <w:r w:rsidRPr="00D7263A">
        <w:t>Calculation: (Numerator/</w:t>
      </w:r>
      <w:proofErr w:type="gramStart"/>
      <w:r w:rsidRPr="00D7263A">
        <w:t>denominator)*</w:t>
      </w:r>
      <w:proofErr w:type="gramEnd"/>
      <w:r w:rsidRPr="00D7263A">
        <w:t>100</w:t>
      </w:r>
    </w:p>
    <w:p w14:paraId="382457DD" w14:textId="29BC8C83" w:rsidR="00E922B3" w:rsidRDefault="00D141B1" w:rsidP="0067566B">
      <w:pPr>
        <w:pStyle w:val="Paragraph"/>
      </w:pPr>
      <w:r>
        <w:t xml:space="preserve">Exclusions: </w:t>
      </w:r>
      <w:r w:rsidR="00E922B3">
        <w:t>Babies with a rotavirus vaccination contraindicated</w:t>
      </w:r>
      <w:r w:rsidR="00A37F94">
        <w:t xml:space="preserve"> or history of rotavirus vaccine allergy</w:t>
      </w:r>
      <w:r w:rsidR="00E922B3">
        <w:t xml:space="preserve"> code. See </w:t>
      </w:r>
      <w:hyperlink r:id="rId9" w:history="1">
        <w:r w:rsidR="00E922B3" w:rsidRPr="00691261">
          <w:rPr>
            <w:rStyle w:val="Hyperlink"/>
          </w:rPr>
          <w:t>Public Heath England’s rotavirus: the green book, chapter 27b</w:t>
        </w:r>
      </w:hyperlink>
      <w:r w:rsidR="00E922B3" w:rsidRPr="00E922B3">
        <w:t xml:space="preserve"> and </w:t>
      </w:r>
      <w:hyperlink r:id="rId10" w:history="1">
        <w:r w:rsidR="00E922B3" w:rsidRPr="00691261">
          <w:rPr>
            <w:rStyle w:val="Hyperlink"/>
          </w:rPr>
          <w:t>NHS.uk rotavirus vaccine FAQs.</w:t>
        </w:r>
      </w:hyperlink>
      <w:r w:rsidR="00E922B3">
        <w:t xml:space="preserve"> </w:t>
      </w:r>
    </w:p>
    <w:p w14:paraId="2A27A81A" w14:textId="44ABB6D7" w:rsidR="009E2928" w:rsidRPr="009E2928" w:rsidRDefault="009E2928" w:rsidP="009E2928">
      <w:pPr>
        <w:pStyle w:val="Paragraph"/>
      </w:pPr>
      <w:r>
        <w:t>(Taken from</w:t>
      </w:r>
      <w:r w:rsidR="00E922B3">
        <w:t xml:space="preserve"> </w:t>
      </w:r>
      <w:hyperlink r:id="rId11" w:history="1">
        <w:r w:rsidR="00E922B3" w:rsidRPr="000027BB">
          <w:rPr>
            <w:rStyle w:val="Hyperlink"/>
          </w:rPr>
          <w:t xml:space="preserve">NHS Digital’s </w:t>
        </w:r>
        <w:r w:rsidR="0067566B" w:rsidRPr="0067566B">
          <w:rPr>
            <w:rStyle w:val="Hyperlink"/>
          </w:rPr>
          <w:t xml:space="preserve">business rules </w:t>
        </w:r>
        <w:r w:rsidR="0067566B">
          <w:rPr>
            <w:rStyle w:val="Hyperlink"/>
          </w:rPr>
          <w:t>for</w:t>
        </w:r>
        <w:r w:rsidR="0067566B" w:rsidRPr="000027BB">
          <w:rPr>
            <w:rStyle w:val="Hyperlink"/>
          </w:rPr>
          <w:t xml:space="preserve"> </w:t>
        </w:r>
        <w:r w:rsidR="00E922B3" w:rsidRPr="000027BB">
          <w:rPr>
            <w:rStyle w:val="Hyperlink"/>
          </w:rPr>
          <w:t>vaccination and immunisation programmes 2021/22</w:t>
        </w:r>
        <w:r w:rsidR="0067566B">
          <w:rPr>
            <w:rStyle w:val="Hyperlink"/>
          </w:rPr>
          <w:t xml:space="preserve"> rotavirus</w:t>
        </w:r>
        <w:r w:rsidR="00E922B3" w:rsidRPr="000027BB">
          <w:rPr>
            <w:rStyle w:val="Hyperlink"/>
          </w:rPr>
          <w:t xml:space="preserve"> v11.0</w:t>
        </w:r>
      </w:hyperlink>
      <w:r>
        <w:t xml:space="preserve">). </w:t>
      </w:r>
    </w:p>
    <w:p w14:paraId="5A69C9C2" w14:textId="55F0D5B1" w:rsidR="003C05BE" w:rsidRDefault="003C05BE" w:rsidP="00EE354D">
      <w:pPr>
        <w:pStyle w:val="Paragraph"/>
      </w:pPr>
      <w:bookmarkStart w:id="0" w:name="_Hlk85791258"/>
      <w:r>
        <w:t>P</w:t>
      </w:r>
      <w:r w:rsidRPr="003C05BE">
        <w:t xml:space="preserve">ersonalised care adjustments </w:t>
      </w:r>
      <w:r>
        <w:t xml:space="preserve">or exception reporting </w:t>
      </w:r>
      <w:r w:rsidRPr="003C05BE">
        <w:t xml:space="preserve">should </w:t>
      </w:r>
      <w:r>
        <w:t>be used if vaccination is declined</w:t>
      </w:r>
      <w:r w:rsidR="004F360E">
        <w:t>.</w:t>
      </w:r>
    </w:p>
    <w:bookmarkEnd w:id="0"/>
    <w:p w14:paraId="02BD90AA" w14:textId="6F24309C" w:rsidR="00E70DE7" w:rsidRDefault="00706451" w:rsidP="00EE354D">
      <w:pPr>
        <w:pStyle w:val="Paragraph"/>
        <w:rPr>
          <w:highlight w:val="lightGray"/>
        </w:rPr>
      </w:pPr>
      <w:r>
        <w:t xml:space="preserve">Minimum population: </w:t>
      </w:r>
      <w:r w:rsidR="000D5395" w:rsidRPr="00D7263A">
        <w:t xml:space="preserve">The indicator would be appropriate </w:t>
      </w:r>
      <w:r w:rsidR="00391F4B" w:rsidRPr="00D7263A">
        <w:t xml:space="preserve">to assess performance </w:t>
      </w:r>
      <w:r w:rsidR="003B53D0" w:rsidRPr="00D7263A">
        <w:t xml:space="preserve">at </w:t>
      </w:r>
      <w:r w:rsidR="00391F4B" w:rsidRPr="00D7263A">
        <w:t>individual</w:t>
      </w:r>
      <w:r w:rsidR="000D5395" w:rsidRPr="00D7263A">
        <w:t xml:space="preserve"> general practice</w:t>
      </w:r>
      <w:r w:rsidR="00391F4B" w:rsidRPr="00D7263A">
        <w:t xml:space="preserve"> level</w:t>
      </w:r>
      <w:r w:rsidR="000D5395" w:rsidRPr="00D7263A">
        <w:t xml:space="preserve">. 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1D296484" w:rsidR="0009195D" w:rsidRDefault="0009195D" w:rsidP="00EE354D">
      <w:pPr>
        <w:pStyle w:val="Paragraph"/>
      </w:pPr>
      <w:bookmarkStart w:id="1" w:name="_Hlk14183092"/>
      <w:r w:rsidRPr="0009195D">
        <w:t xml:space="preserve">This is NICE indicator guidance, which is part of the </w:t>
      </w:r>
      <w:hyperlink r:id="rId12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1"/>
    </w:p>
    <w:sectPr w:rsidR="0009195D" w:rsidSect="003D61BE"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21724006" w:rsidR="00245B12" w:rsidRPr="00EA7F52" w:rsidRDefault="00D141B1" w:rsidP="00D141B1">
    <w:pPr>
      <w:pStyle w:val="Footer"/>
    </w:pPr>
    <w:r>
      <w:t xml:space="preserve">NICE indicator guidance: </w:t>
    </w:r>
    <w:r w:rsidR="00D30D67">
      <w:t>NM206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CEA1A78"/>
    <w:multiLevelType w:val="hybridMultilevel"/>
    <w:tmpl w:val="68167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3"/>
  </w:num>
  <w:num w:numId="21">
    <w:abstractNumId w:val="14"/>
  </w:num>
  <w:num w:numId="22">
    <w:abstractNumId w:val="18"/>
  </w:num>
  <w:num w:numId="23">
    <w:abstractNumId w:val="19"/>
  </w:num>
  <w:num w:numId="24">
    <w:abstractNumId w:val="23"/>
  </w:num>
  <w:num w:numId="25">
    <w:abstractNumId w:val="21"/>
  </w:num>
  <w:num w:numId="26">
    <w:abstractNumId w:val="28"/>
  </w:num>
  <w:num w:numId="27">
    <w:abstractNumId w:val="27"/>
  </w:num>
  <w:num w:numId="28">
    <w:abstractNumId w:val="30"/>
  </w:num>
  <w:num w:numId="29">
    <w:abstractNumId w:val="15"/>
  </w:num>
  <w:num w:numId="30">
    <w:abstractNumId w:val="16"/>
  </w:num>
  <w:num w:numId="31">
    <w:abstractNumId w:val="12"/>
  </w:num>
  <w:num w:numId="32">
    <w:abstractNumId w:val="25"/>
  </w:num>
  <w:num w:numId="33">
    <w:abstractNumId w:val="29"/>
  </w:num>
  <w:num w:numId="34">
    <w:abstractNumId w:val="20"/>
  </w:num>
  <w:num w:numId="35">
    <w:abstractNumId w:val="10"/>
  </w:num>
  <w:num w:numId="36">
    <w:abstractNumId w:val="23"/>
  </w:num>
  <w:num w:numId="37">
    <w:abstractNumId w:val="24"/>
  </w:num>
  <w:num w:numId="38">
    <w:abstractNumId w:val="22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27BB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510E5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0B24"/>
    <w:rsid w:val="002F25FC"/>
    <w:rsid w:val="002F6A33"/>
    <w:rsid w:val="00305251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498F"/>
    <w:rsid w:val="003667A5"/>
    <w:rsid w:val="00366E8E"/>
    <w:rsid w:val="003722FA"/>
    <w:rsid w:val="00373F1E"/>
    <w:rsid w:val="00381334"/>
    <w:rsid w:val="00381A0E"/>
    <w:rsid w:val="00384D2A"/>
    <w:rsid w:val="00391208"/>
    <w:rsid w:val="00391CCC"/>
    <w:rsid w:val="00391F4B"/>
    <w:rsid w:val="0039208F"/>
    <w:rsid w:val="0039354B"/>
    <w:rsid w:val="003B53D0"/>
    <w:rsid w:val="003C05BE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4F360E"/>
    <w:rsid w:val="00500545"/>
    <w:rsid w:val="00501591"/>
    <w:rsid w:val="005025A1"/>
    <w:rsid w:val="005031FD"/>
    <w:rsid w:val="00511E0F"/>
    <w:rsid w:val="005122BC"/>
    <w:rsid w:val="00512DA2"/>
    <w:rsid w:val="0051324C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0F56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566B"/>
    <w:rsid w:val="00677315"/>
    <w:rsid w:val="00683309"/>
    <w:rsid w:val="006839FB"/>
    <w:rsid w:val="00684D78"/>
    <w:rsid w:val="00687C11"/>
    <w:rsid w:val="0069126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6D2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669B7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96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97CBD"/>
    <w:rsid w:val="008A50EC"/>
    <w:rsid w:val="008A6036"/>
    <w:rsid w:val="008B5FAE"/>
    <w:rsid w:val="008C1650"/>
    <w:rsid w:val="008D36D5"/>
    <w:rsid w:val="008E09B9"/>
    <w:rsid w:val="008E2022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2928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37F9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86BD6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6CCA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3F64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35EE6"/>
    <w:rsid w:val="00C42C69"/>
    <w:rsid w:val="00C46D9D"/>
    <w:rsid w:val="00C4726C"/>
    <w:rsid w:val="00C478C4"/>
    <w:rsid w:val="00C625B6"/>
    <w:rsid w:val="00C662D0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0D67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263A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3E32"/>
    <w:rsid w:val="00E05591"/>
    <w:rsid w:val="00E06D6C"/>
    <w:rsid w:val="00E10F96"/>
    <w:rsid w:val="00E131B5"/>
    <w:rsid w:val="00E155CE"/>
    <w:rsid w:val="00E202F5"/>
    <w:rsid w:val="00E22E21"/>
    <w:rsid w:val="00E24349"/>
    <w:rsid w:val="00E321AF"/>
    <w:rsid w:val="00E33001"/>
    <w:rsid w:val="00E338B1"/>
    <w:rsid w:val="00E37339"/>
    <w:rsid w:val="00E41AA3"/>
    <w:rsid w:val="00E51920"/>
    <w:rsid w:val="00E64120"/>
    <w:rsid w:val="00E660A1"/>
    <w:rsid w:val="00E70DE7"/>
    <w:rsid w:val="00E74036"/>
    <w:rsid w:val="00E83609"/>
    <w:rsid w:val="00E84C88"/>
    <w:rsid w:val="00E86111"/>
    <w:rsid w:val="00E87113"/>
    <w:rsid w:val="00E922B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167E7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A7110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ks.nice.org.uk/topics/immunizations-childhood/management/children-up-to-1-year-of-ag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ph21" TargetMode="External"/><Relationship Id="rId12" Type="http://schemas.openxmlformats.org/officeDocument/2006/relationships/hyperlink" Target="https://www.nice.org.uk/Standards-and-Indicators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gital.nhs.uk/data-and-information/data-collections-and-data-sets/data-collections/quality-and-outcomes-framework-qof/quality-and-outcome-framework-qof-business-rules/enhanced-services-es-vaccination-and-immunisation-vi-and-core-contract-components-2021-202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hs.uk/conditions/vaccinations/rotavirus-vaccine-questions-answ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collections/immunisation-against-infectious-disease-the-green-bo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2021-09-08T08:26:00Z</dcterms:created>
  <dcterms:modified xsi:type="dcterms:W3CDTF">2021-10-22T09:34:00Z</dcterms:modified>
</cp:coreProperties>
</file>