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363276">
      <w:pPr>
        <w:pStyle w:val="Title"/>
      </w:pPr>
      <w:bookmarkStart w:id="0" w:name="_Toc383595130"/>
      <w:r w:rsidRPr="00861C2E">
        <w:t>NATIONAL INSTITUTE FOR HEALTH AND CARE EXCELLENCE</w:t>
      </w:r>
      <w:bookmarkEnd w:id="0"/>
    </w:p>
    <w:p w14:paraId="6C6B43FC" w14:textId="2F3EF7E2" w:rsidR="00482C01" w:rsidRDefault="009B0E59" w:rsidP="00363276">
      <w:pPr>
        <w:pStyle w:val="Title"/>
      </w:pPr>
      <w:r>
        <w:t>NICE indicator v</w:t>
      </w:r>
      <w:r w:rsidR="00192B09">
        <w:t>alidity assessment</w:t>
      </w:r>
    </w:p>
    <w:p w14:paraId="047E7BC9" w14:textId="21E5A677" w:rsidR="009B0E59" w:rsidRPr="009B0E59" w:rsidRDefault="009B0E59" w:rsidP="00264E50">
      <w:pPr>
        <w:pStyle w:val="Heading2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E836DD">
        <w:rPr>
          <w:lang w:eastAsia="en-GB"/>
        </w:rPr>
        <w:t>NM206</w:t>
      </w:r>
    </w:p>
    <w:p w14:paraId="423BF491" w14:textId="050595F1" w:rsidR="00264E50" w:rsidRPr="00264E50" w:rsidRDefault="00264E50" w:rsidP="00264E50">
      <w:pPr>
        <w:pStyle w:val="NICEnormal"/>
        <w:rPr>
          <w:lang w:eastAsia="en-GB"/>
        </w:rPr>
      </w:pPr>
      <w:r w:rsidRPr="00264E50">
        <w:rPr>
          <w:lang w:eastAsia="en-GB"/>
        </w:rPr>
        <w:t>The percentage of babies who reached 24 weeks old in the preceding 12 months, who have received 2 doses of rotavirus vaccine before the age of 24 weeks</w:t>
      </w:r>
      <w:r w:rsidR="00F60592">
        <w:rPr>
          <w:lang w:eastAsia="en-GB"/>
        </w:rPr>
        <w:t>.</w:t>
      </w:r>
    </w:p>
    <w:p w14:paraId="7C25BFBC" w14:textId="3EC26225" w:rsidR="007136A7" w:rsidRDefault="00264E50" w:rsidP="00363276">
      <w:pPr>
        <w:pStyle w:val="Heading3"/>
      </w:pPr>
      <w:r w:rsidRPr="00264E50">
        <w:rPr>
          <w:b w:val="0"/>
          <w:bCs w:val="0"/>
          <w:szCs w:val="24"/>
          <w:lang w:eastAsia="en-GB"/>
        </w:rPr>
        <w:t xml:space="preserve"> </w:t>
      </w:r>
      <w:r w:rsidR="002338EB"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6C46B250" w14:textId="77777777" w:rsidTr="002338EB">
        <w:tc>
          <w:tcPr>
            <w:tcW w:w="5949" w:type="dxa"/>
          </w:tcPr>
          <w:p w14:paraId="5472972D" w14:textId="7A9FC88C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1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1E80F9" w14:textId="70CF3A5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62654B9" w14:textId="77777777" w:rsidTr="002338EB">
        <w:tc>
          <w:tcPr>
            <w:tcW w:w="5949" w:type="dxa"/>
          </w:tcPr>
          <w:p w14:paraId="0CC7E2CB" w14:textId="77777777" w:rsidR="00264E50" w:rsidRPr="00264E50" w:rsidRDefault="00264E50" w:rsidP="00264E5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64E50">
              <w:rPr>
                <w:rFonts w:ascii="Arial" w:hAnsi="Arial" w:cs="Arial"/>
                <w:sz w:val="22"/>
                <w:szCs w:val="22"/>
              </w:rPr>
              <w:t>The Department of Health and Social Care (DHSC) published a vaccination strategy in Autumn 2020 with the aim to maintain and develop the UK immunisation programme.</w:t>
            </w:r>
          </w:p>
          <w:p w14:paraId="6F338971" w14:textId="6B544D9A" w:rsidR="002338EB" w:rsidRPr="002338EB" w:rsidRDefault="00264E50" w:rsidP="00264E50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264E50">
              <w:rPr>
                <w:rFonts w:cs="Arial"/>
                <w:sz w:val="22"/>
                <w:szCs w:val="22"/>
              </w:rPr>
              <w:t xml:space="preserve">Routine childhood immunisations, including rotavirus vaccination, are part of the general medical services (GMS) contract.  </w:t>
            </w:r>
          </w:p>
        </w:tc>
        <w:tc>
          <w:tcPr>
            <w:tcW w:w="3118" w:type="dxa"/>
          </w:tcPr>
          <w:p w14:paraId="272CA0EC" w14:textId="0309CE3C" w:rsidR="002338EB" w:rsidRPr="002338EB" w:rsidRDefault="00264E50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264E50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DHSC.</w:t>
            </w:r>
          </w:p>
        </w:tc>
      </w:tr>
      <w:tr w:rsidR="00735337" w14:paraId="2E2CE1C4" w14:textId="77777777" w:rsidTr="002338EB">
        <w:tc>
          <w:tcPr>
            <w:tcW w:w="5949" w:type="dxa"/>
          </w:tcPr>
          <w:p w14:paraId="2A1DA35F" w14:textId="77777777" w:rsidR="00735337" w:rsidRDefault="004965DE" w:rsidP="00735337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hyperlink r:id="rId7" w:history="1">
              <w:r w:rsidR="00264E50" w:rsidRPr="00264E50">
                <w:rPr>
                  <w:rStyle w:val="Hyperlink"/>
                  <w:rFonts w:cs="Arial"/>
                  <w:sz w:val="22"/>
                  <w:szCs w:val="22"/>
                </w:rPr>
                <w:t>2019-20 data from NHS Digital and Public Health England</w:t>
              </w:r>
            </w:hyperlink>
            <w:r w:rsidR="00264E50" w:rsidRPr="00264E50">
              <w:rPr>
                <w:rFonts w:cs="Arial"/>
                <w:sz w:val="22"/>
                <w:szCs w:val="22"/>
              </w:rPr>
              <w:t xml:space="preserve"> shows 90.1% of children in England were reported to have received two doses of the rotavirus vaccine measured at age 12 months. This increased from 89.7% in 2018-19. Six regions of England achieved coverage of more than 90%. No regions achieved </w:t>
            </w:r>
            <w:r w:rsidR="00264E50">
              <w:rPr>
                <w:rFonts w:cs="Arial"/>
                <w:sz w:val="22"/>
                <w:szCs w:val="22"/>
              </w:rPr>
              <w:t xml:space="preserve">the </w:t>
            </w:r>
            <w:r w:rsidR="00264E50" w:rsidRPr="00264E50">
              <w:rPr>
                <w:rFonts w:cs="Arial"/>
                <w:sz w:val="22"/>
                <w:szCs w:val="22"/>
              </w:rPr>
              <w:t>95% coverage</w:t>
            </w:r>
            <w:r w:rsidR="00264E50">
              <w:rPr>
                <w:rFonts w:cs="Arial"/>
                <w:sz w:val="22"/>
                <w:szCs w:val="22"/>
              </w:rPr>
              <w:t xml:space="preserve"> target for with childhood vaccinations highlighted in the report. </w:t>
            </w:r>
            <w:r w:rsidR="00264E50" w:rsidRPr="00264E50">
              <w:rPr>
                <w:rFonts w:cs="Arial"/>
                <w:sz w:val="22"/>
                <w:szCs w:val="22"/>
              </w:rPr>
              <w:t>There is no data available for coverage at 6 months of age.</w:t>
            </w:r>
          </w:p>
          <w:p w14:paraId="378D38FD" w14:textId="11175058" w:rsidR="00A56112" w:rsidRPr="002338EB" w:rsidRDefault="004965DE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hyperlink r:id="rId8" w:history="1">
              <w:r w:rsidR="00A56112" w:rsidRPr="00A56112">
                <w:rPr>
                  <w:rStyle w:val="Hyperlink"/>
                  <w:rFonts w:cs="Arial"/>
                  <w:sz w:val="22"/>
                  <w:szCs w:val="22"/>
                </w:rPr>
                <w:t>2020-21 data from NHS Digital and Public Health England</w:t>
              </w:r>
            </w:hyperlink>
            <w:r w:rsidR="00A56112" w:rsidRPr="00A56112">
              <w:rPr>
                <w:rFonts w:cs="Arial"/>
                <w:sz w:val="22"/>
                <w:szCs w:val="22"/>
              </w:rPr>
              <w:t xml:space="preserve"> shows 90.2% of children in England were reported to have received 2 doses of the rotavirus vaccine as measured at 12 months.</w:t>
            </w:r>
          </w:p>
        </w:tc>
        <w:tc>
          <w:tcPr>
            <w:tcW w:w="3118" w:type="dxa"/>
          </w:tcPr>
          <w:p w14:paraId="59D2CDB7" w14:textId="338C1457" w:rsidR="00264E50" w:rsidRPr="00264E50" w:rsidRDefault="00264E50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64E50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performance under the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specified</w:t>
            </w:r>
            <w:r w:rsidRPr="00264E50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 95% national coverage, and variation in practice. </w:t>
            </w:r>
          </w:p>
          <w:p w14:paraId="3FD01E72" w14:textId="072AC0E6" w:rsidR="00735337" w:rsidRPr="002338EB" w:rsidRDefault="00264E50" w:rsidP="00264E50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264E50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addresses under-treatment.</w:t>
            </w:r>
          </w:p>
        </w:tc>
      </w:tr>
      <w:tr w:rsidR="00264E50" w14:paraId="373D8AA4" w14:textId="77777777" w:rsidTr="002338EB">
        <w:tc>
          <w:tcPr>
            <w:tcW w:w="5949" w:type="dxa"/>
          </w:tcPr>
          <w:p w14:paraId="557CC7BB" w14:textId="77777777" w:rsidR="00264E50" w:rsidRDefault="00264E50" w:rsidP="00264E50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A20560">
              <w:rPr>
                <w:rFonts w:cs="Arial"/>
                <w:sz w:val="22"/>
                <w:szCs w:val="22"/>
              </w:rPr>
              <w:t xml:space="preserve">Rotavirus is highly contagious and causes gastroenteritis that lasts from 3 to 8 days </w:t>
            </w:r>
            <w:r>
              <w:rPr>
                <w:rFonts w:cs="Arial"/>
                <w:sz w:val="22"/>
                <w:szCs w:val="22"/>
              </w:rPr>
              <w:t>and</w:t>
            </w:r>
            <w:r w:rsidRPr="00A20560">
              <w:rPr>
                <w:rFonts w:cs="Arial"/>
                <w:sz w:val="22"/>
                <w:szCs w:val="22"/>
              </w:rPr>
              <w:t xml:space="preserve"> can lead to dehydration. </w:t>
            </w:r>
            <w:hyperlink r:id="rId9" w:history="1">
              <w:r w:rsidRPr="00A20560">
                <w:rPr>
                  <w:rStyle w:val="Hyperlink"/>
                  <w:rFonts w:cs="Arial"/>
                  <w:sz w:val="22"/>
                  <w:szCs w:val="22"/>
                </w:rPr>
                <w:t>The Green Book</w:t>
              </w:r>
            </w:hyperlink>
            <w:r w:rsidRPr="00A20560">
              <w:rPr>
                <w:rFonts w:cs="Arial"/>
                <w:sz w:val="22"/>
                <w:szCs w:val="22"/>
              </w:rPr>
              <w:t xml:space="preserve"> references studies that estimate 130,000 children will visit their GP and approximately 12,700 children will be hospitalised in England and Wales each year due to rotavirus gastroenteritis. </w:t>
            </w:r>
          </w:p>
          <w:p w14:paraId="2F072B60" w14:textId="77B42473" w:rsidR="00264E50" w:rsidRPr="00CD6071" w:rsidRDefault="00264E50" w:rsidP="00264E50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CD6071">
              <w:rPr>
                <w:rFonts w:cs="Arial"/>
                <w:sz w:val="22"/>
                <w:szCs w:val="22"/>
              </w:rPr>
              <w:t>Babies</w:t>
            </w:r>
            <w:r w:rsidR="00072F55">
              <w:rPr>
                <w:rFonts w:cs="Arial"/>
                <w:sz w:val="22"/>
                <w:szCs w:val="22"/>
              </w:rPr>
              <w:t xml:space="preserve"> should</w:t>
            </w:r>
            <w:r w:rsidRPr="00CD6071">
              <w:rPr>
                <w:rFonts w:cs="Arial"/>
                <w:sz w:val="22"/>
                <w:szCs w:val="22"/>
              </w:rPr>
              <w:t xml:space="preserve"> receive the rotavirus vaccine at 8 and 12 weeks old. </w:t>
            </w:r>
          </w:p>
          <w:p w14:paraId="40A2EA38" w14:textId="210B9C6D" w:rsidR="00264E50" w:rsidRPr="00AB6032" w:rsidRDefault="00264E50" w:rsidP="00264E50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118" w:type="dxa"/>
          </w:tcPr>
          <w:p w14:paraId="4117BE91" w14:textId="77777777" w:rsidR="00264E50" w:rsidRPr="00A20560" w:rsidRDefault="00264E50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A20560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outcomes.</w:t>
            </w:r>
          </w:p>
          <w:p w14:paraId="45004AAC" w14:textId="77777777" w:rsidR="00264E50" w:rsidRPr="002338EB" w:rsidRDefault="00264E50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1"/>
    </w:tbl>
    <w:p w14:paraId="7408AD42" w14:textId="77777777" w:rsidR="002338EB" w:rsidRDefault="002338EB" w:rsidP="00683608">
      <w:pPr>
        <w:pStyle w:val="Paragraph"/>
      </w:pPr>
    </w:p>
    <w:p w14:paraId="5BA69987" w14:textId="6FA6FB6E" w:rsidR="002338EB" w:rsidRDefault="002338EB" w:rsidP="00735337">
      <w:pPr>
        <w:pStyle w:val="Heading3"/>
      </w:pPr>
      <w:r>
        <w:lastRenderedPageBreak/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A03EAF6" w14:textId="77777777" w:rsidTr="001C517D">
        <w:tc>
          <w:tcPr>
            <w:tcW w:w="5949" w:type="dxa"/>
          </w:tcPr>
          <w:p w14:paraId="39775ECC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337C7E3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64E50" w14:paraId="7862F909" w14:textId="77777777" w:rsidTr="001C517D">
        <w:tc>
          <w:tcPr>
            <w:tcW w:w="5949" w:type="dxa"/>
          </w:tcPr>
          <w:p w14:paraId="00FB3E39" w14:textId="77777777" w:rsidR="00264E50" w:rsidRPr="00A20560" w:rsidRDefault="004965DE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hyperlink r:id="rId10" w:history="1">
              <w:r w:rsidR="00264E50" w:rsidRPr="00A20560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Immunisations: reducing differences in uptake in under 19s</w:t>
              </w:r>
            </w:hyperlink>
            <w:r w:rsidR="00264E50" w:rsidRPr="00A2056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(2009, updated 2017) NICE Public Health guideline PH21, recommendations 1, 2 and 3.</w:t>
            </w:r>
          </w:p>
          <w:p w14:paraId="1359C26D" w14:textId="418EB4E6" w:rsidR="00264E50" w:rsidRPr="002338EB" w:rsidRDefault="004965DE" w:rsidP="00264E50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hyperlink r:id="rId11" w:history="1">
              <w:r w:rsidR="00264E50" w:rsidRPr="00A20560">
                <w:rPr>
                  <w:rStyle w:val="Hyperlink"/>
                  <w:rFonts w:cs="Arial"/>
                  <w:kern w:val="24"/>
                  <w:sz w:val="22"/>
                  <w:szCs w:val="22"/>
                  <w:lang w:eastAsia="en-GB"/>
                </w:rPr>
                <w:t>Immunizations – childhood</w:t>
              </w:r>
            </w:hyperlink>
            <w:r w:rsidR="00264E50" w:rsidRPr="00A20560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 (2021) NICE clinical knowledge summary.</w:t>
            </w:r>
          </w:p>
        </w:tc>
        <w:tc>
          <w:tcPr>
            <w:tcW w:w="3118" w:type="dxa"/>
          </w:tcPr>
          <w:p w14:paraId="1FB7F28C" w14:textId="77777777" w:rsidR="00264E50" w:rsidRPr="00A20560" w:rsidRDefault="00264E50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A20560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75848804" w14:textId="6EE0AB5D" w:rsidR="00264E50" w:rsidRPr="002338EB" w:rsidRDefault="00264E50" w:rsidP="00264E50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A20560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aligns with the evidence base.</w:t>
            </w:r>
          </w:p>
        </w:tc>
      </w:tr>
    </w:tbl>
    <w:p w14:paraId="3393013A" w14:textId="29A2DB06" w:rsidR="002338EB" w:rsidRDefault="002338EB" w:rsidP="002338EB">
      <w:pPr>
        <w:pStyle w:val="Paragraph"/>
      </w:pPr>
    </w:p>
    <w:p w14:paraId="67B93D8F" w14:textId="6D992C33" w:rsidR="002338EB" w:rsidRPr="002338EB" w:rsidRDefault="002338EB" w:rsidP="00735337">
      <w:pPr>
        <w:pStyle w:val="Heading3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3FA0B31" w14:textId="77777777" w:rsidTr="001C517D">
        <w:tc>
          <w:tcPr>
            <w:tcW w:w="5949" w:type="dxa"/>
          </w:tcPr>
          <w:p w14:paraId="7BD8EB75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CDDF3D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64E50" w14:paraId="3E61DC2D" w14:textId="77777777" w:rsidTr="001C517D">
        <w:tc>
          <w:tcPr>
            <w:tcW w:w="5949" w:type="dxa"/>
          </w:tcPr>
          <w:p w14:paraId="1812ED5F" w14:textId="738F137F" w:rsidR="00264E50" w:rsidRPr="00264E50" w:rsidRDefault="00264E50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64E5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Numerator: The number in the denominator who received 2 doses of a rotavirus vaccine before they reached 24 weeks old.</w:t>
            </w:r>
          </w:p>
          <w:p w14:paraId="2929246A" w14:textId="77777777" w:rsidR="00264E50" w:rsidRPr="00264E50" w:rsidRDefault="00264E50" w:rsidP="00264E50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264E50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Denominator: The number of babies who reached 24 weeks old in the preceding 12 months. </w:t>
            </w:r>
          </w:p>
          <w:p w14:paraId="2A66B440" w14:textId="77777777" w:rsidR="00264E50" w:rsidRPr="00264E50" w:rsidRDefault="00264E50" w:rsidP="00264E50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r w:rsidRPr="00264E50">
              <w:rPr>
                <w:sz w:val="22"/>
                <w:szCs w:val="22"/>
              </w:rPr>
              <w:t xml:space="preserve">Exclusions (taken from </w:t>
            </w:r>
            <w:hyperlink r:id="rId12" w:history="1">
              <w:r w:rsidRPr="00264E50">
                <w:rPr>
                  <w:rStyle w:val="Hyperlink"/>
                  <w:sz w:val="22"/>
                  <w:szCs w:val="22"/>
                </w:rPr>
                <w:t>the Green Book</w:t>
              </w:r>
            </w:hyperlink>
            <w:r w:rsidRPr="00264E50">
              <w:rPr>
                <w:sz w:val="22"/>
                <w:szCs w:val="22"/>
              </w:rPr>
              <w:t xml:space="preserve">): </w:t>
            </w:r>
          </w:p>
          <w:p w14:paraId="411DC880" w14:textId="14431E8C" w:rsidR="00264E50" w:rsidRPr="00264E50" w:rsidRDefault="00264E50" w:rsidP="00264E50">
            <w:pPr>
              <w:pStyle w:val="Paragraph"/>
              <w:numPr>
                <w:ilvl w:val="0"/>
                <w:numId w:val="41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264E50">
              <w:rPr>
                <w:sz w:val="22"/>
                <w:szCs w:val="22"/>
              </w:rPr>
              <w:t>Babies with a confirmed anaphylactic reaction to a previous dose of rotavirus vaccine or any component of the vaccine.</w:t>
            </w:r>
          </w:p>
          <w:p w14:paraId="2EA1BAC1" w14:textId="3443C975" w:rsidR="00264E50" w:rsidRPr="00264E50" w:rsidRDefault="00264E50" w:rsidP="00264E50">
            <w:pPr>
              <w:pStyle w:val="Paragraph"/>
              <w:numPr>
                <w:ilvl w:val="0"/>
                <w:numId w:val="41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264E50">
              <w:rPr>
                <w:sz w:val="22"/>
                <w:szCs w:val="22"/>
              </w:rPr>
              <w:t>Babies with a history of intussusception.</w:t>
            </w:r>
          </w:p>
          <w:p w14:paraId="0D86594E" w14:textId="535D8AF9" w:rsidR="00264E50" w:rsidRPr="00264E50" w:rsidRDefault="00264E50" w:rsidP="00264E50">
            <w:pPr>
              <w:pStyle w:val="Paragraph"/>
              <w:numPr>
                <w:ilvl w:val="0"/>
                <w:numId w:val="41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264E50">
              <w:rPr>
                <w:sz w:val="22"/>
                <w:szCs w:val="22"/>
              </w:rPr>
              <w:t>Babies with severe combined immunodeficiency disorder.</w:t>
            </w:r>
          </w:p>
          <w:p w14:paraId="761CBAFB" w14:textId="00D8BB48" w:rsidR="00264E50" w:rsidRPr="00264E50" w:rsidRDefault="00264E50" w:rsidP="00264E50">
            <w:pPr>
              <w:pStyle w:val="Paragraph"/>
              <w:numPr>
                <w:ilvl w:val="0"/>
                <w:numId w:val="41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264E50">
              <w:rPr>
                <w:sz w:val="22"/>
                <w:szCs w:val="22"/>
              </w:rPr>
              <w:t>Babies who have a malformation of the gastrointestinal tract that could predispose to intussusception.</w:t>
            </w:r>
          </w:p>
          <w:p w14:paraId="473E317C" w14:textId="62E16541" w:rsidR="00264E50" w:rsidRPr="00264E50" w:rsidRDefault="00264E50" w:rsidP="00264E50">
            <w:pPr>
              <w:pStyle w:val="Paragraph"/>
              <w:numPr>
                <w:ilvl w:val="0"/>
                <w:numId w:val="41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264E50">
              <w:rPr>
                <w:sz w:val="22"/>
                <w:szCs w:val="22"/>
              </w:rPr>
              <w:t>Babies with rare hereditary problems of fructose intolerance, glucose-galactose malabsorption or sucrase-isomaltase insufficiency.</w:t>
            </w:r>
          </w:p>
          <w:p w14:paraId="4CA1B01A" w14:textId="77777777" w:rsidR="00264E50" w:rsidRPr="00264E50" w:rsidRDefault="004965DE" w:rsidP="00264E50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hyperlink r:id="rId13" w:history="1">
              <w:r w:rsidR="00264E50" w:rsidRPr="00264E50">
                <w:rPr>
                  <w:rStyle w:val="Hyperlink"/>
                  <w:sz w:val="22"/>
                  <w:szCs w:val="22"/>
                </w:rPr>
                <w:t>Information from the NHS on rotavirus vaccine FAQs</w:t>
              </w:r>
            </w:hyperlink>
            <w:r w:rsidR="00264E50" w:rsidRPr="00264E50">
              <w:rPr>
                <w:sz w:val="22"/>
                <w:szCs w:val="22"/>
              </w:rPr>
              <w:t xml:space="preserve"> also detail the following exclusions:</w:t>
            </w:r>
          </w:p>
          <w:p w14:paraId="71EDB20E" w14:textId="6C81AF78" w:rsidR="00264E50" w:rsidRPr="00264E50" w:rsidRDefault="00264E50" w:rsidP="00264E50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264E50">
              <w:rPr>
                <w:sz w:val="22"/>
                <w:szCs w:val="22"/>
              </w:rPr>
              <w:t>Babies who are born to mothers who were taking immunosuppressant medicines in pregnancy.</w:t>
            </w:r>
          </w:p>
          <w:p w14:paraId="1A8C1D16" w14:textId="5FCD0DFF" w:rsidR="00264E50" w:rsidRPr="00264E50" w:rsidRDefault="00264E50" w:rsidP="00264E50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</w:pPr>
            <w:r w:rsidRPr="00264E50">
              <w:rPr>
                <w:sz w:val="22"/>
                <w:szCs w:val="22"/>
              </w:rPr>
              <w:t>Babies who have been breastfeeding while their mother was taking immunosuppressant medications.</w:t>
            </w:r>
          </w:p>
        </w:tc>
        <w:tc>
          <w:tcPr>
            <w:tcW w:w="3118" w:type="dxa"/>
          </w:tcPr>
          <w:p w14:paraId="68806038" w14:textId="77777777" w:rsidR="00264E50" w:rsidRDefault="00264E50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49347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1FF82767" w14:textId="14DB43A9" w:rsidR="00264E50" w:rsidRPr="00493476" w:rsidRDefault="00264E50" w:rsidP="00264E5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rotavirus vaccine </w:t>
            </w:r>
            <w:r w:rsidR="0027710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should not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be given after 24 weeks so the specification reflect</w:t>
            </w:r>
            <w:r w:rsidR="004D576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this. </w:t>
            </w:r>
          </w:p>
          <w:p w14:paraId="0C449702" w14:textId="77777777" w:rsidR="00264E50" w:rsidRPr="002338EB" w:rsidRDefault="00264E50" w:rsidP="00264E50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F60592" w14:paraId="48133640" w14:textId="77777777" w:rsidTr="001C517D">
        <w:tc>
          <w:tcPr>
            <w:tcW w:w="5949" w:type="dxa"/>
          </w:tcPr>
          <w:p w14:paraId="4B4889E2" w14:textId="42F11A8F" w:rsidR="00F60592" w:rsidRPr="002338EB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E1C1E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NICE general practice level indicators are intended for use where there is an average of 20 or more patients per practice. </w:t>
            </w:r>
            <w:hyperlink r:id="rId14" w:history="1">
              <w:r w:rsidRPr="005D1E90">
                <w:rPr>
                  <w:rStyle w:val="Hyperlink"/>
                  <w:rFonts w:cs="Arial"/>
                  <w:kern w:val="24"/>
                  <w:sz w:val="22"/>
                  <w:szCs w:val="22"/>
                </w:rPr>
                <w:t>PHE/NHS Digital experimental GP vaccination coverage statistics 2019-20</w:t>
              </w:r>
            </w:hyperlink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shows a total </w:t>
            </w:r>
            <w:r w:rsidR="00D1778B">
              <w:rPr>
                <w:rFonts w:cs="Arial"/>
                <w:color w:val="000000"/>
                <w:kern w:val="24"/>
                <w:sz w:val="22"/>
                <w:szCs w:val="22"/>
              </w:rPr>
              <w:t>12-month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denominator of 625,516. This is approximately 93 patients per GP practice (6720 GP practices QOF 2019-10). There 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>is no estimate of number of babies aged 6 months old (24 weeks).</w:t>
            </w:r>
          </w:p>
        </w:tc>
        <w:tc>
          <w:tcPr>
            <w:tcW w:w="3118" w:type="dxa"/>
          </w:tcPr>
          <w:p w14:paraId="38DE6D48" w14:textId="6FB33621" w:rsidR="00F60592" w:rsidRPr="002338EB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E1C1E"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>The indicator does outline minimum numbers of patients needed to be confident in the assessment of variation.</w:t>
            </w:r>
          </w:p>
        </w:tc>
      </w:tr>
    </w:tbl>
    <w:p w14:paraId="1F89E1DD" w14:textId="24151FF3" w:rsidR="002338EB" w:rsidRDefault="002338EB" w:rsidP="002338EB">
      <w:pPr>
        <w:pStyle w:val="Paragraph"/>
      </w:pPr>
    </w:p>
    <w:p w14:paraId="597779EE" w14:textId="5E0747D0" w:rsidR="002338EB" w:rsidRDefault="002338EB" w:rsidP="00735337">
      <w:pPr>
        <w:pStyle w:val="Heading3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0453993" w14:textId="77777777" w:rsidTr="001C517D">
        <w:tc>
          <w:tcPr>
            <w:tcW w:w="5949" w:type="dxa"/>
          </w:tcPr>
          <w:p w14:paraId="1B5D3E68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32FEA87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F60592" w14:paraId="7CB24BE4" w14:textId="77777777" w:rsidTr="001C517D">
        <w:tc>
          <w:tcPr>
            <w:tcW w:w="5949" w:type="dxa"/>
          </w:tcPr>
          <w:p w14:paraId="40A0D12E" w14:textId="5B6CAC62" w:rsidR="00F60592" w:rsidRPr="00F34733" w:rsidRDefault="00F60592" w:rsidP="004965DE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F34733">
              <w:rPr>
                <w:rFonts w:cs="Arial"/>
                <w:sz w:val="22"/>
                <w:szCs w:val="22"/>
              </w:rPr>
              <w:t xml:space="preserve">The </w:t>
            </w:r>
            <w:r w:rsidR="008B7E1B">
              <w:rPr>
                <w:rFonts w:cs="Arial"/>
                <w:sz w:val="22"/>
                <w:szCs w:val="22"/>
              </w:rPr>
              <w:t xml:space="preserve">complete </w:t>
            </w:r>
            <w:hyperlink r:id="rId15" w:history="1">
              <w:r w:rsidRPr="00F34733">
                <w:rPr>
                  <w:rStyle w:val="Hyperlink"/>
                  <w:rFonts w:cs="Arial"/>
                  <w:sz w:val="22"/>
                  <w:szCs w:val="22"/>
                </w:rPr>
                <w:t>routine vaccination schedule from June 2020</w:t>
              </w:r>
            </w:hyperlink>
            <w:r w:rsidRPr="00F34733">
              <w:rPr>
                <w:rFonts w:cs="Arial"/>
                <w:sz w:val="22"/>
                <w:szCs w:val="22"/>
              </w:rPr>
              <w:t xml:space="preserve"> details that this vaccine is given at 8 and 12 weeks.</w:t>
            </w:r>
          </w:p>
          <w:p w14:paraId="7485AF98" w14:textId="77777777" w:rsidR="00F60592" w:rsidRPr="00F34733" w:rsidRDefault="00F60592" w:rsidP="00F605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E91E5" w14:textId="5DF7DA56" w:rsidR="00F60592" w:rsidRPr="00F60592" w:rsidRDefault="004965DE" w:rsidP="004965DE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hyperlink r:id="rId16" w:history="1">
              <w:r w:rsidR="00F60592" w:rsidRPr="00F34733">
                <w:rPr>
                  <w:rStyle w:val="Hyperlink"/>
                  <w:rFonts w:cs="Arial"/>
                  <w:sz w:val="22"/>
                  <w:szCs w:val="22"/>
                </w:rPr>
                <w:t>Cover of vaccination evaluated rapidly (COVER) data</w:t>
              </w:r>
            </w:hyperlink>
            <w:r w:rsidR="00F60592" w:rsidRPr="00F34733">
              <w:rPr>
                <w:rFonts w:cs="Arial"/>
                <w:sz w:val="22"/>
                <w:szCs w:val="22"/>
              </w:rPr>
              <w:t xml:space="preserve"> is</w:t>
            </w:r>
            <w:r w:rsidR="00F60592">
              <w:rPr>
                <w:rFonts w:cs="Arial"/>
                <w:sz w:val="22"/>
                <w:szCs w:val="22"/>
              </w:rPr>
              <w:t xml:space="preserve"> </w:t>
            </w:r>
            <w:r w:rsidR="00F60592" w:rsidRPr="00F34733">
              <w:rPr>
                <w:rFonts w:cs="Arial"/>
                <w:sz w:val="22"/>
                <w:szCs w:val="22"/>
              </w:rPr>
              <w:t>collected by Public Health England and reported quarterly</w:t>
            </w:r>
            <w:r w:rsidR="00F60592">
              <w:rPr>
                <w:rFonts w:cs="Arial"/>
                <w:sz w:val="22"/>
                <w:szCs w:val="22"/>
              </w:rPr>
              <w:t xml:space="preserve"> </w:t>
            </w:r>
            <w:r w:rsidR="00F60592" w:rsidRPr="00F34733">
              <w:rPr>
                <w:rFonts w:cs="Arial"/>
                <w:sz w:val="22"/>
                <w:szCs w:val="22"/>
              </w:rPr>
              <w:t>and annually by NHS Digital and Public Health England including rotavirus by 12 months of age. Data is</w:t>
            </w:r>
            <w:r w:rsidR="00F60592">
              <w:rPr>
                <w:rFonts w:cs="Arial"/>
                <w:sz w:val="22"/>
                <w:szCs w:val="22"/>
              </w:rPr>
              <w:t xml:space="preserve"> </w:t>
            </w:r>
            <w:r w:rsidR="00F60592" w:rsidRPr="00F34733">
              <w:rPr>
                <w:rFonts w:cs="Arial"/>
                <w:sz w:val="22"/>
                <w:szCs w:val="22"/>
              </w:rPr>
              <w:t>submitted by the local teams and child health record</w:t>
            </w:r>
            <w:r w:rsidR="00F60592">
              <w:rPr>
                <w:rFonts w:cs="Arial"/>
                <w:sz w:val="22"/>
                <w:szCs w:val="22"/>
              </w:rPr>
              <w:t xml:space="preserve"> </w:t>
            </w:r>
            <w:r w:rsidR="00F60592" w:rsidRPr="00F34733">
              <w:rPr>
                <w:rFonts w:cs="Arial"/>
                <w:sz w:val="22"/>
                <w:szCs w:val="22"/>
              </w:rPr>
              <w:t>departments and reported nationally and regionally. From 2019-20 this will include general practice level coverage.</w:t>
            </w:r>
          </w:p>
        </w:tc>
        <w:tc>
          <w:tcPr>
            <w:tcW w:w="3118" w:type="dxa"/>
          </w:tcPr>
          <w:p w14:paraId="5F8885BC" w14:textId="77777777" w:rsidR="00F60592" w:rsidRPr="00F34733" w:rsidRDefault="00F60592" w:rsidP="00F60592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3473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3BEFE1B2" w14:textId="77777777" w:rsidR="00F60592" w:rsidRPr="00735337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F60592" w14:paraId="2FE27CD6" w14:textId="77777777" w:rsidTr="001C517D">
        <w:tc>
          <w:tcPr>
            <w:tcW w:w="5949" w:type="dxa"/>
          </w:tcPr>
          <w:p w14:paraId="0BB19A1B" w14:textId="1EEAFCB4" w:rsidR="00F60592" w:rsidRPr="00B20A5A" w:rsidRDefault="00F60592" w:rsidP="004965DE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B20A5A">
              <w:rPr>
                <w:rFonts w:cs="Arial"/>
                <w:sz w:val="22"/>
                <w:szCs w:val="22"/>
              </w:rPr>
              <w:t xml:space="preserve">Existing clinical code clusters as detailed in </w:t>
            </w:r>
            <w:hyperlink r:id="rId17" w:history="1">
              <w:r w:rsidRPr="00F34733">
                <w:rPr>
                  <w:rStyle w:val="Hyperlink"/>
                  <w:rFonts w:cs="Arial"/>
                  <w:sz w:val="22"/>
                  <w:szCs w:val="22"/>
                </w:rPr>
                <w:t>NHS Digital</w:t>
              </w:r>
              <w:r w:rsidR="008B7E1B">
                <w:rPr>
                  <w:rStyle w:val="Hyperlink"/>
                  <w:rFonts w:cs="Arial"/>
                  <w:sz w:val="22"/>
                  <w:szCs w:val="22"/>
                </w:rPr>
                <w:t>’s</w:t>
              </w:r>
              <w:r w:rsidRPr="00F34733">
                <w:rPr>
                  <w:rStyle w:val="Hyperlink"/>
                  <w:rFonts w:cs="Arial"/>
                  <w:sz w:val="22"/>
                  <w:szCs w:val="22"/>
                </w:rPr>
                <w:t xml:space="preserve"> V</w:t>
              </w:r>
              <w:r w:rsidRPr="00683608">
                <w:rPr>
                  <w:rStyle w:val="Hyperlink"/>
                  <w:rFonts w:cs="Arial"/>
                  <w:sz w:val="22"/>
                  <w:szCs w:val="22"/>
                </w:rPr>
                <w:t>&amp;I</w:t>
              </w:r>
              <w:r w:rsidR="00683608" w:rsidRPr="00683608">
                <w:rPr>
                  <w:rStyle w:val="Hyperlink"/>
                  <w:rFonts w:cs="Arial"/>
                  <w:sz w:val="22"/>
                  <w:szCs w:val="22"/>
                </w:rPr>
                <w:t xml:space="preserve"> programmes 2021/22</w:t>
              </w:r>
              <w:r w:rsidRPr="00F34733">
                <w:rPr>
                  <w:rStyle w:val="Hyperlink"/>
                  <w:rFonts w:cs="Arial"/>
                  <w:sz w:val="22"/>
                  <w:szCs w:val="22"/>
                </w:rPr>
                <w:t xml:space="preserve"> business rules </w:t>
              </w:r>
              <w:r w:rsidR="008B7E1B" w:rsidRPr="008B7E1B">
                <w:rPr>
                  <w:rStyle w:val="Hyperlink"/>
                  <w:rFonts w:cs="Arial"/>
                  <w:sz w:val="22"/>
                  <w:szCs w:val="22"/>
                </w:rPr>
                <w:t xml:space="preserve">Rotavirus </w:t>
              </w:r>
              <w:r w:rsidRPr="00F34733">
                <w:rPr>
                  <w:rStyle w:val="Hyperlink"/>
                  <w:rFonts w:cs="Arial"/>
                  <w:sz w:val="22"/>
                  <w:szCs w:val="22"/>
                </w:rPr>
                <w:t>v11.0</w:t>
              </w:r>
            </w:hyperlink>
            <w:r w:rsidRPr="00B20A5A">
              <w:rPr>
                <w:rFonts w:cs="Arial"/>
                <w:sz w:val="22"/>
                <w:szCs w:val="22"/>
              </w:rPr>
              <w:t>:</w:t>
            </w:r>
          </w:p>
          <w:p w14:paraId="3771BFBF" w14:textId="77777777" w:rsidR="00F60592" w:rsidRPr="00B20A5A" w:rsidRDefault="00F60592" w:rsidP="00F60592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ROTAVAC1_COD rotavirus vaccination 1</w:t>
            </w:r>
            <w:r w:rsidRPr="00B20A5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B20A5A">
              <w:rPr>
                <w:rFonts w:ascii="Arial" w:hAnsi="Arial" w:cs="Arial"/>
                <w:sz w:val="22"/>
                <w:szCs w:val="22"/>
              </w:rPr>
              <w:t xml:space="preserve"> dose given codes.</w:t>
            </w:r>
          </w:p>
          <w:p w14:paraId="21D5D63C" w14:textId="77777777" w:rsidR="00F60592" w:rsidRPr="00B20A5A" w:rsidRDefault="00F60592" w:rsidP="00F60592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ROTAVAC2_COD rotavirus vaccination 2</w:t>
            </w:r>
            <w:r w:rsidRPr="00B20A5A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B20A5A">
              <w:rPr>
                <w:rFonts w:ascii="Arial" w:hAnsi="Arial" w:cs="Arial"/>
                <w:sz w:val="22"/>
                <w:szCs w:val="22"/>
              </w:rPr>
              <w:t xml:space="preserve"> dose given codes.</w:t>
            </w:r>
          </w:p>
          <w:p w14:paraId="23887917" w14:textId="77777777" w:rsidR="00F60592" w:rsidRPr="00B20A5A" w:rsidRDefault="00F60592" w:rsidP="00F60592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ROTAVACEXC_COD rotavirus vaccination exception reporting codes</w:t>
            </w:r>
          </w:p>
          <w:p w14:paraId="459A3129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 xml:space="preserve">Exception reporting codes: </w:t>
            </w:r>
          </w:p>
          <w:p w14:paraId="475CC883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868691000000101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Rotavirus vaccination contraindicated (situation)</w:t>
            </w:r>
          </w:p>
          <w:p w14:paraId="4D852287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868731000000107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No consent for rotavirus vaccination (finding)</w:t>
            </w:r>
          </w:p>
          <w:p w14:paraId="078A8630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882201000000107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First rotavirus vaccination declined (situation)</w:t>
            </w:r>
          </w:p>
          <w:p w14:paraId="684A9D8D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889571000000106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Adverse reaction to rotavirus vaccine (disorder)</w:t>
            </w:r>
          </w:p>
          <w:p w14:paraId="118B1A52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868711000000104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Rotavirus vaccination declined (situation)</w:t>
            </w:r>
          </w:p>
          <w:p w14:paraId="207D6514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870011000000106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Did not attend first rotavirus vaccination (finding)</w:t>
            </w:r>
          </w:p>
          <w:p w14:paraId="059B66F8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870041000000107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Did not attend second rotavirus vaccination (finding)</w:t>
            </w:r>
          </w:p>
          <w:p w14:paraId="35C9DC23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882221000000103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Second rotavirus vaccination declined (situation)</w:t>
            </w:r>
          </w:p>
          <w:p w14:paraId="6B3D2BF0" w14:textId="685F373C" w:rsidR="00F60592" w:rsidRPr="00F60592" w:rsidRDefault="00F60592" w:rsidP="00F605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0A5A">
              <w:rPr>
                <w:rFonts w:ascii="Arial" w:hAnsi="Arial" w:cs="Arial"/>
                <w:sz w:val="22"/>
                <w:szCs w:val="22"/>
              </w:rPr>
              <w:t>885901000000106</w:t>
            </w:r>
            <w:r w:rsidRPr="00B20A5A">
              <w:rPr>
                <w:rFonts w:ascii="Arial" w:hAnsi="Arial" w:cs="Arial"/>
                <w:sz w:val="22"/>
                <w:szCs w:val="22"/>
              </w:rPr>
              <w:tab/>
              <w:t>History of rotavirus vaccine allergy (situation)</w:t>
            </w:r>
          </w:p>
        </w:tc>
        <w:tc>
          <w:tcPr>
            <w:tcW w:w="3118" w:type="dxa"/>
          </w:tcPr>
          <w:p w14:paraId="5DC810E1" w14:textId="77777777" w:rsidR="00F60592" w:rsidRPr="00B20A5A" w:rsidRDefault="00F60592" w:rsidP="00F60592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B20A5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24CB8CBA" w14:textId="5F3C6C84" w:rsidR="00F60592" w:rsidRPr="00735337" w:rsidRDefault="00F60592" w:rsidP="00F60592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B20A5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585AE468" w14:textId="31F94E90" w:rsidR="002338EB" w:rsidRDefault="002338EB" w:rsidP="002338EB">
      <w:pPr>
        <w:pStyle w:val="Paragraph"/>
      </w:pPr>
    </w:p>
    <w:p w14:paraId="4447A98D" w14:textId="06B983E4" w:rsidR="002338EB" w:rsidRDefault="002338EB" w:rsidP="00A47852">
      <w:pPr>
        <w:pStyle w:val="Heading3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0604C8F6" w14:textId="77777777" w:rsidTr="001C517D">
        <w:tc>
          <w:tcPr>
            <w:tcW w:w="5949" w:type="dxa"/>
          </w:tcPr>
          <w:p w14:paraId="50FC03A9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F255397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F60592" w14:paraId="5EC80837" w14:textId="77777777" w:rsidTr="001C517D">
        <w:tc>
          <w:tcPr>
            <w:tcW w:w="5949" w:type="dxa"/>
          </w:tcPr>
          <w:p w14:paraId="64AF9E55" w14:textId="77777777" w:rsidR="00F60592" w:rsidRPr="001A462A" w:rsidRDefault="004965DE" w:rsidP="00F60592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hyperlink r:id="rId18" w:history="1">
              <w:r w:rsidR="00F60592" w:rsidRPr="001A462A">
                <w:rPr>
                  <w:rStyle w:val="Hyperlink"/>
                  <w:sz w:val="22"/>
                  <w:szCs w:val="22"/>
                </w:rPr>
                <w:t>The Green book</w:t>
              </w:r>
            </w:hyperlink>
            <w:r w:rsidR="00F60592" w:rsidRPr="001A462A">
              <w:rPr>
                <w:sz w:val="22"/>
                <w:szCs w:val="22"/>
              </w:rPr>
              <w:t xml:space="preserve"> recommends that two doses of rotavirus vaccine should be given to infants between 6 and 24 weeks of age to prevent severe gastroenteritis due to rotavirus. Vaccination with rotavirus should not be started for infants aged 15 weeks and 0 days or older. Infants who received their first dose by 15 weeks should receive a second dose at an interval of 4 weeks and by 23 weeks and 6 days. </w:t>
            </w:r>
          </w:p>
          <w:p w14:paraId="405A1EA9" w14:textId="77777777" w:rsidR="00F60592" w:rsidRPr="001A462A" w:rsidRDefault="00F60592" w:rsidP="00F60592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r w:rsidRPr="001A462A">
              <w:rPr>
                <w:sz w:val="22"/>
                <w:szCs w:val="22"/>
              </w:rPr>
              <w:t>Administration of the vaccine should be postponed in infants suffering from:</w:t>
            </w:r>
          </w:p>
          <w:p w14:paraId="5C5715EE" w14:textId="77777777" w:rsidR="00F60592" w:rsidRPr="001A462A" w:rsidRDefault="00F60592" w:rsidP="00F60592">
            <w:pPr>
              <w:pStyle w:val="Paragraph"/>
              <w:numPr>
                <w:ilvl w:val="0"/>
                <w:numId w:val="38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1A462A">
              <w:rPr>
                <w:sz w:val="22"/>
                <w:szCs w:val="22"/>
              </w:rPr>
              <w:t>acute, severe febrile illness</w:t>
            </w:r>
          </w:p>
          <w:p w14:paraId="13F131D1" w14:textId="77777777" w:rsidR="00F60592" w:rsidRPr="001A462A" w:rsidRDefault="00F60592" w:rsidP="00F60592">
            <w:pPr>
              <w:pStyle w:val="Paragraph"/>
              <w:numPr>
                <w:ilvl w:val="0"/>
                <w:numId w:val="38"/>
              </w:numPr>
              <w:spacing w:before="120" w:after="120" w:line="240" w:lineRule="auto"/>
              <w:rPr>
                <w:sz w:val="22"/>
                <w:szCs w:val="22"/>
              </w:rPr>
            </w:pPr>
            <w:r w:rsidRPr="001A462A">
              <w:rPr>
                <w:sz w:val="22"/>
                <w:szCs w:val="22"/>
              </w:rPr>
              <w:t>acute diarrhoea and vomiting.</w:t>
            </w:r>
          </w:p>
          <w:p w14:paraId="2710D70D" w14:textId="77777777" w:rsidR="00F60592" w:rsidRPr="001A462A" w:rsidRDefault="00F60592" w:rsidP="00F60592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r w:rsidRPr="001A462A">
              <w:rPr>
                <w:sz w:val="22"/>
                <w:szCs w:val="22"/>
              </w:rPr>
              <w:t xml:space="preserve">Data is currently collected as part of the vaccination &amp; immunisation core contract 2021/22. </w:t>
            </w:r>
            <w:hyperlink r:id="rId19" w:history="1">
              <w:r w:rsidRPr="001A462A">
                <w:rPr>
                  <w:rStyle w:val="Hyperlink"/>
                  <w:sz w:val="22"/>
                  <w:szCs w:val="22"/>
                </w:rPr>
                <w:t>NHS Digital business rules v11.0</w:t>
              </w:r>
            </w:hyperlink>
            <w:r w:rsidRPr="001A462A">
              <w:rPr>
                <w:sz w:val="22"/>
                <w:szCs w:val="22"/>
              </w:rPr>
              <w:t xml:space="preserve"> detail that payment counts are calculated on a cohort of patients that are 24 weeks of age.  </w:t>
            </w:r>
          </w:p>
          <w:p w14:paraId="4C16C312" w14:textId="77777777" w:rsidR="00F60592" w:rsidRPr="001A462A" w:rsidRDefault="00F60592" w:rsidP="00F60592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r w:rsidRPr="001A462A">
              <w:rPr>
                <w:sz w:val="22"/>
                <w:szCs w:val="22"/>
              </w:rPr>
              <w:t>There may be over estimation of denominators and therefore under estimation of coverage for individual practices as children may have moved away but remained on the register.</w:t>
            </w:r>
          </w:p>
          <w:p w14:paraId="009E37A6" w14:textId="20466FF8" w:rsidR="00F60592" w:rsidRPr="00A47852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1A462A">
              <w:rPr>
                <w:sz w:val="22"/>
                <w:szCs w:val="22"/>
              </w:rPr>
              <w:t xml:space="preserve">Some parents choose not to vaccinate their children. </w:t>
            </w:r>
          </w:p>
        </w:tc>
        <w:tc>
          <w:tcPr>
            <w:tcW w:w="3118" w:type="dxa"/>
          </w:tcPr>
          <w:p w14:paraId="0D0BAEAB" w14:textId="77777777" w:rsidR="00F60592" w:rsidRDefault="00F60592" w:rsidP="00F60592">
            <w:pPr>
              <w:rPr>
                <w:rFonts w:ascii="Arial" w:hAnsi="Arial" w:cs="Arial"/>
                <w:sz w:val="22"/>
                <w:szCs w:val="22"/>
              </w:rPr>
            </w:pPr>
            <w:r w:rsidRPr="001A462A">
              <w:rPr>
                <w:rFonts w:ascii="Arial" w:hAnsi="Arial" w:cs="Arial"/>
                <w:sz w:val="22"/>
                <w:szCs w:val="22"/>
              </w:rPr>
              <w:t>The indicator assesses performance that is attributable to or within the control of the audience.</w:t>
            </w:r>
          </w:p>
          <w:p w14:paraId="14389690" w14:textId="77777777" w:rsidR="00F60592" w:rsidRDefault="00F60592" w:rsidP="00F605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4CDE1" w14:textId="21B94A53" w:rsidR="00F60592" w:rsidRPr="001A462A" w:rsidRDefault="00F60592" w:rsidP="00F60592">
            <w:pPr>
              <w:rPr>
                <w:rFonts w:ascii="Arial" w:hAnsi="Arial" w:cs="Arial"/>
                <w:sz w:val="22"/>
                <w:szCs w:val="22"/>
              </w:rPr>
            </w:pPr>
            <w:r w:rsidRPr="001A462A">
              <w:rPr>
                <w:rFonts w:ascii="Arial" w:hAnsi="Arial" w:cs="Arial"/>
                <w:sz w:val="22"/>
                <w:szCs w:val="22"/>
              </w:rPr>
              <w:t>Data is currently collected on patients who are 24 weeks of age: first dose of rotavirus vaccine between 6 weeks and 14 weeks 6 days in the reporting period and s</w:t>
            </w:r>
            <w:r w:rsidRPr="001A462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econd dose between 10 weeks and 23 weeks and 6 days. This indicator proposes measurement of two doses by </w:t>
            </w:r>
            <w:r w:rsidR="0068360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24 weeks</w:t>
            </w:r>
            <w:r w:rsidRPr="001A462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of age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to reflect that the vaccine cannot be given after 24 weeks of age</w:t>
            </w:r>
            <w:r w:rsidRPr="001A462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Pr="001A462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  <w:p w14:paraId="1F8B1A17" w14:textId="77777777" w:rsidR="00F60592" w:rsidRPr="001A462A" w:rsidRDefault="00F60592" w:rsidP="00F60592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1A462A">
              <w:rPr>
                <w:rFonts w:cs="Arial"/>
                <w:color w:val="000000"/>
                <w:kern w:val="24"/>
                <w:sz w:val="22"/>
                <w:szCs w:val="22"/>
              </w:rPr>
              <w:t>As rotavirus vaccine cannot be started in infants older than 15 weeks, when the vaccination status is unknown and unable to receive before 15 weeks no vaccine should be given.</w:t>
            </w:r>
          </w:p>
          <w:p w14:paraId="50C98A36" w14:textId="3674A6AB" w:rsidR="00F60592" w:rsidRPr="00A47852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1A462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Patient choice to vaccinate should be considered and personalised care adjustments recorded accordingly. </w:t>
            </w:r>
          </w:p>
        </w:tc>
      </w:tr>
      <w:tr w:rsidR="00F60592" w14:paraId="7E164FBD" w14:textId="77777777" w:rsidTr="001C517D">
        <w:tc>
          <w:tcPr>
            <w:tcW w:w="5949" w:type="dxa"/>
          </w:tcPr>
          <w:p w14:paraId="3AF0200A" w14:textId="38FCB1C8" w:rsidR="00F60592" w:rsidRPr="00A47852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1A462A">
              <w:rPr>
                <w:rFonts w:cs="Arial"/>
                <w:sz w:val="22"/>
                <w:szCs w:val="22"/>
              </w:rPr>
              <w:t>Data is collected by NHS Digital.</w:t>
            </w:r>
          </w:p>
        </w:tc>
        <w:tc>
          <w:tcPr>
            <w:tcW w:w="3118" w:type="dxa"/>
          </w:tcPr>
          <w:p w14:paraId="2909F55A" w14:textId="2D508674" w:rsidR="00F60592" w:rsidRPr="00A47852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1A462A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practice. Practices currently submit data to NHS Digital.</w:t>
            </w:r>
          </w:p>
        </w:tc>
      </w:tr>
    </w:tbl>
    <w:p w14:paraId="359B1BDB" w14:textId="081EBB5D" w:rsidR="0028701B" w:rsidRDefault="0028701B" w:rsidP="002338EB">
      <w:pPr>
        <w:pStyle w:val="Paragraph"/>
      </w:pPr>
    </w:p>
    <w:p w14:paraId="1E0681A1" w14:textId="77777777" w:rsidR="0028701B" w:rsidRDefault="0028701B">
      <w:pPr>
        <w:rPr>
          <w:rFonts w:ascii="Arial" w:hAnsi="Arial"/>
        </w:rPr>
      </w:pPr>
      <w:r>
        <w:br w:type="page"/>
      </w:r>
    </w:p>
    <w:p w14:paraId="7E045ADD" w14:textId="77777777" w:rsidR="002338EB" w:rsidRDefault="002338EB" w:rsidP="002338EB">
      <w:pPr>
        <w:pStyle w:val="Paragraph"/>
      </w:pPr>
    </w:p>
    <w:p w14:paraId="639F934E" w14:textId="090BF21C" w:rsidR="00A47852" w:rsidRDefault="00A47852" w:rsidP="00A47852">
      <w:pPr>
        <w:pStyle w:val="Heading3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F9CECCC" w14:textId="77777777" w:rsidTr="001C517D">
        <w:tc>
          <w:tcPr>
            <w:tcW w:w="5949" w:type="dxa"/>
          </w:tcPr>
          <w:p w14:paraId="7D45A224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736A49C5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F60592" w14:paraId="2365E62E" w14:textId="77777777" w:rsidTr="001C517D">
        <w:tc>
          <w:tcPr>
            <w:tcW w:w="5949" w:type="dxa"/>
          </w:tcPr>
          <w:p w14:paraId="5D0DDE27" w14:textId="130ACCC3" w:rsidR="00F60592" w:rsidRPr="00A47852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rotavirus vaccination </w:t>
            </w:r>
            <w:r w:rsidR="00683608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should not 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be given after 24 weeks of age</w:t>
            </w:r>
            <w:r w:rsidR="004965DE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and this is stated in </w:t>
            </w:r>
            <w:hyperlink r:id="rId20" w:history="1">
              <w:r w:rsidR="004965DE" w:rsidRPr="001A462A">
                <w:rPr>
                  <w:rStyle w:val="Hyperlink"/>
                  <w:sz w:val="22"/>
                  <w:szCs w:val="22"/>
                </w:rPr>
                <w:t>The Green book</w:t>
              </w:r>
            </w:hyperlink>
            <w:r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  <w:r w:rsidRPr="001A462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9FB2923" w14:textId="08168DA3" w:rsidR="00F60592" w:rsidRPr="00A47852" w:rsidRDefault="00F60592" w:rsidP="00F6059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1A462A">
              <w:rPr>
                <w:rFonts w:cs="Arial"/>
                <w:color w:val="000000"/>
                <w:kern w:val="24"/>
                <w:sz w:val="22"/>
                <w:szCs w:val="22"/>
              </w:rPr>
              <w:t>The indicator has an acceptable risk of unintended consequences.</w:t>
            </w:r>
          </w:p>
        </w:tc>
      </w:tr>
    </w:tbl>
    <w:p w14:paraId="763A6D9B" w14:textId="5BA67AB3" w:rsidR="006C3D61" w:rsidRDefault="00F60592" w:rsidP="00BC67CC">
      <w:pPr>
        <w:pStyle w:val="Heading3"/>
      </w:pPr>
      <w:r>
        <w:t>N</w:t>
      </w:r>
      <w:r w:rsidR="006C3D61">
        <w:t>ICE indicator advisory committee recommendation</w:t>
      </w:r>
    </w:p>
    <w:p w14:paraId="1743DB3A" w14:textId="1CBDFC19" w:rsidR="0077603D" w:rsidRPr="00407F14" w:rsidRDefault="0077603D" w:rsidP="00F60592">
      <w:pPr>
        <w:pStyle w:val="Paragraph"/>
      </w:pPr>
      <w:r w:rsidRPr="00F60592">
        <w:t xml:space="preserve">The NICE indicator advisory committee approved this indicator for publication on the menu. </w:t>
      </w:r>
    </w:p>
    <w:p w14:paraId="123085F8" w14:textId="46F76CC2" w:rsidR="00D73835" w:rsidRDefault="00D73835" w:rsidP="00277103">
      <w:pPr>
        <w:pStyle w:val="Paragraph"/>
      </w:pPr>
    </w:p>
    <w:sectPr w:rsidR="00D73835" w:rsidSect="00192B09">
      <w:headerReference w:type="default" r:id="rId21"/>
      <w:footerReference w:type="default" r:id="rId2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A3B6" w14:textId="77777777" w:rsidR="00BB14CA" w:rsidRDefault="00BB14CA" w:rsidP="00446BEE">
      <w:r>
        <w:separator/>
      </w:r>
    </w:p>
  </w:endnote>
  <w:endnote w:type="continuationSeparator" w:id="0">
    <w:p w14:paraId="22EB9B1D" w14:textId="77777777" w:rsidR="00BB14CA" w:rsidRDefault="00BB14C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07A" w14:textId="1EF1E1A9" w:rsidR="00BB14CA" w:rsidRPr="008C1C95" w:rsidRDefault="00E836DD" w:rsidP="008C1C95">
    <w:pPr>
      <w:pStyle w:val="Footer"/>
      <w:jc w:val="right"/>
    </w:pPr>
    <w:r>
      <w:t>NM206</w:t>
    </w:r>
    <w:r w:rsidR="009B0E59">
      <w:t xml:space="preserve">: Validity assessment </w:t>
    </w:r>
    <w:r w:rsidR="005E2508">
      <w:t>[</w:t>
    </w:r>
    <w:r w:rsidR="007D543A">
      <w:t>October</w:t>
    </w:r>
    <w:r w:rsidR="00D1778B">
      <w:t xml:space="preserve"> 2021</w:t>
    </w:r>
    <w:r w:rsidR="005E2508">
      <w:t>]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157E4" w14:textId="77777777" w:rsidR="00BB14CA" w:rsidRDefault="00BB14CA" w:rsidP="00446BEE">
      <w:r>
        <w:separator/>
      </w:r>
    </w:p>
  </w:footnote>
  <w:footnote w:type="continuationSeparator" w:id="0">
    <w:p w14:paraId="1B316AC4" w14:textId="77777777" w:rsidR="00BB14CA" w:rsidRDefault="00BB14C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3D4" w14:textId="77777777" w:rsidR="00BB14CA" w:rsidRDefault="00BB14CA" w:rsidP="00670FFB">
    <w:pPr>
      <w:pStyle w:val="Header"/>
      <w:tabs>
        <w:tab w:val="left" w:pos="2768"/>
        <w:tab w:val="center" w:pos="4156"/>
      </w:tabs>
      <w:jc w:val="center"/>
      <w:rPr>
        <w:b/>
        <w:color w:val="FF0000"/>
        <w:sz w:val="22"/>
        <w:szCs w:val="22"/>
      </w:rPr>
    </w:pPr>
  </w:p>
  <w:p w14:paraId="4B4DE189" w14:textId="595FDD5C" w:rsidR="00BB14CA" w:rsidRPr="00D1778B" w:rsidRDefault="00BB14CA" w:rsidP="00670FFB">
    <w:pPr>
      <w:pStyle w:val="Header"/>
      <w:tabs>
        <w:tab w:val="left" w:pos="2768"/>
        <w:tab w:val="center" w:pos="4156"/>
      </w:tabs>
      <w:jc w:val="center"/>
      <w:rPr>
        <w:b/>
        <w:sz w:val="20"/>
        <w:szCs w:val="22"/>
      </w:rPr>
    </w:pPr>
    <w:r w:rsidRPr="00D1778B">
      <w:rPr>
        <w:b/>
        <w:sz w:val="22"/>
        <w:szCs w:val="22"/>
      </w:rPr>
      <w:t>CONFIDENTIAL UNTIL PUBLISHED</w:t>
    </w:r>
  </w:p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D53FE8"/>
    <w:multiLevelType w:val="hybridMultilevel"/>
    <w:tmpl w:val="D528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2" w15:restartNumberingAfterBreak="0">
    <w:nsid w:val="672824B6"/>
    <w:multiLevelType w:val="hybridMultilevel"/>
    <w:tmpl w:val="13A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2CA6"/>
    <w:multiLevelType w:val="hybridMultilevel"/>
    <w:tmpl w:val="7964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8"/>
  </w:num>
  <w:num w:numId="4">
    <w:abstractNumId w:val="12"/>
  </w:num>
  <w:num w:numId="5">
    <w:abstractNumId w:val="24"/>
  </w:num>
  <w:num w:numId="6">
    <w:abstractNumId w:val="1"/>
  </w:num>
  <w:num w:numId="7">
    <w:abstractNumId w:val="10"/>
  </w:num>
  <w:num w:numId="8">
    <w:abstractNumId w:val="22"/>
  </w:num>
  <w:num w:numId="9">
    <w:abstractNumId w:val="23"/>
  </w:num>
  <w:num w:numId="10">
    <w:abstractNumId w:val="5"/>
  </w:num>
  <w:num w:numId="11">
    <w:abstractNumId w:val="7"/>
  </w:num>
  <w:num w:numId="12">
    <w:abstractNumId w:val="2"/>
  </w:num>
  <w:num w:numId="13">
    <w:abstractNumId w:val="31"/>
  </w:num>
  <w:num w:numId="14">
    <w:abstractNumId w:val="14"/>
  </w:num>
  <w:num w:numId="15">
    <w:abstractNumId w:val="9"/>
  </w:num>
  <w:num w:numId="16">
    <w:abstractNumId w:val="19"/>
  </w:num>
  <w:num w:numId="17">
    <w:abstractNumId w:val="16"/>
  </w:num>
  <w:num w:numId="18">
    <w:abstractNumId w:val="21"/>
  </w:num>
  <w:num w:numId="19">
    <w:abstractNumId w:val="25"/>
  </w:num>
  <w:num w:numId="20">
    <w:abstractNumId w:val="6"/>
  </w:num>
  <w:num w:numId="21">
    <w:abstractNumId w:val="29"/>
  </w:num>
  <w:num w:numId="22">
    <w:abstractNumId w:val="0"/>
  </w:num>
  <w:num w:numId="23">
    <w:abstractNumId w:val="4"/>
  </w:num>
  <w:num w:numId="24">
    <w:abstractNumId w:val="27"/>
  </w:num>
  <w:num w:numId="25">
    <w:abstractNumId w:val="18"/>
  </w:num>
  <w:num w:numId="26">
    <w:abstractNumId w:val="1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</w:num>
  <w:num w:numId="37">
    <w:abstractNumId w:val="5"/>
  </w:num>
  <w:num w:numId="38">
    <w:abstractNumId w:val="30"/>
  </w:num>
  <w:num w:numId="39">
    <w:abstractNumId w:val="20"/>
  </w:num>
  <w:num w:numId="40">
    <w:abstractNumId w:val="3"/>
  </w:num>
  <w:num w:numId="41">
    <w:abstractNumId w:val="26"/>
  </w:num>
  <w:num w:numId="42">
    <w:abstractNumId w:val="34"/>
  </w:num>
  <w:num w:numId="4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2F55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40B46"/>
    <w:rsid w:val="001413FC"/>
    <w:rsid w:val="00145D3C"/>
    <w:rsid w:val="001503E8"/>
    <w:rsid w:val="00154516"/>
    <w:rsid w:val="00155A83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30A13"/>
    <w:rsid w:val="002331C6"/>
    <w:rsid w:val="002338EB"/>
    <w:rsid w:val="00236B76"/>
    <w:rsid w:val="002408EA"/>
    <w:rsid w:val="00241410"/>
    <w:rsid w:val="002549B2"/>
    <w:rsid w:val="002563DF"/>
    <w:rsid w:val="0026014A"/>
    <w:rsid w:val="0026108E"/>
    <w:rsid w:val="002614ED"/>
    <w:rsid w:val="00264E50"/>
    <w:rsid w:val="00265142"/>
    <w:rsid w:val="00266AA6"/>
    <w:rsid w:val="00266B50"/>
    <w:rsid w:val="00270605"/>
    <w:rsid w:val="00271804"/>
    <w:rsid w:val="00271857"/>
    <w:rsid w:val="00276AC9"/>
    <w:rsid w:val="00277103"/>
    <w:rsid w:val="00277ED2"/>
    <w:rsid w:val="00280F8A"/>
    <w:rsid w:val="00286537"/>
    <w:rsid w:val="00286C3A"/>
    <w:rsid w:val="0028701B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B028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5DE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576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87A67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4B2"/>
    <w:rsid w:val="005C3893"/>
    <w:rsid w:val="005C5E41"/>
    <w:rsid w:val="005C7DB5"/>
    <w:rsid w:val="005D15B9"/>
    <w:rsid w:val="005D1E0A"/>
    <w:rsid w:val="005D352A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7F2A"/>
    <w:rsid w:val="00642C45"/>
    <w:rsid w:val="0064313B"/>
    <w:rsid w:val="0064319B"/>
    <w:rsid w:val="006434DF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3608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5F34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8D7"/>
    <w:rsid w:val="007D31FD"/>
    <w:rsid w:val="007D543A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5549"/>
    <w:rsid w:val="0086032D"/>
    <w:rsid w:val="00861B3D"/>
    <w:rsid w:val="00862879"/>
    <w:rsid w:val="00865CE7"/>
    <w:rsid w:val="0086701C"/>
    <w:rsid w:val="00867262"/>
    <w:rsid w:val="00870BDD"/>
    <w:rsid w:val="008717F1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B7E1B"/>
    <w:rsid w:val="008C183F"/>
    <w:rsid w:val="008C1C95"/>
    <w:rsid w:val="008C3D9F"/>
    <w:rsid w:val="008C412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56112"/>
    <w:rsid w:val="00A60794"/>
    <w:rsid w:val="00A611CE"/>
    <w:rsid w:val="00A614C6"/>
    <w:rsid w:val="00A7018B"/>
    <w:rsid w:val="00A70A7A"/>
    <w:rsid w:val="00A71410"/>
    <w:rsid w:val="00A7306C"/>
    <w:rsid w:val="00A742B1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78B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E165D"/>
    <w:rsid w:val="00DE2FD7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3F71"/>
    <w:rsid w:val="00E045EE"/>
    <w:rsid w:val="00E06ED0"/>
    <w:rsid w:val="00E1082D"/>
    <w:rsid w:val="00E130CB"/>
    <w:rsid w:val="00E14934"/>
    <w:rsid w:val="00E172BE"/>
    <w:rsid w:val="00E2160E"/>
    <w:rsid w:val="00E24E02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DD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0592"/>
    <w:rsid w:val="00F63D66"/>
    <w:rsid w:val="00F64504"/>
    <w:rsid w:val="00F6458C"/>
    <w:rsid w:val="00F6478A"/>
    <w:rsid w:val="00F6661C"/>
    <w:rsid w:val="00F6682D"/>
    <w:rsid w:val="00F701C7"/>
    <w:rsid w:val="00F7531F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4284"/>
    <w:rsid w:val="00F94BD6"/>
    <w:rsid w:val="00F958CC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nhs-immunisation-statistics/england---2020-21/coverage-statistics" TargetMode="External"/><Relationship Id="rId13" Type="http://schemas.openxmlformats.org/officeDocument/2006/relationships/hyperlink" Target="https://www.nhs.uk/conditions/vaccinations/rotavirus-vaccine-questions-answers/" TargetMode="External"/><Relationship Id="rId18" Type="http://schemas.openxmlformats.org/officeDocument/2006/relationships/hyperlink" Target="https://www.gov.uk/government/collections/immunisation-against-infectious-disease-the-green-boo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igital.nhs.uk/data-and-information/publications/statistical/nhs-immunisation-statistics/england---2019-20" TargetMode="External"/><Relationship Id="rId12" Type="http://schemas.openxmlformats.org/officeDocument/2006/relationships/hyperlink" Target="https://www.gov.uk/government/collections/immunisation-against-infectious-disease-the-green-book" TargetMode="External"/><Relationship Id="rId17" Type="http://schemas.openxmlformats.org/officeDocument/2006/relationships/hyperlink" Target="https://digital.nhs.uk/data-and-information/data-collections-and-data-sets/data-collections/quality-and-outcomes-framework-qof/quality-and-outcome-framework-qof-business-rules/enhanced-services-es-vaccination-and-immunisation-vi-and-core-contract-components-2021-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statistics/cover-of-vaccination-evaluated-rapidly-cover-programme-2020-to-2021-quarterly-data" TargetMode="External"/><Relationship Id="rId20" Type="http://schemas.openxmlformats.org/officeDocument/2006/relationships/hyperlink" Target="https://www.gov.uk/government/collections/immunisation-against-infectious-disease-the-green-boo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ks.nice.org.uk/topics/immunizations-childhood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the-complete-routine-immunisation-schedu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ice.org.uk/guidance/ph21" TargetMode="External"/><Relationship Id="rId19" Type="http://schemas.openxmlformats.org/officeDocument/2006/relationships/hyperlink" Target="https://digital.nhs.uk/data-and-information/data-collections-and-data-sets/data-collections/quality-and-outcomes-framework-qof/quality-and-outcome-framework-qof-business-rules/enhanced-services-es-vaccination-and-immunisation-vi-and-core-contract-components-2021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rotavirus-the-green-book-chapter-27b" TargetMode="External"/><Relationship Id="rId14" Type="http://schemas.openxmlformats.org/officeDocument/2006/relationships/hyperlink" Target="https://www.gov.uk/government/publications/cover-of-vaccination-evaluated-rapidly-cover-programme-annual-dat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2021-09-20T08:06:00Z</dcterms:created>
  <dcterms:modified xsi:type="dcterms:W3CDTF">2021-10-22T09:06:00Z</dcterms:modified>
</cp:coreProperties>
</file>