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D48D" w14:textId="77777777" w:rsidR="00FE3C88" w:rsidRPr="009939B1" w:rsidRDefault="00E63AB3" w:rsidP="00FE3C88">
      <w:pPr>
        <w:pStyle w:val="Heading1"/>
        <w:spacing w:before="0" w:after="0" w:line="360" w:lineRule="auto"/>
        <w:jc w:val="center"/>
      </w:pPr>
      <w:proofErr w:type="gramStart"/>
      <w:r w:rsidRPr="009939B1">
        <w:t>NORTH EAST</w:t>
      </w:r>
      <w:proofErr w:type="gramEnd"/>
      <w:r w:rsidRPr="009939B1">
        <w:t xml:space="preserve"> QUALITY OBSERVATORY SERVICE (NATIONAL COLLABORATING CENTRE </w:t>
      </w:r>
    </w:p>
    <w:p w14:paraId="212746FC" w14:textId="190757F3" w:rsidR="00E63AB3" w:rsidRPr="009939B1" w:rsidRDefault="00E63AB3" w:rsidP="00FE3C88">
      <w:pPr>
        <w:pStyle w:val="Heading1"/>
        <w:spacing w:before="0" w:after="0" w:line="360" w:lineRule="auto"/>
        <w:jc w:val="center"/>
      </w:pPr>
      <w:r w:rsidRPr="009939B1">
        <w:t>FOR INDICATOR DEVELOPMENT)</w:t>
      </w:r>
    </w:p>
    <w:p w14:paraId="7ADAF74D" w14:textId="77777777" w:rsidR="00E63AB3" w:rsidRPr="009939B1" w:rsidRDefault="00E63AB3" w:rsidP="00E63AB3"/>
    <w:p w14:paraId="3D4E494C" w14:textId="77777777" w:rsidR="00E63AB3" w:rsidRPr="009939B1" w:rsidRDefault="00E63AB3" w:rsidP="00E63AB3">
      <w:pPr>
        <w:jc w:val="center"/>
        <w:rPr>
          <w:b/>
          <w:sz w:val="32"/>
          <w:szCs w:val="32"/>
        </w:rPr>
      </w:pPr>
      <w:r w:rsidRPr="009939B1">
        <w:rPr>
          <w:b/>
          <w:sz w:val="32"/>
          <w:szCs w:val="32"/>
        </w:rPr>
        <w:t>FOR</w:t>
      </w:r>
    </w:p>
    <w:p w14:paraId="2B992C21" w14:textId="77777777" w:rsidR="00AC4951" w:rsidRPr="009939B1" w:rsidRDefault="00AC4951" w:rsidP="00461419">
      <w:pPr>
        <w:pStyle w:val="Heading1"/>
        <w:jc w:val="center"/>
      </w:pPr>
      <w:r w:rsidRPr="009939B1">
        <w:t>NATIONAL INSTITUTE FOR HEALTH AND CARE EXCELLENCE</w:t>
      </w:r>
    </w:p>
    <w:p w14:paraId="2E3ECB0D" w14:textId="77777777" w:rsidR="00AC4951" w:rsidRPr="009939B1" w:rsidRDefault="00AC4951" w:rsidP="00461419">
      <w:pPr>
        <w:pStyle w:val="Heading1"/>
        <w:jc w:val="center"/>
      </w:pPr>
      <w:r w:rsidRPr="009939B1">
        <w:t>INDICATOR DEVELOPMENT PROGRAMME</w:t>
      </w:r>
    </w:p>
    <w:p w14:paraId="3A007C21" w14:textId="77777777" w:rsidR="00461419" w:rsidRPr="009939B1" w:rsidRDefault="00461419" w:rsidP="00D87769"/>
    <w:p w14:paraId="777B2AA1" w14:textId="61BA4C56" w:rsidR="00F31A16" w:rsidRPr="009939B1" w:rsidRDefault="00F31A16" w:rsidP="00F31A16">
      <w:pPr>
        <w:pStyle w:val="Heading1"/>
        <w:jc w:val="center"/>
      </w:pPr>
      <w:r w:rsidRPr="009939B1">
        <w:t>Feedback report on piloted indicators</w:t>
      </w:r>
    </w:p>
    <w:p w14:paraId="05178E08" w14:textId="77777777" w:rsidR="004037BA" w:rsidRPr="009939B1" w:rsidRDefault="004037BA" w:rsidP="004037BA"/>
    <w:p w14:paraId="057FEBA6" w14:textId="735F7D71" w:rsidR="00AC4951" w:rsidRPr="009939B1" w:rsidRDefault="00AC4951" w:rsidP="005D2833">
      <w:pPr>
        <w:pStyle w:val="Heading2"/>
        <w:spacing w:after="120"/>
        <w:jc w:val="center"/>
        <w:rPr>
          <w:b w:val="0"/>
          <w:sz w:val="32"/>
        </w:rPr>
      </w:pPr>
      <w:r w:rsidRPr="009939B1">
        <w:rPr>
          <w:sz w:val="32"/>
        </w:rPr>
        <w:t xml:space="preserve">Topic area: </w:t>
      </w:r>
      <w:r w:rsidR="005D6671" w:rsidRPr="00EC17D6">
        <w:rPr>
          <w:sz w:val="32"/>
        </w:rPr>
        <w:t>Epilepsy</w:t>
      </w:r>
    </w:p>
    <w:p w14:paraId="15713DD8" w14:textId="77777777" w:rsidR="005D2833" w:rsidRPr="009939B1" w:rsidRDefault="005D2833" w:rsidP="005D2833"/>
    <w:p w14:paraId="345E4942" w14:textId="77777777" w:rsidR="005D2833" w:rsidRPr="009939B1" w:rsidRDefault="005D2833" w:rsidP="005D2833"/>
    <w:p w14:paraId="7FA04CF8" w14:textId="4A365DAF" w:rsidR="006B5C73" w:rsidRPr="009939B1" w:rsidRDefault="00E07FE4" w:rsidP="006B5C73">
      <w:pPr>
        <w:spacing w:before="240" w:after="0"/>
        <w:rPr>
          <w:rFonts w:eastAsiaTheme="majorEastAsia" w:cstheme="majorBidi"/>
          <w:b/>
          <w:sz w:val="28"/>
          <w:szCs w:val="26"/>
        </w:rPr>
      </w:pPr>
      <w:r w:rsidRPr="009939B1">
        <w:rPr>
          <w:rFonts w:eastAsiaTheme="majorEastAsia" w:cstheme="majorBidi"/>
          <w:b/>
          <w:sz w:val="28"/>
          <w:szCs w:val="26"/>
        </w:rPr>
        <w:t xml:space="preserve">Pilot period: </w:t>
      </w:r>
      <w:r w:rsidR="00094923" w:rsidRPr="009939B1">
        <w:rPr>
          <w:rFonts w:eastAsiaTheme="majorEastAsia" w:cstheme="majorBidi"/>
          <w:sz w:val="28"/>
          <w:szCs w:val="26"/>
        </w:rPr>
        <w:t>January – March 2022</w:t>
      </w:r>
    </w:p>
    <w:p w14:paraId="44D86ACC" w14:textId="791A5D7E" w:rsidR="006B5C73" w:rsidRPr="009939B1" w:rsidRDefault="006B5C73" w:rsidP="006B5C73">
      <w:pPr>
        <w:pStyle w:val="Heading2"/>
      </w:pPr>
      <w:r w:rsidRPr="009939B1">
        <w:t xml:space="preserve">IAC meeting date: </w:t>
      </w:r>
      <w:r w:rsidR="00094923" w:rsidRPr="009939B1">
        <w:rPr>
          <w:b w:val="0"/>
        </w:rPr>
        <w:t>14th June 2022</w:t>
      </w:r>
    </w:p>
    <w:p w14:paraId="30530912" w14:textId="2E818599" w:rsidR="00154FD1" w:rsidRPr="009939B1" w:rsidRDefault="00AC4951" w:rsidP="00154FD1">
      <w:pPr>
        <w:pStyle w:val="Heading2"/>
        <w:spacing w:after="240"/>
      </w:pPr>
      <w:r w:rsidRPr="009939B1">
        <w:t xml:space="preserve">Output: </w:t>
      </w:r>
      <w:r w:rsidR="00154FD1" w:rsidRPr="009939B1">
        <w:rPr>
          <w:b w:val="0"/>
        </w:rPr>
        <w:t>Findings from qualitative pilot to contribute towards recommendations for NICE indicator menu</w:t>
      </w:r>
    </w:p>
    <w:p w14:paraId="331AB91A" w14:textId="0049F545" w:rsidR="009E5FFB" w:rsidRPr="009939B1" w:rsidRDefault="009E5FFB" w:rsidP="007040D7"/>
    <w:p w14:paraId="3E1B002D" w14:textId="77777777" w:rsidR="008A651E" w:rsidRPr="009939B1" w:rsidRDefault="008A651E">
      <w:pPr>
        <w:spacing w:after="160" w:line="259" w:lineRule="auto"/>
        <w:rPr>
          <w:rFonts w:eastAsiaTheme="majorEastAsia" w:cstheme="majorBidi"/>
          <w:b/>
          <w:sz w:val="32"/>
          <w:szCs w:val="32"/>
        </w:rPr>
      </w:pPr>
      <w:r w:rsidRPr="009939B1">
        <w:br w:type="page"/>
      </w:r>
    </w:p>
    <w:p w14:paraId="4A1BA514" w14:textId="77777777" w:rsidR="0029564D" w:rsidRDefault="0029564D" w:rsidP="0029564D">
      <w:pPr>
        <w:pStyle w:val="Heading1"/>
      </w:pPr>
      <w:r w:rsidRPr="009939B1">
        <w:lastRenderedPageBreak/>
        <w:t>Contents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29564D" w:rsidRPr="009939B1" w14:paraId="3D1C573D" w14:textId="77777777" w:rsidTr="00154EC2">
        <w:tc>
          <w:tcPr>
            <w:tcW w:w="8222" w:type="dxa"/>
          </w:tcPr>
          <w:p w14:paraId="2198DA71" w14:textId="77777777" w:rsidR="0029564D" w:rsidRPr="009939B1" w:rsidRDefault="0029564D" w:rsidP="00154EC2">
            <w:pPr>
              <w:spacing w:before="60" w:after="60" w:line="259" w:lineRule="auto"/>
              <w:rPr>
                <w:b/>
              </w:rPr>
            </w:pPr>
            <w:r w:rsidRPr="009939B1">
              <w:rPr>
                <w:b/>
              </w:rPr>
              <w:t>Summary of pilot findings</w:t>
            </w:r>
          </w:p>
        </w:tc>
        <w:tc>
          <w:tcPr>
            <w:tcW w:w="794" w:type="dxa"/>
          </w:tcPr>
          <w:p w14:paraId="0000E34B" w14:textId="77777777" w:rsidR="0029564D" w:rsidRPr="009939B1" w:rsidRDefault="0029564D" w:rsidP="00154EC2">
            <w:pPr>
              <w:spacing w:before="60" w:after="60" w:line="259" w:lineRule="auto"/>
              <w:jc w:val="right"/>
            </w:pPr>
            <w:r>
              <w:t>3</w:t>
            </w:r>
          </w:p>
        </w:tc>
      </w:tr>
      <w:tr w:rsidR="0029564D" w:rsidRPr="009939B1" w14:paraId="0EBAC5D1" w14:textId="77777777" w:rsidTr="00154EC2">
        <w:tc>
          <w:tcPr>
            <w:tcW w:w="8222" w:type="dxa"/>
          </w:tcPr>
          <w:p w14:paraId="034B9256" w14:textId="77777777" w:rsidR="0029564D" w:rsidRPr="009939B1" w:rsidRDefault="0029564D" w:rsidP="00154EC2">
            <w:pPr>
              <w:spacing w:before="60" w:after="60" w:line="259" w:lineRule="auto"/>
              <w:ind w:left="743"/>
            </w:pPr>
            <w:r w:rsidRPr="009939B1">
              <w:t xml:space="preserve">Indicator 1  </w:t>
            </w:r>
          </w:p>
        </w:tc>
        <w:tc>
          <w:tcPr>
            <w:tcW w:w="794" w:type="dxa"/>
          </w:tcPr>
          <w:p w14:paraId="05399FF9" w14:textId="77777777" w:rsidR="0029564D" w:rsidRPr="009939B1" w:rsidRDefault="0029564D" w:rsidP="00154EC2">
            <w:pPr>
              <w:spacing w:before="60" w:after="60" w:line="259" w:lineRule="auto"/>
              <w:jc w:val="right"/>
            </w:pPr>
            <w:r>
              <w:t>3</w:t>
            </w:r>
          </w:p>
        </w:tc>
      </w:tr>
      <w:tr w:rsidR="0029564D" w:rsidRPr="009939B1" w14:paraId="356AAE69" w14:textId="77777777" w:rsidTr="00154EC2">
        <w:tc>
          <w:tcPr>
            <w:tcW w:w="8222" w:type="dxa"/>
          </w:tcPr>
          <w:p w14:paraId="2E43896E" w14:textId="77777777" w:rsidR="0029564D" w:rsidRPr="009939B1" w:rsidRDefault="0029564D" w:rsidP="00154EC2">
            <w:pPr>
              <w:spacing w:before="60" w:after="60" w:line="259" w:lineRule="auto"/>
              <w:ind w:left="743"/>
            </w:pPr>
            <w:r w:rsidRPr="009939B1">
              <w:t xml:space="preserve">Indicator 2  </w:t>
            </w:r>
          </w:p>
        </w:tc>
        <w:tc>
          <w:tcPr>
            <w:tcW w:w="794" w:type="dxa"/>
          </w:tcPr>
          <w:p w14:paraId="6FFC197C" w14:textId="2EE18D82" w:rsidR="0029564D" w:rsidRPr="009939B1" w:rsidRDefault="00AA6A3C" w:rsidP="00154EC2">
            <w:pPr>
              <w:spacing w:before="60" w:after="60" w:line="259" w:lineRule="auto"/>
              <w:jc w:val="right"/>
            </w:pPr>
            <w:r>
              <w:t>4</w:t>
            </w:r>
          </w:p>
        </w:tc>
      </w:tr>
      <w:tr w:rsidR="0029564D" w:rsidRPr="009939B1" w14:paraId="257990F1" w14:textId="77777777" w:rsidTr="00154EC2">
        <w:tc>
          <w:tcPr>
            <w:tcW w:w="8222" w:type="dxa"/>
          </w:tcPr>
          <w:p w14:paraId="58B1B3DB" w14:textId="77777777" w:rsidR="0029564D" w:rsidRPr="009939B1" w:rsidRDefault="0029564D" w:rsidP="00154EC2">
            <w:pPr>
              <w:spacing w:before="60" w:after="60" w:line="259" w:lineRule="auto"/>
              <w:ind w:left="743"/>
            </w:pPr>
            <w:r w:rsidRPr="009939B1">
              <w:t xml:space="preserve">Indicator 3  </w:t>
            </w:r>
          </w:p>
        </w:tc>
        <w:tc>
          <w:tcPr>
            <w:tcW w:w="794" w:type="dxa"/>
          </w:tcPr>
          <w:p w14:paraId="344DBDDD" w14:textId="2A80BC46" w:rsidR="0029564D" w:rsidRPr="009939B1" w:rsidRDefault="00AA6A3C" w:rsidP="00154EC2">
            <w:pPr>
              <w:spacing w:before="60" w:after="60" w:line="259" w:lineRule="auto"/>
              <w:jc w:val="right"/>
            </w:pPr>
            <w:r>
              <w:t>5</w:t>
            </w:r>
          </w:p>
        </w:tc>
      </w:tr>
      <w:tr w:rsidR="0029564D" w:rsidRPr="009939B1" w14:paraId="1C6AB56E" w14:textId="77777777" w:rsidTr="00154EC2">
        <w:tc>
          <w:tcPr>
            <w:tcW w:w="8222" w:type="dxa"/>
          </w:tcPr>
          <w:p w14:paraId="43BA363B" w14:textId="77777777" w:rsidR="0029564D" w:rsidRPr="009939B1" w:rsidRDefault="0029564D" w:rsidP="00154EC2">
            <w:pPr>
              <w:spacing w:before="60" w:after="60" w:line="259" w:lineRule="auto"/>
              <w:rPr>
                <w:b/>
              </w:rPr>
            </w:pPr>
            <w:r w:rsidRPr="009939B1">
              <w:rPr>
                <w:b/>
              </w:rPr>
              <w:t>Background</w:t>
            </w:r>
          </w:p>
        </w:tc>
        <w:tc>
          <w:tcPr>
            <w:tcW w:w="794" w:type="dxa"/>
          </w:tcPr>
          <w:p w14:paraId="59BF569D" w14:textId="77777777" w:rsidR="0029564D" w:rsidRPr="009939B1" w:rsidRDefault="0029564D" w:rsidP="00154EC2">
            <w:pPr>
              <w:spacing w:before="60" w:after="60" w:line="259" w:lineRule="auto"/>
              <w:jc w:val="right"/>
            </w:pPr>
            <w:r>
              <w:t>6</w:t>
            </w:r>
          </w:p>
        </w:tc>
      </w:tr>
      <w:tr w:rsidR="0029564D" w:rsidRPr="009939B1" w14:paraId="03BBA303" w14:textId="77777777" w:rsidTr="00154EC2">
        <w:tc>
          <w:tcPr>
            <w:tcW w:w="8222" w:type="dxa"/>
          </w:tcPr>
          <w:p w14:paraId="44BF021F" w14:textId="77777777" w:rsidR="0029564D" w:rsidRPr="009939B1" w:rsidRDefault="0029564D" w:rsidP="00154EC2">
            <w:pPr>
              <w:spacing w:before="60" w:after="60" w:line="259" w:lineRule="auto"/>
              <w:ind w:left="720"/>
            </w:pPr>
            <w:r w:rsidRPr="009939B1">
              <w:t>Practice recruitment</w:t>
            </w:r>
          </w:p>
        </w:tc>
        <w:tc>
          <w:tcPr>
            <w:tcW w:w="794" w:type="dxa"/>
          </w:tcPr>
          <w:p w14:paraId="6EC12BD6" w14:textId="77777777" w:rsidR="0029564D" w:rsidRPr="009939B1" w:rsidRDefault="0029564D" w:rsidP="00154EC2">
            <w:pPr>
              <w:spacing w:before="60" w:after="60" w:line="259" w:lineRule="auto"/>
              <w:jc w:val="right"/>
            </w:pPr>
            <w:r>
              <w:t>6</w:t>
            </w:r>
          </w:p>
        </w:tc>
      </w:tr>
      <w:tr w:rsidR="0029564D" w:rsidRPr="009939B1" w14:paraId="435EE481" w14:textId="77777777" w:rsidTr="00154EC2">
        <w:tc>
          <w:tcPr>
            <w:tcW w:w="8222" w:type="dxa"/>
          </w:tcPr>
          <w:p w14:paraId="50695DB7" w14:textId="77777777" w:rsidR="0029564D" w:rsidRPr="009939B1" w:rsidRDefault="0029564D" w:rsidP="00154EC2">
            <w:pPr>
              <w:spacing w:before="60" w:after="60" w:line="259" w:lineRule="auto"/>
              <w:rPr>
                <w:b/>
              </w:rPr>
            </w:pPr>
            <w:r w:rsidRPr="009939B1">
              <w:rPr>
                <w:b/>
              </w:rPr>
              <w:t xml:space="preserve">Assessment of clarity, feasibility, </w:t>
            </w:r>
            <w:proofErr w:type="gramStart"/>
            <w:r w:rsidRPr="009939B1">
              <w:rPr>
                <w:b/>
              </w:rPr>
              <w:t>reliability</w:t>
            </w:r>
            <w:proofErr w:type="gramEnd"/>
            <w:r w:rsidRPr="009939B1">
              <w:rPr>
                <w:b/>
              </w:rPr>
              <w:t xml:space="preserve"> and acceptability</w:t>
            </w:r>
          </w:p>
        </w:tc>
        <w:tc>
          <w:tcPr>
            <w:tcW w:w="794" w:type="dxa"/>
          </w:tcPr>
          <w:p w14:paraId="753D1516" w14:textId="77777777" w:rsidR="0029564D" w:rsidRPr="009939B1" w:rsidRDefault="0029564D" w:rsidP="00154EC2">
            <w:pPr>
              <w:spacing w:before="60" w:after="60" w:line="259" w:lineRule="auto"/>
              <w:jc w:val="right"/>
            </w:pPr>
            <w:r>
              <w:t>8</w:t>
            </w:r>
          </w:p>
        </w:tc>
      </w:tr>
      <w:tr w:rsidR="0029564D" w:rsidRPr="009939B1" w14:paraId="183EFFF3" w14:textId="77777777" w:rsidTr="00154EC2">
        <w:tc>
          <w:tcPr>
            <w:tcW w:w="8222" w:type="dxa"/>
          </w:tcPr>
          <w:p w14:paraId="2A70F7EA" w14:textId="77777777" w:rsidR="0029564D" w:rsidRPr="009939B1" w:rsidRDefault="0029564D" w:rsidP="00154EC2">
            <w:pPr>
              <w:spacing w:before="60" w:after="60" w:line="259" w:lineRule="auto"/>
              <w:ind w:left="743"/>
            </w:pPr>
            <w:r w:rsidRPr="009939B1">
              <w:t>Clarity</w:t>
            </w:r>
          </w:p>
        </w:tc>
        <w:tc>
          <w:tcPr>
            <w:tcW w:w="794" w:type="dxa"/>
          </w:tcPr>
          <w:p w14:paraId="4AE397AF" w14:textId="77777777" w:rsidR="0029564D" w:rsidRPr="009939B1" w:rsidRDefault="0029564D" w:rsidP="00154EC2">
            <w:pPr>
              <w:spacing w:before="60" w:after="60" w:line="259" w:lineRule="auto"/>
              <w:jc w:val="right"/>
            </w:pPr>
            <w:r>
              <w:t>8</w:t>
            </w:r>
          </w:p>
        </w:tc>
      </w:tr>
      <w:tr w:rsidR="0029564D" w:rsidRPr="009939B1" w14:paraId="76CA031D" w14:textId="77777777" w:rsidTr="00154EC2">
        <w:tc>
          <w:tcPr>
            <w:tcW w:w="8222" w:type="dxa"/>
          </w:tcPr>
          <w:p w14:paraId="43EDCBEB" w14:textId="77777777" w:rsidR="0029564D" w:rsidRPr="009939B1" w:rsidRDefault="0029564D" w:rsidP="00154EC2">
            <w:pPr>
              <w:spacing w:before="60" w:after="60" w:line="259" w:lineRule="auto"/>
              <w:ind w:left="743"/>
            </w:pPr>
            <w:r w:rsidRPr="009939B1">
              <w:t>Feasibility and reliability</w:t>
            </w:r>
          </w:p>
        </w:tc>
        <w:tc>
          <w:tcPr>
            <w:tcW w:w="794" w:type="dxa"/>
          </w:tcPr>
          <w:p w14:paraId="14B4CA85" w14:textId="77777777" w:rsidR="0029564D" w:rsidRPr="009939B1" w:rsidRDefault="0029564D" w:rsidP="00154EC2">
            <w:pPr>
              <w:spacing w:before="60" w:after="60" w:line="259" w:lineRule="auto"/>
              <w:jc w:val="right"/>
            </w:pPr>
            <w:r>
              <w:t>8</w:t>
            </w:r>
          </w:p>
        </w:tc>
      </w:tr>
      <w:tr w:rsidR="0029564D" w:rsidRPr="009939B1" w14:paraId="01BAF49D" w14:textId="77777777" w:rsidTr="00154EC2">
        <w:tc>
          <w:tcPr>
            <w:tcW w:w="8222" w:type="dxa"/>
          </w:tcPr>
          <w:p w14:paraId="3EE67595" w14:textId="77777777" w:rsidR="0029564D" w:rsidRPr="009939B1" w:rsidRDefault="0029564D" w:rsidP="00154EC2">
            <w:pPr>
              <w:spacing w:before="60" w:after="60" w:line="259" w:lineRule="auto"/>
              <w:ind w:left="743"/>
            </w:pPr>
            <w:r w:rsidRPr="009939B1">
              <w:t>Acceptability</w:t>
            </w:r>
          </w:p>
        </w:tc>
        <w:tc>
          <w:tcPr>
            <w:tcW w:w="794" w:type="dxa"/>
          </w:tcPr>
          <w:p w14:paraId="2A39AD52" w14:textId="77777777" w:rsidR="0029564D" w:rsidRPr="009939B1" w:rsidRDefault="0029564D" w:rsidP="00154EC2">
            <w:pPr>
              <w:spacing w:before="60" w:after="60" w:line="259" w:lineRule="auto"/>
              <w:jc w:val="right"/>
            </w:pPr>
            <w:r>
              <w:t>8</w:t>
            </w:r>
          </w:p>
        </w:tc>
      </w:tr>
      <w:tr w:rsidR="0029564D" w:rsidRPr="009939B1" w14:paraId="57FF8420" w14:textId="77777777" w:rsidTr="00154EC2">
        <w:tc>
          <w:tcPr>
            <w:tcW w:w="8222" w:type="dxa"/>
          </w:tcPr>
          <w:p w14:paraId="7C46EBFF" w14:textId="77777777" w:rsidR="0029564D" w:rsidRPr="009939B1" w:rsidRDefault="0029564D" w:rsidP="00154EC2">
            <w:pPr>
              <w:spacing w:before="60" w:after="60" w:line="259" w:lineRule="auto"/>
              <w:ind w:left="1593"/>
            </w:pPr>
            <w:r w:rsidRPr="009939B1">
              <w:t>Topic feedback</w:t>
            </w:r>
          </w:p>
        </w:tc>
        <w:tc>
          <w:tcPr>
            <w:tcW w:w="794" w:type="dxa"/>
          </w:tcPr>
          <w:p w14:paraId="47D881FC" w14:textId="77777777" w:rsidR="0029564D" w:rsidRPr="009939B1" w:rsidRDefault="0029564D" w:rsidP="00154EC2">
            <w:pPr>
              <w:spacing w:before="60" w:after="60" w:line="259" w:lineRule="auto"/>
              <w:jc w:val="right"/>
            </w:pPr>
            <w:r>
              <w:t>8</w:t>
            </w:r>
          </w:p>
        </w:tc>
      </w:tr>
      <w:tr w:rsidR="0029564D" w:rsidRPr="009939B1" w14:paraId="5621B1E5" w14:textId="77777777" w:rsidTr="00154EC2">
        <w:tc>
          <w:tcPr>
            <w:tcW w:w="8222" w:type="dxa"/>
          </w:tcPr>
          <w:p w14:paraId="007CA8D4" w14:textId="77777777" w:rsidR="0029564D" w:rsidRPr="009939B1" w:rsidRDefault="0029564D" w:rsidP="00154EC2">
            <w:pPr>
              <w:spacing w:before="60" w:after="60" w:line="259" w:lineRule="auto"/>
              <w:ind w:left="1593"/>
            </w:pPr>
            <w:r w:rsidRPr="009939B1">
              <w:t>Indicator-level feedback</w:t>
            </w:r>
          </w:p>
        </w:tc>
        <w:tc>
          <w:tcPr>
            <w:tcW w:w="794" w:type="dxa"/>
          </w:tcPr>
          <w:p w14:paraId="49658164" w14:textId="77777777" w:rsidR="0029564D" w:rsidRPr="009939B1" w:rsidRDefault="0029564D" w:rsidP="00154EC2">
            <w:pPr>
              <w:spacing w:before="60" w:after="60" w:line="259" w:lineRule="auto"/>
              <w:jc w:val="right"/>
            </w:pPr>
            <w:r>
              <w:t>10</w:t>
            </w:r>
          </w:p>
        </w:tc>
      </w:tr>
      <w:tr w:rsidR="0029564D" w:rsidRPr="009939B1" w14:paraId="39444944" w14:textId="77777777" w:rsidTr="00154EC2">
        <w:trPr>
          <w:trHeight w:val="379"/>
        </w:trPr>
        <w:tc>
          <w:tcPr>
            <w:tcW w:w="8222" w:type="dxa"/>
          </w:tcPr>
          <w:p w14:paraId="65B277F4" w14:textId="77777777" w:rsidR="0029564D" w:rsidRPr="009939B1" w:rsidRDefault="0029564D" w:rsidP="00154EC2">
            <w:pPr>
              <w:tabs>
                <w:tab w:val="left" w:pos="2920"/>
              </w:tabs>
              <w:spacing w:before="60" w:after="60" w:line="259" w:lineRule="auto"/>
              <w:ind w:left="34"/>
              <w:rPr>
                <w:b/>
              </w:rPr>
            </w:pPr>
            <w:r w:rsidRPr="009939B1">
              <w:rPr>
                <w:b/>
              </w:rPr>
              <w:t>Suggested amendments to indicator definitions and/or wording</w:t>
            </w:r>
          </w:p>
        </w:tc>
        <w:tc>
          <w:tcPr>
            <w:tcW w:w="794" w:type="dxa"/>
          </w:tcPr>
          <w:p w14:paraId="0AB0BCB6" w14:textId="4E540E88" w:rsidR="0029564D" w:rsidRPr="009939B1" w:rsidRDefault="00AA6A3C" w:rsidP="00154EC2">
            <w:pPr>
              <w:spacing w:before="60" w:after="60" w:line="259" w:lineRule="auto"/>
              <w:jc w:val="right"/>
            </w:pPr>
            <w:r>
              <w:t>21</w:t>
            </w:r>
          </w:p>
        </w:tc>
      </w:tr>
      <w:tr w:rsidR="0029564D" w:rsidRPr="009939B1" w14:paraId="68C4B181" w14:textId="77777777" w:rsidTr="00154EC2">
        <w:trPr>
          <w:trHeight w:val="379"/>
        </w:trPr>
        <w:tc>
          <w:tcPr>
            <w:tcW w:w="8222" w:type="dxa"/>
          </w:tcPr>
          <w:p w14:paraId="0BBB838F" w14:textId="77777777" w:rsidR="0029564D" w:rsidRPr="009939B1" w:rsidRDefault="0029564D" w:rsidP="00154EC2">
            <w:pPr>
              <w:tabs>
                <w:tab w:val="left" w:pos="2920"/>
              </w:tabs>
              <w:spacing w:before="60" w:after="60" w:line="259" w:lineRule="auto"/>
              <w:ind w:left="34"/>
              <w:rPr>
                <w:b/>
              </w:rPr>
            </w:pPr>
            <w:r w:rsidRPr="009939B1">
              <w:rPr>
                <w:b/>
              </w:rPr>
              <w:t>Practices’ views on implementation issues and impact</w:t>
            </w:r>
          </w:p>
        </w:tc>
        <w:tc>
          <w:tcPr>
            <w:tcW w:w="794" w:type="dxa"/>
          </w:tcPr>
          <w:p w14:paraId="33B2ADDC" w14:textId="06B9F62B" w:rsidR="0029564D" w:rsidRPr="009939B1" w:rsidRDefault="00AA6A3C" w:rsidP="00154EC2">
            <w:pPr>
              <w:spacing w:before="60" w:after="60" w:line="259" w:lineRule="auto"/>
              <w:jc w:val="right"/>
            </w:pPr>
            <w:r>
              <w:t>25</w:t>
            </w:r>
          </w:p>
        </w:tc>
      </w:tr>
      <w:tr w:rsidR="0029564D" w:rsidRPr="009939B1" w14:paraId="12FA1BA9" w14:textId="77777777" w:rsidTr="00154EC2">
        <w:trPr>
          <w:trHeight w:val="379"/>
        </w:trPr>
        <w:tc>
          <w:tcPr>
            <w:tcW w:w="8222" w:type="dxa"/>
          </w:tcPr>
          <w:p w14:paraId="5CDA80DF" w14:textId="77777777" w:rsidR="0029564D" w:rsidRPr="009939B1" w:rsidRDefault="0029564D" w:rsidP="00154EC2">
            <w:pPr>
              <w:tabs>
                <w:tab w:val="left" w:pos="2920"/>
              </w:tabs>
              <w:spacing w:before="60" w:after="60" w:line="259" w:lineRule="auto"/>
              <w:ind w:left="720"/>
            </w:pPr>
            <w:r w:rsidRPr="009939B1">
              <w:t>Training requirements</w:t>
            </w:r>
          </w:p>
        </w:tc>
        <w:tc>
          <w:tcPr>
            <w:tcW w:w="794" w:type="dxa"/>
          </w:tcPr>
          <w:p w14:paraId="458ED124" w14:textId="604AEAB9" w:rsidR="0029564D" w:rsidRPr="009939B1" w:rsidRDefault="004D4098" w:rsidP="00154EC2">
            <w:pPr>
              <w:spacing w:before="60" w:after="60" w:line="259" w:lineRule="auto"/>
              <w:jc w:val="right"/>
            </w:pPr>
            <w:r>
              <w:t>25</w:t>
            </w:r>
          </w:p>
        </w:tc>
      </w:tr>
      <w:tr w:rsidR="0029564D" w:rsidRPr="009939B1" w14:paraId="1260B331" w14:textId="77777777" w:rsidTr="00154EC2">
        <w:trPr>
          <w:trHeight w:val="379"/>
        </w:trPr>
        <w:tc>
          <w:tcPr>
            <w:tcW w:w="8222" w:type="dxa"/>
          </w:tcPr>
          <w:p w14:paraId="2003E41C" w14:textId="77777777" w:rsidR="0029564D" w:rsidRPr="009939B1" w:rsidRDefault="0029564D" w:rsidP="00154EC2">
            <w:pPr>
              <w:tabs>
                <w:tab w:val="left" w:pos="2920"/>
              </w:tabs>
              <w:spacing w:before="60" w:after="60" w:line="259" w:lineRule="auto"/>
              <w:ind w:left="720"/>
            </w:pPr>
            <w:r w:rsidRPr="009939B1">
              <w:t>Workload, resource utilisation and costs</w:t>
            </w:r>
          </w:p>
        </w:tc>
        <w:tc>
          <w:tcPr>
            <w:tcW w:w="794" w:type="dxa"/>
          </w:tcPr>
          <w:p w14:paraId="5052C51C" w14:textId="10B5E2A5" w:rsidR="0029564D" w:rsidRPr="009939B1" w:rsidRDefault="00AA6A3C" w:rsidP="00154EC2">
            <w:pPr>
              <w:spacing w:before="60" w:after="60" w:line="259" w:lineRule="auto"/>
              <w:jc w:val="right"/>
            </w:pPr>
            <w:r>
              <w:t>27</w:t>
            </w:r>
          </w:p>
        </w:tc>
      </w:tr>
      <w:tr w:rsidR="0029564D" w:rsidRPr="009939B1" w14:paraId="0A7060AE" w14:textId="77777777" w:rsidTr="00154EC2">
        <w:trPr>
          <w:trHeight w:val="379"/>
        </w:trPr>
        <w:tc>
          <w:tcPr>
            <w:tcW w:w="8222" w:type="dxa"/>
          </w:tcPr>
          <w:p w14:paraId="22C7277C" w14:textId="77777777" w:rsidR="0029564D" w:rsidRPr="009939B1" w:rsidRDefault="0029564D" w:rsidP="00154EC2">
            <w:pPr>
              <w:tabs>
                <w:tab w:val="left" w:pos="2920"/>
              </w:tabs>
              <w:spacing w:before="60" w:after="60" w:line="259" w:lineRule="auto"/>
              <w:ind w:left="720"/>
            </w:pPr>
            <w:r w:rsidRPr="009939B1">
              <w:t xml:space="preserve">Changes in practice organisation </w:t>
            </w:r>
          </w:p>
        </w:tc>
        <w:tc>
          <w:tcPr>
            <w:tcW w:w="794" w:type="dxa"/>
          </w:tcPr>
          <w:p w14:paraId="4D427ADD" w14:textId="15C72B93" w:rsidR="0029564D" w:rsidRPr="009939B1" w:rsidRDefault="00AA6A3C" w:rsidP="00154EC2">
            <w:pPr>
              <w:spacing w:before="60" w:after="60" w:line="259" w:lineRule="auto"/>
              <w:jc w:val="right"/>
            </w:pPr>
            <w:r>
              <w:t>34</w:t>
            </w:r>
          </w:p>
        </w:tc>
      </w:tr>
      <w:tr w:rsidR="0029564D" w:rsidRPr="009939B1" w14:paraId="3D61FB42" w14:textId="77777777" w:rsidTr="00154EC2">
        <w:trPr>
          <w:trHeight w:val="379"/>
        </w:trPr>
        <w:tc>
          <w:tcPr>
            <w:tcW w:w="8222" w:type="dxa"/>
          </w:tcPr>
          <w:p w14:paraId="1439B85F" w14:textId="77777777" w:rsidR="0029564D" w:rsidRPr="009939B1" w:rsidRDefault="0029564D" w:rsidP="00154EC2">
            <w:pPr>
              <w:tabs>
                <w:tab w:val="left" w:pos="2920"/>
              </w:tabs>
              <w:spacing w:before="60" w:after="60" w:line="259" w:lineRule="auto"/>
              <w:ind w:left="743"/>
            </w:pPr>
            <w:r w:rsidRPr="009939B1">
              <w:t>Barriers to implementation</w:t>
            </w:r>
          </w:p>
        </w:tc>
        <w:tc>
          <w:tcPr>
            <w:tcW w:w="794" w:type="dxa"/>
          </w:tcPr>
          <w:p w14:paraId="0562E118" w14:textId="4E3FDF38" w:rsidR="0029564D" w:rsidRPr="009939B1" w:rsidRDefault="00AA6A3C" w:rsidP="00154EC2">
            <w:pPr>
              <w:spacing w:before="60" w:after="60" w:line="259" w:lineRule="auto"/>
              <w:jc w:val="right"/>
            </w:pPr>
            <w:r>
              <w:t>35</w:t>
            </w:r>
          </w:p>
        </w:tc>
      </w:tr>
      <w:tr w:rsidR="0029564D" w:rsidRPr="009939B1" w14:paraId="270A33F0" w14:textId="77777777" w:rsidTr="00154EC2">
        <w:trPr>
          <w:trHeight w:val="379"/>
        </w:trPr>
        <w:tc>
          <w:tcPr>
            <w:tcW w:w="8222" w:type="dxa"/>
          </w:tcPr>
          <w:p w14:paraId="72F0ECE3" w14:textId="77777777" w:rsidR="0029564D" w:rsidRPr="009939B1" w:rsidRDefault="0029564D" w:rsidP="00154EC2">
            <w:pPr>
              <w:tabs>
                <w:tab w:val="left" w:pos="2920"/>
              </w:tabs>
              <w:spacing w:before="60" w:after="60" w:line="259" w:lineRule="auto"/>
              <w:ind w:left="743"/>
            </w:pPr>
            <w:r w:rsidRPr="009939B1">
              <w:t>Assessment of Personalised Care Adjustment reporting rates</w:t>
            </w:r>
          </w:p>
        </w:tc>
        <w:tc>
          <w:tcPr>
            <w:tcW w:w="794" w:type="dxa"/>
          </w:tcPr>
          <w:p w14:paraId="1FBCBF78" w14:textId="2462EAB6" w:rsidR="0029564D" w:rsidRPr="009939B1" w:rsidRDefault="00AA6A3C" w:rsidP="00154EC2">
            <w:pPr>
              <w:spacing w:before="60" w:after="60" w:line="259" w:lineRule="auto"/>
              <w:jc w:val="right"/>
            </w:pPr>
            <w:r>
              <w:t>35</w:t>
            </w:r>
          </w:p>
        </w:tc>
      </w:tr>
      <w:tr w:rsidR="0029564D" w:rsidRPr="009939B1" w14:paraId="0711419B" w14:textId="77777777" w:rsidTr="00154EC2">
        <w:trPr>
          <w:trHeight w:val="379"/>
        </w:trPr>
        <w:tc>
          <w:tcPr>
            <w:tcW w:w="8222" w:type="dxa"/>
          </w:tcPr>
          <w:p w14:paraId="4D7753C1" w14:textId="77777777" w:rsidR="0029564D" w:rsidRPr="009939B1" w:rsidRDefault="0029564D" w:rsidP="00154EC2">
            <w:pPr>
              <w:spacing w:before="60" w:after="60" w:line="259" w:lineRule="auto"/>
              <w:ind w:left="743"/>
            </w:pPr>
            <w:r w:rsidRPr="009939B1">
              <w:t xml:space="preserve">Assessment of overlap with and/or impact on existing QOF indicators or local schemes </w:t>
            </w:r>
          </w:p>
        </w:tc>
        <w:tc>
          <w:tcPr>
            <w:tcW w:w="794" w:type="dxa"/>
          </w:tcPr>
          <w:p w14:paraId="75D4FD95" w14:textId="79C18C20" w:rsidR="0029564D" w:rsidRPr="009939B1" w:rsidRDefault="00AA6A3C" w:rsidP="00154EC2">
            <w:pPr>
              <w:spacing w:before="60" w:after="60" w:line="259" w:lineRule="auto"/>
              <w:jc w:val="right"/>
            </w:pPr>
            <w:r>
              <w:t>36</w:t>
            </w:r>
          </w:p>
        </w:tc>
      </w:tr>
      <w:tr w:rsidR="0029564D" w:rsidRPr="009939B1" w14:paraId="367AB1D2" w14:textId="77777777" w:rsidTr="00154EC2">
        <w:tc>
          <w:tcPr>
            <w:tcW w:w="8222" w:type="dxa"/>
          </w:tcPr>
          <w:p w14:paraId="3C0E902E" w14:textId="77777777" w:rsidR="0029564D" w:rsidRPr="009939B1" w:rsidRDefault="0029564D" w:rsidP="00154EC2">
            <w:pPr>
              <w:spacing w:before="60" w:after="60" w:line="259" w:lineRule="auto"/>
              <w:ind w:left="743"/>
            </w:pPr>
            <w:r w:rsidRPr="009939B1">
              <w:t>Other overall views on implementation of the indicators (including unintended consequences)</w:t>
            </w:r>
          </w:p>
        </w:tc>
        <w:tc>
          <w:tcPr>
            <w:tcW w:w="794" w:type="dxa"/>
          </w:tcPr>
          <w:p w14:paraId="15BE0962" w14:textId="6DEF9D82" w:rsidR="0029564D" w:rsidRPr="009939B1" w:rsidRDefault="00AA6A3C" w:rsidP="00154EC2">
            <w:pPr>
              <w:spacing w:before="60" w:after="60" w:line="259" w:lineRule="auto"/>
              <w:jc w:val="right"/>
            </w:pPr>
            <w:r>
              <w:t>37</w:t>
            </w:r>
          </w:p>
        </w:tc>
      </w:tr>
    </w:tbl>
    <w:p w14:paraId="5B337C96" w14:textId="77777777" w:rsidR="000B2C16" w:rsidRPr="009939B1" w:rsidRDefault="000B2C16" w:rsidP="007040D7"/>
    <w:p w14:paraId="57C6E9E5" w14:textId="77777777" w:rsidR="000B2C16" w:rsidRPr="009939B1" w:rsidRDefault="000B2C16">
      <w:pPr>
        <w:spacing w:after="160" w:line="259" w:lineRule="auto"/>
        <w:rPr>
          <w:rFonts w:eastAsiaTheme="majorEastAsia" w:cstheme="majorBidi"/>
          <w:b/>
          <w:sz w:val="32"/>
          <w:szCs w:val="32"/>
        </w:rPr>
      </w:pPr>
      <w:r w:rsidRPr="009939B1">
        <w:br w:type="page"/>
      </w:r>
    </w:p>
    <w:p w14:paraId="2DBCAB34" w14:textId="31E8C3D5" w:rsidR="00A519BA" w:rsidRPr="009939B1" w:rsidRDefault="00A519BA" w:rsidP="004037BA">
      <w:pPr>
        <w:pStyle w:val="Heading1"/>
      </w:pPr>
      <w:r w:rsidRPr="009939B1">
        <w:lastRenderedPageBreak/>
        <w:t xml:space="preserve">Summary of </w:t>
      </w:r>
      <w:r w:rsidR="00154FD1" w:rsidRPr="009939B1">
        <w:t>pilot findings</w:t>
      </w:r>
    </w:p>
    <w:p w14:paraId="6F663F09" w14:textId="49E7F2DC" w:rsidR="00936B61" w:rsidRDefault="00936B61" w:rsidP="00936B61">
      <w:pPr>
        <w:pStyle w:val="Heading4"/>
      </w:pPr>
      <w:r w:rsidRPr="009939B1">
        <w:t xml:space="preserve">Indicator 1: </w:t>
      </w:r>
      <w:r w:rsidR="001446EC">
        <w:t>A</w:t>
      </w:r>
      <w:r w:rsidR="001446EC" w:rsidRPr="001446EC">
        <w:t xml:space="preserve">nnual review </w:t>
      </w:r>
      <w:r w:rsidR="001446EC">
        <w:t xml:space="preserve">- </w:t>
      </w:r>
      <w:r w:rsidR="001446EC" w:rsidRPr="001446EC">
        <w:t>all adults receiving drug treatment for epilepsy</w:t>
      </w:r>
    </w:p>
    <w:p w14:paraId="7BBE9D33" w14:textId="703F0A41" w:rsidR="007040D7" w:rsidRPr="00773BE8" w:rsidRDefault="007040D7" w:rsidP="007040D7">
      <w:r w:rsidRPr="007040D7">
        <w:t>The percentage of adults receiving drug treatment for epilepsy who had a structured review in the preceding 12 months</w:t>
      </w:r>
      <w:r>
        <w:t>.</w:t>
      </w:r>
    </w:p>
    <w:p w14:paraId="02E03BF5" w14:textId="77777777" w:rsidR="00936B61" w:rsidRPr="009939B1" w:rsidRDefault="00936B61" w:rsidP="007040D7">
      <w:pPr>
        <w:pStyle w:val="Heading5"/>
        <w:rPr>
          <w:b w:val="0"/>
          <w:i/>
          <w:sz w:val="24"/>
        </w:rPr>
      </w:pPr>
      <w:r w:rsidRPr="009939B1">
        <w:rPr>
          <w:b w:val="0"/>
          <w:i/>
          <w:sz w:val="24"/>
        </w:rPr>
        <w:t>Acceptability assessment</w:t>
      </w:r>
    </w:p>
    <w:p w14:paraId="61B21914" w14:textId="705C4E4A" w:rsidR="00E606BD" w:rsidRPr="006F033A" w:rsidRDefault="00E606BD" w:rsidP="007040D7">
      <w:pPr>
        <w:rPr>
          <w:iCs/>
        </w:rPr>
      </w:pPr>
      <w:r>
        <w:rPr>
          <w:color w:val="000000" w:themeColor="text1"/>
        </w:rPr>
        <w:t>Most survey respondents agreed t</w:t>
      </w:r>
      <w:r w:rsidRPr="00635023">
        <w:rPr>
          <w:color w:val="000000" w:themeColor="text1"/>
        </w:rPr>
        <w:t xml:space="preserve">hat </w:t>
      </w:r>
      <w:r w:rsidR="00DE3C2E">
        <w:rPr>
          <w:color w:val="000000" w:themeColor="text1"/>
        </w:rPr>
        <w:t>i</w:t>
      </w:r>
      <w:r w:rsidR="0068673B">
        <w:rPr>
          <w:color w:val="000000" w:themeColor="text1"/>
        </w:rPr>
        <w:t>ndicator 1</w:t>
      </w:r>
      <w:r w:rsidRPr="00635023">
        <w:rPr>
          <w:color w:val="000000" w:themeColor="text1"/>
        </w:rPr>
        <w:t xml:space="preserve"> would improve the quality of care</w:t>
      </w:r>
      <w:r>
        <w:rPr>
          <w:color w:val="000000" w:themeColor="text1"/>
        </w:rPr>
        <w:t xml:space="preserve"> for patients</w:t>
      </w:r>
      <w:r w:rsidR="00243070">
        <w:rPr>
          <w:color w:val="000000" w:themeColor="text1"/>
        </w:rPr>
        <w:t xml:space="preserve"> </w:t>
      </w:r>
      <w:r w:rsidR="00E302E8">
        <w:rPr>
          <w:color w:val="000000" w:themeColor="text1"/>
        </w:rPr>
        <w:t>(79%, 30/38)</w:t>
      </w:r>
      <w:r w:rsidR="00341197">
        <w:rPr>
          <w:color w:val="000000" w:themeColor="text1"/>
        </w:rPr>
        <w:t>.</w:t>
      </w:r>
      <w:r w:rsidR="00E302E8" w:rsidRPr="00635023">
        <w:rPr>
          <w:color w:val="000000" w:themeColor="text1"/>
        </w:rPr>
        <w:t xml:space="preserve"> </w:t>
      </w:r>
      <w:r w:rsidRPr="00635023">
        <w:rPr>
          <w:color w:val="000000" w:themeColor="text1"/>
        </w:rPr>
        <w:t xml:space="preserve"> Practice</w:t>
      </w:r>
      <w:r>
        <w:rPr>
          <w:color w:val="000000" w:themeColor="text1"/>
        </w:rPr>
        <w:t xml:space="preserve"> interviewees</w:t>
      </w:r>
      <w:r w:rsidRPr="00635023">
        <w:rPr>
          <w:color w:val="000000" w:themeColor="text1"/>
        </w:rPr>
        <w:t xml:space="preserve"> were </w:t>
      </w:r>
      <w:r w:rsidR="00243070">
        <w:rPr>
          <w:color w:val="000000" w:themeColor="text1"/>
        </w:rPr>
        <w:t>largely</w:t>
      </w:r>
      <w:r w:rsidRPr="00635023">
        <w:rPr>
          <w:color w:val="000000" w:themeColor="text1"/>
        </w:rPr>
        <w:t xml:space="preserve"> </w:t>
      </w:r>
      <w:r>
        <w:rPr>
          <w:color w:val="000000" w:themeColor="text1"/>
        </w:rPr>
        <w:t>s</w:t>
      </w:r>
      <w:r w:rsidRPr="00635023">
        <w:rPr>
          <w:color w:val="000000" w:themeColor="text1"/>
        </w:rPr>
        <w:t>upportive of inclusio</w:t>
      </w:r>
      <w:r w:rsidRPr="00507EDA">
        <w:t xml:space="preserve">n but some raised concerns regarding </w:t>
      </w:r>
      <w:r w:rsidR="00243070" w:rsidRPr="001446EC">
        <w:t>potential duplication with reviews conducted in secondary care</w:t>
      </w:r>
      <w:r w:rsidR="0068673B">
        <w:t>,</w:t>
      </w:r>
      <w:r w:rsidR="003312C6" w:rsidRPr="001446EC">
        <w:t xml:space="preserve"> and the</w:t>
      </w:r>
      <w:r w:rsidR="00B67923">
        <w:t>re was</w:t>
      </w:r>
      <w:r w:rsidR="003312C6" w:rsidRPr="001446EC">
        <w:t xml:space="preserve"> variability between practices in </w:t>
      </w:r>
      <w:r w:rsidR="00B67923">
        <w:t xml:space="preserve">views on </w:t>
      </w:r>
      <w:r w:rsidR="003312C6" w:rsidRPr="001446EC">
        <w:t xml:space="preserve">how the review </w:t>
      </w:r>
      <w:r w:rsidR="00DF3051">
        <w:t>c</w:t>
      </w:r>
      <w:r w:rsidR="003312C6" w:rsidRPr="001446EC">
        <w:t>ould be implemented</w:t>
      </w:r>
      <w:r w:rsidR="00B67923">
        <w:t>.</w:t>
      </w:r>
      <w:r w:rsidR="008F7BBA">
        <w:t xml:space="preserve"> </w:t>
      </w:r>
      <w:r w:rsidR="00B67923">
        <w:t>Mostly, these views concerned</w:t>
      </w:r>
      <w:r w:rsidR="008F7BBA">
        <w:t xml:space="preserve"> </w:t>
      </w:r>
      <w:r w:rsidR="00B67923">
        <w:t>the potential</w:t>
      </w:r>
      <w:r w:rsidR="002870C9">
        <w:t xml:space="preserve"> risk of it </w:t>
      </w:r>
      <w:r w:rsidR="0068673B">
        <w:t xml:space="preserve">becoming </w:t>
      </w:r>
      <w:r w:rsidR="002870C9">
        <w:t>a ‘tick-box exercise’</w:t>
      </w:r>
      <w:r w:rsidR="00B67923">
        <w:t xml:space="preserve">, </w:t>
      </w:r>
      <w:r w:rsidR="006F033A">
        <w:t>with</w:t>
      </w:r>
      <w:r w:rsidR="00B67923">
        <w:t xml:space="preserve"> more guidance </w:t>
      </w:r>
      <w:r w:rsidR="006F033A">
        <w:t>suggested on what the review should contain. Conversely, a minority of views were</w:t>
      </w:r>
      <w:r w:rsidR="00B67923">
        <w:t xml:space="preserve"> concerned </w:t>
      </w:r>
      <w:r w:rsidR="006F033A">
        <w:t>about the term ‘structured’ review</w:t>
      </w:r>
      <w:r w:rsidR="006F033A" w:rsidRPr="006F033A">
        <w:rPr>
          <w:i/>
        </w:rPr>
        <w:t>.</w:t>
      </w:r>
      <w:r w:rsidR="000A4949" w:rsidRPr="006F033A">
        <w:rPr>
          <w:i/>
          <w:iCs/>
        </w:rPr>
        <w:t xml:space="preserve"> </w:t>
      </w:r>
      <w:r w:rsidR="006F033A" w:rsidRPr="006F033A">
        <w:rPr>
          <w:iCs/>
        </w:rPr>
        <w:t>Interviewees did not support narrowing the review to only those patients on drug treatment known to produce side effects or interactions, and there were mixed views on whether to narrow the review to only those aged under or over 65.</w:t>
      </w:r>
    </w:p>
    <w:p w14:paraId="21A05590" w14:textId="2E9E2927" w:rsidR="00936B61" w:rsidRDefault="00936B61" w:rsidP="00ED0D48">
      <w:pPr>
        <w:spacing w:after="0"/>
        <w:rPr>
          <w:i/>
        </w:rPr>
      </w:pPr>
      <w:r w:rsidRPr="009939B1">
        <w:rPr>
          <w:i/>
        </w:rPr>
        <w:t>Implementation assessment</w:t>
      </w:r>
    </w:p>
    <w:p w14:paraId="4DBFBBA6" w14:textId="74EB5402" w:rsidR="001446EC" w:rsidRPr="00FE0057" w:rsidRDefault="001446EC" w:rsidP="001446EC">
      <w:r w:rsidRPr="00C21549">
        <w:t>Minor problems with implementation</w:t>
      </w:r>
      <w:r w:rsidR="00A0103D">
        <w:t xml:space="preserve"> were highlighted</w:t>
      </w:r>
      <w:r>
        <w:t>, as summarised in the table below, with mitigations possible for some issues.</w:t>
      </w:r>
    </w:p>
    <w:p w14:paraId="3FBB08D0" w14:textId="77777777" w:rsidR="00936B61" w:rsidRPr="009939B1" w:rsidRDefault="00936B61" w:rsidP="00936B61">
      <w:pPr>
        <w:rPr>
          <w:u w:val="single"/>
        </w:rPr>
      </w:pPr>
      <w:r w:rsidRPr="009939B1">
        <w:rPr>
          <w:u w:val="single"/>
        </w:rPr>
        <w:t>Issues to be resolved prior to implementation</w:t>
      </w:r>
    </w:p>
    <w:tbl>
      <w:tblPr>
        <w:tblStyle w:val="TableGrid"/>
        <w:tblW w:w="0" w:type="auto"/>
        <w:tblLook w:val="04A0" w:firstRow="1" w:lastRow="0" w:firstColumn="1" w:lastColumn="0" w:noHBand="0" w:noVBand="1"/>
      </w:tblPr>
      <w:tblGrid>
        <w:gridCol w:w="2263"/>
        <w:gridCol w:w="3119"/>
        <w:gridCol w:w="3634"/>
      </w:tblGrid>
      <w:tr w:rsidR="00936B61" w:rsidRPr="009939B1" w14:paraId="198A03EC" w14:textId="77777777" w:rsidTr="00ED0D48">
        <w:tc>
          <w:tcPr>
            <w:tcW w:w="2263" w:type="dxa"/>
          </w:tcPr>
          <w:p w14:paraId="054DDAAC" w14:textId="77777777" w:rsidR="00936B61" w:rsidRPr="009939B1" w:rsidRDefault="00936B61" w:rsidP="009B714E">
            <w:pPr>
              <w:spacing w:line="240" w:lineRule="auto"/>
              <w:rPr>
                <w:b/>
              </w:rPr>
            </w:pPr>
            <w:r w:rsidRPr="009939B1">
              <w:rPr>
                <w:b/>
              </w:rPr>
              <w:t>Issue</w:t>
            </w:r>
          </w:p>
        </w:tc>
        <w:tc>
          <w:tcPr>
            <w:tcW w:w="3119" w:type="dxa"/>
          </w:tcPr>
          <w:p w14:paraId="16CABA6D" w14:textId="77777777" w:rsidR="00936B61" w:rsidRPr="009939B1" w:rsidRDefault="00936B61" w:rsidP="009B714E">
            <w:pPr>
              <w:spacing w:line="240" w:lineRule="auto"/>
              <w:rPr>
                <w:b/>
              </w:rPr>
            </w:pPr>
            <w:r w:rsidRPr="009939B1">
              <w:rPr>
                <w:b/>
              </w:rPr>
              <w:t>Detail</w:t>
            </w:r>
          </w:p>
        </w:tc>
        <w:tc>
          <w:tcPr>
            <w:tcW w:w="3634" w:type="dxa"/>
          </w:tcPr>
          <w:p w14:paraId="7A5E9513" w14:textId="77777777" w:rsidR="00936B61" w:rsidRPr="009939B1" w:rsidRDefault="00936B61" w:rsidP="009B714E">
            <w:pPr>
              <w:spacing w:line="240" w:lineRule="auto"/>
              <w:rPr>
                <w:b/>
              </w:rPr>
            </w:pPr>
            <w:r w:rsidRPr="009939B1">
              <w:rPr>
                <w:b/>
              </w:rPr>
              <w:t>Mitigating activity</w:t>
            </w:r>
          </w:p>
        </w:tc>
      </w:tr>
      <w:tr w:rsidR="003C505B" w:rsidRPr="009939B1" w14:paraId="72A8A5AA" w14:textId="77777777" w:rsidTr="00ED0D48">
        <w:tc>
          <w:tcPr>
            <w:tcW w:w="2263" w:type="dxa"/>
          </w:tcPr>
          <w:p w14:paraId="48B43F7B" w14:textId="130CFA60" w:rsidR="003C505B" w:rsidRPr="002870C9" w:rsidRDefault="002870C9" w:rsidP="003C505B">
            <w:pPr>
              <w:spacing w:line="240" w:lineRule="auto"/>
            </w:pPr>
            <w:r w:rsidRPr="002870C9">
              <w:t>Review setting</w:t>
            </w:r>
            <w:r w:rsidR="004B2C87">
              <w:t xml:space="preserve"> (primary care or secondary care?)</w:t>
            </w:r>
          </w:p>
        </w:tc>
        <w:tc>
          <w:tcPr>
            <w:tcW w:w="3119" w:type="dxa"/>
          </w:tcPr>
          <w:p w14:paraId="461F03DB" w14:textId="559BB599" w:rsidR="003C505B" w:rsidRPr="009939B1" w:rsidRDefault="003C505B" w:rsidP="003C505B">
            <w:pPr>
              <w:spacing w:line="240" w:lineRule="auto"/>
            </w:pPr>
            <w:r>
              <w:t>Potential duplication with reviews being conducted in secondary care</w:t>
            </w:r>
            <w:r w:rsidR="00AA193B">
              <w:t>.</w:t>
            </w:r>
          </w:p>
        </w:tc>
        <w:tc>
          <w:tcPr>
            <w:tcW w:w="3634" w:type="dxa"/>
          </w:tcPr>
          <w:p w14:paraId="089ED6A9" w14:textId="45F342CC" w:rsidR="00695C77" w:rsidRDefault="00695C77" w:rsidP="003C505B">
            <w:pPr>
              <w:spacing w:line="240" w:lineRule="auto"/>
            </w:pPr>
            <w:r>
              <w:t>Allow those already reviewed in secondary care to count in the indicator and for primary care to not have to re-review</w:t>
            </w:r>
            <w:r w:rsidR="00AA193B">
              <w:t>.</w:t>
            </w:r>
          </w:p>
          <w:p w14:paraId="7399E9BB" w14:textId="5E9B7026" w:rsidR="004D494A" w:rsidRPr="009939B1" w:rsidRDefault="00ED0D48" w:rsidP="003C505B">
            <w:pPr>
              <w:spacing w:line="240" w:lineRule="auto"/>
            </w:pPr>
            <w:r>
              <w:t>Or</w:t>
            </w:r>
            <w:r w:rsidR="00695C77">
              <w:t xml:space="preserve"> f</w:t>
            </w:r>
            <w:r w:rsidR="003C505B">
              <w:t xml:space="preserve">urther define type/content of </w:t>
            </w:r>
            <w:r w:rsidR="00695C77">
              <w:t>‘holistic’ primary care</w:t>
            </w:r>
            <w:r w:rsidR="003C505B">
              <w:t xml:space="preserve"> review</w:t>
            </w:r>
            <w:r w:rsidR="00AA193B">
              <w:t>.</w:t>
            </w:r>
          </w:p>
        </w:tc>
      </w:tr>
      <w:tr w:rsidR="003C505B" w:rsidRPr="009939B1" w14:paraId="67C4BBA1" w14:textId="77777777" w:rsidTr="00ED0D48">
        <w:tc>
          <w:tcPr>
            <w:tcW w:w="2263" w:type="dxa"/>
          </w:tcPr>
          <w:p w14:paraId="4AE858FA" w14:textId="4AB092E1" w:rsidR="003C505B" w:rsidRPr="009939B1" w:rsidRDefault="004B2C87" w:rsidP="003C505B">
            <w:pPr>
              <w:spacing w:line="240" w:lineRule="auto"/>
              <w:rPr>
                <w:color w:val="000000" w:themeColor="text1"/>
              </w:rPr>
            </w:pPr>
            <w:r>
              <w:t>R</w:t>
            </w:r>
            <w:r w:rsidR="00442C06">
              <w:t xml:space="preserve">eview content </w:t>
            </w:r>
          </w:p>
        </w:tc>
        <w:tc>
          <w:tcPr>
            <w:tcW w:w="3119" w:type="dxa"/>
          </w:tcPr>
          <w:p w14:paraId="4EAA5027" w14:textId="08D77A9D" w:rsidR="003C505B" w:rsidRPr="009939B1" w:rsidRDefault="003C505B" w:rsidP="003C505B">
            <w:pPr>
              <w:spacing w:line="240" w:lineRule="auto"/>
              <w:rPr>
                <w:color w:val="000000" w:themeColor="text1"/>
              </w:rPr>
            </w:pPr>
            <w:r>
              <w:t>Potential variation in level of review conducted – ‘tick-box’ exercise or a more comprehensive review</w:t>
            </w:r>
            <w:r w:rsidR="00442C06">
              <w:t xml:space="preserve">. </w:t>
            </w:r>
          </w:p>
        </w:tc>
        <w:tc>
          <w:tcPr>
            <w:tcW w:w="3634" w:type="dxa"/>
          </w:tcPr>
          <w:p w14:paraId="3B284010" w14:textId="0D83417E" w:rsidR="003C505B" w:rsidRDefault="00DB7120" w:rsidP="003C505B">
            <w:pPr>
              <w:spacing w:line="240" w:lineRule="auto"/>
              <w:rPr>
                <w:color w:val="000000" w:themeColor="text1"/>
              </w:rPr>
            </w:pPr>
            <w:r>
              <w:rPr>
                <w:color w:val="000000" w:themeColor="text1"/>
              </w:rPr>
              <w:t>Standardisation</w:t>
            </w:r>
            <w:r w:rsidR="00AA193B">
              <w:rPr>
                <w:color w:val="000000" w:themeColor="text1"/>
              </w:rPr>
              <w:t>.</w:t>
            </w:r>
          </w:p>
          <w:p w14:paraId="7117EFF2" w14:textId="5F295A8C" w:rsidR="004D494A" w:rsidRDefault="004D494A" w:rsidP="003C505B">
            <w:pPr>
              <w:spacing w:line="240" w:lineRule="auto"/>
              <w:rPr>
                <w:color w:val="000000" w:themeColor="text1"/>
              </w:rPr>
            </w:pPr>
            <w:r>
              <w:rPr>
                <w:color w:val="000000" w:themeColor="text1"/>
              </w:rPr>
              <w:t>Templates</w:t>
            </w:r>
            <w:r w:rsidR="00AA193B">
              <w:rPr>
                <w:color w:val="000000" w:themeColor="text1"/>
              </w:rPr>
              <w:t>.</w:t>
            </w:r>
          </w:p>
          <w:p w14:paraId="76D1C021" w14:textId="2BF09787" w:rsidR="004D494A" w:rsidRPr="009939B1" w:rsidRDefault="004D494A" w:rsidP="003C505B">
            <w:pPr>
              <w:spacing w:line="240" w:lineRule="auto"/>
              <w:rPr>
                <w:color w:val="000000" w:themeColor="text1"/>
              </w:rPr>
            </w:pPr>
            <w:r>
              <w:rPr>
                <w:color w:val="000000" w:themeColor="text1"/>
              </w:rPr>
              <w:t>Detail in guidance</w:t>
            </w:r>
            <w:r w:rsidR="00AA193B">
              <w:rPr>
                <w:color w:val="000000" w:themeColor="text1"/>
              </w:rPr>
              <w:t>.</w:t>
            </w:r>
          </w:p>
        </w:tc>
      </w:tr>
      <w:tr w:rsidR="004B2C87" w:rsidRPr="009939B1" w14:paraId="09271A22" w14:textId="77777777" w:rsidTr="00ED0D48">
        <w:tc>
          <w:tcPr>
            <w:tcW w:w="2263" w:type="dxa"/>
          </w:tcPr>
          <w:p w14:paraId="2FD8A420" w14:textId="601B4BD2" w:rsidR="004B2C87" w:rsidRDefault="004B2C87" w:rsidP="003C505B">
            <w:pPr>
              <w:spacing w:line="240" w:lineRule="auto"/>
            </w:pPr>
            <w:r>
              <w:t xml:space="preserve">Coding </w:t>
            </w:r>
          </w:p>
        </w:tc>
        <w:tc>
          <w:tcPr>
            <w:tcW w:w="3119" w:type="dxa"/>
          </w:tcPr>
          <w:p w14:paraId="251D2D41" w14:textId="1CF4CE4E" w:rsidR="004B2C87" w:rsidRDefault="004B2C87" w:rsidP="003C505B">
            <w:pPr>
              <w:spacing w:line="240" w:lineRule="auto"/>
            </w:pPr>
            <w:r>
              <w:t>Notifications from secondary care may be delayed/difficult to code</w:t>
            </w:r>
            <w:r w:rsidR="00AA193B">
              <w:t>.</w:t>
            </w:r>
          </w:p>
        </w:tc>
        <w:tc>
          <w:tcPr>
            <w:tcW w:w="3634" w:type="dxa"/>
          </w:tcPr>
          <w:p w14:paraId="6B5DD0FB" w14:textId="5466FB7D" w:rsidR="004B2C87" w:rsidRPr="009939B1" w:rsidRDefault="00D87CC2" w:rsidP="00D87CC2">
            <w:pPr>
              <w:spacing w:line="240" w:lineRule="auto"/>
              <w:rPr>
                <w:color w:val="000000" w:themeColor="text1"/>
              </w:rPr>
            </w:pPr>
            <w:r>
              <w:t>Consider i</w:t>
            </w:r>
            <w:r w:rsidR="00ED0D48">
              <w:t>ntegration of</w:t>
            </w:r>
            <w:r w:rsidR="004B2C87">
              <w:t xml:space="preserve"> templates</w:t>
            </w:r>
            <w:r w:rsidR="00C44172">
              <w:t xml:space="preserve">/clinical systems </w:t>
            </w:r>
            <w:r w:rsidR="004B2C87">
              <w:t xml:space="preserve">between </w:t>
            </w:r>
            <w:r w:rsidR="00C44172">
              <w:t>primary and secondary care</w:t>
            </w:r>
            <w:r w:rsidR="00ED0D48">
              <w:t>?</w:t>
            </w:r>
          </w:p>
        </w:tc>
      </w:tr>
    </w:tbl>
    <w:p w14:paraId="0D6F7550" w14:textId="0146254E" w:rsidR="00936B61" w:rsidRPr="009939B1" w:rsidRDefault="00936B61" w:rsidP="00936B61">
      <w:pPr>
        <w:pStyle w:val="Heading4"/>
      </w:pPr>
      <w:r w:rsidRPr="009939B1">
        <w:lastRenderedPageBreak/>
        <w:t xml:space="preserve">Indicator 2: </w:t>
      </w:r>
      <w:r w:rsidR="00906FA8" w:rsidRPr="00906FA8">
        <w:t>Annual review (adults with a learning disability and epilepsy)</w:t>
      </w:r>
    </w:p>
    <w:p w14:paraId="1A4A2024" w14:textId="4F5BA314" w:rsidR="003C505B" w:rsidRPr="00481A0C" w:rsidRDefault="00906FA8" w:rsidP="00481A0C">
      <w:pPr>
        <w:rPr>
          <w:b/>
        </w:rPr>
      </w:pPr>
      <w:r w:rsidRPr="00906FA8">
        <w:t>The percentage of adults with epilepsy and a learning disability who had a structured review in the preceding 12 months</w:t>
      </w:r>
      <w:r>
        <w:t>.</w:t>
      </w:r>
    </w:p>
    <w:p w14:paraId="404533F9" w14:textId="043C0E5C" w:rsidR="00936B61" w:rsidRPr="009939B1" w:rsidRDefault="00936B61" w:rsidP="00906FA8">
      <w:pPr>
        <w:pStyle w:val="Heading5"/>
        <w:rPr>
          <w:b w:val="0"/>
          <w:i/>
          <w:sz w:val="24"/>
        </w:rPr>
      </w:pPr>
      <w:r w:rsidRPr="009939B1">
        <w:rPr>
          <w:b w:val="0"/>
          <w:i/>
          <w:sz w:val="24"/>
        </w:rPr>
        <w:t>Acceptability assessment</w:t>
      </w:r>
    </w:p>
    <w:p w14:paraId="38613507" w14:textId="660021DE" w:rsidR="00906FA8" w:rsidRPr="00504E6E" w:rsidRDefault="00430D98" w:rsidP="00EC17D6">
      <w:pPr>
        <w:rPr>
          <w:color w:val="000000" w:themeColor="text1"/>
        </w:rPr>
      </w:pPr>
      <w:proofErr w:type="gramStart"/>
      <w:r>
        <w:rPr>
          <w:color w:val="000000" w:themeColor="text1"/>
        </w:rPr>
        <w:t>The majority of</w:t>
      </w:r>
      <w:proofErr w:type="gramEnd"/>
      <w:r>
        <w:rPr>
          <w:color w:val="000000" w:themeColor="text1"/>
        </w:rPr>
        <w:t xml:space="preserve"> survey respondents (</w:t>
      </w:r>
      <w:r w:rsidR="00442C06">
        <w:rPr>
          <w:color w:val="000000" w:themeColor="text1"/>
        </w:rPr>
        <w:t>7</w:t>
      </w:r>
      <w:r>
        <w:rPr>
          <w:color w:val="000000" w:themeColor="text1"/>
        </w:rPr>
        <w:t>1</w:t>
      </w:r>
      <w:r w:rsidR="00442C06">
        <w:rPr>
          <w:color w:val="000000" w:themeColor="text1"/>
        </w:rPr>
        <w:t xml:space="preserve">%, </w:t>
      </w:r>
      <w:r>
        <w:rPr>
          <w:color w:val="000000" w:themeColor="text1"/>
        </w:rPr>
        <w:t>27</w:t>
      </w:r>
      <w:r w:rsidR="00442C06">
        <w:rPr>
          <w:color w:val="000000" w:themeColor="text1"/>
        </w:rPr>
        <w:t>/38)</w:t>
      </w:r>
      <w:r w:rsidR="00442C06" w:rsidRPr="00635023">
        <w:rPr>
          <w:color w:val="000000" w:themeColor="text1"/>
        </w:rPr>
        <w:t xml:space="preserve"> </w:t>
      </w:r>
      <w:r w:rsidR="00D35E80">
        <w:rPr>
          <w:color w:val="000000" w:themeColor="text1"/>
        </w:rPr>
        <w:t>agreed that</w:t>
      </w:r>
      <w:r w:rsidR="00DB7120">
        <w:rPr>
          <w:color w:val="000000" w:themeColor="text1"/>
        </w:rPr>
        <w:t xml:space="preserve"> </w:t>
      </w:r>
      <w:r w:rsidR="00442C06" w:rsidRPr="00635023">
        <w:rPr>
          <w:color w:val="000000" w:themeColor="text1"/>
        </w:rPr>
        <w:t>this indicator would improve the quality of care</w:t>
      </w:r>
      <w:r w:rsidR="00442C06">
        <w:rPr>
          <w:color w:val="000000" w:themeColor="text1"/>
        </w:rPr>
        <w:t xml:space="preserve"> for patients</w:t>
      </w:r>
      <w:r w:rsidR="006271D2">
        <w:rPr>
          <w:color w:val="000000" w:themeColor="text1"/>
        </w:rPr>
        <w:t xml:space="preserve">. </w:t>
      </w:r>
      <w:r w:rsidR="004C4BB7">
        <w:rPr>
          <w:color w:val="000000" w:themeColor="text1"/>
        </w:rPr>
        <w:t>Practices interviewed</w:t>
      </w:r>
      <w:r w:rsidR="00442C06" w:rsidRPr="00635023">
        <w:rPr>
          <w:color w:val="000000" w:themeColor="text1"/>
        </w:rPr>
        <w:t xml:space="preserve"> </w:t>
      </w:r>
      <w:r w:rsidR="004C4BB7">
        <w:rPr>
          <w:color w:val="000000" w:themeColor="text1"/>
        </w:rPr>
        <w:t>were generally in favour of</w:t>
      </w:r>
      <w:r w:rsidR="004C4BB7" w:rsidRPr="00C95811">
        <w:rPr>
          <w:color w:val="000000" w:themeColor="text1"/>
        </w:rPr>
        <w:t xml:space="preserve"> </w:t>
      </w:r>
      <w:r w:rsidR="004C4BB7">
        <w:rPr>
          <w:color w:val="000000" w:themeColor="text1"/>
        </w:rPr>
        <w:t xml:space="preserve">the </w:t>
      </w:r>
      <w:r w:rsidR="004C4BB7" w:rsidRPr="00C95811">
        <w:rPr>
          <w:color w:val="000000" w:themeColor="text1"/>
        </w:rPr>
        <w:t>inclusion of this indicator</w:t>
      </w:r>
      <w:r w:rsidR="00D87769">
        <w:rPr>
          <w:color w:val="000000" w:themeColor="text1"/>
        </w:rPr>
        <w:t xml:space="preserve">, </w:t>
      </w:r>
      <w:r w:rsidR="004D494A">
        <w:rPr>
          <w:color w:val="000000" w:themeColor="text1"/>
        </w:rPr>
        <w:t xml:space="preserve">with many </w:t>
      </w:r>
      <w:r w:rsidR="00D87769">
        <w:rPr>
          <w:color w:val="000000" w:themeColor="text1"/>
        </w:rPr>
        <w:t xml:space="preserve">noting </w:t>
      </w:r>
      <w:r w:rsidR="00172835">
        <w:rPr>
          <w:color w:val="000000" w:themeColor="text1"/>
        </w:rPr>
        <w:t xml:space="preserve">that </w:t>
      </w:r>
      <w:r w:rsidR="004C4BB7">
        <w:rPr>
          <w:color w:val="000000" w:themeColor="text1"/>
        </w:rPr>
        <w:t xml:space="preserve">an annual </w:t>
      </w:r>
      <w:r w:rsidR="004D494A">
        <w:rPr>
          <w:color w:val="000000" w:themeColor="text1"/>
        </w:rPr>
        <w:t>review</w:t>
      </w:r>
      <w:r w:rsidR="004C4BB7">
        <w:rPr>
          <w:color w:val="000000" w:themeColor="text1"/>
        </w:rPr>
        <w:t xml:space="preserve"> already took place for patients with a learning disability. </w:t>
      </w:r>
      <w:r w:rsidR="00CC4105">
        <w:rPr>
          <w:color w:val="000000" w:themeColor="text1"/>
        </w:rPr>
        <w:t>Where</w:t>
      </w:r>
      <w:r w:rsidR="00504E6E">
        <w:rPr>
          <w:color w:val="000000" w:themeColor="text1"/>
        </w:rPr>
        <w:t xml:space="preserve"> practices </w:t>
      </w:r>
      <w:r w:rsidR="00CC4105">
        <w:rPr>
          <w:color w:val="000000" w:themeColor="text1"/>
        </w:rPr>
        <w:t xml:space="preserve">noted </w:t>
      </w:r>
      <w:r w:rsidR="00504E6E">
        <w:rPr>
          <w:color w:val="000000" w:themeColor="text1"/>
        </w:rPr>
        <w:t xml:space="preserve">there was overlap with </w:t>
      </w:r>
      <w:r w:rsidR="00CC4105">
        <w:rPr>
          <w:color w:val="000000" w:themeColor="text1"/>
        </w:rPr>
        <w:t xml:space="preserve">existing </w:t>
      </w:r>
      <w:r w:rsidR="00504E6E">
        <w:rPr>
          <w:color w:val="000000" w:themeColor="text1"/>
        </w:rPr>
        <w:t>indicators</w:t>
      </w:r>
      <w:r w:rsidR="00CC4105">
        <w:rPr>
          <w:color w:val="000000" w:themeColor="text1"/>
        </w:rPr>
        <w:t>, this was seen as positive as it would support completion of this indicator (rather than being seen as</w:t>
      </w:r>
      <w:r w:rsidR="00504E6E">
        <w:rPr>
          <w:color w:val="000000" w:themeColor="text1"/>
        </w:rPr>
        <w:t xml:space="preserve"> duplication</w:t>
      </w:r>
      <w:r w:rsidR="00CC4105">
        <w:rPr>
          <w:color w:val="000000" w:themeColor="text1"/>
        </w:rPr>
        <w:t>)</w:t>
      </w:r>
      <w:r w:rsidR="00504E6E">
        <w:rPr>
          <w:color w:val="000000" w:themeColor="text1"/>
        </w:rPr>
        <w:t xml:space="preserve">. </w:t>
      </w:r>
      <w:r w:rsidR="00CC4105">
        <w:rPr>
          <w:color w:val="000000" w:themeColor="text1"/>
        </w:rPr>
        <w:t xml:space="preserve">The potential to identify patients </w:t>
      </w:r>
      <w:r w:rsidR="00F906EF">
        <w:rPr>
          <w:color w:val="000000" w:themeColor="text1"/>
        </w:rPr>
        <w:t xml:space="preserve">with a learning disability and </w:t>
      </w:r>
      <w:r w:rsidR="00CC4105">
        <w:rPr>
          <w:color w:val="000000" w:themeColor="text1"/>
        </w:rPr>
        <w:t xml:space="preserve">a diagnosis of epilepsy, </w:t>
      </w:r>
      <w:r w:rsidR="001F58BB">
        <w:rPr>
          <w:color w:val="000000" w:themeColor="text1"/>
        </w:rPr>
        <w:t xml:space="preserve">even if </w:t>
      </w:r>
      <w:r w:rsidR="00CC4105">
        <w:rPr>
          <w:color w:val="000000" w:themeColor="text1"/>
        </w:rPr>
        <w:t>not on the epilepsy register (</w:t>
      </w:r>
      <w:r w:rsidR="001F58BB">
        <w:rPr>
          <w:color w:val="000000" w:themeColor="text1"/>
        </w:rPr>
        <w:t xml:space="preserve">due to </w:t>
      </w:r>
      <w:r w:rsidR="00CC4105">
        <w:rPr>
          <w:color w:val="000000" w:themeColor="text1"/>
        </w:rPr>
        <w:t xml:space="preserve">not </w:t>
      </w:r>
      <w:r w:rsidR="001F58BB">
        <w:rPr>
          <w:color w:val="000000" w:themeColor="text1"/>
        </w:rPr>
        <w:t>being</w:t>
      </w:r>
      <w:r w:rsidR="00CC4105">
        <w:rPr>
          <w:color w:val="000000" w:themeColor="text1"/>
        </w:rPr>
        <w:t xml:space="preserve"> on drug treatment</w:t>
      </w:r>
      <w:r w:rsidR="001F58BB">
        <w:rPr>
          <w:color w:val="000000" w:themeColor="text1"/>
        </w:rPr>
        <w:t>, for those who thought this was possible</w:t>
      </w:r>
      <w:r w:rsidR="00CC4105">
        <w:rPr>
          <w:color w:val="000000" w:themeColor="text1"/>
        </w:rPr>
        <w:t xml:space="preserve">) </w:t>
      </w:r>
      <w:r w:rsidR="001F58BB">
        <w:rPr>
          <w:color w:val="000000" w:themeColor="text1"/>
        </w:rPr>
        <w:t xml:space="preserve">was also seen as a potential benefit of this indicator in addition to </w:t>
      </w:r>
      <w:r w:rsidR="00CC4105">
        <w:rPr>
          <w:color w:val="000000" w:themeColor="text1"/>
        </w:rPr>
        <w:t>indicator 1</w:t>
      </w:r>
      <w:r w:rsidR="001F58BB">
        <w:rPr>
          <w:color w:val="000000" w:themeColor="text1"/>
        </w:rPr>
        <w:t xml:space="preserve">. </w:t>
      </w:r>
      <w:r w:rsidR="00504E6E">
        <w:rPr>
          <w:color w:val="000000" w:themeColor="text1"/>
        </w:rPr>
        <w:t xml:space="preserve">It was also noted by a </w:t>
      </w:r>
      <w:r w:rsidR="00C83AF3">
        <w:rPr>
          <w:color w:val="000000" w:themeColor="text1"/>
        </w:rPr>
        <w:t>few</w:t>
      </w:r>
      <w:r w:rsidR="00504E6E">
        <w:rPr>
          <w:color w:val="000000" w:themeColor="text1"/>
        </w:rPr>
        <w:t xml:space="preserve"> that it can be difficult to engage patients with a learning disability to attend reviews</w:t>
      </w:r>
      <w:r w:rsidR="001F58BB">
        <w:rPr>
          <w:color w:val="000000" w:themeColor="text1"/>
        </w:rPr>
        <w:t>,</w:t>
      </w:r>
      <w:r w:rsidR="004E0181">
        <w:rPr>
          <w:color w:val="000000" w:themeColor="text1"/>
        </w:rPr>
        <w:t xml:space="preserve"> so it would be useful to conduct the epilepsy review at the same time as other reviews particularly for this patient group</w:t>
      </w:r>
      <w:r w:rsidR="00504E6E">
        <w:rPr>
          <w:color w:val="000000" w:themeColor="text1"/>
        </w:rPr>
        <w:t>.</w:t>
      </w:r>
    </w:p>
    <w:p w14:paraId="0AA02A3B" w14:textId="5D70649F" w:rsidR="00936B61" w:rsidRDefault="00936B61" w:rsidP="00936B61">
      <w:pPr>
        <w:pStyle w:val="Heading5"/>
        <w:rPr>
          <w:b w:val="0"/>
          <w:i/>
          <w:sz w:val="24"/>
        </w:rPr>
      </w:pPr>
      <w:r w:rsidRPr="009939B1">
        <w:rPr>
          <w:b w:val="0"/>
          <w:i/>
          <w:sz w:val="24"/>
        </w:rPr>
        <w:t>Implementation assessment</w:t>
      </w:r>
    </w:p>
    <w:p w14:paraId="3BD10FB0" w14:textId="1FE1B879" w:rsidR="00504E6E" w:rsidRPr="00504E6E" w:rsidRDefault="00504E6E" w:rsidP="00504E6E">
      <w:r w:rsidRPr="00C50979">
        <w:t xml:space="preserve">No </w:t>
      </w:r>
      <w:r w:rsidR="009860A6">
        <w:t>substantial</w:t>
      </w:r>
      <w:r>
        <w:t xml:space="preserve"> </w:t>
      </w:r>
      <w:r w:rsidR="009860A6">
        <w:t>issues</w:t>
      </w:r>
      <w:r w:rsidRPr="00C50979">
        <w:t xml:space="preserve"> with implementation</w:t>
      </w:r>
      <w:r w:rsidR="00FD6C5C">
        <w:t xml:space="preserve"> were highlighted</w:t>
      </w:r>
      <w:r>
        <w:t xml:space="preserve">. A </w:t>
      </w:r>
      <w:r w:rsidR="009860A6">
        <w:t>few</w:t>
      </w:r>
      <w:r>
        <w:t xml:space="preserve"> </w:t>
      </w:r>
      <w:r w:rsidR="009860A6">
        <w:t>concerns</w:t>
      </w:r>
      <w:r>
        <w:t xml:space="preserve"> </w:t>
      </w:r>
      <w:r w:rsidR="00275C91">
        <w:t xml:space="preserve">need </w:t>
      </w:r>
      <w:r w:rsidR="009860A6">
        <w:t xml:space="preserve">to be taken into consideration, </w:t>
      </w:r>
      <w:r>
        <w:t xml:space="preserve">as </w:t>
      </w:r>
      <w:r w:rsidR="00C83AF3">
        <w:t>outlined</w:t>
      </w:r>
      <w:r>
        <w:t xml:space="preserve"> in the table below</w:t>
      </w:r>
      <w:r w:rsidR="009860A6">
        <w:t>.</w:t>
      </w:r>
    </w:p>
    <w:p w14:paraId="114D57CD" w14:textId="77777777" w:rsidR="00936B61" w:rsidRPr="009939B1" w:rsidRDefault="00936B61" w:rsidP="00936B61">
      <w:pPr>
        <w:pStyle w:val="Heading4"/>
      </w:pPr>
      <w:r w:rsidRPr="009939B1">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36B61" w:rsidRPr="009939B1" w14:paraId="750BD056" w14:textId="77777777" w:rsidTr="009B714E">
        <w:tc>
          <w:tcPr>
            <w:tcW w:w="3005" w:type="dxa"/>
          </w:tcPr>
          <w:p w14:paraId="5F2E1C60" w14:textId="77777777" w:rsidR="00936B61" w:rsidRPr="009939B1" w:rsidRDefault="00936B61" w:rsidP="009B714E">
            <w:pPr>
              <w:spacing w:line="240" w:lineRule="auto"/>
              <w:rPr>
                <w:b/>
              </w:rPr>
            </w:pPr>
            <w:r w:rsidRPr="009939B1">
              <w:rPr>
                <w:b/>
              </w:rPr>
              <w:t>Issue</w:t>
            </w:r>
          </w:p>
        </w:tc>
        <w:tc>
          <w:tcPr>
            <w:tcW w:w="3005" w:type="dxa"/>
          </w:tcPr>
          <w:p w14:paraId="070384F7" w14:textId="77777777" w:rsidR="00936B61" w:rsidRPr="009939B1" w:rsidRDefault="00936B61" w:rsidP="009B714E">
            <w:pPr>
              <w:spacing w:line="240" w:lineRule="auto"/>
              <w:rPr>
                <w:b/>
              </w:rPr>
            </w:pPr>
            <w:r w:rsidRPr="009939B1">
              <w:rPr>
                <w:b/>
              </w:rPr>
              <w:t>Detail</w:t>
            </w:r>
          </w:p>
        </w:tc>
        <w:tc>
          <w:tcPr>
            <w:tcW w:w="3006" w:type="dxa"/>
          </w:tcPr>
          <w:p w14:paraId="2D10B566" w14:textId="77777777" w:rsidR="00936B61" w:rsidRPr="009939B1" w:rsidRDefault="00936B61" w:rsidP="009B714E">
            <w:pPr>
              <w:spacing w:line="240" w:lineRule="auto"/>
              <w:rPr>
                <w:b/>
              </w:rPr>
            </w:pPr>
            <w:r w:rsidRPr="009939B1">
              <w:rPr>
                <w:b/>
              </w:rPr>
              <w:t>Mitigating activity</w:t>
            </w:r>
          </w:p>
        </w:tc>
      </w:tr>
      <w:tr w:rsidR="00C44172" w:rsidRPr="009939B1" w14:paraId="0B25563E" w14:textId="77777777" w:rsidTr="009B714E">
        <w:tc>
          <w:tcPr>
            <w:tcW w:w="3005" w:type="dxa"/>
          </w:tcPr>
          <w:p w14:paraId="61445B9E" w14:textId="0C636CC1" w:rsidR="00C44172" w:rsidRPr="009939B1" w:rsidRDefault="00C44172" w:rsidP="00C44172">
            <w:pPr>
              <w:spacing w:line="240" w:lineRule="auto"/>
            </w:pPr>
            <w:r w:rsidRPr="00806A50">
              <w:rPr>
                <w:color w:val="000000" w:themeColor="text1"/>
              </w:rPr>
              <w:t>Relationship of this review to existing annual reviews</w:t>
            </w:r>
            <w:r>
              <w:rPr>
                <w:color w:val="000000" w:themeColor="text1"/>
              </w:rPr>
              <w:t xml:space="preserve"> </w:t>
            </w:r>
          </w:p>
        </w:tc>
        <w:tc>
          <w:tcPr>
            <w:tcW w:w="3005" w:type="dxa"/>
          </w:tcPr>
          <w:p w14:paraId="167B974A" w14:textId="680A3097" w:rsidR="00C44172" w:rsidRPr="00B41B74" w:rsidRDefault="001F58BB" w:rsidP="004F6851">
            <w:pPr>
              <w:spacing w:line="240" w:lineRule="auto"/>
              <w:rPr>
                <w:bCs/>
                <w:iCs/>
              </w:rPr>
            </w:pPr>
            <w:r>
              <w:rPr>
                <w:bCs/>
                <w:iCs/>
              </w:rPr>
              <w:t>Practice views mainly supported the review for this indicator being included in the</w:t>
            </w:r>
            <w:r w:rsidR="002D5343">
              <w:rPr>
                <w:bCs/>
                <w:iCs/>
              </w:rPr>
              <w:t xml:space="preserve"> learning disability review for</w:t>
            </w:r>
            <w:r w:rsidR="00C44172">
              <w:rPr>
                <w:bCs/>
                <w:iCs/>
              </w:rPr>
              <w:t xml:space="preserve"> the existing </w:t>
            </w:r>
            <w:r w:rsidR="00C44172">
              <w:t>P</w:t>
            </w:r>
            <w:r w:rsidR="00C83393">
              <w:t xml:space="preserve">rimary </w:t>
            </w:r>
            <w:r w:rsidR="00C44172">
              <w:t>C</w:t>
            </w:r>
            <w:r w:rsidR="00C83393">
              <w:t xml:space="preserve">are </w:t>
            </w:r>
            <w:r w:rsidR="00C44172">
              <w:t>N</w:t>
            </w:r>
            <w:r w:rsidR="00C83393">
              <w:t>etwork (PCN)</w:t>
            </w:r>
            <w:r w:rsidR="00C44172">
              <w:t xml:space="preserve"> DES Indicator HI-01</w:t>
            </w:r>
            <w:r w:rsidR="004F6851">
              <w:t>.</w:t>
            </w:r>
          </w:p>
        </w:tc>
        <w:tc>
          <w:tcPr>
            <w:tcW w:w="3006" w:type="dxa"/>
          </w:tcPr>
          <w:p w14:paraId="04193BAD" w14:textId="4C77CD83" w:rsidR="00F11298" w:rsidRPr="00275C91" w:rsidRDefault="00F11298" w:rsidP="00C44172">
            <w:pPr>
              <w:spacing w:line="240" w:lineRule="auto"/>
              <w:rPr>
                <w:bCs/>
                <w:iCs/>
              </w:rPr>
            </w:pPr>
            <w:r w:rsidRPr="00275C91">
              <w:rPr>
                <w:bCs/>
                <w:iCs/>
              </w:rPr>
              <w:t>Incorporate the epilepsy review with the learning disability review</w:t>
            </w:r>
            <w:r w:rsidR="00AA193B">
              <w:rPr>
                <w:bCs/>
                <w:iCs/>
              </w:rPr>
              <w:t>.</w:t>
            </w:r>
          </w:p>
          <w:p w14:paraId="32FEC525" w14:textId="14D008BE" w:rsidR="0029629D" w:rsidRPr="003B3170" w:rsidRDefault="0029629D" w:rsidP="0029629D">
            <w:pPr>
              <w:spacing w:line="240" w:lineRule="auto"/>
              <w:rPr>
                <w:bCs/>
              </w:rPr>
            </w:pPr>
            <w:r>
              <w:rPr>
                <w:bCs/>
                <w:iCs/>
              </w:rPr>
              <w:t>To consider: u</w:t>
            </w:r>
            <w:r w:rsidRPr="003B3170">
              <w:rPr>
                <w:bCs/>
              </w:rPr>
              <w:t>se of an integrated template for LD and epilepsy review</w:t>
            </w:r>
            <w:r>
              <w:rPr>
                <w:bCs/>
              </w:rPr>
              <w:t xml:space="preserve"> in support of a comb</w:t>
            </w:r>
            <w:r w:rsidR="004F6851">
              <w:rPr>
                <w:bCs/>
              </w:rPr>
              <w:t>ined review</w:t>
            </w:r>
            <w:r w:rsidR="00AA193B">
              <w:rPr>
                <w:bCs/>
              </w:rPr>
              <w:t>.</w:t>
            </w:r>
          </w:p>
          <w:p w14:paraId="1E67B206" w14:textId="2E1985CC" w:rsidR="00C44172" w:rsidRPr="009939B1" w:rsidRDefault="00C44172" w:rsidP="00C44172">
            <w:pPr>
              <w:spacing w:line="240" w:lineRule="auto"/>
              <w:rPr>
                <w:color w:val="7030A0"/>
              </w:rPr>
            </w:pPr>
          </w:p>
        </w:tc>
      </w:tr>
      <w:tr w:rsidR="00C44172" w:rsidRPr="009939B1" w14:paraId="0DC619F4" w14:textId="77777777" w:rsidTr="009B714E">
        <w:tc>
          <w:tcPr>
            <w:tcW w:w="3005" w:type="dxa"/>
          </w:tcPr>
          <w:p w14:paraId="53CBC855" w14:textId="14F772A3" w:rsidR="00C44172" w:rsidRPr="00DD7088" w:rsidRDefault="00C44172" w:rsidP="00C44172">
            <w:pPr>
              <w:spacing w:line="240" w:lineRule="auto"/>
              <w:rPr>
                <w:bCs/>
                <w:iCs/>
              </w:rPr>
            </w:pPr>
            <w:r w:rsidRPr="00DD7088">
              <w:rPr>
                <w:bCs/>
                <w:iCs/>
              </w:rPr>
              <w:t>Patient engagement</w:t>
            </w:r>
          </w:p>
        </w:tc>
        <w:tc>
          <w:tcPr>
            <w:tcW w:w="3005" w:type="dxa"/>
          </w:tcPr>
          <w:p w14:paraId="4BD15858" w14:textId="70088CD3" w:rsidR="00C44172" w:rsidRPr="00DD7088" w:rsidRDefault="00C44172" w:rsidP="00A3767C">
            <w:pPr>
              <w:spacing w:line="240" w:lineRule="auto"/>
              <w:rPr>
                <w:bCs/>
                <w:iCs/>
              </w:rPr>
            </w:pPr>
            <w:r w:rsidRPr="00DD7088">
              <w:rPr>
                <w:bCs/>
                <w:iCs/>
              </w:rPr>
              <w:t xml:space="preserve">It can be challenging to engage patients to attend </w:t>
            </w:r>
            <w:r>
              <w:rPr>
                <w:bCs/>
                <w:iCs/>
              </w:rPr>
              <w:t>reviews/</w:t>
            </w:r>
            <w:r w:rsidR="005F73FA">
              <w:rPr>
                <w:bCs/>
                <w:iCs/>
              </w:rPr>
              <w:t>h</w:t>
            </w:r>
            <w:r w:rsidR="005F73FA" w:rsidRPr="00DD7088">
              <w:rPr>
                <w:bCs/>
                <w:iCs/>
              </w:rPr>
              <w:t xml:space="preserve">ealth </w:t>
            </w:r>
            <w:r w:rsidR="005F73FA">
              <w:rPr>
                <w:bCs/>
                <w:iCs/>
              </w:rPr>
              <w:t>c</w:t>
            </w:r>
            <w:r w:rsidR="005F73FA" w:rsidRPr="00DD7088">
              <w:rPr>
                <w:bCs/>
                <w:iCs/>
              </w:rPr>
              <w:t>hecks</w:t>
            </w:r>
            <w:r w:rsidR="00AA193B">
              <w:rPr>
                <w:bCs/>
                <w:iCs/>
              </w:rPr>
              <w:t>.</w:t>
            </w:r>
          </w:p>
        </w:tc>
        <w:tc>
          <w:tcPr>
            <w:tcW w:w="3006" w:type="dxa"/>
          </w:tcPr>
          <w:p w14:paraId="3936FE49" w14:textId="5E2F1F8E" w:rsidR="00C44172" w:rsidRPr="009939B1" w:rsidRDefault="00C44172" w:rsidP="00C44172">
            <w:pPr>
              <w:spacing w:line="240" w:lineRule="auto"/>
            </w:pPr>
            <w:r>
              <w:rPr>
                <w:bCs/>
                <w:iCs/>
              </w:rPr>
              <w:t>Review epilepsy within the learning disability health check</w:t>
            </w:r>
            <w:r w:rsidR="00AA193B">
              <w:rPr>
                <w:bCs/>
                <w:iCs/>
              </w:rPr>
              <w:t>, rather than a separate review.</w:t>
            </w:r>
          </w:p>
        </w:tc>
      </w:tr>
    </w:tbl>
    <w:p w14:paraId="4BA17500" w14:textId="537EAD09" w:rsidR="00936B61" w:rsidRPr="00906FA8" w:rsidRDefault="00936B61" w:rsidP="00936B61">
      <w:pPr>
        <w:pStyle w:val="Heading4"/>
        <w:rPr>
          <w:rFonts w:cs="Arial"/>
          <w:bCs/>
        </w:rPr>
      </w:pPr>
      <w:r w:rsidRPr="009939B1">
        <w:rPr>
          <w:rFonts w:cs="Arial"/>
          <w:bCs/>
        </w:rPr>
        <w:lastRenderedPageBreak/>
        <w:t xml:space="preserve">Indicator 3: </w:t>
      </w:r>
      <w:r w:rsidR="00906FA8" w:rsidRPr="00906FA8">
        <w:rPr>
          <w:rFonts w:cs="Arial"/>
          <w:bCs/>
        </w:rPr>
        <w:t>Annual review (adults with a mental health condition and epilepsy)</w:t>
      </w:r>
    </w:p>
    <w:p w14:paraId="3AC70D3E" w14:textId="45627CF9" w:rsidR="00A464D3" w:rsidRPr="00481A0C" w:rsidRDefault="00906FA8" w:rsidP="00481A0C">
      <w:pPr>
        <w:rPr>
          <w:b/>
        </w:rPr>
      </w:pPr>
      <w:r w:rsidRPr="00906FA8">
        <w:t>The percentage of adults with epilepsy and a mental health condition who had a structured review in the preceding 12 months</w:t>
      </w:r>
      <w:r w:rsidR="00EC17D6">
        <w:t>.</w:t>
      </w:r>
    </w:p>
    <w:p w14:paraId="37D79468" w14:textId="7852985D" w:rsidR="00936B61" w:rsidRDefault="00936B61" w:rsidP="00906FA8">
      <w:pPr>
        <w:pStyle w:val="Heading5"/>
        <w:rPr>
          <w:b w:val="0"/>
          <w:i/>
          <w:sz w:val="24"/>
        </w:rPr>
      </w:pPr>
      <w:r w:rsidRPr="009939B1">
        <w:rPr>
          <w:b w:val="0"/>
          <w:i/>
          <w:sz w:val="24"/>
        </w:rPr>
        <w:t>Acceptability assessment</w:t>
      </w:r>
    </w:p>
    <w:p w14:paraId="2E0ED2D1" w14:textId="1685121C" w:rsidR="001E0883" w:rsidRDefault="00A464D3" w:rsidP="00704BB6">
      <w:pPr>
        <w:rPr>
          <w:color w:val="000000" w:themeColor="text1"/>
        </w:rPr>
      </w:pPr>
      <w:r>
        <w:t>Two thirds of respondents to the survey (66%, 25/38) agreed this indicator could improve the quality of care for patients</w:t>
      </w:r>
      <w:r w:rsidR="00341197">
        <w:t>.</w:t>
      </w:r>
      <w:r w:rsidR="00806A50">
        <w:t xml:space="preserve"> </w:t>
      </w:r>
      <w:r w:rsidR="00026AD5">
        <w:t>There were mixed views from practices on the inclusion of this indicator. A</w:t>
      </w:r>
      <w:r w:rsidR="00A81D29">
        <w:t xml:space="preserve"> few questioned the value of the indicator given the small number of patients</w:t>
      </w:r>
      <w:r w:rsidR="00F937BC">
        <w:t xml:space="preserve"> </w:t>
      </w:r>
      <w:r w:rsidR="00026AD5">
        <w:t xml:space="preserve">likely to be </w:t>
      </w:r>
      <w:r w:rsidR="00F937BC">
        <w:t>involved.</w:t>
      </w:r>
      <w:r w:rsidR="00A81D29">
        <w:t xml:space="preserve"> </w:t>
      </w:r>
      <w:r w:rsidR="0095525B">
        <w:rPr>
          <w:color w:val="000000" w:themeColor="text1"/>
        </w:rPr>
        <w:t xml:space="preserve">Interviewees held mixed views </w:t>
      </w:r>
      <w:r w:rsidR="00704BB6" w:rsidRPr="007B1200">
        <w:rPr>
          <w:color w:val="000000" w:themeColor="text1"/>
        </w:rPr>
        <w:t xml:space="preserve">regarding </w:t>
      </w:r>
      <w:r w:rsidR="00F937BC">
        <w:rPr>
          <w:color w:val="000000" w:themeColor="text1"/>
        </w:rPr>
        <w:t xml:space="preserve">the appropriateness of including a </w:t>
      </w:r>
      <w:r w:rsidR="001E0883">
        <w:t>discussion of epilepsy within existing mental health review</w:t>
      </w:r>
      <w:r w:rsidR="00A81D29">
        <w:t>s</w:t>
      </w:r>
      <w:r w:rsidR="00F937BC">
        <w:t>, with some c</w:t>
      </w:r>
      <w:r w:rsidR="00A81D29">
        <w:t xml:space="preserve">oncerns raised over </w:t>
      </w:r>
      <w:r w:rsidR="00F937BC">
        <w:t>the role of different healthcare professionals</w:t>
      </w:r>
      <w:r w:rsidR="00F11298">
        <w:t xml:space="preserve"> and </w:t>
      </w:r>
      <w:r w:rsidR="00962B2A">
        <w:t>current focus of the mental health review</w:t>
      </w:r>
      <w:r w:rsidR="00F937BC">
        <w:t xml:space="preserve">. </w:t>
      </w:r>
      <w:r w:rsidR="00026AD5">
        <w:t>There were also mixed views on whether the QOF mental health register</w:t>
      </w:r>
      <w:r w:rsidR="0078462B">
        <w:t xml:space="preserve"> (SMI</w:t>
      </w:r>
      <w:r w:rsidR="00B533AC">
        <w:t xml:space="preserve"> register</w:t>
      </w:r>
      <w:r w:rsidR="0078462B">
        <w:rPr>
          <w:rStyle w:val="FootnoteReference"/>
        </w:rPr>
        <w:footnoteReference w:id="1"/>
      </w:r>
      <w:r w:rsidR="0078462B">
        <w:t>)</w:t>
      </w:r>
      <w:r w:rsidR="00026AD5">
        <w:t xml:space="preserve"> is sufficient to identify patients with a ‘complex mental health problem’, with some interviewees proposing an amended indicator definition to include other mental health diagnoses.</w:t>
      </w:r>
    </w:p>
    <w:p w14:paraId="18B3D55C" w14:textId="3B5E96E6" w:rsidR="00936B61" w:rsidRPr="009939B1" w:rsidRDefault="00936B61" w:rsidP="00906FA8">
      <w:pPr>
        <w:spacing w:before="40" w:after="0"/>
        <w:rPr>
          <w:i/>
        </w:rPr>
      </w:pPr>
      <w:r w:rsidRPr="009939B1">
        <w:rPr>
          <w:i/>
        </w:rPr>
        <w:t>Implementation assessment</w:t>
      </w:r>
    </w:p>
    <w:p w14:paraId="29F987E3" w14:textId="61FE3FD6" w:rsidR="00F937BC" w:rsidRDefault="00F937BC" w:rsidP="00F937BC">
      <w:r>
        <w:t xml:space="preserve">Some </w:t>
      </w:r>
      <w:r w:rsidRPr="00954F0C">
        <w:t>problems with implementation</w:t>
      </w:r>
      <w:r w:rsidR="00FD6C5C">
        <w:t xml:space="preserve"> were discussed</w:t>
      </w:r>
      <w:r w:rsidRPr="00954F0C">
        <w:t xml:space="preserve">, as summarised in the table below, with </w:t>
      </w:r>
      <w:r>
        <w:t xml:space="preserve">some </w:t>
      </w:r>
      <w:r w:rsidRPr="00954F0C">
        <w:t>mitigations available.</w:t>
      </w:r>
    </w:p>
    <w:p w14:paraId="78F6D7B6" w14:textId="77777777" w:rsidR="00936B61" w:rsidRPr="009939B1" w:rsidRDefault="00936B61" w:rsidP="00936B61">
      <w:pPr>
        <w:pStyle w:val="Heading4"/>
      </w:pPr>
      <w:r w:rsidRPr="009939B1">
        <w:t>Issues to be resolved prior to implementation</w:t>
      </w:r>
    </w:p>
    <w:tbl>
      <w:tblPr>
        <w:tblStyle w:val="TableGrid"/>
        <w:tblW w:w="0" w:type="auto"/>
        <w:tblLook w:val="04A0" w:firstRow="1" w:lastRow="0" w:firstColumn="1" w:lastColumn="0" w:noHBand="0" w:noVBand="1"/>
      </w:tblPr>
      <w:tblGrid>
        <w:gridCol w:w="2830"/>
        <w:gridCol w:w="3402"/>
        <w:gridCol w:w="2784"/>
      </w:tblGrid>
      <w:tr w:rsidR="00936B61" w:rsidRPr="009939B1" w14:paraId="38FEB289" w14:textId="77777777" w:rsidTr="008F2A8F">
        <w:tc>
          <w:tcPr>
            <w:tcW w:w="2830" w:type="dxa"/>
          </w:tcPr>
          <w:p w14:paraId="30BE600C" w14:textId="77777777" w:rsidR="00936B61" w:rsidRPr="009939B1" w:rsidRDefault="00936B61" w:rsidP="009B714E">
            <w:pPr>
              <w:spacing w:line="240" w:lineRule="auto"/>
              <w:rPr>
                <w:b/>
              </w:rPr>
            </w:pPr>
            <w:r w:rsidRPr="009939B1">
              <w:rPr>
                <w:b/>
              </w:rPr>
              <w:t>Issue</w:t>
            </w:r>
          </w:p>
        </w:tc>
        <w:tc>
          <w:tcPr>
            <w:tcW w:w="3402" w:type="dxa"/>
          </w:tcPr>
          <w:p w14:paraId="12777AD0" w14:textId="77777777" w:rsidR="00936B61" w:rsidRPr="009939B1" w:rsidRDefault="00936B61" w:rsidP="009B714E">
            <w:pPr>
              <w:spacing w:line="240" w:lineRule="auto"/>
              <w:rPr>
                <w:b/>
              </w:rPr>
            </w:pPr>
            <w:r w:rsidRPr="009939B1">
              <w:rPr>
                <w:b/>
              </w:rPr>
              <w:t>Detail</w:t>
            </w:r>
          </w:p>
        </w:tc>
        <w:tc>
          <w:tcPr>
            <w:tcW w:w="2784" w:type="dxa"/>
          </w:tcPr>
          <w:p w14:paraId="0CAF37DC" w14:textId="77777777" w:rsidR="00936B61" w:rsidRPr="009939B1" w:rsidRDefault="00936B61" w:rsidP="009B714E">
            <w:pPr>
              <w:spacing w:line="240" w:lineRule="auto"/>
              <w:rPr>
                <w:b/>
              </w:rPr>
            </w:pPr>
            <w:r w:rsidRPr="009939B1">
              <w:rPr>
                <w:b/>
              </w:rPr>
              <w:t>Mitigating activity</w:t>
            </w:r>
          </w:p>
        </w:tc>
      </w:tr>
      <w:tr w:rsidR="00936B61" w:rsidRPr="009939B1" w14:paraId="5EB57BC0" w14:textId="77777777" w:rsidTr="008F2A8F">
        <w:trPr>
          <w:trHeight w:val="784"/>
        </w:trPr>
        <w:tc>
          <w:tcPr>
            <w:tcW w:w="2830" w:type="dxa"/>
          </w:tcPr>
          <w:p w14:paraId="1E1413C7" w14:textId="241BBEF0" w:rsidR="00936B61" w:rsidRPr="009939B1" w:rsidRDefault="00051124" w:rsidP="00051124">
            <w:pPr>
              <w:spacing w:before="40" w:line="240" w:lineRule="auto"/>
            </w:pPr>
            <w:r>
              <w:rPr>
                <w:color w:val="000000" w:themeColor="text1"/>
              </w:rPr>
              <w:t xml:space="preserve">Expertise of healthcare professional if </w:t>
            </w:r>
            <w:r w:rsidR="00806A50" w:rsidRPr="00806A50">
              <w:rPr>
                <w:color w:val="000000" w:themeColor="text1"/>
              </w:rPr>
              <w:t xml:space="preserve">this review </w:t>
            </w:r>
            <w:r>
              <w:rPr>
                <w:color w:val="000000" w:themeColor="text1"/>
              </w:rPr>
              <w:t xml:space="preserve">were </w:t>
            </w:r>
            <w:r w:rsidR="00806A50" w:rsidRPr="00806A50">
              <w:rPr>
                <w:color w:val="000000" w:themeColor="text1"/>
              </w:rPr>
              <w:t xml:space="preserve">to </w:t>
            </w:r>
            <w:r>
              <w:rPr>
                <w:color w:val="000000" w:themeColor="text1"/>
              </w:rPr>
              <w:t xml:space="preserve">be included in </w:t>
            </w:r>
            <w:r w:rsidR="00806A50" w:rsidRPr="00806A50">
              <w:rPr>
                <w:color w:val="000000" w:themeColor="text1"/>
              </w:rPr>
              <w:t>existing annual reviews</w:t>
            </w:r>
          </w:p>
        </w:tc>
        <w:tc>
          <w:tcPr>
            <w:tcW w:w="3402" w:type="dxa"/>
          </w:tcPr>
          <w:p w14:paraId="54FC3671" w14:textId="7335E48D" w:rsidR="00DC11C8" w:rsidRDefault="00DC11C8" w:rsidP="00954F0C">
            <w:pPr>
              <w:spacing w:before="40" w:line="240" w:lineRule="auto"/>
            </w:pPr>
            <w:r>
              <w:t>Combined or separate review</w:t>
            </w:r>
            <w:r w:rsidR="005A24C2">
              <w:t xml:space="preserve"> to </w:t>
            </w:r>
            <w:r w:rsidR="00464E3C">
              <w:t xml:space="preserve">existing </w:t>
            </w:r>
            <w:r w:rsidR="00D87769">
              <w:t xml:space="preserve">MH </w:t>
            </w:r>
            <w:r w:rsidR="005A24C2">
              <w:t>reviews</w:t>
            </w:r>
            <w:r>
              <w:t>?</w:t>
            </w:r>
          </w:p>
          <w:p w14:paraId="03478340" w14:textId="0942712B" w:rsidR="00936B61" w:rsidRPr="009939B1" w:rsidRDefault="00BE2512" w:rsidP="00954F0C">
            <w:pPr>
              <w:spacing w:before="40" w:line="240" w:lineRule="auto"/>
            </w:pPr>
            <w:r>
              <w:t>Which healthcare professional would conduct the review?</w:t>
            </w:r>
          </w:p>
        </w:tc>
        <w:tc>
          <w:tcPr>
            <w:tcW w:w="2784" w:type="dxa"/>
          </w:tcPr>
          <w:p w14:paraId="6982EC70" w14:textId="79A9FC19" w:rsidR="00936B61" w:rsidRPr="009939B1" w:rsidRDefault="00454779" w:rsidP="00954F0C">
            <w:pPr>
              <w:spacing w:before="40" w:line="240" w:lineRule="auto"/>
            </w:pPr>
            <w:r>
              <w:t>Training of healthcare professionals undertaking the review</w:t>
            </w:r>
            <w:r w:rsidR="00AA193B">
              <w:t>.</w:t>
            </w:r>
          </w:p>
        </w:tc>
      </w:tr>
      <w:tr w:rsidR="00936B61" w:rsidRPr="009939B1" w14:paraId="5EAAA38F" w14:textId="77777777" w:rsidTr="008F2A8F">
        <w:tc>
          <w:tcPr>
            <w:tcW w:w="2830" w:type="dxa"/>
          </w:tcPr>
          <w:p w14:paraId="73595747" w14:textId="6D30685A" w:rsidR="00936B61" w:rsidRPr="009939B1" w:rsidRDefault="00B032E3" w:rsidP="00954F0C">
            <w:pPr>
              <w:spacing w:before="40" w:line="240" w:lineRule="auto"/>
            </w:pPr>
            <w:r>
              <w:t>Identification of patients</w:t>
            </w:r>
          </w:p>
        </w:tc>
        <w:tc>
          <w:tcPr>
            <w:tcW w:w="3402" w:type="dxa"/>
          </w:tcPr>
          <w:p w14:paraId="45763987" w14:textId="65956F10" w:rsidR="00936B61" w:rsidRPr="009939B1" w:rsidRDefault="00051124" w:rsidP="00051124">
            <w:pPr>
              <w:spacing w:line="240" w:lineRule="auto"/>
            </w:pPr>
            <w:r>
              <w:t xml:space="preserve">Mixed views on whether the QOF mental health register is sufficient to identify patients with </w:t>
            </w:r>
            <w:r w:rsidR="008A6B31">
              <w:t xml:space="preserve">a ‘complex mental </w:t>
            </w:r>
            <w:r w:rsidR="00AA193B">
              <w:t>health problem’.</w:t>
            </w:r>
          </w:p>
        </w:tc>
        <w:tc>
          <w:tcPr>
            <w:tcW w:w="2784" w:type="dxa"/>
          </w:tcPr>
          <w:p w14:paraId="3560D3D0" w14:textId="198108C1" w:rsidR="00936B61" w:rsidRPr="009939B1" w:rsidRDefault="00051124" w:rsidP="00051124">
            <w:pPr>
              <w:spacing w:before="40" w:line="240" w:lineRule="auto"/>
            </w:pPr>
            <w:r>
              <w:t>Consider extending the indicator denominator to include more patients beyond the QOF mental health register</w:t>
            </w:r>
            <w:r w:rsidR="00AA193B">
              <w:t>.</w:t>
            </w:r>
          </w:p>
        </w:tc>
      </w:tr>
      <w:tr w:rsidR="00936B61" w:rsidRPr="009939B1" w14:paraId="25A995E4" w14:textId="77777777" w:rsidTr="008F2A8F">
        <w:tc>
          <w:tcPr>
            <w:tcW w:w="2830" w:type="dxa"/>
          </w:tcPr>
          <w:p w14:paraId="4DDE1D37" w14:textId="3D372E18" w:rsidR="00936B61" w:rsidRPr="009939B1" w:rsidRDefault="005A24C2" w:rsidP="00954F0C">
            <w:pPr>
              <w:spacing w:before="40" w:line="240" w:lineRule="auto"/>
            </w:pPr>
            <w:r>
              <w:t>Small number of patients</w:t>
            </w:r>
          </w:p>
        </w:tc>
        <w:tc>
          <w:tcPr>
            <w:tcW w:w="3402" w:type="dxa"/>
          </w:tcPr>
          <w:p w14:paraId="5D13AFCE" w14:textId="1A2929A3" w:rsidR="00936B61" w:rsidRPr="009939B1" w:rsidRDefault="005A24C2" w:rsidP="00954F0C">
            <w:pPr>
              <w:spacing w:before="40" w:line="240" w:lineRule="auto"/>
            </w:pPr>
            <w:r>
              <w:t>Value of indicator questioned by a few</w:t>
            </w:r>
            <w:r w:rsidR="00051124">
              <w:t xml:space="preserve"> on this basis</w:t>
            </w:r>
            <w:r w:rsidR="00AA193B">
              <w:t>.</w:t>
            </w:r>
          </w:p>
        </w:tc>
        <w:tc>
          <w:tcPr>
            <w:tcW w:w="2784" w:type="dxa"/>
          </w:tcPr>
          <w:p w14:paraId="574C5018" w14:textId="290BA65F" w:rsidR="00936B61" w:rsidRPr="009939B1" w:rsidRDefault="00026AD5" w:rsidP="008F2A8F">
            <w:pPr>
              <w:spacing w:before="40" w:line="240" w:lineRule="auto"/>
            </w:pPr>
            <w:r>
              <w:t>Propose as a PCN-level indicator</w:t>
            </w:r>
            <w:r w:rsidR="00AA193B">
              <w:t>.</w:t>
            </w:r>
          </w:p>
        </w:tc>
      </w:tr>
    </w:tbl>
    <w:p w14:paraId="3642BC5C" w14:textId="4D9E1135" w:rsidR="00A519BA" w:rsidRPr="009939B1" w:rsidRDefault="00FA454F" w:rsidP="00FA454F">
      <w:pPr>
        <w:pStyle w:val="Heading1"/>
      </w:pPr>
      <w:r w:rsidRPr="009939B1">
        <w:lastRenderedPageBreak/>
        <w:t>Background</w:t>
      </w:r>
    </w:p>
    <w:p w14:paraId="183A07FF" w14:textId="494B3948" w:rsidR="00FA454F" w:rsidRPr="009939B1" w:rsidRDefault="00FA454F" w:rsidP="00FA454F">
      <w:r w:rsidRPr="009939B1">
        <w:t xml:space="preserve">As part of the NICE indicator development process, all clinical and health improvement indicators </w:t>
      </w:r>
      <w:r w:rsidR="00442C52" w:rsidRPr="009939B1">
        <w:t xml:space="preserve">for general practice </w:t>
      </w:r>
      <w:r w:rsidRPr="009939B1">
        <w:t>proposed for inclusion in the NICE Indicator Menu are piloted, using an agreed methodology, in a representative sample of GP practices across England.</w:t>
      </w:r>
    </w:p>
    <w:p w14:paraId="22D57663" w14:textId="080D95BB" w:rsidR="00FA454F" w:rsidRPr="009939B1" w:rsidRDefault="00FA454F" w:rsidP="00FA454F">
      <w:r w:rsidRPr="009939B1">
        <w:t xml:space="preserve">The aim of piloting is to test whether indicators work in practice, have any unintended </w:t>
      </w:r>
      <w:proofErr w:type="gramStart"/>
      <w:r w:rsidRPr="009939B1">
        <w:t>consequences</w:t>
      </w:r>
      <w:proofErr w:type="gramEnd"/>
      <w:r w:rsidRPr="009939B1">
        <w:t xml:space="preserve"> and are fit for purpose.</w:t>
      </w:r>
    </w:p>
    <w:p w14:paraId="7AA323AC" w14:textId="7DB71A9E" w:rsidR="00BA2699" w:rsidRPr="009939B1" w:rsidRDefault="00BA2699" w:rsidP="007040D7">
      <w:r w:rsidRPr="009939B1">
        <w:t xml:space="preserve">The </w:t>
      </w:r>
      <w:r w:rsidR="008660DD" w:rsidRPr="009939B1">
        <w:t xml:space="preserve">full </w:t>
      </w:r>
      <w:r w:rsidRPr="009939B1">
        <w:t>background to the inclusion of this topic in the pilot</w:t>
      </w:r>
      <w:r w:rsidR="008660DD" w:rsidRPr="009939B1">
        <w:t>, including</w:t>
      </w:r>
      <w:r w:rsidRPr="009939B1">
        <w:t xml:space="preserve"> a list of piloted indicators</w:t>
      </w:r>
      <w:r w:rsidR="008660DD" w:rsidRPr="009939B1">
        <w:t>,</w:t>
      </w:r>
      <w:r w:rsidRPr="009939B1">
        <w:t xml:space="preserve"> is presented in Appendix A </w:t>
      </w:r>
      <w:r w:rsidR="008660DD" w:rsidRPr="009939B1">
        <w:t>along with</w:t>
      </w:r>
      <w:r w:rsidRPr="009939B1">
        <w:t xml:space="preserve"> a description of the method and approach to piloting. </w:t>
      </w:r>
    </w:p>
    <w:p w14:paraId="4D0E9748" w14:textId="16594B1C" w:rsidR="00FA454F" w:rsidRPr="009939B1" w:rsidRDefault="00FA454F" w:rsidP="00FA454F">
      <w:pPr>
        <w:pStyle w:val="Heading2"/>
      </w:pPr>
      <w:r w:rsidRPr="009939B1">
        <w:t>Practice recruitment</w:t>
      </w:r>
    </w:p>
    <w:p w14:paraId="7605CC50" w14:textId="429C3760" w:rsidR="00BA2699" w:rsidRPr="009939B1" w:rsidRDefault="00154EC2" w:rsidP="00BA2699">
      <w:r>
        <w:t>More detail on</w:t>
      </w:r>
      <w:r w:rsidR="00BA2699" w:rsidRPr="009939B1">
        <w:t xml:space="preserve"> the general practice recruitment methodology is shown in Appendix B.</w:t>
      </w:r>
    </w:p>
    <w:p w14:paraId="01B95701" w14:textId="77777777" w:rsidR="00154EC2" w:rsidRDefault="00154EC2" w:rsidP="00BA2699">
      <w:pPr>
        <w:spacing w:after="0"/>
        <w:rPr>
          <w:color w:val="000000" w:themeColor="text1"/>
        </w:rPr>
      </w:pPr>
      <w:r>
        <w:rPr>
          <w:color w:val="000000" w:themeColor="text1"/>
        </w:rPr>
        <w:t>In summary:</w:t>
      </w:r>
    </w:p>
    <w:p w14:paraId="7C3286BC" w14:textId="03F595DE" w:rsidR="00BA2699" w:rsidRPr="009939B1" w:rsidRDefault="00BA2699" w:rsidP="00BA2699">
      <w:pPr>
        <w:spacing w:after="0"/>
        <w:rPr>
          <w:color w:val="000000" w:themeColor="text1"/>
        </w:rPr>
      </w:pPr>
      <w:r w:rsidRPr="00CF5FE8">
        <w:rPr>
          <w:b/>
          <w:color w:val="000000" w:themeColor="text1"/>
        </w:rPr>
        <w:t xml:space="preserve">Number of practices </w:t>
      </w:r>
      <w:r w:rsidR="00154EC2" w:rsidRPr="00CF5FE8">
        <w:rPr>
          <w:b/>
          <w:color w:val="000000" w:themeColor="text1"/>
        </w:rPr>
        <w:t xml:space="preserve">initially </w:t>
      </w:r>
      <w:r w:rsidR="000B2C16" w:rsidRPr="00CF5FE8">
        <w:rPr>
          <w:b/>
          <w:color w:val="000000" w:themeColor="text1"/>
        </w:rPr>
        <w:t>recruited</w:t>
      </w:r>
      <w:r w:rsidRPr="009939B1">
        <w:rPr>
          <w:color w:val="000000" w:themeColor="text1"/>
        </w:rPr>
        <w:tab/>
      </w:r>
      <w:r w:rsidRPr="009939B1">
        <w:rPr>
          <w:color w:val="000000" w:themeColor="text1"/>
        </w:rPr>
        <w:tab/>
      </w:r>
      <w:r w:rsidR="00A40ADD">
        <w:rPr>
          <w:color w:val="000000" w:themeColor="text1"/>
        </w:rPr>
        <w:t xml:space="preserve">                                           </w:t>
      </w:r>
      <w:r w:rsidR="00686518" w:rsidRPr="00D90DB0">
        <w:rPr>
          <w:b/>
          <w:color w:val="000000" w:themeColor="text1"/>
        </w:rPr>
        <w:t>27</w:t>
      </w:r>
    </w:p>
    <w:p w14:paraId="3967CBAA" w14:textId="38120D3D" w:rsidR="00BA2699" w:rsidRPr="009939B1" w:rsidRDefault="00BA2699" w:rsidP="00BA2699">
      <w:pPr>
        <w:spacing w:after="0"/>
        <w:rPr>
          <w:b/>
          <w:color w:val="000000" w:themeColor="text1"/>
        </w:rPr>
      </w:pPr>
      <w:r w:rsidRPr="009939B1">
        <w:rPr>
          <w:b/>
          <w:color w:val="000000" w:themeColor="text1"/>
        </w:rPr>
        <w:t>Final number of practices in the pilot</w:t>
      </w:r>
      <w:r w:rsidRPr="009939B1">
        <w:rPr>
          <w:b/>
          <w:color w:val="000000" w:themeColor="text1"/>
        </w:rPr>
        <w:tab/>
      </w:r>
      <w:r w:rsidR="00154EC2" w:rsidRPr="009939B1">
        <w:rPr>
          <w:color w:val="000000" w:themeColor="text1"/>
        </w:rPr>
        <w:t>(January 2022)</w:t>
      </w:r>
      <w:r w:rsidRPr="009939B1">
        <w:rPr>
          <w:b/>
          <w:color w:val="000000" w:themeColor="text1"/>
        </w:rPr>
        <w:tab/>
      </w:r>
      <w:r w:rsidRPr="009939B1">
        <w:rPr>
          <w:b/>
          <w:color w:val="000000" w:themeColor="text1"/>
        </w:rPr>
        <w:tab/>
      </w:r>
      <w:r w:rsidRPr="009939B1">
        <w:rPr>
          <w:b/>
          <w:color w:val="000000" w:themeColor="text1"/>
        </w:rPr>
        <w:tab/>
      </w:r>
      <w:r w:rsidR="00686518">
        <w:rPr>
          <w:b/>
          <w:color w:val="000000" w:themeColor="text1"/>
        </w:rPr>
        <w:t>16</w:t>
      </w:r>
    </w:p>
    <w:p w14:paraId="5DFD0BDA" w14:textId="24EB84BA" w:rsidR="00BA2699" w:rsidRPr="009939B1" w:rsidRDefault="00BA2699" w:rsidP="00BA2699">
      <w:pPr>
        <w:spacing w:after="0"/>
        <w:rPr>
          <w:b/>
          <w:color w:val="000000" w:themeColor="text1"/>
        </w:rPr>
      </w:pPr>
      <w:r w:rsidRPr="009939B1">
        <w:rPr>
          <w:b/>
          <w:color w:val="000000" w:themeColor="text1"/>
        </w:rPr>
        <w:t>Number of practices participating in feedback</w:t>
      </w:r>
      <w:r w:rsidRPr="009939B1">
        <w:rPr>
          <w:b/>
          <w:color w:val="000000" w:themeColor="text1"/>
        </w:rPr>
        <w:tab/>
      </w:r>
      <w:r w:rsidRPr="009939B1">
        <w:rPr>
          <w:b/>
          <w:color w:val="000000" w:themeColor="text1"/>
        </w:rPr>
        <w:tab/>
      </w:r>
      <w:r w:rsidRPr="009939B1">
        <w:rPr>
          <w:b/>
          <w:color w:val="000000" w:themeColor="text1"/>
        </w:rPr>
        <w:tab/>
      </w:r>
      <w:r w:rsidRPr="009939B1">
        <w:rPr>
          <w:b/>
          <w:color w:val="000000" w:themeColor="text1"/>
        </w:rPr>
        <w:tab/>
      </w:r>
      <w:r w:rsidR="00686518">
        <w:rPr>
          <w:b/>
          <w:color w:val="000000" w:themeColor="text1"/>
        </w:rPr>
        <w:t>16</w:t>
      </w:r>
    </w:p>
    <w:p w14:paraId="4FBC94E4" w14:textId="77777777" w:rsidR="00BA2699" w:rsidRPr="009939B1" w:rsidRDefault="00BA2699" w:rsidP="00BA2699">
      <w:pPr>
        <w:spacing w:after="0"/>
        <w:rPr>
          <w:b/>
        </w:rPr>
      </w:pPr>
    </w:p>
    <w:p w14:paraId="10A8E1D9" w14:textId="2BFB8AD0" w:rsidR="00BA2699" w:rsidRPr="009939B1" w:rsidRDefault="00BA2699" w:rsidP="00BA2699">
      <w:r w:rsidRPr="009939B1">
        <w:t>Feedback was obtained via interview</w:t>
      </w:r>
      <w:r w:rsidR="00F576F2" w:rsidRPr="009939B1">
        <w:t>s</w:t>
      </w:r>
      <w:r w:rsidRPr="009939B1">
        <w:t xml:space="preserve"> and </w:t>
      </w:r>
      <w:r w:rsidR="00F576F2" w:rsidRPr="009939B1">
        <w:t xml:space="preserve">an online </w:t>
      </w:r>
      <w:r w:rsidRPr="009939B1">
        <w:t xml:space="preserve">survey, and </w:t>
      </w:r>
      <w:r w:rsidR="001D7E96">
        <w:t xml:space="preserve">individuals were able </w:t>
      </w:r>
      <w:r w:rsidRPr="009939B1">
        <w:t>to participate in both the surve</w:t>
      </w:r>
      <w:r w:rsidR="00F576F2" w:rsidRPr="009939B1">
        <w:t>y and the interviews</w:t>
      </w:r>
      <w:r w:rsidRPr="009939B1">
        <w:t xml:space="preserve">. </w:t>
      </w:r>
      <w:r w:rsidR="00F576F2" w:rsidRPr="009939B1">
        <w:rPr>
          <w:color w:val="000000" w:themeColor="text1"/>
        </w:rPr>
        <w:t xml:space="preserve">At least one survey was completed by each of the </w:t>
      </w:r>
      <w:r w:rsidR="00686518" w:rsidRPr="00A40ADD">
        <w:rPr>
          <w:color w:val="000000" w:themeColor="text1"/>
        </w:rPr>
        <w:t>16</w:t>
      </w:r>
      <w:r w:rsidR="00912C6D">
        <w:rPr>
          <w:color w:val="000000" w:themeColor="text1"/>
        </w:rPr>
        <w:t xml:space="preserve"> </w:t>
      </w:r>
      <w:r w:rsidR="00F576F2" w:rsidRPr="009939B1">
        <w:rPr>
          <w:color w:val="000000" w:themeColor="text1"/>
        </w:rPr>
        <w:t>participating practices.</w:t>
      </w:r>
      <w:r w:rsidR="00F576F2" w:rsidRPr="009939B1">
        <w:t xml:space="preserve"> The quantitative responses to the online survey </w:t>
      </w:r>
      <w:r w:rsidR="00154EC2">
        <w:t xml:space="preserve">for all piloted topics </w:t>
      </w:r>
      <w:r w:rsidR="00F576F2" w:rsidRPr="009939B1">
        <w:t xml:space="preserve">are shown in Appendix F. </w:t>
      </w:r>
      <w:r w:rsidRPr="009939B1">
        <w:t xml:space="preserve">The table below indicates the practice participation </w:t>
      </w:r>
      <w:r w:rsidR="008660DD" w:rsidRPr="009939B1">
        <w:t>in</w:t>
      </w:r>
      <w:r w:rsidRPr="009939B1">
        <w:t xml:space="preserve"> the pilot</w:t>
      </w:r>
      <w:r w:rsidR="000B7C83">
        <w:t xml:space="preserve"> specifically for the epilepsy topic</w:t>
      </w:r>
      <w:r w:rsidRPr="009939B1">
        <w:t>.</w:t>
      </w:r>
    </w:p>
    <w:p w14:paraId="135137BB" w14:textId="77777777" w:rsidR="00BA2699" w:rsidRPr="009939B1" w:rsidRDefault="00BA2699">
      <w:pPr>
        <w:spacing w:after="160" w:line="259" w:lineRule="auto"/>
        <w:rPr>
          <w:rFonts w:eastAsiaTheme="majorEastAsia" w:cstheme="majorBidi"/>
          <w:iCs/>
          <w:color w:val="000000" w:themeColor="text1"/>
          <w:u w:val="single"/>
        </w:rPr>
      </w:pPr>
      <w:r w:rsidRPr="009939B1">
        <w:br w:type="page"/>
      </w:r>
    </w:p>
    <w:p w14:paraId="78C1BC50" w14:textId="556A8DD3" w:rsidR="0014107E" w:rsidRPr="009939B1" w:rsidRDefault="0014107E" w:rsidP="006B167D">
      <w:pPr>
        <w:pStyle w:val="Heading4"/>
      </w:pPr>
      <w:bookmarkStart w:id="0" w:name="_Hlk98331464"/>
      <w:r w:rsidRPr="009939B1">
        <w:lastRenderedPageBreak/>
        <w:t>Feedback participation by role and method</w:t>
      </w:r>
      <w:r w:rsidR="000B7C83">
        <w:t xml:space="preserve"> (epilepsy topic)</w:t>
      </w:r>
    </w:p>
    <w:tbl>
      <w:tblPr>
        <w:tblStyle w:val="TableGrid"/>
        <w:tblW w:w="0" w:type="auto"/>
        <w:tblLook w:val="04A0" w:firstRow="1" w:lastRow="0" w:firstColumn="1" w:lastColumn="0" w:noHBand="0" w:noVBand="1"/>
      </w:tblPr>
      <w:tblGrid>
        <w:gridCol w:w="3964"/>
        <w:gridCol w:w="2694"/>
        <w:gridCol w:w="2358"/>
      </w:tblGrid>
      <w:tr w:rsidR="00BA2699" w:rsidRPr="009939B1" w14:paraId="38A46DD1" w14:textId="77777777" w:rsidTr="00B41B74">
        <w:tc>
          <w:tcPr>
            <w:tcW w:w="3964" w:type="dxa"/>
          </w:tcPr>
          <w:p w14:paraId="79F28F9F" w14:textId="77777777" w:rsidR="00BA2699" w:rsidRPr="009939B1" w:rsidRDefault="00BA2699" w:rsidP="00287304">
            <w:pPr>
              <w:spacing w:before="60" w:after="60" w:line="240" w:lineRule="auto"/>
              <w:rPr>
                <w:b/>
                <w:color w:val="000000" w:themeColor="text1"/>
              </w:rPr>
            </w:pPr>
            <w:r w:rsidRPr="009939B1">
              <w:rPr>
                <w:b/>
                <w:color w:val="000000" w:themeColor="text1"/>
              </w:rPr>
              <w:t>Staff role</w:t>
            </w:r>
          </w:p>
        </w:tc>
        <w:tc>
          <w:tcPr>
            <w:tcW w:w="2694" w:type="dxa"/>
          </w:tcPr>
          <w:p w14:paraId="697CB940" w14:textId="5C402846" w:rsidR="008660DD" w:rsidRPr="009939B1" w:rsidRDefault="00D151FE" w:rsidP="00EE26B0">
            <w:pPr>
              <w:spacing w:before="60" w:after="60" w:line="240" w:lineRule="auto"/>
              <w:jc w:val="center"/>
              <w:rPr>
                <w:b/>
                <w:color w:val="000000" w:themeColor="text1"/>
              </w:rPr>
            </w:pPr>
            <w:r w:rsidRPr="009939B1">
              <w:rPr>
                <w:b/>
                <w:color w:val="000000" w:themeColor="text1"/>
              </w:rPr>
              <w:t>Interviews</w:t>
            </w:r>
            <w:r w:rsidR="00515286" w:rsidRPr="009939B1">
              <w:rPr>
                <w:b/>
                <w:color w:val="000000" w:themeColor="text1"/>
              </w:rPr>
              <w:t xml:space="preserve"> - </w:t>
            </w:r>
            <w:r w:rsidR="008660DD" w:rsidRPr="009939B1">
              <w:rPr>
                <w:b/>
                <w:color w:val="000000" w:themeColor="text1"/>
              </w:rPr>
              <w:t>number of participants</w:t>
            </w:r>
          </w:p>
        </w:tc>
        <w:tc>
          <w:tcPr>
            <w:tcW w:w="2358" w:type="dxa"/>
          </w:tcPr>
          <w:p w14:paraId="70DBBB11" w14:textId="63FDFEC2" w:rsidR="008660DD" w:rsidRPr="009939B1" w:rsidRDefault="00BA2699" w:rsidP="00515286">
            <w:pPr>
              <w:spacing w:before="60" w:after="60" w:line="240" w:lineRule="auto"/>
              <w:jc w:val="center"/>
              <w:rPr>
                <w:b/>
                <w:color w:val="000000" w:themeColor="text1"/>
              </w:rPr>
            </w:pPr>
            <w:r w:rsidRPr="009939B1">
              <w:rPr>
                <w:b/>
                <w:color w:val="000000" w:themeColor="text1"/>
              </w:rPr>
              <w:t>Survey</w:t>
            </w:r>
            <w:r w:rsidR="00515286" w:rsidRPr="009939B1">
              <w:rPr>
                <w:b/>
                <w:color w:val="000000" w:themeColor="text1"/>
              </w:rPr>
              <w:t xml:space="preserve"> - n</w:t>
            </w:r>
            <w:r w:rsidR="008660DD" w:rsidRPr="009939B1">
              <w:rPr>
                <w:b/>
                <w:color w:val="000000" w:themeColor="text1"/>
              </w:rPr>
              <w:t>umber of respondents</w:t>
            </w:r>
          </w:p>
        </w:tc>
      </w:tr>
      <w:tr w:rsidR="00BA2699" w:rsidRPr="009939B1" w14:paraId="17C16A82" w14:textId="77777777" w:rsidTr="00B41B74">
        <w:tc>
          <w:tcPr>
            <w:tcW w:w="3964" w:type="dxa"/>
          </w:tcPr>
          <w:p w14:paraId="1715C179" w14:textId="77777777" w:rsidR="00BA2699" w:rsidRPr="009939B1" w:rsidRDefault="00BA2699" w:rsidP="00287304">
            <w:pPr>
              <w:spacing w:before="60" w:after="60" w:line="240" w:lineRule="auto"/>
              <w:rPr>
                <w:color w:val="000000" w:themeColor="text1"/>
              </w:rPr>
            </w:pPr>
            <w:r w:rsidRPr="009939B1">
              <w:rPr>
                <w:color w:val="000000" w:themeColor="text1"/>
              </w:rPr>
              <w:t>GP</w:t>
            </w:r>
          </w:p>
        </w:tc>
        <w:tc>
          <w:tcPr>
            <w:tcW w:w="2694" w:type="dxa"/>
          </w:tcPr>
          <w:p w14:paraId="38ABEA91" w14:textId="5A2F4290" w:rsidR="00BA2699" w:rsidRPr="009939B1" w:rsidRDefault="00A44E07" w:rsidP="00287304">
            <w:pPr>
              <w:spacing w:before="60" w:after="60" w:line="240" w:lineRule="auto"/>
              <w:jc w:val="center"/>
            </w:pPr>
            <w:r>
              <w:t>7</w:t>
            </w:r>
          </w:p>
        </w:tc>
        <w:tc>
          <w:tcPr>
            <w:tcW w:w="2358" w:type="dxa"/>
          </w:tcPr>
          <w:p w14:paraId="36528B94" w14:textId="219411B6" w:rsidR="00BA2699" w:rsidRPr="009939B1" w:rsidRDefault="00BF0A95" w:rsidP="00287304">
            <w:pPr>
              <w:spacing w:before="60" w:after="60" w:line="240" w:lineRule="auto"/>
              <w:jc w:val="center"/>
              <w:rPr>
                <w:color w:val="000000" w:themeColor="text1"/>
              </w:rPr>
            </w:pPr>
            <w:r>
              <w:rPr>
                <w:color w:val="000000" w:themeColor="text1"/>
              </w:rPr>
              <w:t>17</w:t>
            </w:r>
          </w:p>
        </w:tc>
      </w:tr>
      <w:tr w:rsidR="00BA2699" w:rsidRPr="009939B1" w14:paraId="55C5D49C" w14:textId="77777777" w:rsidTr="00B41B74">
        <w:tc>
          <w:tcPr>
            <w:tcW w:w="3964" w:type="dxa"/>
          </w:tcPr>
          <w:p w14:paraId="721FCA7A" w14:textId="77777777" w:rsidR="00BA2699" w:rsidRPr="009939B1" w:rsidRDefault="00BA2699" w:rsidP="00287304">
            <w:pPr>
              <w:spacing w:before="60" w:after="60" w:line="240" w:lineRule="auto"/>
              <w:rPr>
                <w:color w:val="000000" w:themeColor="text1"/>
              </w:rPr>
            </w:pPr>
            <w:r w:rsidRPr="009939B1">
              <w:rPr>
                <w:color w:val="000000" w:themeColor="text1"/>
              </w:rPr>
              <w:t>Practice manager</w:t>
            </w:r>
          </w:p>
        </w:tc>
        <w:tc>
          <w:tcPr>
            <w:tcW w:w="2694" w:type="dxa"/>
          </w:tcPr>
          <w:p w14:paraId="48A78E93" w14:textId="02D1BC73" w:rsidR="00BA2699" w:rsidRPr="009939B1" w:rsidRDefault="00A44E07" w:rsidP="00287304">
            <w:pPr>
              <w:spacing w:before="60" w:after="60" w:line="240" w:lineRule="auto"/>
              <w:jc w:val="center"/>
            </w:pPr>
            <w:r>
              <w:t>2</w:t>
            </w:r>
          </w:p>
        </w:tc>
        <w:tc>
          <w:tcPr>
            <w:tcW w:w="2358" w:type="dxa"/>
          </w:tcPr>
          <w:p w14:paraId="5F1578BD" w14:textId="48025DA3" w:rsidR="00BA2699" w:rsidRPr="009939B1" w:rsidRDefault="00BF0A95" w:rsidP="00287304">
            <w:pPr>
              <w:spacing w:before="60" w:after="60" w:line="240" w:lineRule="auto"/>
              <w:jc w:val="center"/>
              <w:rPr>
                <w:color w:val="000000" w:themeColor="text1"/>
              </w:rPr>
            </w:pPr>
            <w:r>
              <w:rPr>
                <w:color w:val="000000" w:themeColor="text1"/>
              </w:rPr>
              <w:t>6</w:t>
            </w:r>
          </w:p>
        </w:tc>
      </w:tr>
      <w:tr w:rsidR="00BA2699" w:rsidRPr="009939B1" w14:paraId="19EE1B89" w14:textId="77777777" w:rsidTr="00B41B74">
        <w:tc>
          <w:tcPr>
            <w:tcW w:w="3964" w:type="dxa"/>
          </w:tcPr>
          <w:p w14:paraId="217A385E" w14:textId="77777777" w:rsidR="00BA2699" w:rsidRPr="009939B1" w:rsidRDefault="00BA2699" w:rsidP="00287304">
            <w:pPr>
              <w:spacing w:before="60" w:after="60" w:line="240" w:lineRule="auto"/>
              <w:rPr>
                <w:color w:val="000000" w:themeColor="text1"/>
              </w:rPr>
            </w:pPr>
            <w:r w:rsidRPr="009939B1">
              <w:rPr>
                <w:color w:val="000000" w:themeColor="text1"/>
              </w:rPr>
              <w:t>Other senior management</w:t>
            </w:r>
          </w:p>
        </w:tc>
        <w:tc>
          <w:tcPr>
            <w:tcW w:w="2694" w:type="dxa"/>
          </w:tcPr>
          <w:p w14:paraId="68D143DD" w14:textId="6D9695C2" w:rsidR="00BA2699" w:rsidRPr="009939B1" w:rsidRDefault="00686518" w:rsidP="00287304">
            <w:pPr>
              <w:spacing w:before="60" w:after="60" w:line="240" w:lineRule="auto"/>
              <w:jc w:val="center"/>
            </w:pPr>
            <w:r>
              <w:t>3</w:t>
            </w:r>
          </w:p>
        </w:tc>
        <w:tc>
          <w:tcPr>
            <w:tcW w:w="2358" w:type="dxa"/>
          </w:tcPr>
          <w:p w14:paraId="3F256DB2" w14:textId="1DCF0557" w:rsidR="00BA2699" w:rsidRPr="009939B1" w:rsidRDefault="00BF0A95" w:rsidP="00287304">
            <w:pPr>
              <w:spacing w:before="60" w:after="60" w:line="240" w:lineRule="auto"/>
              <w:jc w:val="center"/>
              <w:rPr>
                <w:color w:val="000000" w:themeColor="text1"/>
              </w:rPr>
            </w:pPr>
            <w:r>
              <w:rPr>
                <w:color w:val="000000" w:themeColor="text1"/>
              </w:rPr>
              <w:t>2</w:t>
            </w:r>
          </w:p>
        </w:tc>
      </w:tr>
      <w:tr w:rsidR="00BA2699" w:rsidRPr="009939B1" w14:paraId="03BC5776" w14:textId="77777777" w:rsidTr="00B41B74">
        <w:tc>
          <w:tcPr>
            <w:tcW w:w="3964" w:type="dxa"/>
          </w:tcPr>
          <w:p w14:paraId="5EA31063" w14:textId="77777777" w:rsidR="00BA2699" w:rsidRPr="009939B1" w:rsidRDefault="00BA2699" w:rsidP="00287304">
            <w:pPr>
              <w:spacing w:before="60" w:after="60" w:line="240" w:lineRule="auto"/>
              <w:rPr>
                <w:color w:val="000000" w:themeColor="text1"/>
              </w:rPr>
            </w:pPr>
            <w:r w:rsidRPr="009939B1">
              <w:rPr>
                <w:color w:val="000000" w:themeColor="text1"/>
              </w:rPr>
              <w:t>Pharmacist</w:t>
            </w:r>
          </w:p>
        </w:tc>
        <w:tc>
          <w:tcPr>
            <w:tcW w:w="2694" w:type="dxa"/>
          </w:tcPr>
          <w:p w14:paraId="30B899F5" w14:textId="79288C28" w:rsidR="00BA2699" w:rsidRPr="009939B1" w:rsidRDefault="00A44E07" w:rsidP="00287304">
            <w:pPr>
              <w:spacing w:before="60" w:after="60" w:line="240" w:lineRule="auto"/>
              <w:jc w:val="center"/>
            </w:pPr>
            <w:r>
              <w:t>1</w:t>
            </w:r>
          </w:p>
        </w:tc>
        <w:tc>
          <w:tcPr>
            <w:tcW w:w="2358" w:type="dxa"/>
          </w:tcPr>
          <w:p w14:paraId="34F70660" w14:textId="2A0CAD41" w:rsidR="00BA2699" w:rsidRPr="009939B1" w:rsidRDefault="00BF0A95" w:rsidP="00287304">
            <w:pPr>
              <w:spacing w:before="60" w:after="60" w:line="240" w:lineRule="auto"/>
              <w:jc w:val="center"/>
              <w:rPr>
                <w:color w:val="000000" w:themeColor="text1"/>
              </w:rPr>
            </w:pPr>
            <w:r>
              <w:rPr>
                <w:color w:val="000000" w:themeColor="text1"/>
              </w:rPr>
              <w:t>2</w:t>
            </w:r>
          </w:p>
        </w:tc>
      </w:tr>
      <w:tr w:rsidR="00BA2699" w:rsidRPr="009939B1" w14:paraId="2EFED945" w14:textId="77777777" w:rsidTr="00B41B74">
        <w:tc>
          <w:tcPr>
            <w:tcW w:w="3964" w:type="dxa"/>
          </w:tcPr>
          <w:p w14:paraId="6B740163" w14:textId="20CB90AA" w:rsidR="00BA2699" w:rsidRPr="009939B1" w:rsidRDefault="008660DD" w:rsidP="00287304">
            <w:pPr>
              <w:spacing w:before="60" w:after="60" w:line="240" w:lineRule="auto"/>
              <w:rPr>
                <w:color w:val="000000" w:themeColor="text1"/>
              </w:rPr>
            </w:pPr>
            <w:r w:rsidRPr="009939B1">
              <w:rPr>
                <w:color w:val="000000" w:themeColor="text1"/>
              </w:rPr>
              <w:t xml:space="preserve">Practice </w:t>
            </w:r>
            <w:r w:rsidR="00BA2699" w:rsidRPr="009939B1">
              <w:rPr>
                <w:color w:val="000000" w:themeColor="text1"/>
              </w:rPr>
              <w:t>Nurse</w:t>
            </w:r>
          </w:p>
        </w:tc>
        <w:tc>
          <w:tcPr>
            <w:tcW w:w="2694" w:type="dxa"/>
          </w:tcPr>
          <w:p w14:paraId="5C6623A8" w14:textId="7A83F4BE" w:rsidR="00BA2699" w:rsidRPr="009939B1" w:rsidRDefault="00A44E07" w:rsidP="00287304">
            <w:pPr>
              <w:spacing w:before="60" w:after="60" w:line="240" w:lineRule="auto"/>
              <w:jc w:val="center"/>
            </w:pPr>
            <w:r>
              <w:t>1</w:t>
            </w:r>
          </w:p>
        </w:tc>
        <w:tc>
          <w:tcPr>
            <w:tcW w:w="2358" w:type="dxa"/>
          </w:tcPr>
          <w:p w14:paraId="5572C510" w14:textId="48783E7F" w:rsidR="00BA2699" w:rsidRPr="009939B1" w:rsidRDefault="00BF0A95" w:rsidP="00287304">
            <w:pPr>
              <w:spacing w:before="60" w:after="60" w:line="240" w:lineRule="auto"/>
              <w:jc w:val="center"/>
              <w:rPr>
                <w:color w:val="000000" w:themeColor="text1"/>
              </w:rPr>
            </w:pPr>
            <w:r>
              <w:rPr>
                <w:color w:val="000000" w:themeColor="text1"/>
              </w:rPr>
              <w:t>4</w:t>
            </w:r>
          </w:p>
        </w:tc>
      </w:tr>
      <w:tr w:rsidR="00BA2699" w:rsidRPr="009939B1" w14:paraId="0EF0AE7A" w14:textId="77777777" w:rsidTr="00B41B74">
        <w:tc>
          <w:tcPr>
            <w:tcW w:w="3964" w:type="dxa"/>
          </w:tcPr>
          <w:p w14:paraId="01E1F979" w14:textId="3C799E0D" w:rsidR="00BA2699" w:rsidRPr="009939B1" w:rsidRDefault="00BA2699" w:rsidP="00287304">
            <w:pPr>
              <w:spacing w:before="60" w:after="60" w:line="240" w:lineRule="auto"/>
              <w:rPr>
                <w:color w:val="000000" w:themeColor="text1"/>
              </w:rPr>
            </w:pPr>
            <w:r w:rsidRPr="009939B1">
              <w:rPr>
                <w:color w:val="000000" w:themeColor="text1"/>
              </w:rPr>
              <w:t>Practice admin</w:t>
            </w:r>
            <w:r w:rsidR="008660DD" w:rsidRPr="009939B1">
              <w:rPr>
                <w:color w:val="000000" w:themeColor="text1"/>
              </w:rPr>
              <w:t>istrative</w:t>
            </w:r>
            <w:r w:rsidRPr="009939B1">
              <w:rPr>
                <w:color w:val="000000" w:themeColor="text1"/>
              </w:rPr>
              <w:t xml:space="preserve"> staff</w:t>
            </w:r>
          </w:p>
        </w:tc>
        <w:tc>
          <w:tcPr>
            <w:tcW w:w="2694" w:type="dxa"/>
          </w:tcPr>
          <w:p w14:paraId="552C3C6C" w14:textId="44FC3687" w:rsidR="00BA2699" w:rsidRPr="009939B1" w:rsidRDefault="00686518" w:rsidP="00287304">
            <w:pPr>
              <w:spacing w:before="60" w:after="60" w:line="240" w:lineRule="auto"/>
              <w:jc w:val="center"/>
            </w:pPr>
            <w:r>
              <w:t>1</w:t>
            </w:r>
          </w:p>
        </w:tc>
        <w:tc>
          <w:tcPr>
            <w:tcW w:w="2358" w:type="dxa"/>
          </w:tcPr>
          <w:p w14:paraId="1D16CE2F" w14:textId="435F5780" w:rsidR="00BA2699" w:rsidRPr="009939B1" w:rsidRDefault="00BF0A95" w:rsidP="00287304">
            <w:pPr>
              <w:spacing w:before="60" w:after="60" w:line="240" w:lineRule="auto"/>
              <w:jc w:val="center"/>
              <w:rPr>
                <w:color w:val="000000" w:themeColor="text1"/>
              </w:rPr>
            </w:pPr>
            <w:r>
              <w:rPr>
                <w:color w:val="000000" w:themeColor="text1"/>
              </w:rPr>
              <w:t>5</w:t>
            </w:r>
          </w:p>
        </w:tc>
      </w:tr>
      <w:tr w:rsidR="00BF0A95" w:rsidRPr="009939B1" w14:paraId="7F144386" w14:textId="77777777" w:rsidTr="00B41B74">
        <w:tc>
          <w:tcPr>
            <w:tcW w:w="3964" w:type="dxa"/>
          </w:tcPr>
          <w:p w14:paraId="10C5A387" w14:textId="6695B2E9" w:rsidR="00BF0A95" w:rsidRPr="009939B1" w:rsidRDefault="00BF0A95" w:rsidP="00287304">
            <w:pPr>
              <w:spacing w:before="60" w:after="60" w:line="240" w:lineRule="auto"/>
              <w:rPr>
                <w:color w:val="000000" w:themeColor="text1"/>
              </w:rPr>
            </w:pPr>
            <w:r>
              <w:rPr>
                <w:color w:val="000000" w:themeColor="text1"/>
              </w:rPr>
              <w:t>Other clinical staff</w:t>
            </w:r>
          </w:p>
        </w:tc>
        <w:tc>
          <w:tcPr>
            <w:tcW w:w="2694" w:type="dxa"/>
          </w:tcPr>
          <w:p w14:paraId="091F388E" w14:textId="38ED3473" w:rsidR="00BF0A95" w:rsidRDefault="00426155" w:rsidP="00287304">
            <w:pPr>
              <w:spacing w:before="60" w:after="60" w:line="240" w:lineRule="auto"/>
              <w:jc w:val="center"/>
            </w:pPr>
            <w:r>
              <w:t>0</w:t>
            </w:r>
          </w:p>
        </w:tc>
        <w:tc>
          <w:tcPr>
            <w:tcW w:w="2358" w:type="dxa"/>
          </w:tcPr>
          <w:p w14:paraId="0DC95025" w14:textId="17FD86EA" w:rsidR="00BF0A95" w:rsidRDefault="00BF0A95" w:rsidP="00287304">
            <w:pPr>
              <w:spacing w:before="60" w:after="60" w:line="240" w:lineRule="auto"/>
              <w:jc w:val="center"/>
              <w:rPr>
                <w:color w:val="000000" w:themeColor="text1"/>
              </w:rPr>
            </w:pPr>
            <w:r>
              <w:rPr>
                <w:color w:val="000000" w:themeColor="text1"/>
              </w:rPr>
              <w:t>2</w:t>
            </w:r>
          </w:p>
        </w:tc>
      </w:tr>
      <w:tr w:rsidR="00BA2699" w:rsidRPr="009939B1" w14:paraId="2405667C" w14:textId="77777777" w:rsidTr="00B41B74">
        <w:tc>
          <w:tcPr>
            <w:tcW w:w="3964" w:type="dxa"/>
          </w:tcPr>
          <w:p w14:paraId="42624A26" w14:textId="2227F4BD" w:rsidR="00BA2699" w:rsidRPr="009939B1" w:rsidRDefault="00BA2699" w:rsidP="00B41B74">
            <w:pPr>
              <w:spacing w:before="60" w:after="60" w:line="240" w:lineRule="auto"/>
              <w:rPr>
                <w:b/>
                <w:color w:val="000000" w:themeColor="text1"/>
              </w:rPr>
            </w:pPr>
            <w:r w:rsidRPr="009939B1">
              <w:rPr>
                <w:b/>
                <w:color w:val="000000" w:themeColor="text1"/>
              </w:rPr>
              <w:t>Number of participants</w:t>
            </w:r>
            <w:r w:rsidR="00EE26B0" w:rsidRPr="009939B1">
              <w:rPr>
                <w:b/>
                <w:color w:val="000000" w:themeColor="text1"/>
              </w:rPr>
              <w:t xml:space="preserve"> </w:t>
            </w:r>
          </w:p>
        </w:tc>
        <w:tc>
          <w:tcPr>
            <w:tcW w:w="2694" w:type="dxa"/>
          </w:tcPr>
          <w:p w14:paraId="1608FE5C" w14:textId="77777777" w:rsidR="00BA2699" w:rsidRDefault="00A44E07" w:rsidP="00287304">
            <w:pPr>
              <w:spacing w:before="60" w:after="60" w:line="240" w:lineRule="auto"/>
              <w:jc w:val="center"/>
              <w:rPr>
                <w:b/>
              </w:rPr>
            </w:pPr>
            <w:r>
              <w:rPr>
                <w:b/>
              </w:rPr>
              <w:t>15</w:t>
            </w:r>
          </w:p>
          <w:p w14:paraId="4FC366C0" w14:textId="0D2ACD93" w:rsidR="00B41B74" w:rsidRPr="00B41B74" w:rsidRDefault="00B41B74" w:rsidP="00287304">
            <w:pPr>
              <w:spacing w:before="60" w:after="60" w:line="240" w:lineRule="auto"/>
              <w:jc w:val="center"/>
            </w:pPr>
            <w:r w:rsidRPr="00B41B74">
              <w:rPr>
                <w:color w:val="000000" w:themeColor="text1"/>
              </w:rPr>
              <w:t xml:space="preserve">From 11 practices </w:t>
            </w:r>
            <w:r w:rsidRPr="00B41B74">
              <w:rPr>
                <w:color w:val="000000" w:themeColor="text1"/>
                <w:vertAlign w:val="superscript"/>
              </w:rPr>
              <w:t xml:space="preserve"># </w:t>
            </w:r>
            <w:r w:rsidRPr="00B41B74">
              <w:rPr>
                <w:color w:val="000000" w:themeColor="text1"/>
              </w:rPr>
              <w:t>*</w:t>
            </w:r>
          </w:p>
        </w:tc>
        <w:tc>
          <w:tcPr>
            <w:tcW w:w="2358" w:type="dxa"/>
          </w:tcPr>
          <w:p w14:paraId="1649B084" w14:textId="79C79559" w:rsidR="00BA2699" w:rsidRPr="009939B1" w:rsidRDefault="00BF0A95" w:rsidP="00287304">
            <w:pPr>
              <w:spacing w:before="60" w:after="60" w:line="240" w:lineRule="auto"/>
              <w:jc w:val="center"/>
              <w:rPr>
                <w:b/>
                <w:color w:val="000000" w:themeColor="text1"/>
              </w:rPr>
            </w:pPr>
            <w:r>
              <w:rPr>
                <w:b/>
                <w:color w:val="000000" w:themeColor="text1"/>
              </w:rPr>
              <w:t>38*</w:t>
            </w:r>
            <w:r w:rsidR="00D43B93">
              <w:rPr>
                <w:b/>
                <w:color w:val="000000" w:themeColor="text1"/>
              </w:rPr>
              <w:t>*</w:t>
            </w:r>
          </w:p>
        </w:tc>
      </w:tr>
    </w:tbl>
    <w:p w14:paraId="7AE29931" w14:textId="1F51F5CB" w:rsidR="000B7C83" w:rsidRDefault="000B7C83" w:rsidP="001446EC">
      <w:pPr>
        <w:spacing w:before="120" w:after="160" w:line="259" w:lineRule="auto"/>
      </w:pPr>
      <w:r w:rsidRPr="0088172A">
        <w:rPr>
          <w:vertAlign w:val="superscript"/>
        </w:rPr>
        <w:t>#</w:t>
      </w:r>
      <w:r>
        <w:t xml:space="preserve"> As described in Appendix A, not all </w:t>
      </w:r>
      <w:r w:rsidR="009F77EA">
        <w:t>interviews</w:t>
      </w:r>
      <w:r>
        <w:t xml:space="preserve"> covered all topics and only 11 out of the 16 practices were asked questions about epilepsy in their </w:t>
      </w:r>
      <w:r w:rsidR="009F77EA">
        <w:t>interviews</w:t>
      </w:r>
      <w:r>
        <w:t>.</w:t>
      </w:r>
    </w:p>
    <w:p w14:paraId="08A83D95" w14:textId="3454C87C" w:rsidR="001446EC" w:rsidRPr="003E647F" w:rsidRDefault="001446EC" w:rsidP="001446EC">
      <w:pPr>
        <w:spacing w:before="120" w:after="160" w:line="259" w:lineRule="auto"/>
      </w:pPr>
      <w:r>
        <w:t xml:space="preserve">*Only </w:t>
      </w:r>
      <w:r w:rsidR="00154EC2">
        <w:t>9</w:t>
      </w:r>
      <w:r>
        <w:t xml:space="preserve"> practices were able to provide interview feedback </w:t>
      </w:r>
      <w:r w:rsidR="00DF3051">
        <w:t>about</w:t>
      </w:r>
      <w:r>
        <w:t xml:space="preserve"> </w:t>
      </w:r>
      <w:r w:rsidR="00D43B93">
        <w:t>indicators 2 and 3</w:t>
      </w:r>
      <w:r w:rsidR="00A26216">
        <w:t>.</w:t>
      </w:r>
    </w:p>
    <w:p w14:paraId="637C94E9" w14:textId="1D4A7180" w:rsidR="00BF0A95" w:rsidRPr="009939B1" w:rsidRDefault="001446EC" w:rsidP="001446EC">
      <w:pPr>
        <w:spacing w:before="120" w:after="160" w:line="259" w:lineRule="auto"/>
      </w:pPr>
      <w:r w:rsidRPr="00006640">
        <w:rPr>
          <w:color w:val="000000" w:themeColor="text1"/>
        </w:rPr>
        <w:t xml:space="preserve">**Not all respondents completed </w:t>
      </w:r>
      <w:proofErr w:type="gramStart"/>
      <w:r w:rsidRPr="00006640">
        <w:rPr>
          <w:color w:val="000000" w:themeColor="text1"/>
        </w:rPr>
        <w:t>all of</w:t>
      </w:r>
      <w:proofErr w:type="gramEnd"/>
      <w:r w:rsidRPr="00006640">
        <w:rPr>
          <w:color w:val="000000" w:themeColor="text1"/>
        </w:rPr>
        <w:t xml:space="preserve"> the </w:t>
      </w:r>
      <w:r w:rsidR="00D43B93">
        <w:rPr>
          <w:color w:val="000000" w:themeColor="text1"/>
        </w:rPr>
        <w:t>epilepsy</w:t>
      </w:r>
      <w:r w:rsidR="00DF3051">
        <w:rPr>
          <w:color w:val="000000" w:themeColor="text1"/>
        </w:rPr>
        <w:t>-related</w:t>
      </w:r>
      <w:r>
        <w:rPr>
          <w:color w:val="000000" w:themeColor="text1"/>
        </w:rPr>
        <w:t xml:space="preserve"> indicator </w:t>
      </w:r>
      <w:r w:rsidR="00DF3051">
        <w:rPr>
          <w:color w:val="000000" w:themeColor="text1"/>
        </w:rPr>
        <w:t xml:space="preserve">survey </w:t>
      </w:r>
      <w:r>
        <w:rPr>
          <w:color w:val="000000" w:themeColor="text1"/>
        </w:rPr>
        <w:t>questions (see Appendix A).</w:t>
      </w:r>
    </w:p>
    <w:bookmarkEnd w:id="0"/>
    <w:p w14:paraId="570A1FC8" w14:textId="77777777" w:rsidR="00BF0A95" w:rsidRDefault="00BF0A95">
      <w:pPr>
        <w:spacing w:after="160" w:line="259" w:lineRule="auto"/>
        <w:rPr>
          <w:rFonts w:eastAsiaTheme="majorEastAsia" w:cstheme="majorBidi"/>
          <w:b/>
          <w:sz w:val="32"/>
          <w:szCs w:val="32"/>
        </w:rPr>
      </w:pPr>
      <w:r>
        <w:br w:type="page"/>
      </w:r>
    </w:p>
    <w:p w14:paraId="1C23E650" w14:textId="6677C3CD" w:rsidR="005E493C" w:rsidRPr="009939B1" w:rsidRDefault="002C6D43" w:rsidP="005E493C">
      <w:pPr>
        <w:pStyle w:val="Heading1"/>
      </w:pPr>
      <w:r w:rsidRPr="009939B1">
        <w:lastRenderedPageBreak/>
        <w:t xml:space="preserve">Assessment of </w:t>
      </w:r>
      <w:r w:rsidR="00013EC8" w:rsidRPr="009939B1">
        <w:t xml:space="preserve">clarity, </w:t>
      </w:r>
      <w:r w:rsidRPr="009939B1">
        <w:t xml:space="preserve">feasibility, </w:t>
      </w:r>
      <w:proofErr w:type="gramStart"/>
      <w:r w:rsidRPr="009939B1">
        <w:t>reliability</w:t>
      </w:r>
      <w:proofErr w:type="gramEnd"/>
      <w:r w:rsidRPr="009939B1">
        <w:t xml:space="preserve"> and </w:t>
      </w:r>
      <w:r w:rsidR="00451580" w:rsidRPr="009939B1">
        <w:t>acceptability</w:t>
      </w:r>
      <w:r w:rsidR="000B159D" w:rsidRPr="009939B1">
        <w:t xml:space="preserve"> </w:t>
      </w:r>
    </w:p>
    <w:p w14:paraId="0E8BA22D" w14:textId="27DC4F92" w:rsidR="00013EC8" w:rsidRPr="009939B1" w:rsidRDefault="00013EC8" w:rsidP="00C50979">
      <w:pPr>
        <w:pStyle w:val="Heading2"/>
      </w:pPr>
      <w:r w:rsidRPr="009939B1">
        <w:t>Clarity</w:t>
      </w:r>
    </w:p>
    <w:p w14:paraId="5BEF139A" w14:textId="41096597" w:rsidR="00756CA7" w:rsidRPr="00756CA7" w:rsidRDefault="00E80896" w:rsidP="00756CA7">
      <w:pPr>
        <w:rPr>
          <w:bCs/>
          <w:iCs/>
          <w:u w:val="single"/>
        </w:rPr>
      </w:pPr>
      <w:r>
        <w:t>There were n</w:t>
      </w:r>
      <w:r w:rsidRPr="00F558AA">
        <w:t xml:space="preserve">o </w:t>
      </w:r>
      <w:r w:rsidR="000F3725">
        <w:t xml:space="preserve">significant </w:t>
      </w:r>
      <w:r w:rsidRPr="00F558AA">
        <w:t xml:space="preserve">problems with ambiguity for </w:t>
      </w:r>
      <w:r>
        <w:t>any of the three</w:t>
      </w:r>
      <w:r w:rsidRPr="00F558AA">
        <w:t xml:space="preserve"> indicator</w:t>
      </w:r>
      <w:r>
        <w:t>s, although</w:t>
      </w:r>
      <w:r w:rsidR="00756CA7">
        <w:t xml:space="preserve"> </w:t>
      </w:r>
      <w:r w:rsidR="007F2BA2">
        <w:rPr>
          <w:bCs/>
          <w:iCs/>
        </w:rPr>
        <w:t xml:space="preserve">greater clarity on the definition of those with a ‘mental </w:t>
      </w:r>
      <w:r w:rsidR="007F2BA2" w:rsidRPr="003312C6">
        <w:rPr>
          <w:bCs/>
          <w:iCs/>
        </w:rPr>
        <w:t xml:space="preserve">health condition’ in the guidance was suggested </w:t>
      </w:r>
      <w:r w:rsidR="00756CA7">
        <w:t xml:space="preserve">for </w:t>
      </w:r>
      <w:r w:rsidR="00793C23">
        <w:t>i</w:t>
      </w:r>
      <w:r w:rsidR="00756CA7">
        <w:t>ndicator 3</w:t>
      </w:r>
      <w:r w:rsidR="00970574" w:rsidRPr="003312C6">
        <w:rPr>
          <w:bCs/>
          <w:iCs/>
        </w:rPr>
        <w:t>.</w:t>
      </w:r>
      <w:r w:rsidR="00A84113" w:rsidRPr="003312C6">
        <w:t xml:space="preserve"> </w:t>
      </w:r>
      <w:r w:rsidR="00501CEB">
        <w:t>A</w:t>
      </w:r>
      <w:r w:rsidR="003312C6" w:rsidRPr="003312C6">
        <w:t xml:space="preserve"> few </w:t>
      </w:r>
      <w:r w:rsidR="00A84113" w:rsidRPr="003312C6">
        <w:t xml:space="preserve">specific amendments to indicator wording </w:t>
      </w:r>
      <w:r w:rsidR="00501CEB">
        <w:t xml:space="preserve">were </w:t>
      </w:r>
      <w:r w:rsidR="00A84113" w:rsidRPr="003312C6">
        <w:t xml:space="preserve">suggested in the </w:t>
      </w:r>
      <w:r w:rsidR="00CE4820">
        <w:t xml:space="preserve">survey </w:t>
      </w:r>
      <w:r w:rsidR="00A84113" w:rsidRPr="003312C6">
        <w:t>feedback</w:t>
      </w:r>
      <w:r w:rsidR="00CE4820">
        <w:t xml:space="preserve"> (</w:t>
      </w:r>
      <w:r w:rsidR="00D90DB0">
        <w:t>for detail see p21</w:t>
      </w:r>
      <w:r w:rsidR="00CE4820">
        <w:t>)</w:t>
      </w:r>
      <w:r w:rsidR="00A84113" w:rsidRPr="003312C6">
        <w:t>.</w:t>
      </w:r>
    </w:p>
    <w:p w14:paraId="7EF39B3A" w14:textId="5AD1B629" w:rsidR="00EE26B0" w:rsidRDefault="009063A1" w:rsidP="000F3725">
      <w:pPr>
        <w:pStyle w:val="Heading2"/>
      </w:pPr>
      <w:r w:rsidRPr="009939B1">
        <w:t>Feasibility and</w:t>
      </w:r>
      <w:r w:rsidR="008642CD" w:rsidRPr="009939B1">
        <w:t xml:space="preserve"> reliability </w:t>
      </w:r>
    </w:p>
    <w:p w14:paraId="7F398A60" w14:textId="7E826182" w:rsidR="00711CED" w:rsidRDefault="00711CED" w:rsidP="001D4183">
      <w:r>
        <w:t>No</w:t>
      </w:r>
      <w:r w:rsidR="001D4183">
        <w:t xml:space="preserve"> significant issues</w:t>
      </w:r>
      <w:r w:rsidR="00BA3859">
        <w:t xml:space="preserve"> were</w:t>
      </w:r>
      <w:r w:rsidR="001D4183">
        <w:t xml:space="preserve"> </w:t>
      </w:r>
      <w:r w:rsidR="00DC11C8">
        <w:t xml:space="preserve">raised by the pilot practices </w:t>
      </w:r>
      <w:r w:rsidR="001D015C">
        <w:t xml:space="preserve">regarding </w:t>
      </w:r>
      <w:r w:rsidR="001D4183">
        <w:t xml:space="preserve">identifying patients for indicators 1 and 2, with </w:t>
      </w:r>
      <w:r w:rsidR="00544344">
        <w:t xml:space="preserve">one </w:t>
      </w:r>
      <w:r>
        <w:t xml:space="preserve">specifically </w:t>
      </w:r>
      <w:r w:rsidR="001D4183">
        <w:t>noting the cohort</w:t>
      </w:r>
      <w:r w:rsidR="009A0D98">
        <w:t xml:space="preserve"> for indicator 1</w:t>
      </w:r>
      <w:r w:rsidR="001D4183">
        <w:t xml:space="preserve"> would be </w:t>
      </w:r>
      <w:r w:rsidR="001D015C">
        <w:t>‘</w:t>
      </w:r>
      <w:r w:rsidR="001D4183">
        <w:t>easy to define</w:t>
      </w:r>
      <w:r w:rsidR="001D015C">
        <w:t>’</w:t>
      </w:r>
      <w:r w:rsidR="001D4183">
        <w:t>.</w:t>
      </w:r>
    </w:p>
    <w:p w14:paraId="553E5152" w14:textId="44BFB243" w:rsidR="001D4183" w:rsidRDefault="00711CED" w:rsidP="001D4183">
      <w:r>
        <w:t xml:space="preserve">There were mixed views as to whether the mental health QOF register would adequately capture </w:t>
      </w:r>
      <w:r w:rsidR="00AF4520">
        <w:t xml:space="preserve">the appropriate </w:t>
      </w:r>
      <w:r>
        <w:t xml:space="preserve">patients for </w:t>
      </w:r>
      <w:r w:rsidR="00D90DB0">
        <w:t>i</w:t>
      </w:r>
      <w:r>
        <w:t>ndicator 3</w:t>
      </w:r>
      <w:r w:rsidR="00D95EB6">
        <w:t>. T</w:t>
      </w:r>
      <w:r w:rsidR="00C12450">
        <w:t xml:space="preserve">he accuracy of the register </w:t>
      </w:r>
      <w:r>
        <w:t>was</w:t>
      </w:r>
      <w:r w:rsidR="00DC11C8">
        <w:t xml:space="preserve"> also</w:t>
      </w:r>
      <w:r>
        <w:t xml:space="preserve"> highlighted as a </w:t>
      </w:r>
      <w:r w:rsidR="002E0515">
        <w:t xml:space="preserve">potential issue by a few </w:t>
      </w:r>
      <w:r w:rsidR="002E0515" w:rsidRPr="00FC197C">
        <w:t xml:space="preserve">practices (see </w:t>
      </w:r>
      <w:r w:rsidR="00D3329E" w:rsidRPr="00FC197C">
        <w:t>p19</w:t>
      </w:r>
      <w:r w:rsidR="002E0515" w:rsidRPr="00FC197C">
        <w:t>).</w:t>
      </w:r>
    </w:p>
    <w:p w14:paraId="56761AB3" w14:textId="01035ED1" w:rsidR="001D4183" w:rsidRPr="001D4183" w:rsidRDefault="002A305D" w:rsidP="001D4183">
      <w:r>
        <w:t>The ability to a</w:t>
      </w:r>
      <w:r w:rsidR="002E0515">
        <w:t>ccurately captur</w:t>
      </w:r>
      <w:r>
        <w:t>e</w:t>
      </w:r>
      <w:r w:rsidR="002E0515">
        <w:t xml:space="preserve"> information or notifications</w:t>
      </w:r>
      <w:r>
        <w:t xml:space="preserve"> in a timely manner</w:t>
      </w:r>
      <w:r w:rsidR="002E0515">
        <w:t xml:space="preserve"> from secondary care was </w:t>
      </w:r>
      <w:r>
        <w:t>raised</w:t>
      </w:r>
      <w:r w:rsidR="002E0515">
        <w:t xml:space="preserve"> as a possible issue </w:t>
      </w:r>
      <w:r w:rsidR="005A24C2">
        <w:t>by</w:t>
      </w:r>
      <w:r w:rsidR="002E0515">
        <w:t xml:space="preserve"> some practices</w:t>
      </w:r>
      <w:r w:rsidR="00D90DB0">
        <w:t xml:space="preserve"> (see p20)</w:t>
      </w:r>
      <w:r w:rsidR="002E0515">
        <w:t>.</w:t>
      </w:r>
    </w:p>
    <w:p w14:paraId="402198F9" w14:textId="3F5F95B6" w:rsidR="00985F0C" w:rsidRPr="009939B1" w:rsidRDefault="004E0E76" w:rsidP="001A5605">
      <w:pPr>
        <w:pStyle w:val="Heading2"/>
        <w:spacing w:before="360"/>
      </w:pPr>
      <w:r w:rsidRPr="009939B1">
        <w:t>Acceptability</w:t>
      </w:r>
    </w:p>
    <w:p w14:paraId="1C7850CB" w14:textId="1204885B" w:rsidR="00D52A33" w:rsidRPr="009939B1" w:rsidRDefault="00D52A33" w:rsidP="00D52A33">
      <w:r w:rsidRPr="009939B1">
        <w:t xml:space="preserve">This section summarises practice views from the </w:t>
      </w:r>
      <w:r w:rsidR="00D151FE" w:rsidRPr="009939B1">
        <w:t>interviews</w:t>
      </w:r>
      <w:r w:rsidRPr="009939B1">
        <w:t xml:space="preserve"> and the survey o</w:t>
      </w:r>
      <w:r w:rsidR="00EE26B0" w:rsidRPr="009939B1">
        <w:t>n the acceptability of the topic</w:t>
      </w:r>
      <w:r w:rsidRPr="009939B1">
        <w:t>; on the potential impact on quality of care; the importance of the issue</w:t>
      </w:r>
      <w:r w:rsidR="00926696" w:rsidRPr="009939B1">
        <w:t>s</w:t>
      </w:r>
      <w:r w:rsidRPr="009939B1">
        <w:t xml:space="preserve"> </w:t>
      </w:r>
      <w:r w:rsidR="00926696" w:rsidRPr="009939B1">
        <w:t xml:space="preserve">covered by the indicators </w:t>
      </w:r>
      <w:r w:rsidRPr="009939B1">
        <w:t>for patients and families; the role of financial incentivisation; and, separately for each indicator, any specific acceptability issues identified.</w:t>
      </w:r>
      <w:r w:rsidR="00B45EE6" w:rsidRPr="009939B1">
        <w:t xml:space="preserve"> </w:t>
      </w:r>
    </w:p>
    <w:p w14:paraId="6059DDCF" w14:textId="6A0405C5" w:rsidR="00E61D2E" w:rsidRDefault="007C3A9A" w:rsidP="00E61D2E">
      <w:pPr>
        <w:pStyle w:val="Heading3"/>
      </w:pPr>
      <w:r w:rsidRPr="009939B1">
        <w:t>Topic feedback</w:t>
      </w:r>
    </w:p>
    <w:p w14:paraId="3B707326" w14:textId="5A3D5882" w:rsidR="0098243D" w:rsidRDefault="0098243D" w:rsidP="0069622C">
      <w:r w:rsidRPr="00CC6CDE">
        <w:t xml:space="preserve">Most practices interviewed were supportive of </w:t>
      </w:r>
      <w:r w:rsidR="00803A5E">
        <w:t>an annual review for</w:t>
      </w:r>
      <w:r>
        <w:rPr>
          <w:iCs/>
        </w:rPr>
        <w:t xml:space="preserve"> </w:t>
      </w:r>
      <w:r w:rsidRPr="0098243D">
        <w:rPr>
          <w:iCs/>
        </w:rPr>
        <w:t>all adults receiving drug treatment for epilepsy</w:t>
      </w:r>
      <w:r w:rsidR="00803A5E">
        <w:rPr>
          <w:iCs/>
        </w:rPr>
        <w:t xml:space="preserve"> (</w:t>
      </w:r>
      <w:r w:rsidR="00D90DB0">
        <w:rPr>
          <w:iCs/>
        </w:rPr>
        <w:t>i</w:t>
      </w:r>
      <w:r w:rsidR="00803A5E">
        <w:rPr>
          <w:iCs/>
        </w:rPr>
        <w:t>ndicator 1)</w:t>
      </w:r>
      <w:r w:rsidRPr="00CC6CDE">
        <w:t xml:space="preserve"> </w:t>
      </w:r>
      <w:r w:rsidRPr="00D11FBB">
        <w:t xml:space="preserve">and </w:t>
      </w:r>
      <w:r w:rsidR="007D39D3">
        <w:t>three</w:t>
      </w:r>
      <w:r w:rsidR="00A27E09">
        <w:t xml:space="preserve"> practices </w:t>
      </w:r>
      <w:r w:rsidR="000F3725">
        <w:t>commented</w:t>
      </w:r>
      <w:r w:rsidRPr="00D11FBB">
        <w:t xml:space="preserve"> </w:t>
      </w:r>
      <w:r w:rsidR="00766332">
        <w:t xml:space="preserve">that </w:t>
      </w:r>
      <w:r w:rsidRPr="00D11FBB">
        <w:t>it would improve patient safety</w:t>
      </w:r>
      <w:r w:rsidR="008E3389" w:rsidRPr="00D11FBB">
        <w:t xml:space="preserve"> </w:t>
      </w:r>
      <w:r w:rsidR="0044467E">
        <w:t>(for example, through</w:t>
      </w:r>
      <w:r w:rsidR="008E3389" w:rsidRPr="00D11FBB">
        <w:t xml:space="preserve"> </w:t>
      </w:r>
      <w:r w:rsidR="0044467E">
        <w:t xml:space="preserve">improved </w:t>
      </w:r>
      <w:r w:rsidR="00D11FBB">
        <w:t>medication compliance</w:t>
      </w:r>
      <w:r w:rsidR="0044467E">
        <w:t>)</w:t>
      </w:r>
      <w:r w:rsidR="00E61D2E" w:rsidRPr="00D11FBB">
        <w:t xml:space="preserve">. One </w:t>
      </w:r>
      <w:r w:rsidRPr="00D11FBB">
        <w:t>GP</w:t>
      </w:r>
      <w:r w:rsidR="008E3389" w:rsidRPr="00D11FBB">
        <w:t xml:space="preserve"> </w:t>
      </w:r>
      <w:r w:rsidRPr="00D11FBB">
        <w:t>not</w:t>
      </w:r>
      <w:r w:rsidR="00E61D2E" w:rsidRPr="00D11FBB">
        <w:t xml:space="preserve">ed that </w:t>
      </w:r>
      <w:r w:rsidRPr="00D11FBB">
        <w:t xml:space="preserve">patients with epilepsy </w:t>
      </w:r>
      <w:r w:rsidR="00FA7506">
        <w:t>are</w:t>
      </w:r>
      <w:r w:rsidRPr="00D11FBB">
        <w:t xml:space="preserve"> already reviewed </w:t>
      </w:r>
      <w:r w:rsidR="008E3389" w:rsidRPr="00D11FBB">
        <w:t xml:space="preserve">in their practice </w:t>
      </w:r>
      <w:r w:rsidRPr="00D11FBB">
        <w:t>every year.</w:t>
      </w:r>
      <w:r>
        <w:t xml:space="preserve"> </w:t>
      </w:r>
    </w:p>
    <w:p w14:paraId="7E934768" w14:textId="77777777" w:rsidR="008E3389" w:rsidRPr="00795D64" w:rsidRDefault="008E3389" w:rsidP="008E33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cs="Arial"/>
          <w:i/>
          <w:iCs/>
          <w:szCs w:val="24"/>
        </w:rPr>
      </w:pPr>
      <w:r w:rsidRPr="0099708B">
        <w:rPr>
          <w:rFonts w:cs="Arial"/>
          <w:i/>
          <w:iCs/>
          <w:szCs w:val="24"/>
        </w:rPr>
        <w:lastRenderedPageBreak/>
        <w:t>“</w:t>
      </w:r>
      <w:r w:rsidRPr="00795D64">
        <w:rPr>
          <w:rFonts w:cs="Arial"/>
          <w:i/>
          <w:iCs/>
          <w:szCs w:val="24"/>
        </w:rPr>
        <w:t>I think straight off we'd say we can see the value in it, I think, from a patient perspective it's a very useful thing to do, and certainly hopefully improve their confidence in terms of their use of their medications</w:t>
      </w:r>
      <w:r w:rsidRPr="0099708B">
        <w:rPr>
          <w:rFonts w:cs="Arial"/>
          <w:i/>
          <w:iCs/>
          <w:szCs w:val="24"/>
        </w:rPr>
        <w:t>.” [Pharmacist, Interview]</w:t>
      </w:r>
    </w:p>
    <w:p w14:paraId="073947C1" w14:textId="1B5A341E" w:rsidR="00D11FBB" w:rsidRDefault="0098243D" w:rsidP="00997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cs="Arial"/>
          <w:i/>
          <w:iCs/>
          <w:szCs w:val="24"/>
        </w:rPr>
      </w:pPr>
      <w:r>
        <w:rPr>
          <w:rFonts w:cs="Arial"/>
          <w:i/>
          <w:iCs/>
          <w:szCs w:val="24"/>
        </w:rPr>
        <w:t>“I</w:t>
      </w:r>
      <w:r w:rsidRPr="00CC6CDE">
        <w:rPr>
          <w:rFonts w:cs="Arial"/>
          <w:i/>
          <w:iCs/>
          <w:szCs w:val="24"/>
        </w:rPr>
        <w:t xml:space="preserve">n a clinical practice you meet quite a few patients who have challenges with medication, and I think it is important that we are adequately resourced to do that and </w:t>
      </w:r>
      <w:r>
        <w:rPr>
          <w:rFonts w:cs="Arial"/>
          <w:i/>
          <w:iCs/>
          <w:szCs w:val="24"/>
        </w:rPr>
        <w:t>(…)</w:t>
      </w:r>
      <w:r w:rsidRPr="00CC6CDE">
        <w:rPr>
          <w:rFonts w:cs="Arial"/>
          <w:i/>
          <w:iCs/>
          <w:szCs w:val="24"/>
        </w:rPr>
        <w:t xml:space="preserve"> it will help enormously from a safety profile because </w:t>
      </w:r>
      <w:r>
        <w:rPr>
          <w:rFonts w:cs="Arial"/>
          <w:i/>
          <w:iCs/>
          <w:szCs w:val="24"/>
        </w:rPr>
        <w:t xml:space="preserve">(…) then </w:t>
      </w:r>
      <w:r w:rsidRPr="00CC6CDE">
        <w:rPr>
          <w:rFonts w:cs="Arial"/>
          <w:i/>
          <w:iCs/>
          <w:szCs w:val="24"/>
        </w:rPr>
        <w:t>this patient will come on the radar and won’t slip through the net.” [GP,</w:t>
      </w:r>
      <w:r>
        <w:rPr>
          <w:rFonts w:cs="Arial"/>
          <w:i/>
          <w:iCs/>
          <w:szCs w:val="24"/>
        </w:rPr>
        <w:t xml:space="preserve"> </w:t>
      </w:r>
      <w:r w:rsidRPr="00CC6CDE">
        <w:rPr>
          <w:rFonts w:cs="Arial"/>
          <w:i/>
          <w:iCs/>
          <w:szCs w:val="24"/>
        </w:rPr>
        <w:t xml:space="preserve">Interview] </w:t>
      </w:r>
    </w:p>
    <w:p w14:paraId="6021A91D" w14:textId="0CF11B19" w:rsidR="00795D64" w:rsidRDefault="0098243D" w:rsidP="00A26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CC6CDE">
        <w:t xml:space="preserve">However, </w:t>
      </w:r>
      <w:r w:rsidR="00FC2C1C">
        <w:t>one</w:t>
      </w:r>
      <w:r w:rsidRPr="00CC6CDE">
        <w:t xml:space="preserve"> GP </w:t>
      </w:r>
      <w:r>
        <w:t>questioned the value of this indicator</w:t>
      </w:r>
      <w:r w:rsidR="0044467E">
        <w:t xml:space="preserve"> (indicator 1)</w:t>
      </w:r>
      <w:r w:rsidR="00851260">
        <w:t>, asserting that</w:t>
      </w:r>
      <w:r>
        <w:t xml:space="preserve"> because patients with epilepsy are</w:t>
      </w:r>
      <w:r w:rsidR="00AB7743">
        <w:t xml:space="preserve"> referred and</w:t>
      </w:r>
      <w:r>
        <w:t xml:space="preserve"> managed within secondary care, particularly for medication </w:t>
      </w:r>
      <w:r w:rsidR="00DF3051">
        <w:t>reviews/changes</w:t>
      </w:r>
      <w:r>
        <w:t xml:space="preserve">, </w:t>
      </w:r>
      <w:r w:rsidR="000F3725">
        <w:t>the indicator</w:t>
      </w:r>
      <w:r w:rsidR="0015141F">
        <w:t xml:space="preserve"> </w:t>
      </w:r>
      <w:r w:rsidR="00442C06">
        <w:t>would be better placed in secondary care</w:t>
      </w:r>
      <w:r w:rsidR="00851260">
        <w:t>:</w:t>
      </w:r>
    </w:p>
    <w:p w14:paraId="7E5B7770" w14:textId="108DB16A" w:rsidR="005A465D" w:rsidRDefault="00795D64" w:rsidP="00637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rFonts w:cs="Arial"/>
          <w:i/>
          <w:iCs/>
          <w:szCs w:val="24"/>
        </w:rPr>
      </w:pPr>
      <w:r>
        <w:rPr>
          <w:rFonts w:cs="Arial"/>
          <w:i/>
          <w:iCs/>
          <w:szCs w:val="24"/>
        </w:rPr>
        <w:t>“</w:t>
      </w:r>
      <w:r w:rsidRPr="00795D64">
        <w:rPr>
          <w:rFonts w:cs="Arial"/>
          <w:i/>
          <w:iCs/>
          <w:szCs w:val="24"/>
        </w:rPr>
        <w:t>I am not a big fan of this, and the reason why is because – fine, you have reviewed these patients, they have got side effects, they get seizures from it – what are you going to do as a GP?  You just end up referring anyway – you are just basically a middleman here.  This really needs to be done from secondary care.</w:t>
      </w:r>
      <w:r>
        <w:rPr>
          <w:rFonts w:cs="Arial"/>
          <w:i/>
          <w:iCs/>
          <w:szCs w:val="24"/>
        </w:rPr>
        <w:t>” [GP, Interview]</w:t>
      </w:r>
    </w:p>
    <w:p w14:paraId="066A76F7" w14:textId="2ED1A623" w:rsidR="000862A9" w:rsidRDefault="00D70DB5" w:rsidP="00B41B74">
      <w:pPr>
        <w:spacing w:before="240"/>
      </w:pPr>
      <w:r>
        <w:t>Many</w:t>
      </w:r>
      <w:r w:rsidR="002E4857">
        <w:t xml:space="preserve"> other practices</w:t>
      </w:r>
      <w:r w:rsidR="008E3389">
        <w:t xml:space="preserve"> also</w:t>
      </w:r>
      <w:r w:rsidR="002E4857">
        <w:t xml:space="preserve"> </w:t>
      </w:r>
      <w:r w:rsidR="00FC2C1C">
        <w:t xml:space="preserve">highlighted the potential </w:t>
      </w:r>
      <w:r w:rsidR="002E4857">
        <w:t xml:space="preserve">overlap with reviews </w:t>
      </w:r>
      <w:r w:rsidR="00FA7506">
        <w:t xml:space="preserve">of patients with epilepsy </w:t>
      </w:r>
      <w:r w:rsidR="002E4857">
        <w:t xml:space="preserve">being conducted </w:t>
      </w:r>
      <w:r w:rsidR="007A1A1C">
        <w:t>by staff in</w:t>
      </w:r>
      <w:r w:rsidR="002E4857">
        <w:t xml:space="preserve"> secondary car</w:t>
      </w:r>
      <w:r w:rsidR="002E4857" w:rsidRPr="00C379F0">
        <w:t>e</w:t>
      </w:r>
      <w:r>
        <w:t xml:space="preserve"> emphasising that they would not want to have to re-review these patients</w:t>
      </w:r>
      <w:r w:rsidR="009F6C3B">
        <w:t xml:space="preserve"> </w:t>
      </w:r>
      <w:r w:rsidR="002E4857" w:rsidRPr="00C379F0">
        <w:t>(</w:t>
      </w:r>
      <w:r w:rsidR="002E4857" w:rsidRPr="00FC197C">
        <w:t xml:space="preserve">see </w:t>
      </w:r>
      <w:r w:rsidR="00FC197C" w:rsidRPr="00FC197C">
        <w:t>p</w:t>
      </w:r>
      <w:r w:rsidR="00D3329E" w:rsidRPr="00FC197C">
        <w:t>13</w:t>
      </w:r>
      <w:r w:rsidR="002E4857">
        <w:t>).</w:t>
      </w:r>
    </w:p>
    <w:p w14:paraId="2DF044B3" w14:textId="3CA1FCBF" w:rsidR="0099708B" w:rsidRDefault="00912B53" w:rsidP="00E7374E">
      <w:r>
        <w:t xml:space="preserve">Interviewees generally agreed that </w:t>
      </w:r>
      <w:r w:rsidR="00FB466C">
        <w:t xml:space="preserve">indicators 2 and 3 </w:t>
      </w:r>
      <w:r w:rsidR="00D84185">
        <w:t>are</w:t>
      </w:r>
      <w:r w:rsidR="00FB466C">
        <w:t xml:space="preserve"> </w:t>
      </w:r>
      <w:r w:rsidR="00D84185">
        <w:t>acceptable</w:t>
      </w:r>
      <w:r w:rsidR="00FB466C">
        <w:t xml:space="preserve">, </w:t>
      </w:r>
      <w:r w:rsidR="00F33FEA">
        <w:t>with practices noting that</w:t>
      </w:r>
      <w:r>
        <w:t xml:space="preserve"> existing</w:t>
      </w:r>
      <w:r w:rsidR="00F33FEA">
        <w:t xml:space="preserve"> reviews </w:t>
      </w:r>
      <w:r>
        <w:t>are</w:t>
      </w:r>
      <w:r w:rsidR="00F33FEA">
        <w:t xml:space="preserve"> conducted with these </w:t>
      </w:r>
      <w:r>
        <w:t>patient groups</w:t>
      </w:r>
      <w:r w:rsidR="00816E54">
        <w:t xml:space="preserve"> regarding their learning disability and/or mental health </w:t>
      </w:r>
      <w:r w:rsidR="00D90DB0">
        <w:t>condition</w:t>
      </w:r>
      <w:r w:rsidR="00F33FEA">
        <w:t xml:space="preserve">. </w:t>
      </w:r>
      <w:r w:rsidR="00D54B98">
        <w:t xml:space="preserve">However, views on whether an epilepsy review would be included in these existing reviews varied between practices, particularly for </w:t>
      </w:r>
      <w:r w:rsidR="00D54B98" w:rsidRPr="00FC197C">
        <w:t xml:space="preserve">indicator 3 (see </w:t>
      </w:r>
      <w:r w:rsidR="00A26216" w:rsidRPr="00FC197C">
        <w:t>p1</w:t>
      </w:r>
      <w:r w:rsidR="002D3DAD" w:rsidRPr="00FC197C">
        <w:t>8</w:t>
      </w:r>
      <w:r w:rsidR="00D54B98" w:rsidRPr="00FC197C">
        <w:t xml:space="preserve"> for detail). </w:t>
      </w:r>
      <w:r w:rsidR="005643DF" w:rsidRPr="00FC197C">
        <w:t>In</w:t>
      </w:r>
      <w:r w:rsidR="005643DF">
        <w:t xml:space="preserve"> contrast, </w:t>
      </w:r>
      <w:r>
        <w:t xml:space="preserve">and due to these existing reviews, </w:t>
      </w:r>
      <w:r w:rsidR="00455BC1">
        <w:t>one</w:t>
      </w:r>
      <w:r w:rsidR="009A7E10">
        <w:t xml:space="preserve"> </w:t>
      </w:r>
      <w:r w:rsidR="00F33FEA">
        <w:t xml:space="preserve">practice questioned the value of </w:t>
      </w:r>
      <w:r w:rsidR="004B7179">
        <w:t xml:space="preserve">creating subsets of patients for </w:t>
      </w:r>
      <w:r w:rsidR="00F33FEA">
        <w:t xml:space="preserve">these indicators and suggested </w:t>
      </w:r>
      <w:r w:rsidR="0015141F">
        <w:t xml:space="preserve">that </w:t>
      </w:r>
      <w:r w:rsidR="00175C28">
        <w:t>only</w:t>
      </w:r>
      <w:r w:rsidR="00F33FEA">
        <w:t xml:space="preserve"> </w:t>
      </w:r>
      <w:r w:rsidR="00793C23">
        <w:t>i</w:t>
      </w:r>
      <w:r w:rsidR="00F33FEA">
        <w:t xml:space="preserve">ndicator 1 </w:t>
      </w:r>
      <w:r w:rsidR="004B7179">
        <w:t xml:space="preserve">is </w:t>
      </w:r>
      <w:r w:rsidR="00F33FEA">
        <w:t>retained</w:t>
      </w:r>
      <w:r w:rsidR="005643DF">
        <w:t xml:space="preserve">. </w:t>
      </w:r>
    </w:p>
    <w:p w14:paraId="560998B0" w14:textId="79022790" w:rsidR="0099708B" w:rsidRDefault="0099708B" w:rsidP="00637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rFonts w:cs="Arial"/>
          <w:i/>
          <w:iCs/>
          <w:szCs w:val="24"/>
        </w:rPr>
      </w:pPr>
      <w:r w:rsidRPr="0099708B">
        <w:rPr>
          <w:rFonts w:cs="Arial"/>
          <w:i/>
          <w:iCs/>
          <w:szCs w:val="24"/>
        </w:rPr>
        <w:t>“I would suggest that you drop indicators 2 and 3 because they add nothing because we are doing learning disabilities</w:t>
      </w:r>
      <w:r w:rsidR="00144F1C">
        <w:rPr>
          <w:rFonts w:cs="Arial"/>
          <w:i/>
          <w:iCs/>
          <w:szCs w:val="24"/>
        </w:rPr>
        <w:t>’</w:t>
      </w:r>
      <w:r w:rsidR="00144F1C" w:rsidRPr="0099708B">
        <w:rPr>
          <w:rFonts w:cs="Arial"/>
          <w:i/>
          <w:iCs/>
          <w:szCs w:val="24"/>
        </w:rPr>
        <w:t xml:space="preserve"> </w:t>
      </w:r>
      <w:r w:rsidRPr="0099708B">
        <w:rPr>
          <w:rFonts w:cs="Arial"/>
          <w:i/>
          <w:iCs/>
          <w:szCs w:val="24"/>
        </w:rPr>
        <w:t>health checks every year, we are getting battered with them and you have got the severe mental health indicators that do all the mental health patients. Forget 2 and 3 but do 1</w:t>
      </w:r>
      <w:r w:rsidR="00A26216">
        <w:rPr>
          <w:rFonts w:cs="Arial"/>
          <w:i/>
          <w:iCs/>
          <w:szCs w:val="24"/>
        </w:rPr>
        <w:t>.</w:t>
      </w:r>
      <w:r w:rsidRPr="0099708B">
        <w:rPr>
          <w:rFonts w:cs="Arial"/>
          <w:i/>
          <w:iCs/>
          <w:szCs w:val="24"/>
        </w:rPr>
        <w:t>” [Practice Manager, Interview]</w:t>
      </w:r>
    </w:p>
    <w:p w14:paraId="1B7C1C5D" w14:textId="3FB61CE9" w:rsidR="002E4857" w:rsidRDefault="00455BC1" w:rsidP="00B41B74">
      <w:pPr>
        <w:spacing w:before="240"/>
        <w:rPr>
          <w:u w:val="single"/>
        </w:rPr>
      </w:pPr>
      <w:r>
        <w:t xml:space="preserve">A further practice also initially shared this view, but </w:t>
      </w:r>
      <w:r w:rsidR="00F33FEA">
        <w:t>after further reflection</w:t>
      </w:r>
      <w:r w:rsidR="00BF1F71">
        <w:t xml:space="preserve"> during the </w:t>
      </w:r>
      <w:r w:rsidR="009F77EA">
        <w:t>interview</w:t>
      </w:r>
      <w:r w:rsidR="00F33FEA">
        <w:t xml:space="preserve">, </w:t>
      </w:r>
      <w:r w:rsidR="005643DF">
        <w:t xml:space="preserve">the GP from </w:t>
      </w:r>
      <w:r w:rsidR="00A26216">
        <w:t>this</w:t>
      </w:r>
      <w:r w:rsidR="00F33FEA">
        <w:t xml:space="preserve"> practice thought </w:t>
      </w:r>
      <w:r w:rsidR="00E74247">
        <w:t>indicators 2 and 3 were important</w:t>
      </w:r>
      <w:r w:rsidR="00F33FEA">
        <w:t xml:space="preserve"> </w:t>
      </w:r>
      <w:r w:rsidR="0099708B">
        <w:t xml:space="preserve">to ensure </w:t>
      </w:r>
      <w:r w:rsidR="00847B19">
        <w:t xml:space="preserve">that </w:t>
      </w:r>
      <w:r w:rsidR="006926C5">
        <w:t>these</w:t>
      </w:r>
      <w:r w:rsidR="0099708B">
        <w:t xml:space="preserve"> </w:t>
      </w:r>
      <w:r w:rsidR="00803A5E">
        <w:t>sub</w:t>
      </w:r>
      <w:r w:rsidR="0099708B">
        <w:t>groups of patients are not missed</w:t>
      </w:r>
      <w:r w:rsidR="008E3389">
        <w:t xml:space="preserve"> by only </w:t>
      </w:r>
      <w:r w:rsidR="00F52A6F">
        <w:t>including</w:t>
      </w:r>
      <w:r w:rsidR="008E3389">
        <w:t xml:space="preserve"> </w:t>
      </w:r>
      <w:r w:rsidR="00D90DB0">
        <w:t>i</w:t>
      </w:r>
      <w:r w:rsidR="008E3389">
        <w:t>ndicator 1</w:t>
      </w:r>
      <w:r w:rsidR="00CE4820">
        <w:t>:</w:t>
      </w:r>
    </w:p>
    <w:p w14:paraId="21544913" w14:textId="40972A39" w:rsidR="0099708B" w:rsidRPr="0099708B" w:rsidRDefault="0099708B" w:rsidP="00244D6E">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i/>
          <w:iCs/>
          <w:sz w:val="24"/>
          <w:szCs w:val="24"/>
        </w:rPr>
      </w:pPr>
      <w:r>
        <w:rPr>
          <w:i/>
          <w:iCs/>
          <w:sz w:val="24"/>
          <w:szCs w:val="24"/>
        </w:rPr>
        <w:t>“</w:t>
      </w:r>
      <w:r w:rsidRPr="0099708B">
        <w:rPr>
          <w:i/>
          <w:iCs/>
          <w:sz w:val="24"/>
          <w:szCs w:val="24"/>
        </w:rPr>
        <w:t xml:space="preserve">I'm going to contradict myself now because the problem is that with indicator </w:t>
      </w:r>
      <w:r w:rsidR="00144F1C">
        <w:rPr>
          <w:i/>
          <w:iCs/>
          <w:sz w:val="24"/>
          <w:szCs w:val="24"/>
        </w:rPr>
        <w:t>1</w:t>
      </w:r>
      <w:r w:rsidRPr="0099708B">
        <w:rPr>
          <w:i/>
          <w:iCs/>
          <w:sz w:val="24"/>
          <w:szCs w:val="24"/>
        </w:rPr>
        <w:t xml:space="preserve">, there's likely to be percentage parameters for performance and you can end up with </w:t>
      </w:r>
      <w:r w:rsidRPr="0099708B">
        <w:rPr>
          <w:i/>
          <w:iCs/>
          <w:sz w:val="24"/>
          <w:szCs w:val="24"/>
        </w:rPr>
        <w:lastRenderedPageBreak/>
        <w:t>these small cohorts of difficult to reach being indicators two and three. So, if they're not sub-setted, they become the ones who become ignored because you hit your QOF targets and pressure goes. So, I guess high targets on the subsets. Maybe there is some merit.</w:t>
      </w:r>
      <w:r>
        <w:rPr>
          <w:i/>
          <w:iCs/>
          <w:sz w:val="24"/>
          <w:szCs w:val="24"/>
        </w:rPr>
        <w:t>” [GP, Interview]</w:t>
      </w:r>
    </w:p>
    <w:p w14:paraId="398420D0" w14:textId="77777777" w:rsidR="0099708B" w:rsidRDefault="0099708B" w:rsidP="00244D6E">
      <w:pPr>
        <w:pStyle w:val="p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Times New Roman" w:hAnsi="Times New Roman" w:cs="Times New Roman"/>
          <w:sz w:val="24"/>
          <w:szCs w:val="24"/>
        </w:rPr>
      </w:pPr>
    </w:p>
    <w:p w14:paraId="640B35C3" w14:textId="2E92907B" w:rsidR="002C3DB1" w:rsidRPr="008E3389" w:rsidRDefault="0099708B" w:rsidP="00244D6E">
      <w:r w:rsidRPr="00267156">
        <w:t>Whilst there was support</w:t>
      </w:r>
      <w:r w:rsidR="00E820AA">
        <w:t xml:space="preserve"> in general</w:t>
      </w:r>
      <w:r w:rsidRPr="00267156">
        <w:t xml:space="preserve"> for </w:t>
      </w:r>
      <w:r w:rsidR="00793C23">
        <w:t>i</w:t>
      </w:r>
      <w:r w:rsidRPr="00267156">
        <w:t xml:space="preserve">ndicators 2 and 3, </w:t>
      </w:r>
      <w:r w:rsidR="00FC2C1C">
        <w:t>some issues were noted</w:t>
      </w:r>
      <w:r w:rsidR="00430FAC">
        <w:t xml:space="preserve">: </w:t>
      </w:r>
      <w:r w:rsidR="006926C5">
        <w:t>the</w:t>
      </w:r>
      <w:r w:rsidR="00FC2C1C">
        <w:t xml:space="preserve"> small </w:t>
      </w:r>
      <w:r w:rsidR="00E74247">
        <w:t xml:space="preserve">cohort </w:t>
      </w:r>
      <w:r w:rsidR="00FC2C1C">
        <w:t>of patients</w:t>
      </w:r>
      <w:r w:rsidR="00330263">
        <w:t xml:space="preserve"> (particularly </w:t>
      </w:r>
      <w:r w:rsidR="00D54B98">
        <w:t xml:space="preserve">for </w:t>
      </w:r>
      <w:r w:rsidR="00330263">
        <w:t>indicator 3)</w:t>
      </w:r>
      <w:r w:rsidR="006926C5">
        <w:t xml:space="preserve">, </w:t>
      </w:r>
      <w:r w:rsidR="006926C5" w:rsidRPr="00E05831">
        <w:t xml:space="preserve">the difficulty </w:t>
      </w:r>
      <w:r w:rsidR="00D54B98">
        <w:t xml:space="preserve">of </w:t>
      </w:r>
      <w:r w:rsidR="006926C5" w:rsidRPr="00E05831">
        <w:t>incorporating</w:t>
      </w:r>
      <w:r w:rsidR="00F25834" w:rsidRPr="00E05831">
        <w:t xml:space="preserve"> </w:t>
      </w:r>
      <w:r w:rsidR="000F3725" w:rsidRPr="00E05831">
        <w:t>a review of epilepsy</w:t>
      </w:r>
      <w:r w:rsidR="00430FAC" w:rsidRPr="00E05831">
        <w:t xml:space="preserve"> within </w:t>
      </w:r>
      <w:r w:rsidR="006926C5" w:rsidRPr="00E05831">
        <w:t xml:space="preserve">existing </w:t>
      </w:r>
      <w:r w:rsidR="00430FAC" w:rsidRPr="00E05831">
        <w:t xml:space="preserve">mental health </w:t>
      </w:r>
      <w:r w:rsidR="006926C5" w:rsidRPr="00E05831">
        <w:t>reviews</w:t>
      </w:r>
      <w:r w:rsidR="0015141F" w:rsidRPr="00E05831">
        <w:t xml:space="preserve"> (</w:t>
      </w:r>
      <w:r w:rsidR="00793C23">
        <w:t>i</w:t>
      </w:r>
      <w:r w:rsidR="0015141F" w:rsidRPr="00E05831">
        <w:t>ndicator 3)</w:t>
      </w:r>
      <w:r w:rsidR="00144F1C">
        <w:t>,</w:t>
      </w:r>
      <w:r w:rsidR="006926C5" w:rsidRPr="00E05831">
        <w:t xml:space="preserve"> and the </w:t>
      </w:r>
      <w:r w:rsidR="00FC2C1C" w:rsidRPr="00E05831">
        <w:t xml:space="preserve">potential to miss </w:t>
      </w:r>
      <w:r w:rsidR="00D54B98">
        <w:t xml:space="preserve">appropriate </w:t>
      </w:r>
      <w:r w:rsidR="00FC2C1C" w:rsidRPr="00E05831">
        <w:t xml:space="preserve">patients </w:t>
      </w:r>
      <w:r w:rsidR="006926C5" w:rsidRPr="00E05831">
        <w:t>(</w:t>
      </w:r>
      <w:r w:rsidR="00793C23">
        <w:t>i</w:t>
      </w:r>
      <w:r w:rsidR="00FC2C1C" w:rsidRPr="00E05831">
        <w:t>ndicator 3</w:t>
      </w:r>
      <w:r w:rsidR="006926C5" w:rsidRPr="00E05831">
        <w:t>)</w:t>
      </w:r>
      <w:r w:rsidR="00430FAC" w:rsidRPr="00E05831">
        <w:t>. S</w:t>
      </w:r>
      <w:r w:rsidR="00FC2C1C" w:rsidRPr="00E05831">
        <w:t xml:space="preserve">ee </w:t>
      </w:r>
      <w:r w:rsidR="000F3725" w:rsidRPr="00E05831">
        <w:t>indicator-level feedback</w:t>
      </w:r>
      <w:r w:rsidR="00FC2C1C" w:rsidRPr="00E05831">
        <w:t xml:space="preserve"> for</w:t>
      </w:r>
      <w:r w:rsidR="00E05831" w:rsidRPr="00E05831">
        <w:t xml:space="preserve"> </w:t>
      </w:r>
      <w:r w:rsidR="00793C23">
        <w:t>i</w:t>
      </w:r>
      <w:r w:rsidR="00E05831" w:rsidRPr="00E05831">
        <w:t>ndicators 2 and 3 for</w:t>
      </w:r>
      <w:r w:rsidR="00FC2C1C" w:rsidRPr="00E05831">
        <w:t xml:space="preserve"> </w:t>
      </w:r>
      <w:r w:rsidR="00430FAC" w:rsidRPr="00E05831">
        <w:t xml:space="preserve">further </w:t>
      </w:r>
      <w:r w:rsidR="00FC2C1C" w:rsidRPr="00E05831">
        <w:t>detail.</w:t>
      </w:r>
    </w:p>
    <w:p w14:paraId="635352AE" w14:textId="075FBC24" w:rsidR="00B84463" w:rsidRPr="00B84463" w:rsidRDefault="009766FF" w:rsidP="00B41B74">
      <w:pPr>
        <w:pStyle w:val="Heading3"/>
        <w:spacing w:before="240"/>
      </w:pPr>
      <w:r w:rsidRPr="008E3389">
        <w:t>Indicator-level feedback</w:t>
      </w:r>
    </w:p>
    <w:p w14:paraId="64F2DF58" w14:textId="2D4B1D37" w:rsidR="009766FF" w:rsidRDefault="009766FF" w:rsidP="00803A5E">
      <w:pPr>
        <w:pStyle w:val="Heading4"/>
      </w:pPr>
      <w:r>
        <w:t>Quality of care</w:t>
      </w:r>
    </w:p>
    <w:p w14:paraId="1A5D8BD9" w14:textId="6157CEE0" w:rsidR="00AB7743" w:rsidRDefault="009766FF" w:rsidP="009766FF">
      <w:r>
        <w:t xml:space="preserve">The views of survey respondents about the </w:t>
      </w:r>
      <w:r w:rsidRPr="0076463B">
        <w:rPr>
          <w:rStyle w:val="Heading4Char"/>
          <w:u w:val="none"/>
        </w:rPr>
        <w:t xml:space="preserve">impact </w:t>
      </w:r>
      <w:r w:rsidR="00BC76A9">
        <w:rPr>
          <w:rStyle w:val="Heading4Char"/>
          <w:u w:val="none"/>
        </w:rPr>
        <w:t>of the epilepsy</w:t>
      </w:r>
      <w:r w:rsidR="00A27E09">
        <w:rPr>
          <w:rStyle w:val="Heading4Char"/>
          <w:u w:val="none"/>
        </w:rPr>
        <w:t>-related</w:t>
      </w:r>
      <w:r w:rsidR="00BC76A9">
        <w:rPr>
          <w:rStyle w:val="Heading4Char"/>
          <w:u w:val="none"/>
        </w:rPr>
        <w:t xml:space="preserve"> indicators </w:t>
      </w:r>
      <w:r w:rsidRPr="0076463B">
        <w:rPr>
          <w:rStyle w:val="Heading4Char"/>
          <w:u w:val="none"/>
        </w:rPr>
        <w:t xml:space="preserve">on </w:t>
      </w:r>
      <w:r w:rsidR="00BC76A9">
        <w:rPr>
          <w:rStyle w:val="Heading4Char"/>
          <w:u w:val="none"/>
        </w:rPr>
        <w:t xml:space="preserve">the </w:t>
      </w:r>
      <w:r w:rsidRPr="0076463B">
        <w:rPr>
          <w:rStyle w:val="Heading4Char"/>
          <w:u w:val="none"/>
        </w:rPr>
        <w:t>quality of care for patients</w:t>
      </w:r>
      <w:r>
        <w:t xml:space="preserve"> were obtained</w:t>
      </w:r>
      <w:r w:rsidR="0076463B">
        <w:t xml:space="preserve">. </w:t>
      </w:r>
      <w:r w:rsidR="00FA7506">
        <w:t>Across</w:t>
      </w:r>
      <w:r w:rsidR="00BC76A9">
        <w:t xml:space="preserve"> all three indicators, no respondents </w:t>
      </w:r>
      <w:r w:rsidR="00144F1C">
        <w:t xml:space="preserve">predicted </w:t>
      </w:r>
      <w:r w:rsidR="00FA7506">
        <w:t>the</w:t>
      </w:r>
      <w:r w:rsidR="00324F21">
        <w:t xml:space="preserve"> indicators</w:t>
      </w:r>
      <w:r w:rsidR="00BC76A9">
        <w:t xml:space="preserve"> </w:t>
      </w:r>
      <w:r w:rsidR="00925921">
        <w:t>c</w:t>
      </w:r>
      <w:r w:rsidR="00BC76A9">
        <w:t xml:space="preserve">ould </w:t>
      </w:r>
      <w:r w:rsidR="00B6065B">
        <w:t>‘</w:t>
      </w:r>
      <w:r w:rsidR="00BC76A9">
        <w:t>worsen</w:t>
      </w:r>
      <w:r w:rsidR="00B6065B">
        <w:t>’</w:t>
      </w:r>
      <w:r w:rsidR="00BC76A9">
        <w:t xml:space="preserve"> the quality of care for patients (Table 1). </w:t>
      </w:r>
    </w:p>
    <w:p w14:paraId="4966DA9A" w14:textId="77777777" w:rsidR="00DC11C8" w:rsidRPr="004B4482" w:rsidRDefault="00DC11C8" w:rsidP="00DC11C8">
      <w:pPr>
        <w:spacing w:line="276" w:lineRule="auto"/>
        <w:rPr>
          <w:u w:val="single"/>
        </w:rPr>
      </w:pPr>
      <w:r w:rsidRPr="004B4482">
        <w:rPr>
          <w:u w:val="single"/>
        </w:rPr>
        <w:t>Table 1: Views on the impact of quality of care of epilepsy-related indicators (survey)</w:t>
      </w:r>
    </w:p>
    <w:tbl>
      <w:tblPr>
        <w:tblStyle w:val="TableGrid"/>
        <w:tblW w:w="9209" w:type="dxa"/>
        <w:tblLook w:val="04A0" w:firstRow="1" w:lastRow="0" w:firstColumn="1" w:lastColumn="0" w:noHBand="0" w:noVBand="1"/>
      </w:tblPr>
      <w:tblGrid>
        <w:gridCol w:w="4815"/>
        <w:gridCol w:w="1241"/>
        <w:gridCol w:w="1169"/>
        <w:gridCol w:w="1234"/>
        <w:gridCol w:w="750"/>
      </w:tblGrid>
      <w:tr w:rsidR="00DC11C8" w14:paraId="00A96FC2"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p w14:paraId="09DD0F87" w14:textId="77777777" w:rsidR="00DC11C8" w:rsidRPr="008726C8" w:rsidRDefault="00DC11C8" w:rsidP="00154EC2">
            <w:pPr>
              <w:spacing w:before="60" w:after="60" w:line="240" w:lineRule="auto"/>
              <w:rPr>
                <w:b/>
                <w:sz w:val="22"/>
              </w:rPr>
            </w:pPr>
            <w:r w:rsidRPr="008726C8">
              <w:rPr>
                <w:b/>
                <w:sz w:val="22"/>
              </w:rPr>
              <w:t>What impact do you think the following indicators could have on the quality of care for patients?</w:t>
            </w:r>
          </w:p>
        </w:tc>
      </w:tr>
      <w:tr w:rsidR="00DC11C8" w14:paraId="5A4DCB02" w14:textId="77777777" w:rsidTr="00154EC2">
        <w:tc>
          <w:tcPr>
            <w:tcW w:w="4815" w:type="dxa"/>
            <w:tcBorders>
              <w:top w:val="single" w:sz="4" w:space="0" w:color="auto"/>
              <w:left w:val="single" w:sz="4" w:space="0" w:color="auto"/>
              <w:bottom w:val="single" w:sz="4" w:space="0" w:color="auto"/>
              <w:right w:val="single" w:sz="4" w:space="0" w:color="auto"/>
            </w:tcBorders>
          </w:tcPr>
          <w:p w14:paraId="7F31246A" w14:textId="77777777" w:rsidR="00DC11C8" w:rsidRPr="008726C8" w:rsidRDefault="00DC11C8"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1B4EE688" w14:textId="77777777" w:rsidR="00DC11C8" w:rsidRPr="008726C8" w:rsidRDefault="00DC11C8" w:rsidP="00154EC2">
            <w:pPr>
              <w:spacing w:before="60" w:after="60" w:line="240" w:lineRule="auto"/>
              <w:jc w:val="center"/>
              <w:rPr>
                <w:sz w:val="22"/>
              </w:rPr>
            </w:pPr>
            <w:r w:rsidRPr="008726C8">
              <w:rPr>
                <w:sz w:val="22"/>
              </w:rPr>
              <w:t>Improve</w:t>
            </w:r>
          </w:p>
        </w:tc>
        <w:tc>
          <w:tcPr>
            <w:tcW w:w="1169" w:type="dxa"/>
            <w:tcBorders>
              <w:top w:val="single" w:sz="4" w:space="0" w:color="auto"/>
              <w:left w:val="single" w:sz="4" w:space="0" w:color="auto"/>
              <w:bottom w:val="single" w:sz="4" w:space="0" w:color="auto"/>
              <w:right w:val="single" w:sz="4" w:space="0" w:color="auto"/>
            </w:tcBorders>
            <w:hideMark/>
          </w:tcPr>
          <w:p w14:paraId="3CEE9D56" w14:textId="77777777" w:rsidR="00DC11C8" w:rsidRPr="008726C8" w:rsidRDefault="00DC11C8" w:rsidP="00154EC2">
            <w:pPr>
              <w:spacing w:before="60" w:after="60" w:line="240" w:lineRule="auto"/>
              <w:jc w:val="center"/>
              <w:rPr>
                <w:sz w:val="22"/>
              </w:rPr>
            </w:pPr>
            <w:r w:rsidRPr="008726C8">
              <w:rPr>
                <w:sz w:val="22"/>
              </w:rPr>
              <w:t>No change</w:t>
            </w:r>
          </w:p>
        </w:tc>
        <w:tc>
          <w:tcPr>
            <w:tcW w:w="1234" w:type="dxa"/>
            <w:tcBorders>
              <w:top w:val="single" w:sz="4" w:space="0" w:color="auto"/>
              <w:left w:val="single" w:sz="4" w:space="0" w:color="auto"/>
              <w:bottom w:val="single" w:sz="4" w:space="0" w:color="auto"/>
              <w:right w:val="single" w:sz="4" w:space="0" w:color="auto"/>
            </w:tcBorders>
            <w:hideMark/>
          </w:tcPr>
          <w:p w14:paraId="2916D358" w14:textId="77777777" w:rsidR="00DC11C8" w:rsidRPr="008726C8" w:rsidRDefault="00DC11C8" w:rsidP="00154EC2">
            <w:pPr>
              <w:spacing w:before="60" w:after="60" w:line="240" w:lineRule="auto"/>
              <w:jc w:val="center"/>
              <w:rPr>
                <w:sz w:val="22"/>
              </w:rPr>
            </w:pPr>
            <w:r w:rsidRPr="008726C8">
              <w:rPr>
                <w:sz w:val="22"/>
              </w:rPr>
              <w:t>Worsen</w:t>
            </w:r>
          </w:p>
        </w:tc>
        <w:tc>
          <w:tcPr>
            <w:tcW w:w="750" w:type="dxa"/>
            <w:tcBorders>
              <w:top w:val="single" w:sz="4" w:space="0" w:color="auto"/>
              <w:left w:val="single" w:sz="4" w:space="0" w:color="auto"/>
              <w:bottom w:val="single" w:sz="4" w:space="0" w:color="auto"/>
              <w:right w:val="single" w:sz="4" w:space="0" w:color="auto"/>
            </w:tcBorders>
            <w:hideMark/>
          </w:tcPr>
          <w:p w14:paraId="6BB6AE68" w14:textId="77777777" w:rsidR="00DC11C8" w:rsidRPr="008726C8" w:rsidRDefault="00DC11C8" w:rsidP="00154EC2">
            <w:pPr>
              <w:spacing w:before="60" w:after="60" w:line="240" w:lineRule="auto"/>
              <w:jc w:val="center"/>
              <w:rPr>
                <w:sz w:val="22"/>
              </w:rPr>
            </w:pPr>
            <w:r w:rsidRPr="008726C8">
              <w:rPr>
                <w:sz w:val="22"/>
              </w:rPr>
              <w:t>Total</w:t>
            </w:r>
          </w:p>
        </w:tc>
      </w:tr>
      <w:tr w:rsidR="00DC11C8" w14:paraId="1A59328B"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7571F60C" w14:textId="77777777" w:rsidR="00DC11C8" w:rsidRPr="008726C8" w:rsidRDefault="00DC11C8" w:rsidP="00154EC2">
            <w:pPr>
              <w:spacing w:before="60" w:after="60" w:line="240" w:lineRule="auto"/>
              <w:rPr>
                <w:sz w:val="22"/>
              </w:rPr>
            </w:pPr>
            <w:r w:rsidRPr="008726C8">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2FF920E6" w14:textId="77777777" w:rsidR="00DC11C8" w:rsidRPr="008726C8" w:rsidRDefault="00DC11C8" w:rsidP="00154EC2">
            <w:pPr>
              <w:spacing w:before="60" w:after="60" w:line="240" w:lineRule="auto"/>
              <w:jc w:val="center"/>
              <w:rPr>
                <w:sz w:val="22"/>
              </w:rPr>
            </w:pPr>
            <w:r w:rsidRPr="008726C8">
              <w:rPr>
                <w:sz w:val="22"/>
              </w:rPr>
              <w:t>30</w:t>
            </w:r>
          </w:p>
          <w:p w14:paraId="036FD8D2" w14:textId="77777777" w:rsidR="00DC11C8" w:rsidRPr="008726C8" w:rsidRDefault="00DC11C8" w:rsidP="00154EC2">
            <w:pPr>
              <w:spacing w:before="60" w:after="60" w:line="240" w:lineRule="auto"/>
              <w:jc w:val="center"/>
              <w:rPr>
                <w:sz w:val="22"/>
              </w:rPr>
            </w:pPr>
            <w:r w:rsidRPr="008726C8">
              <w:rPr>
                <w:sz w:val="22"/>
              </w:rPr>
              <w:t>(78.9%)</w:t>
            </w:r>
          </w:p>
        </w:tc>
        <w:tc>
          <w:tcPr>
            <w:tcW w:w="1169" w:type="dxa"/>
            <w:tcBorders>
              <w:top w:val="single" w:sz="4" w:space="0" w:color="auto"/>
              <w:left w:val="single" w:sz="4" w:space="0" w:color="auto"/>
              <w:bottom w:val="single" w:sz="4" w:space="0" w:color="auto"/>
              <w:right w:val="single" w:sz="4" w:space="0" w:color="auto"/>
            </w:tcBorders>
            <w:hideMark/>
          </w:tcPr>
          <w:p w14:paraId="74DDABC7" w14:textId="77777777" w:rsidR="00DC11C8" w:rsidRPr="008726C8" w:rsidRDefault="00DC11C8" w:rsidP="00154EC2">
            <w:pPr>
              <w:spacing w:before="60" w:after="60" w:line="240" w:lineRule="auto"/>
              <w:jc w:val="center"/>
              <w:rPr>
                <w:sz w:val="22"/>
              </w:rPr>
            </w:pPr>
            <w:r w:rsidRPr="008726C8">
              <w:rPr>
                <w:sz w:val="22"/>
              </w:rPr>
              <w:t>8</w:t>
            </w:r>
          </w:p>
          <w:p w14:paraId="7713FA09" w14:textId="77777777" w:rsidR="00DC11C8" w:rsidRPr="008726C8" w:rsidRDefault="00DC11C8" w:rsidP="00154EC2">
            <w:pPr>
              <w:spacing w:before="60" w:after="60" w:line="240" w:lineRule="auto"/>
              <w:jc w:val="center"/>
              <w:rPr>
                <w:sz w:val="22"/>
              </w:rPr>
            </w:pPr>
            <w:r w:rsidRPr="008726C8">
              <w:rPr>
                <w:sz w:val="22"/>
              </w:rPr>
              <w:t>(21.1%)</w:t>
            </w:r>
          </w:p>
        </w:tc>
        <w:tc>
          <w:tcPr>
            <w:tcW w:w="1234" w:type="dxa"/>
            <w:tcBorders>
              <w:top w:val="single" w:sz="4" w:space="0" w:color="auto"/>
              <w:left w:val="single" w:sz="4" w:space="0" w:color="auto"/>
              <w:bottom w:val="single" w:sz="4" w:space="0" w:color="auto"/>
              <w:right w:val="single" w:sz="4" w:space="0" w:color="auto"/>
            </w:tcBorders>
            <w:hideMark/>
          </w:tcPr>
          <w:p w14:paraId="546C1824" w14:textId="77777777" w:rsidR="00DC11C8" w:rsidRPr="008726C8" w:rsidRDefault="00DC11C8" w:rsidP="00154EC2">
            <w:pPr>
              <w:spacing w:before="60" w:after="60" w:line="240" w:lineRule="auto"/>
              <w:jc w:val="center"/>
              <w:rPr>
                <w:sz w:val="22"/>
              </w:rPr>
            </w:pPr>
            <w:r w:rsidRPr="008726C8">
              <w:rPr>
                <w:sz w:val="22"/>
              </w:rPr>
              <w:t>0</w:t>
            </w:r>
          </w:p>
          <w:p w14:paraId="51E6F412" w14:textId="77777777" w:rsidR="00DC11C8" w:rsidRPr="008726C8" w:rsidRDefault="00DC11C8" w:rsidP="00154EC2">
            <w:pPr>
              <w:spacing w:before="60" w:after="60" w:line="240" w:lineRule="auto"/>
              <w:jc w:val="center"/>
              <w:rPr>
                <w:sz w:val="22"/>
              </w:rPr>
            </w:pPr>
            <w:r w:rsidRPr="008726C8">
              <w:rPr>
                <w:sz w:val="22"/>
              </w:rPr>
              <w:t>(0.0%)</w:t>
            </w:r>
          </w:p>
        </w:tc>
        <w:tc>
          <w:tcPr>
            <w:tcW w:w="750" w:type="dxa"/>
            <w:tcBorders>
              <w:top w:val="single" w:sz="4" w:space="0" w:color="auto"/>
              <w:left w:val="single" w:sz="4" w:space="0" w:color="auto"/>
              <w:bottom w:val="single" w:sz="4" w:space="0" w:color="auto"/>
              <w:right w:val="single" w:sz="4" w:space="0" w:color="auto"/>
            </w:tcBorders>
            <w:hideMark/>
          </w:tcPr>
          <w:p w14:paraId="242E2BF6" w14:textId="77777777" w:rsidR="00DC11C8" w:rsidRPr="008726C8" w:rsidRDefault="00DC11C8" w:rsidP="00154EC2">
            <w:pPr>
              <w:spacing w:before="60" w:after="60" w:line="240" w:lineRule="auto"/>
              <w:jc w:val="center"/>
              <w:rPr>
                <w:sz w:val="22"/>
              </w:rPr>
            </w:pPr>
            <w:r w:rsidRPr="008726C8">
              <w:rPr>
                <w:sz w:val="22"/>
              </w:rPr>
              <w:t>38</w:t>
            </w:r>
          </w:p>
        </w:tc>
      </w:tr>
      <w:tr w:rsidR="00DC11C8" w14:paraId="0E58896C"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6AF4BE7C" w14:textId="77777777" w:rsidR="00DC11C8" w:rsidRPr="008726C8" w:rsidRDefault="00DC11C8" w:rsidP="00154EC2">
            <w:pPr>
              <w:spacing w:before="60" w:after="60" w:line="240" w:lineRule="auto"/>
              <w:rPr>
                <w:sz w:val="22"/>
              </w:rPr>
            </w:pPr>
            <w:r w:rsidRPr="008726C8">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4A3C7988" w14:textId="77777777" w:rsidR="00DC11C8" w:rsidRPr="008726C8" w:rsidRDefault="00DC11C8" w:rsidP="00154EC2">
            <w:pPr>
              <w:spacing w:before="60" w:after="60" w:line="240" w:lineRule="auto"/>
              <w:jc w:val="center"/>
              <w:rPr>
                <w:sz w:val="22"/>
              </w:rPr>
            </w:pPr>
            <w:r w:rsidRPr="008726C8">
              <w:rPr>
                <w:sz w:val="22"/>
              </w:rPr>
              <w:t>27</w:t>
            </w:r>
          </w:p>
          <w:p w14:paraId="0D0F3232" w14:textId="77777777" w:rsidR="00DC11C8" w:rsidRPr="008726C8" w:rsidRDefault="00DC11C8" w:rsidP="00154EC2">
            <w:pPr>
              <w:spacing w:before="60" w:after="60" w:line="240" w:lineRule="auto"/>
              <w:jc w:val="center"/>
              <w:rPr>
                <w:sz w:val="22"/>
              </w:rPr>
            </w:pPr>
            <w:r w:rsidRPr="008726C8">
              <w:rPr>
                <w:sz w:val="22"/>
              </w:rPr>
              <w:t>(71.1%)</w:t>
            </w:r>
          </w:p>
        </w:tc>
        <w:tc>
          <w:tcPr>
            <w:tcW w:w="1169" w:type="dxa"/>
            <w:tcBorders>
              <w:top w:val="single" w:sz="4" w:space="0" w:color="auto"/>
              <w:left w:val="single" w:sz="4" w:space="0" w:color="auto"/>
              <w:bottom w:val="single" w:sz="4" w:space="0" w:color="auto"/>
              <w:right w:val="single" w:sz="4" w:space="0" w:color="auto"/>
            </w:tcBorders>
            <w:hideMark/>
          </w:tcPr>
          <w:p w14:paraId="1B056F33" w14:textId="77777777" w:rsidR="00DC11C8" w:rsidRPr="008726C8" w:rsidRDefault="00DC11C8" w:rsidP="00154EC2">
            <w:pPr>
              <w:spacing w:before="60" w:after="60" w:line="240" w:lineRule="auto"/>
              <w:jc w:val="center"/>
              <w:rPr>
                <w:sz w:val="22"/>
              </w:rPr>
            </w:pPr>
            <w:r w:rsidRPr="008726C8">
              <w:rPr>
                <w:sz w:val="22"/>
              </w:rPr>
              <w:t>11</w:t>
            </w:r>
          </w:p>
          <w:p w14:paraId="3A87B27F" w14:textId="77777777" w:rsidR="00DC11C8" w:rsidRPr="008726C8" w:rsidRDefault="00DC11C8" w:rsidP="00154EC2">
            <w:pPr>
              <w:spacing w:before="60" w:after="60" w:line="240" w:lineRule="auto"/>
              <w:jc w:val="center"/>
              <w:rPr>
                <w:sz w:val="22"/>
              </w:rPr>
            </w:pPr>
            <w:r w:rsidRPr="008726C8">
              <w:rPr>
                <w:sz w:val="22"/>
              </w:rPr>
              <w:t>(28.9%)</w:t>
            </w:r>
          </w:p>
        </w:tc>
        <w:tc>
          <w:tcPr>
            <w:tcW w:w="1234" w:type="dxa"/>
            <w:tcBorders>
              <w:top w:val="single" w:sz="4" w:space="0" w:color="auto"/>
              <w:left w:val="single" w:sz="4" w:space="0" w:color="auto"/>
              <w:bottom w:val="single" w:sz="4" w:space="0" w:color="auto"/>
              <w:right w:val="single" w:sz="4" w:space="0" w:color="auto"/>
            </w:tcBorders>
            <w:hideMark/>
          </w:tcPr>
          <w:p w14:paraId="02D78A1B" w14:textId="77777777" w:rsidR="00DC11C8" w:rsidRPr="008726C8" w:rsidRDefault="00DC11C8" w:rsidP="00154EC2">
            <w:pPr>
              <w:spacing w:before="60" w:after="60" w:line="240" w:lineRule="auto"/>
              <w:jc w:val="center"/>
              <w:rPr>
                <w:sz w:val="22"/>
              </w:rPr>
            </w:pPr>
            <w:r w:rsidRPr="008726C8">
              <w:rPr>
                <w:sz w:val="22"/>
              </w:rPr>
              <w:t>0</w:t>
            </w:r>
          </w:p>
          <w:p w14:paraId="21D9EABA" w14:textId="77777777" w:rsidR="00DC11C8" w:rsidRPr="008726C8" w:rsidRDefault="00DC11C8" w:rsidP="00154EC2">
            <w:pPr>
              <w:spacing w:before="60" w:after="60" w:line="240" w:lineRule="auto"/>
              <w:jc w:val="center"/>
              <w:rPr>
                <w:sz w:val="22"/>
              </w:rPr>
            </w:pPr>
            <w:r w:rsidRPr="008726C8">
              <w:rPr>
                <w:sz w:val="22"/>
              </w:rPr>
              <w:t xml:space="preserve"> (0.0%)</w:t>
            </w:r>
          </w:p>
        </w:tc>
        <w:tc>
          <w:tcPr>
            <w:tcW w:w="750" w:type="dxa"/>
            <w:tcBorders>
              <w:top w:val="single" w:sz="4" w:space="0" w:color="auto"/>
              <w:left w:val="single" w:sz="4" w:space="0" w:color="auto"/>
              <w:bottom w:val="single" w:sz="4" w:space="0" w:color="auto"/>
              <w:right w:val="single" w:sz="4" w:space="0" w:color="auto"/>
            </w:tcBorders>
            <w:hideMark/>
          </w:tcPr>
          <w:p w14:paraId="400EAEE6" w14:textId="77777777" w:rsidR="00DC11C8" w:rsidRPr="008726C8" w:rsidRDefault="00DC11C8" w:rsidP="00154EC2">
            <w:pPr>
              <w:spacing w:before="60" w:after="60" w:line="240" w:lineRule="auto"/>
              <w:jc w:val="center"/>
              <w:rPr>
                <w:sz w:val="22"/>
              </w:rPr>
            </w:pPr>
            <w:r w:rsidRPr="008726C8">
              <w:rPr>
                <w:sz w:val="22"/>
              </w:rPr>
              <w:t>38</w:t>
            </w:r>
          </w:p>
        </w:tc>
      </w:tr>
      <w:tr w:rsidR="00DC11C8" w14:paraId="1844FB64" w14:textId="77777777" w:rsidTr="00154EC2">
        <w:tc>
          <w:tcPr>
            <w:tcW w:w="4815" w:type="dxa"/>
            <w:tcBorders>
              <w:top w:val="single" w:sz="4" w:space="0" w:color="auto"/>
              <w:left w:val="single" w:sz="4" w:space="0" w:color="auto"/>
              <w:bottom w:val="single" w:sz="4" w:space="0" w:color="auto"/>
              <w:right w:val="single" w:sz="4" w:space="0" w:color="auto"/>
            </w:tcBorders>
          </w:tcPr>
          <w:p w14:paraId="1414973A" w14:textId="33E1E7FC" w:rsidR="00DC11C8" w:rsidRPr="008726C8" w:rsidRDefault="00DC11C8" w:rsidP="00154EC2">
            <w:pPr>
              <w:spacing w:before="60" w:after="60" w:line="240" w:lineRule="auto"/>
              <w:rPr>
                <w:sz w:val="22"/>
              </w:rPr>
            </w:pPr>
            <w:r w:rsidRPr="008726C8">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74FA3E0B" w14:textId="77777777" w:rsidR="00DC11C8" w:rsidRPr="008726C8" w:rsidRDefault="00DC11C8" w:rsidP="00154EC2">
            <w:pPr>
              <w:spacing w:before="60" w:after="60" w:line="240" w:lineRule="auto"/>
              <w:jc w:val="center"/>
              <w:rPr>
                <w:sz w:val="22"/>
              </w:rPr>
            </w:pPr>
            <w:r w:rsidRPr="008726C8">
              <w:rPr>
                <w:sz w:val="22"/>
              </w:rPr>
              <w:t>25</w:t>
            </w:r>
          </w:p>
          <w:p w14:paraId="3F2B321E" w14:textId="77777777" w:rsidR="00DC11C8" w:rsidRPr="008726C8" w:rsidRDefault="00DC11C8" w:rsidP="00154EC2">
            <w:pPr>
              <w:spacing w:before="60" w:after="60" w:line="240" w:lineRule="auto"/>
              <w:jc w:val="center"/>
              <w:rPr>
                <w:sz w:val="22"/>
              </w:rPr>
            </w:pPr>
            <w:r w:rsidRPr="008726C8">
              <w:rPr>
                <w:sz w:val="22"/>
              </w:rPr>
              <w:t>(65.8%)</w:t>
            </w:r>
          </w:p>
        </w:tc>
        <w:tc>
          <w:tcPr>
            <w:tcW w:w="1169" w:type="dxa"/>
            <w:tcBorders>
              <w:top w:val="single" w:sz="4" w:space="0" w:color="auto"/>
              <w:left w:val="single" w:sz="4" w:space="0" w:color="auto"/>
              <w:bottom w:val="single" w:sz="4" w:space="0" w:color="auto"/>
              <w:right w:val="single" w:sz="4" w:space="0" w:color="auto"/>
            </w:tcBorders>
            <w:hideMark/>
          </w:tcPr>
          <w:p w14:paraId="772E8821" w14:textId="77777777" w:rsidR="00DC11C8" w:rsidRPr="008726C8" w:rsidRDefault="00DC11C8" w:rsidP="00154EC2">
            <w:pPr>
              <w:spacing w:before="60" w:after="60" w:line="240" w:lineRule="auto"/>
              <w:jc w:val="center"/>
              <w:rPr>
                <w:sz w:val="22"/>
              </w:rPr>
            </w:pPr>
            <w:r w:rsidRPr="008726C8">
              <w:rPr>
                <w:sz w:val="22"/>
              </w:rPr>
              <w:t>13</w:t>
            </w:r>
          </w:p>
          <w:p w14:paraId="4F295505" w14:textId="77777777" w:rsidR="00DC11C8" w:rsidRPr="008726C8" w:rsidRDefault="00DC11C8" w:rsidP="00154EC2">
            <w:pPr>
              <w:spacing w:before="60" w:after="60" w:line="240" w:lineRule="auto"/>
              <w:jc w:val="center"/>
              <w:rPr>
                <w:sz w:val="22"/>
              </w:rPr>
            </w:pPr>
            <w:r w:rsidRPr="008726C8">
              <w:rPr>
                <w:sz w:val="22"/>
              </w:rPr>
              <w:t>(34.2%)</w:t>
            </w:r>
          </w:p>
        </w:tc>
        <w:tc>
          <w:tcPr>
            <w:tcW w:w="1234" w:type="dxa"/>
            <w:tcBorders>
              <w:top w:val="single" w:sz="4" w:space="0" w:color="auto"/>
              <w:left w:val="single" w:sz="4" w:space="0" w:color="auto"/>
              <w:bottom w:val="single" w:sz="4" w:space="0" w:color="auto"/>
              <w:right w:val="single" w:sz="4" w:space="0" w:color="auto"/>
            </w:tcBorders>
            <w:hideMark/>
          </w:tcPr>
          <w:p w14:paraId="7FAF848B" w14:textId="77777777" w:rsidR="00DC11C8" w:rsidRPr="008726C8" w:rsidRDefault="00DC11C8" w:rsidP="00154EC2">
            <w:pPr>
              <w:spacing w:before="60" w:after="60" w:line="240" w:lineRule="auto"/>
              <w:jc w:val="center"/>
              <w:rPr>
                <w:sz w:val="22"/>
              </w:rPr>
            </w:pPr>
            <w:r w:rsidRPr="008726C8">
              <w:rPr>
                <w:sz w:val="22"/>
              </w:rPr>
              <w:t>0</w:t>
            </w:r>
          </w:p>
          <w:p w14:paraId="0B7CBFA3" w14:textId="77777777" w:rsidR="00DC11C8" w:rsidRPr="008726C8" w:rsidRDefault="00DC11C8" w:rsidP="00154EC2">
            <w:pPr>
              <w:spacing w:before="60" w:after="60" w:line="240" w:lineRule="auto"/>
              <w:jc w:val="center"/>
              <w:rPr>
                <w:sz w:val="22"/>
              </w:rPr>
            </w:pPr>
            <w:r w:rsidRPr="008726C8">
              <w:rPr>
                <w:sz w:val="22"/>
              </w:rPr>
              <w:t>(0.0%)</w:t>
            </w:r>
          </w:p>
        </w:tc>
        <w:tc>
          <w:tcPr>
            <w:tcW w:w="750" w:type="dxa"/>
            <w:tcBorders>
              <w:top w:val="single" w:sz="4" w:space="0" w:color="auto"/>
              <w:left w:val="single" w:sz="4" w:space="0" w:color="auto"/>
              <w:bottom w:val="single" w:sz="4" w:space="0" w:color="auto"/>
              <w:right w:val="single" w:sz="4" w:space="0" w:color="auto"/>
            </w:tcBorders>
            <w:hideMark/>
          </w:tcPr>
          <w:p w14:paraId="4BD07C7F" w14:textId="77777777" w:rsidR="00DC11C8" w:rsidRPr="008726C8" w:rsidRDefault="00DC11C8" w:rsidP="00154EC2">
            <w:pPr>
              <w:spacing w:before="60" w:after="60" w:line="240" w:lineRule="auto"/>
              <w:jc w:val="center"/>
              <w:rPr>
                <w:sz w:val="22"/>
              </w:rPr>
            </w:pPr>
            <w:r w:rsidRPr="008726C8">
              <w:rPr>
                <w:sz w:val="22"/>
              </w:rPr>
              <w:t>38</w:t>
            </w:r>
          </w:p>
        </w:tc>
      </w:tr>
    </w:tbl>
    <w:p w14:paraId="1D7C6CCE" w14:textId="77777777" w:rsidR="00DC11C8" w:rsidRDefault="00DC11C8" w:rsidP="009766FF"/>
    <w:p w14:paraId="62280299" w14:textId="4C260D5D" w:rsidR="00E05831" w:rsidRPr="00E05831" w:rsidRDefault="00E05831" w:rsidP="00E05831">
      <w:r>
        <w:t>Most respondents (</w:t>
      </w:r>
      <w:r w:rsidR="000E2021">
        <w:t xml:space="preserve">78.9%, </w:t>
      </w:r>
      <w:r>
        <w:t xml:space="preserve">30/38) agreed that an </w:t>
      </w:r>
      <w:r w:rsidRPr="0076463B">
        <w:t>annual review of all adults receivin</w:t>
      </w:r>
      <w:r w:rsidR="00793C23">
        <w:t>g drug treatment for epilepsy (i</w:t>
      </w:r>
      <w:r w:rsidRPr="0076463B">
        <w:t>ndicator 1)</w:t>
      </w:r>
      <w:r>
        <w:t xml:space="preserve"> c</w:t>
      </w:r>
      <w:r w:rsidRPr="008779A4">
        <w:t xml:space="preserve">ould improve </w:t>
      </w:r>
      <w:r>
        <w:t>the</w:t>
      </w:r>
      <w:r w:rsidRPr="008779A4">
        <w:t xml:space="preserve"> quality of care</w:t>
      </w:r>
      <w:r>
        <w:t xml:space="preserve"> for patients</w:t>
      </w:r>
      <w:r w:rsidRPr="008779A4">
        <w:t xml:space="preserve">. </w:t>
      </w:r>
      <w:r>
        <w:t xml:space="preserve">Compared with </w:t>
      </w:r>
      <w:r w:rsidR="00793C23">
        <w:t>i</w:t>
      </w:r>
      <w:r>
        <w:t>ndicator 1,</w:t>
      </w:r>
      <w:r w:rsidR="00D8634D">
        <w:t xml:space="preserve"> slightly</w:t>
      </w:r>
      <w:r>
        <w:t xml:space="preserve"> fewer respondents thought that </w:t>
      </w:r>
      <w:r w:rsidR="00793C23">
        <w:t>i</w:t>
      </w:r>
      <w:r>
        <w:t>ndicators 2 and 3 could improve the quality of care for patients. However, the majority (</w:t>
      </w:r>
      <w:r w:rsidR="00292F2A">
        <w:t xml:space="preserve">71.1%, </w:t>
      </w:r>
      <w:r>
        <w:t xml:space="preserve">27/38) still agreed that an </w:t>
      </w:r>
      <w:r w:rsidRPr="008779A4">
        <w:t>a</w:t>
      </w:r>
      <w:r w:rsidRPr="00404C0E">
        <w:t>nnual review of adults with a lea</w:t>
      </w:r>
      <w:r w:rsidR="00793C23">
        <w:t>rning disability and epilepsy (i</w:t>
      </w:r>
      <w:r w:rsidRPr="00404C0E">
        <w:t xml:space="preserve">ndicator 2) would improve care quality. </w:t>
      </w:r>
      <w:r w:rsidRPr="008779A4">
        <w:t xml:space="preserve">Similarly, </w:t>
      </w:r>
      <w:r>
        <w:t>25</w:t>
      </w:r>
      <w:r w:rsidRPr="008779A4">
        <w:t xml:space="preserve"> </w:t>
      </w:r>
      <w:r>
        <w:t xml:space="preserve">of the 38 respondents (65.8%) </w:t>
      </w:r>
      <w:r w:rsidRPr="008779A4">
        <w:t xml:space="preserve">thought </w:t>
      </w:r>
      <w:r>
        <w:t xml:space="preserve">an annual </w:t>
      </w:r>
      <w:r w:rsidRPr="00404C0E">
        <w:t xml:space="preserve">review of adults with a mental health </w:t>
      </w:r>
      <w:r w:rsidR="00793C23">
        <w:lastRenderedPageBreak/>
        <w:t>condition and epilepsy (i</w:t>
      </w:r>
      <w:r w:rsidRPr="00404C0E">
        <w:t xml:space="preserve">ndicator 3) could improve the </w:t>
      </w:r>
      <w:r w:rsidR="00D45B21">
        <w:t>patients’ quality of care</w:t>
      </w:r>
      <w:r w:rsidR="00CB062E">
        <w:t xml:space="preserve">, </w:t>
      </w:r>
      <w:r w:rsidRPr="00404C0E">
        <w:t xml:space="preserve">with around one third (13/38, 34.2%) reporting there would be ‘no change’. </w:t>
      </w:r>
    </w:p>
    <w:p w14:paraId="42E7DBDA" w14:textId="3B75C705" w:rsidR="00DC11C8" w:rsidRPr="00404C0E" w:rsidRDefault="00DC11C8" w:rsidP="00DC11C8">
      <w:r w:rsidRPr="00404C0E">
        <w:t>As discussed previously, the interviews with practices revealed a general agreement that the indicators could improve the quality of care for patients in terms of medication compliance and ensuring patients do not ‘slip through the net’.</w:t>
      </w:r>
    </w:p>
    <w:p w14:paraId="7EF2C1FD" w14:textId="6B3CAF1D" w:rsidR="00DC11C8" w:rsidRDefault="00DC11C8" w:rsidP="00DC11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r w:rsidRPr="008A326E">
        <w:rPr>
          <w:rFonts w:cs="Arial"/>
          <w:i/>
          <w:iCs/>
          <w:szCs w:val="24"/>
        </w:rPr>
        <w:t>“We thought this was a useful indicator</w:t>
      </w:r>
      <w:r w:rsidR="00953F05">
        <w:rPr>
          <w:rFonts w:cs="Arial"/>
          <w:i/>
          <w:iCs/>
          <w:szCs w:val="24"/>
        </w:rPr>
        <w:t xml:space="preserve"> [Indicator 1]</w:t>
      </w:r>
      <w:r w:rsidRPr="008A326E">
        <w:rPr>
          <w:rFonts w:cs="Arial"/>
          <w:i/>
          <w:iCs/>
          <w:szCs w:val="24"/>
        </w:rPr>
        <w:t xml:space="preserve"> that would improve quality of care for this group.” [GP, Interview]</w:t>
      </w:r>
    </w:p>
    <w:p w14:paraId="2000A206" w14:textId="77777777" w:rsidR="00DC11C8" w:rsidRPr="00DC11C8" w:rsidRDefault="00DC11C8" w:rsidP="00DC11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p>
    <w:p w14:paraId="7B10C4D9" w14:textId="4D5CA5B4" w:rsidR="00DC11C8" w:rsidRPr="00DC11C8" w:rsidRDefault="00E7374E" w:rsidP="00DC11C8">
      <w:pPr>
        <w:pStyle w:val="Heading4"/>
      </w:pPr>
      <w:r w:rsidRPr="00E7374E">
        <w:t>Value to patients</w:t>
      </w:r>
    </w:p>
    <w:p w14:paraId="423F92E2" w14:textId="179E4ADF" w:rsidR="00397D2C" w:rsidRDefault="001D3757" w:rsidP="00B24F07">
      <w:r>
        <w:t>There was general agreement by the survey respondents that the epilepsy indicators represent what is important to patients, families</w:t>
      </w:r>
      <w:r w:rsidR="00D45B21">
        <w:t>,</w:t>
      </w:r>
      <w:r>
        <w:t xml:space="preserve"> and carers</w:t>
      </w:r>
      <w:r w:rsidR="00397D2C">
        <w:t xml:space="preserve"> (Table </w:t>
      </w:r>
      <w:r>
        <w:t xml:space="preserve">2). </w:t>
      </w:r>
      <w:r w:rsidR="00397D2C">
        <w:t xml:space="preserve"> </w:t>
      </w:r>
    </w:p>
    <w:p w14:paraId="15A93DC3" w14:textId="5AF317D9" w:rsidR="00397D2C" w:rsidRDefault="00397D2C" w:rsidP="00B24F07">
      <w:r>
        <w:t xml:space="preserve">A slightly larger number of respondents </w:t>
      </w:r>
      <w:r w:rsidR="009A15BD">
        <w:t>(</w:t>
      </w:r>
      <w:r w:rsidR="00292F2A">
        <w:t xml:space="preserve">73.7%, </w:t>
      </w:r>
      <w:r w:rsidR="009A15BD">
        <w:t xml:space="preserve">28/38) </w:t>
      </w:r>
      <w:r>
        <w:t>thought an annual review of adults with a lea</w:t>
      </w:r>
      <w:r w:rsidR="00793C23">
        <w:t>rning disability and epilepsy (i</w:t>
      </w:r>
      <w:r>
        <w:t>ndicator 2) was important to patients, families and carers</w:t>
      </w:r>
      <w:r w:rsidR="009A15BD">
        <w:t xml:space="preserve"> when compared with </w:t>
      </w:r>
      <w:r w:rsidR="00793C23">
        <w:t>i</w:t>
      </w:r>
      <w:r w:rsidR="009A15BD">
        <w:t>ndicator 1 (</w:t>
      </w:r>
      <w:r w:rsidR="00292F2A">
        <w:t xml:space="preserve">65.8%, </w:t>
      </w:r>
      <w:r w:rsidR="009A15BD">
        <w:t xml:space="preserve">25/38) and </w:t>
      </w:r>
      <w:r w:rsidR="00B77D70">
        <w:t>I</w:t>
      </w:r>
      <w:r w:rsidR="009A15BD">
        <w:t>ndicator 3 (</w:t>
      </w:r>
      <w:r w:rsidR="00292F2A">
        <w:t xml:space="preserve">68.4%, </w:t>
      </w:r>
      <w:r w:rsidR="009A15BD">
        <w:t xml:space="preserve">26/38). Seven respondents (18.4%) were unsure whether indicators 1 and 3 represent an issue that is important to patients, </w:t>
      </w:r>
      <w:proofErr w:type="gramStart"/>
      <w:r w:rsidR="009A15BD">
        <w:t>families</w:t>
      </w:r>
      <w:proofErr w:type="gramEnd"/>
      <w:r w:rsidR="00CB062E">
        <w:t xml:space="preserve"> </w:t>
      </w:r>
      <w:r w:rsidR="009A15BD">
        <w:t>and carers</w:t>
      </w:r>
      <w:r w:rsidR="00B77D70">
        <w:t xml:space="preserve">, with 4 respondents (10.5%) reporting such uncertainty for </w:t>
      </w:r>
      <w:r w:rsidR="00793C23">
        <w:t>i</w:t>
      </w:r>
      <w:r w:rsidR="00B77D70">
        <w:t>ndicator 2</w:t>
      </w:r>
      <w:r w:rsidR="00AB7743">
        <w:t xml:space="preserve"> (Table 2)</w:t>
      </w:r>
      <w:r w:rsidR="00B77D70">
        <w:t>.</w:t>
      </w:r>
    </w:p>
    <w:p w14:paraId="6AA8C1B4" w14:textId="02393666" w:rsidR="001D3757" w:rsidRPr="004B4482" w:rsidRDefault="001D3757" w:rsidP="00D70F96">
      <w:pPr>
        <w:spacing w:before="240" w:line="276" w:lineRule="auto"/>
        <w:rPr>
          <w:u w:val="single"/>
        </w:rPr>
      </w:pPr>
      <w:bookmarkStart w:id="1" w:name="_Hlk98859579"/>
      <w:r w:rsidRPr="004B4482">
        <w:rPr>
          <w:u w:val="single"/>
        </w:rPr>
        <w:t xml:space="preserve">Table </w:t>
      </w:r>
      <w:r w:rsidR="00397D2C" w:rsidRPr="004B4482">
        <w:rPr>
          <w:u w:val="single"/>
        </w:rPr>
        <w:t>2</w:t>
      </w:r>
      <w:r w:rsidRPr="004B4482">
        <w:rPr>
          <w:u w:val="single"/>
        </w:rPr>
        <w:t xml:space="preserve">: </w:t>
      </w:r>
      <w:bookmarkStart w:id="2" w:name="_Hlk98859570"/>
      <w:r w:rsidRPr="004B4482">
        <w:rPr>
          <w:u w:val="single"/>
        </w:rPr>
        <w:t xml:space="preserve">Views on the importance of the </w:t>
      </w:r>
      <w:bookmarkEnd w:id="2"/>
      <w:r w:rsidRPr="004B4482">
        <w:rPr>
          <w:u w:val="single"/>
        </w:rPr>
        <w:t xml:space="preserve">epilepsy-related indicators to patients, </w:t>
      </w:r>
      <w:proofErr w:type="gramStart"/>
      <w:r w:rsidRPr="004B4482">
        <w:rPr>
          <w:u w:val="single"/>
        </w:rPr>
        <w:t>families</w:t>
      </w:r>
      <w:proofErr w:type="gramEnd"/>
      <w:r w:rsidRPr="004B4482">
        <w:rPr>
          <w:u w:val="single"/>
        </w:rPr>
        <w:t xml:space="preserve"> and carers (survey)</w:t>
      </w:r>
    </w:p>
    <w:tbl>
      <w:tblPr>
        <w:tblStyle w:val="TableGrid"/>
        <w:tblW w:w="9209" w:type="dxa"/>
        <w:tblLook w:val="04A0" w:firstRow="1" w:lastRow="0" w:firstColumn="1" w:lastColumn="0" w:noHBand="0" w:noVBand="1"/>
      </w:tblPr>
      <w:tblGrid>
        <w:gridCol w:w="4815"/>
        <w:gridCol w:w="1241"/>
        <w:gridCol w:w="1169"/>
        <w:gridCol w:w="1234"/>
        <w:gridCol w:w="750"/>
      </w:tblGrid>
      <w:tr w:rsidR="001D3757" w14:paraId="373D6933"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bookmarkEnd w:id="1"/>
          <w:p w14:paraId="671BF972" w14:textId="67E8A40B" w:rsidR="001D3757" w:rsidRPr="008726C8" w:rsidRDefault="001D3757" w:rsidP="00154EC2">
            <w:pPr>
              <w:spacing w:before="60" w:after="60" w:line="240" w:lineRule="auto"/>
              <w:rPr>
                <w:b/>
                <w:sz w:val="22"/>
              </w:rPr>
            </w:pPr>
            <w:r w:rsidRPr="008726C8">
              <w:rPr>
                <w:b/>
                <w:sz w:val="22"/>
              </w:rPr>
              <w:t xml:space="preserve">Do you think the following indicators represent an issue that is important for patients, </w:t>
            </w:r>
            <w:proofErr w:type="gramStart"/>
            <w:r w:rsidRPr="008726C8">
              <w:rPr>
                <w:b/>
                <w:sz w:val="22"/>
              </w:rPr>
              <w:t>families</w:t>
            </w:r>
            <w:proofErr w:type="gramEnd"/>
            <w:r w:rsidRPr="008726C8">
              <w:rPr>
                <w:b/>
                <w:sz w:val="22"/>
              </w:rPr>
              <w:t xml:space="preserve"> and carers?</w:t>
            </w:r>
          </w:p>
        </w:tc>
      </w:tr>
      <w:tr w:rsidR="001D3757" w14:paraId="0F652CCA" w14:textId="77777777" w:rsidTr="00154EC2">
        <w:tc>
          <w:tcPr>
            <w:tcW w:w="4815" w:type="dxa"/>
            <w:tcBorders>
              <w:top w:val="single" w:sz="4" w:space="0" w:color="auto"/>
              <w:left w:val="single" w:sz="4" w:space="0" w:color="auto"/>
              <w:bottom w:val="single" w:sz="4" w:space="0" w:color="auto"/>
              <w:right w:val="single" w:sz="4" w:space="0" w:color="auto"/>
            </w:tcBorders>
          </w:tcPr>
          <w:p w14:paraId="49F99AC0" w14:textId="77777777" w:rsidR="001D3757" w:rsidRPr="008726C8" w:rsidRDefault="001D3757"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07B28DB2" w14:textId="128EC7F8" w:rsidR="001D3757" w:rsidRPr="008726C8" w:rsidRDefault="001D3757" w:rsidP="00154EC2">
            <w:pPr>
              <w:spacing w:before="60" w:after="60" w:line="240" w:lineRule="auto"/>
              <w:jc w:val="center"/>
              <w:rPr>
                <w:sz w:val="22"/>
              </w:rPr>
            </w:pPr>
            <w:r w:rsidRPr="008726C8">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67F2A640" w14:textId="0A9A4160" w:rsidR="001D3757" w:rsidRPr="008726C8" w:rsidRDefault="001D3757" w:rsidP="00154EC2">
            <w:pPr>
              <w:spacing w:before="60" w:after="60" w:line="240" w:lineRule="auto"/>
              <w:jc w:val="center"/>
              <w:rPr>
                <w:sz w:val="22"/>
              </w:rPr>
            </w:pPr>
            <w:r w:rsidRPr="008726C8">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62E0D51E" w14:textId="036204CE" w:rsidR="001D3757" w:rsidRPr="008726C8" w:rsidRDefault="001D3757" w:rsidP="00154EC2">
            <w:pPr>
              <w:spacing w:before="60" w:after="60" w:line="240" w:lineRule="auto"/>
              <w:jc w:val="center"/>
              <w:rPr>
                <w:sz w:val="22"/>
              </w:rPr>
            </w:pPr>
            <w:r w:rsidRPr="008726C8">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665CC101" w14:textId="77777777" w:rsidR="001D3757" w:rsidRPr="008726C8" w:rsidRDefault="001D3757" w:rsidP="00154EC2">
            <w:pPr>
              <w:spacing w:before="60" w:after="60" w:line="240" w:lineRule="auto"/>
              <w:jc w:val="center"/>
              <w:rPr>
                <w:sz w:val="22"/>
              </w:rPr>
            </w:pPr>
            <w:r w:rsidRPr="008726C8">
              <w:rPr>
                <w:sz w:val="22"/>
              </w:rPr>
              <w:t>Total</w:t>
            </w:r>
          </w:p>
        </w:tc>
      </w:tr>
      <w:tr w:rsidR="001D3757" w14:paraId="1AA699F4"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37740AAA" w14:textId="77777777" w:rsidR="001D3757" w:rsidRPr="008726C8" w:rsidRDefault="001D3757" w:rsidP="00154EC2">
            <w:pPr>
              <w:spacing w:before="60" w:after="60" w:line="240" w:lineRule="auto"/>
              <w:rPr>
                <w:sz w:val="22"/>
              </w:rPr>
            </w:pPr>
            <w:r w:rsidRPr="008726C8">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79C9E7F5" w14:textId="3515711F" w:rsidR="001D3757" w:rsidRPr="008726C8" w:rsidRDefault="001D3757" w:rsidP="00154EC2">
            <w:pPr>
              <w:spacing w:before="60" w:after="60" w:line="240" w:lineRule="auto"/>
              <w:jc w:val="center"/>
              <w:rPr>
                <w:sz w:val="22"/>
              </w:rPr>
            </w:pPr>
            <w:r w:rsidRPr="008726C8">
              <w:rPr>
                <w:sz w:val="22"/>
              </w:rPr>
              <w:t>25</w:t>
            </w:r>
          </w:p>
          <w:p w14:paraId="51D497CA" w14:textId="5E3CBD1D" w:rsidR="001D3757" w:rsidRPr="008726C8" w:rsidRDefault="001D3757" w:rsidP="00154EC2">
            <w:pPr>
              <w:spacing w:before="60" w:after="60" w:line="240" w:lineRule="auto"/>
              <w:jc w:val="center"/>
              <w:rPr>
                <w:sz w:val="22"/>
              </w:rPr>
            </w:pPr>
            <w:r w:rsidRPr="008726C8">
              <w:rPr>
                <w:sz w:val="22"/>
              </w:rPr>
              <w:t>(</w:t>
            </w:r>
            <w:r w:rsidR="00415FED" w:rsidRPr="008726C8">
              <w:rPr>
                <w:sz w:val="22"/>
              </w:rPr>
              <w:t>65</w:t>
            </w:r>
            <w:r w:rsidRPr="008726C8">
              <w:rPr>
                <w:sz w:val="22"/>
              </w:rPr>
              <w:t>.</w:t>
            </w:r>
            <w:r w:rsidR="00415FED" w:rsidRPr="008726C8">
              <w:rPr>
                <w:sz w:val="22"/>
              </w:rPr>
              <w:t>8</w:t>
            </w:r>
            <w:r w:rsidRPr="008726C8">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63D00EE6" w14:textId="74938062" w:rsidR="001D3757" w:rsidRPr="008726C8" w:rsidRDefault="00415FED" w:rsidP="00154EC2">
            <w:pPr>
              <w:spacing w:before="60" w:after="60" w:line="240" w:lineRule="auto"/>
              <w:jc w:val="center"/>
              <w:rPr>
                <w:sz w:val="22"/>
              </w:rPr>
            </w:pPr>
            <w:r w:rsidRPr="008726C8">
              <w:rPr>
                <w:sz w:val="22"/>
              </w:rPr>
              <w:t>6</w:t>
            </w:r>
          </w:p>
          <w:p w14:paraId="3FD88AAF" w14:textId="5CC4E4E6" w:rsidR="001D3757" w:rsidRPr="008726C8" w:rsidRDefault="001D3757" w:rsidP="00154EC2">
            <w:pPr>
              <w:spacing w:before="60" w:after="60" w:line="240" w:lineRule="auto"/>
              <w:jc w:val="center"/>
              <w:rPr>
                <w:sz w:val="22"/>
              </w:rPr>
            </w:pPr>
            <w:r w:rsidRPr="008726C8">
              <w:rPr>
                <w:sz w:val="22"/>
              </w:rPr>
              <w:t>(</w:t>
            </w:r>
            <w:r w:rsidR="00415FED" w:rsidRPr="008726C8">
              <w:rPr>
                <w:sz w:val="22"/>
              </w:rPr>
              <w:t>15</w:t>
            </w:r>
            <w:r w:rsidRPr="008726C8">
              <w:rPr>
                <w:sz w:val="22"/>
              </w:rPr>
              <w:t>.</w:t>
            </w:r>
            <w:r w:rsidR="00415FED" w:rsidRPr="008726C8">
              <w:rPr>
                <w:sz w:val="22"/>
              </w:rPr>
              <w:t>8</w:t>
            </w:r>
            <w:r w:rsidRPr="008726C8">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714D4273" w14:textId="61F29308" w:rsidR="001D3757" w:rsidRPr="008726C8" w:rsidRDefault="00415FED" w:rsidP="00154EC2">
            <w:pPr>
              <w:spacing w:before="60" w:after="60" w:line="240" w:lineRule="auto"/>
              <w:jc w:val="center"/>
              <w:rPr>
                <w:sz w:val="22"/>
              </w:rPr>
            </w:pPr>
            <w:r w:rsidRPr="008726C8">
              <w:rPr>
                <w:sz w:val="22"/>
              </w:rPr>
              <w:t>7</w:t>
            </w:r>
          </w:p>
          <w:p w14:paraId="3BFB1EAD" w14:textId="6985830D" w:rsidR="001D3757" w:rsidRPr="008726C8" w:rsidRDefault="001D3757" w:rsidP="00154EC2">
            <w:pPr>
              <w:spacing w:before="60" w:after="60" w:line="240" w:lineRule="auto"/>
              <w:jc w:val="center"/>
              <w:rPr>
                <w:sz w:val="22"/>
              </w:rPr>
            </w:pPr>
            <w:r w:rsidRPr="008726C8">
              <w:rPr>
                <w:sz w:val="22"/>
              </w:rPr>
              <w:t>(</w:t>
            </w:r>
            <w:r w:rsidR="00415FED" w:rsidRPr="008726C8">
              <w:rPr>
                <w:sz w:val="22"/>
              </w:rPr>
              <w:t>18.4</w:t>
            </w:r>
            <w:r w:rsidRPr="008726C8">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2BD4B814" w14:textId="77777777" w:rsidR="001D3757" w:rsidRPr="008726C8" w:rsidRDefault="001D3757" w:rsidP="00154EC2">
            <w:pPr>
              <w:spacing w:before="60" w:after="60" w:line="240" w:lineRule="auto"/>
              <w:jc w:val="center"/>
              <w:rPr>
                <w:sz w:val="22"/>
              </w:rPr>
            </w:pPr>
            <w:r w:rsidRPr="008726C8">
              <w:rPr>
                <w:sz w:val="22"/>
              </w:rPr>
              <w:t>38</w:t>
            </w:r>
          </w:p>
        </w:tc>
      </w:tr>
      <w:tr w:rsidR="001D3757" w14:paraId="55C607F5"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046CF272" w14:textId="77777777" w:rsidR="001D3757" w:rsidRPr="008726C8" w:rsidRDefault="001D3757" w:rsidP="00154EC2">
            <w:pPr>
              <w:spacing w:before="60" w:after="60" w:line="240" w:lineRule="auto"/>
              <w:rPr>
                <w:sz w:val="22"/>
              </w:rPr>
            </w:pPr>
            <w:r w:rsidRPr="008726C8">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629DB9DB" w14:textId="2D801285" w:rsidR="001D3757" w:rsidRPr="008726C8" w:rsidRDefault="001D3757" w:rsidP="00154EC2">
            <w:pPr>
              <w:spacing w:before="60" w:after="60" w:line="240" w:lineRule="auto"/>
              <w:jc w:val="center"/>
              <w:rPr>
                <w:sz w:val="22"/>
              </w:rPr>
            </w:pPr>
            <w:r w:rsidRPr="008726C8">
              <w:rPr>
                <w:sz w:val="22"/>
              </w:rPr>
              <w:t>2</w:t>
            </w:r>
            <w:r w:rsidR="00415FED" w:rsidRPr="008726C8">
              <w:rPr>
                <w:sz w:val="22"/>
              </w:rPr>
              <w:t>8</w:t>
            </w:r>
          </w:p>
          <w:p w14:paraId="57EFFA79" w14:textId="78BF8EB5" w:rsidR="001D3757" w:rsidRPr="008726C8" w:rsidRDefault="001D3757" w:rsidP="00154EC2">
            <w:pPr>
              <w:spacing w:before="60" w:after="60" w:line="240" w:lineRule="auto"/>
              <w:jc w:val="center"/>
              <w:rPr>
                <w:sz w:val="22"/>
              </w:rPr>
            </w:pPr>
            <w:r w:rsidRPr="008726C8">
              <w:rPr>
                <w:sz w:val="22"/>
              </w:rPr>
              <w:t>(</w:t>
            </w:r>
            <w:r w:rsidR="00415FED" w:rsidRPr="008726C8">
              <w:rPr>
                <w:sz w:val="22"/>
              </w:rPr>
              <w:t>73</w:t>
            </w:r>
            <w:r w:rsidRPr="008726C8">
              <w:rPr>
                <w:sz w:val="22"/>
              </w:rPr>
              <w:t>.</w:t>
            </w:r>
            <w:r w:rsidR="00415FED" w:rsidRPr="008726C8">
              <w:rPr>
                <w:sz w:val="22"/>
              </w:rPr>
              <w:t>7</w:t>
            </w:r>
            <w:r w:rsidRPr="008726C8">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2C68CDB9" w14:textId="088C39D2" w:rsidR="001D3757" w:rsidRPr="008726C8" w:rsidRDefault="00415FED" w:rsidP="00154EC2">
            <w:pPr>
              <w:spacing w:before="60" w:after="60" w:line="240" w:lineRule="auto"/>
              <w:jc w:val="center"/>
              <w:rPr>
                <w:sz w:val="22"/>
              </w:rPr>
            </w:pPr>
            <w:r w:rsidRPr="008726C8">
              <w:rPr>
                <w:sz w:val="22"/>
              </w:rPr>
              <w:t>6</w:t>
            </w:r>
          </w:p>
          <w:p w14:paraId="4BA8FCE9" w14:textId="4B670F32" w:rsidR="001D3757" w:rsidRPr="008726C8" w:rsidRDefault="001D3757" w:rsidP="00154EC2">
            <w:pPr>
              <w:spacing w:before="60" w:after="60" w:line="240" w:lineRule="auto"/>
              <w:jc w:val="center"/>
              <w:rPr>
                <w:sz w:val="22"/>
              </w:rPr>
            </w:pPr>
            <w:r w:rsidRPr="008726C8">
              <w:rPr>
                <w:sz w:val="22"/>
              </w:rPr>
              <w:t>(</w:t>
            </w:r>
            <w:r w:rsidR="00415FED" w:rsidRPr="008726C8">
              <w:rPr>
                <w:sz w:val="22"/>
              </w:rPr>
              <w:t>15</w:t>
            </w:r>
            <w:r w:rsidRPr="008726C8">
              <w:rPr>
                <w:sz w:val="22"/>
              </w:rPr>
              <w:t>.</w:t>
            </w:r>
            <w:r w:rsidR="00415FED" w:rsidRPr="008726C8">
              <w:rPr>
                <w:sz w:val="22"/>
              </w:rPr>
              <w:t>8</w:t>
            </w:r>
            <w:r w:rsidRPr="008726C8">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2CFB5428" w14:textId="49DA06FD" w:rsidR="001D3757" w:rsidRPr="008726C8" w:rsidRDefault="00415FED" w:rsidP="00154EC2">
            <w:pPr>
              <w:spacing w:before="60" w:after="60" w:line="240" w:lineRule="auto"/>
              <w:jc w:val="center"/>
              <w:rPr>
                <w:sz w:val="22"/>
              </w:rPr>
            </w:pPr>
            <w:r w:rsidRPr="008726C8">
              <w:rPr>
                <w:sz w:val="22"/>
              </w:rPr>
              <w:t>4</w:t>
            </w:r>
          </w:p>
          <w:p w14:paraId="40D85062" w14:textId="1D66E331" w:rsidR="001D3757" w:rsidRPr="008726C8" w:rsidRDefault="001D3757" w:rsidP="00154EC2">
            <w:pPr>
              <w:spacing w:before="60" w:after="60" w:line="240" w:lineRule="auto"/>
              <w:jc w:val="center"/>
              <w:rPr>
                <w:sz w:val="22"/>
              </w:rPr>
            </w:pPr>
            <w:r w:rsidRPr="008726C8">
              <w:rPr>
                <w:sz w:val="22"/>
              </w:rPr>
              <w:t xml:space="preserve"> (</w:t>
            </w:r>
            <w:r w:rsidR="00415FED" w:rsidRPr="008726C8">
              <w:rPr>
                <w:sz w:val="22"/>
              </w:rPr>
              <w:t>1</w:t>
            </w:r>
            <w:r w:rsidRPr="008726C8">
              <w:rPr>
                <w:sz w:val="22"/>
              </w:rPr>
              <w:t>0.</w:t>
            </w:r>
            <w:r w:rsidR="00415FED" w:rsidRPr="008726C8">
              <w:rPr>
                <w:sz w:val="22"/>
              </w:rPr>
              <w:t>5</w:t>
            </w:r>
            <w:r w:rsidRPr="008726C8">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45908EE0" w14:textId="77777777" w:rsidR="001D3757" w:rsidRPr="008726C8" w:rsidRDefault="001D3757" w:rsidP="00154EC2">
            <w:pPr>
              <w:spacing w:before="60" w:after="60" w:line="240" w:lineRule="auto"/>
              <w:jc w:val="center"/>
              <w:rPr>
                <w:sz w:val="22"/>
              </w:rPr>
            </w:pPr>
            <w:r w:rsidRPr="008726C8">
              <w:rPr>
                <w:sz w:val="22"/>
              </w:rPr>
              <w:t>38</w:t>
            </w:r>
          </w:p>
        </w:tc>
      </w:tr>
      <w:tr w:rsidR="001D3757" w14:paraId="181C8CDB" w14:textId="77777777" w:rsidTr="00154EC2">
        <w:tc>
          <w:tcPr>
            <w:tcW w:w="4815" w:type="dxa"/>
            <w:tcBorders>
              <w:top w:val="single" w:sz="4" w:space="0" w:color="auto"/>
              <w:left w:val="single" w:sz="4" w:space="0" w:color="auto"/>
              <w:bottom w:val="single" w:sz="4" w:space="0" w:color="auto"/>
              <w:right w:val="single" w:sz="4" w:space="0" w:color="auto"/>
            </w:tcBorders>
          </w:tcPr>
          <w:p w14:paraId="1CFB5638" w14:textId="7C8D8B61" w:rsidR="001D3757" w:rsidRPr="008726C8" w:rsidRDefault="001D3757" w:rsidP="00154EC2">
            <w:pPr>
              <w:spacing w:before="60" w:after="60" w:line="240" w:lineRule="auto"/>
              <w:rPr>
                <w:sz w:val="22"/>
              </w:rPr>
            </w:pPr>
            <w:r w:rsidRPr="008726C8">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71276BEC" w14:textId="74372CC1" w:rsidR="001D3757" w:rsidRPr="008726C8" w:rsidRDefault="001D3757" w:rsidP="00154EC2">
            <w:pPr>
              <w:spacing w:before="60" w:after="60" w:line="240" w:lineRule="auto"/>
              <w:jc w:val="center"/>
              <w:rPr>
                <w:sz w:val="22"/>
              </w:rPr>
            </w:pPr>
            <w:r w:rsidRPr="008726C8">
              <w:rPr>
                <w:sz w:val="22"/>
              </w:rPr>
              <w:t>2</w:t>
            </w:r>
            <w:r w:rsidR="00415FED" w:rsidRPr="008726C8">
              <w:rPr>
                <w:sz w:val="22"/>
              </w:rPr>
              <w:t>6</w:t>
            </w:r>
          </w:p>
          <w:p w14:paraId="106424D0" w14:textId="22147963" w:rsidR="001D3757" w:rsidRPr="008726C8" w:rsidRDefault="001D3757" w:rsidP="00154EC2">
            <w:pPr>
              <w:spacing w:before="60" w:after="60" w:line="240" w:lineRule="auto"/>
              <w:jc w:val="center"/>
              <w:rPr>
                <w:sz w:val="22"/>
              </w:rPr>
            </w:pPr>
            <w:r w:rsidRPr="008726C8">
              <w:rPr>
                <w:sz w:val="22"/>
              </w:rPr>
              <w:t>(6</w:t>
            </w:r>
            <w:r w:rsidR="00415FED" w:rsidRPr="008726C8">
              <w:rPr>
                <w:sz w:val="22"/>
              </w:rPr>
              <w:t>8</w:t>
            </w:r>
            <w:r w:rsidRPr="008726C8">
              <w:rPr>
                <w:sz w:val="22"/>
              </w:rPr>
              <w:t>.</w:t>
            </w:r>
            <w:r w:rsidR="00415FED" w:rsidRPr="008726C8">
              <w:rPr>
                <w:sz w:val="22"/>
              </w:rPr>
              <w:t>4</w:t>
            </w:r>
            <w:r w:rsidRPr="008726C8">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6CE4FE93" w14:textId="7D4F4974" w:rsidR="001D3757" w:rsidRPr="008726C8" w:rsidRDefault="00415FED" w:rsidP="00154EC2">
            <w:pPr>
              <w:spacing w:before="60" w:after="60" w:line="240" w:lineRule="auto"/>
              <w:jc w:val="center"/>
              <w:rPr>
                <w:sz w:val="22"/>
              </w:rPr>
            </w:pPr>
            <w:r w:rsidRPr="008726C8">
              <w:rPr>
                <w:sz w:val="22"/>
              </w:rPr>
              <w:t>5</w:t>
            </w:r>
          </w:p>
          <w:p w14:paraId="28074464" w14:textId="6E6F5015" w:rsidR="001D3757" w:rsidRPr="008726C8" w:rsidRDefault="001D3757" w:rsidP="00154EC2">
            <w:pPr>
              <w:spacing w:before="60" w:after="60" w:line="240" w:lineRule="auto"/>
              <w:jc w:val="center"/>
              <w:rPr>
                <w:sz w:val="22"/>
              </w:rPr>
            </w:pPr>
            <w:r w:rsidRPr="008726C8">
              <w:rPr>
                <w:sz w:val="22"/>
              </w:rPr>
              <w:t>(</w:t>
            </w:r>
            <w:r w:rsidR="00415FED" w:rsidRPr="008726C8">
              <w:rPr>
                <w:sz w:val="22"/>
              </w:rPr>
              <w:t>13</w:t>
            </w:r>
            <w:r w:rsidRPr="008726C8">
              <w:rPr>
                <w:sz w:val="22"/>
              </w:rPr>
              <w:t>.2%)</w:t>
            </w:r>
          </w:p>
        </w:tc>
        <w:tc>
          <w:tcPr>
            <w:tcW w:w="1234" w:type="dxa"/>
            <w:tcBorders>
              <w:top w:val="single" w:sz="4" w:space="0" w:color="auto"/>
              <w:left w:val="single" w:sz="4" w:space="0" w:color="auto"/>
              <w:bottom w:val="single" w:sz="4" w:space="0" w:color="auto"/>
              <w:right w:val="single" w:sz="4" w:space="0" w:color="auto"/>
            </w:tcBorders>
            <w:hideMark/>
          </w:tcPr>
          <w:p w14:paraId="39D774E3" w14:textId="59E097C8" w:rsidR="001D3757" w:rsidRPr="008726C8" w:rsidRDefault="00415FED" w:rsidP="00154EC2">
            <w:pPr>
              <w:spacing w:before="60" w:after="60" w:line="240" w:lineRule="auto"/>
              <w:jc w:val="center"/>
              <w:rPr>
                <w:sz w:val="22"/>
              </w:rPr>
            </w:pPr>
            <w:r w:rsidRPr="008726C8">
              <w:rPr>
                <w:sz w:val="22"/>
              </w:rPr>
              <w:t>7</w:t>
            </w:r>
          </w:p>
          <w:p w14:paraId="19AC0A06" w14:textId="7409B579" w:rsidR="001D3757" w:rsidRPr="008726C8" w:rsidRDefault="001D3757" w:rsidP="00154EC2">
            <w:pPr>
              <w:spacing w:before="60" w:after="60" w:line="240" w:lineRule="auto"/>
              <w:jc w:val="center"/>
              <w:rPr>
                <w:sz w:val="22"/>
              </w:rPr>
            </w:pPr>
            <w:r w:rsidRPr="008726C8">
              <w:rPr>
                <w:sz w:val="22"/>
              </w:rPr>
              <w:t>(</w:t>
            </w:r>
            <w:r w:rsidR="00415FED" w:rsidRPr="008726C8">
              <w:rPr>
                <w:sz w:val="22"/>
              </w:rPr>
              <w:t>18</w:t>
            </w:r>
            <w:r w:rsidRPr="008726C8">
              <w:rPr>
                <w:sz w:val="22"/>
              </w:rPr>
              <w:t>.</w:t>
            </w:r>
            <w:r w:rsidR="00415FED" w:rsidRPr="008726C8">
              <w:rPr>
                <w:sz w:val="22"/>
              </w:rPr>
              <w:t>4</w:t>
            </w:r>
            <w:r w:rsidRPr="008726C8">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78094EAF" w14:textId="77777777" w:rsidR="001D3757" w:rsidRPr="008726C8" w:rsidRDefault="001D3757" w:rsidP="00154EC2">
            <w:pPr>
              <w:spacing w:before="60" w:after="60" w:line="240" w:lineRule="auto"/>
              <w:jc w:val="center"/>
              <w:rPr>
                <w:sz w:val="22"/>
              </w:rPr>
            </w:pPr>
            <w:r w:rsidRPr="008726C8">
              <w:rPr>
                <w:sz w:val="22"/>
              </w:rPr>
              <w:t>38</w:t>
            </w:r>
          </w:p>
        </w:tc>
      </w:tr>
    </w:tbl>
    <w:p w14:paraId="1A547C03" w14:textId="77777777" w:rsidR="001D3757" w:rsidRDefault="001D3757" w:rsidP="001D3757">
      <w:pPr>
        <w:rPr>
          <w:b/>
          <w:bCs/>
          <w:sz w:val="23"/>
          <w:szCs w:val="23"/>
        </w:rPr>
      </w:pPr>
    </w:p>
    <w:p w14:paraId="646E368E" w14:textId="733D1C1D" w:rsidR="0072269E" w:rsidRPr="00816E54" w:rsidRDefault="002A74B3" w:rsidP="00816E54">
      <w:r>
        <w:t>Four</w:t>
      </w:r>
      <w:r w:rsidR="000F1EC8">
        <w:t xml:space="preserve"> practices</w:t>
      </w:r>
      <w:r w:rsidR="00B043DF">
        <w:t xml:space="preserve"> were asked in the interviews whether patients with epilepsy would value an annual review</w:t>
      </w:r>
      <w:r w:rsidR="00514D11">
        <w:t>. Although they</w:t>
      </w:r>
      <w:r w:rsidR="00B043DF">
        <w:t xml:space="preserve"> </w:t>
      </w:r>
      <w:r w:rsidR="00514D11">
        <w:t xml:space="preserve">had not received direct feedback from their patients, </w:t>
      </w:r>
      <w:r w:rsidR="004621CA">
        <w:t>it was</w:t>
      </w:r>
      <w:r w:rsidR="00E4501A">
        <w:t xml:space="preserve"> felt </w:t>
      </w:r>
      <w:r w:rsidR="006965F8">
        <w:t>patients</w:t>
      </w:r>
      <w:r w:rsidR="001569A5">
        <w:t xml:space="preserve"> would</w:t>
      </w:r>
      <w:r w:rsidR="00E4501A">
        <w:t xml:space="preserve"> </w:t>
      </w:r>
      <w:r w:rsidR="00DA047E">
        <w:t xml:space="preserve">be </w:t>
      </w:r>
      <w:r w:rsidR="00E7549B">
        <w:t>likely</w:t>
      </w:r>
      <w:r w:rsidR="00E4501A">
        <w:t xml:space="preserve"> </w:t>
      </w:r>
      <w:r w:rsidR="00DA047E">
        <w:t xml:space="preserve">to </w:t>
      </w:r>
      <w:r w:rsidR="00E4501A">
        <w:t xml:space="preserve">appreciate </w:t>
      </w:r>
      <w:r w:rsidR="00514D11">
        <w:t>a review</w:t>
      </w:r>
      <w:r w:rsidR="00292F2A">
        <w:t xml:space="preserve">. </w:t>
      </w:r>
      <w:r w:rsidR="0072269E">
        <w:t xml:space="preserve">When discussing </w:t>
      </w:r>
      <w:r w:rsidR="00793C23">
        <w:t>i</w:t>
      </w:r>
      <w:r w:rsidR="0072269E">
        <w:t xml:space="preserve">ndicator 2, one practice </w:t>
      </w:r>
      <w:r w:rsidR="00816E54">
        <w:t>noted that</w:t>
      </w:r>
      <w:r w:rsidR="0072269E">
        <w:t xml:space="preserve"> patients with a learning disability value</w:t>
      </w:r>
      <w:r w:rsidR="00816E54">
        <w:t xml:space="preserve"> their current</w:t>
      </w:r>
      <w:r w:rsidR="0072269E">
        <w:t xml:space="preserve"> </w:t>
      </w:r>
      <w:r w:rsidR="00816E54">
        <w:t>annual review:</w:t>
      </w:r>
    </w:p>
    <w:p w14:paraId="6070D131" w14:textId="7AF73A65" w:rsidR="0072269E" w:rsidRPr="00E47D18" w:rsidRDefault="0072269E" w:rsidP="006375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rFonts w:ascii="Calibri" w:hAnsi="Calibri" w:cs="Calibri"/>
          <w:sz w:val="22"/>
        </w:rPr>
      </w:pPr>
      <w:r w:rsidRPr="00816E54">
        <w:rPr>
          <w:rFonts w:cs="Arial"/>
          <w:i/>
          <w:iCs/>
          <w:szCs w:val="24"/>
        </w:rPr>
        <w:lastRenderedPageBreak/>
        <w:t xml:space="preserve">“I think they value </w:t>
      </w:r>
      <w:proofErr w:type="gramStart"/>
      <w:r w:rsidRPr="00816E54">
        <w:rPr>
          <w:rFonts w:cs="Arial"/>
          <w:i/>
          <w:iCs/>
          <w:szCs w:val="24"/>
        </w:rPr>
        <w:t>it actually</w:t>
      </w:r>
      <w:proofErr w:type="gramEnd"/>
      <w:r w:rsidRPr="00816E54">
        <w:rPr>
          <w:rFonts w:cs="Arial"/>
          <w:i/>
          <w:iCs/>
          <w:szCs w:val="24"/>
        </w:rPr>
        <w:t xml:space="preserve">.  We have got </w:t>
      </w:r>
      <w:r w:rsidR="00965DC0">
        <w:rPr>
          <w:rFonts w:cs="Arial"/>
          <w:i/>
          <w:iCs/>
          <w:szCs w:val="24"/>
        </w:rPr>
        <w:t>(…)</w:t>
      </w:r>
      <w:r w:rsidRPr="00816E54">
        <w:rPr>
          <w:rFonts w:cs="Arial"/>
          <w:i/>
          <w:iCs/>
          <w:szCs w:val="24"/>
        </w:rPr>
        <w:t xml:space="preserve"> a member of our team who specialises in this area in some ways and is very good at getting the patients in, so I think we try and provide a continuous service where we are very flexible </w:t>
      </w:r>
      <w:r w:rsidR="00AB7743">
        <w:rPr>
          <w:rFonts w:cs="Arial"/>
          <w:i/>
          <w:iCs/>
          <w:szCs w:val="24"/>
        </w:rPr>
        <w:t xml:space="preserve">[and] </w:t>
      </w:r>
      <w:r w:rsidRPr="00816E54">
        <w:rPr>
          <w:rFonts w:cs="Arial"/>
          <w:i/>
          <w:iCs/>
          <w:szCs w:val="24"/>
        </w:rPr>
        <w:t>offer appointments at certain times.  I think it works quite well really” [GP, Interview</w:t>
      </w:r>
      <w:r w:rsidRPr="00E47D18">
        <w:rPr>
          <w:rFonts w:cs="Arial"/>
          <w:i/>
          <w:iCs/>
          <w:szCs w:val="24"/>
        </w:rPr>
        <w:t>]</w:t>
      </w:r>
    </w:p>
    <w:p w14:paraId="4FB5A22F" w14:textId="34F8C397" w:rsidR="00EC3DB5" w:rsidRDefault="00EC3DB5" w:rsidP="00491F62">
      <w:pPr>
        <w:spacing w:before="240"/>
      </w:pPr>
      <w:r>
        <w:t xml:space="preserve">However, </w:t>
      </w:r>
      <w:r w:rsidR="00793C23">
        <w:t>in relation to i</w:t>
      </w:r>
      <w:r w:rsidR="00DA047E">
        <w:t xml:space="preserve">ndicator 1, </w:t>
      </w:r>
      <w:r w:rsidR="00175C28">
        <w:t>two</w:t>
      </w:r>
      <w:r>
        <w:t xml:space="preserve"> practices did caution that patients would not value a review </w:t>
      </w:r>
      <w:r w:rsidR="00DA047E">
        <w:t xml:space="preserve">if they were unable to see what </w:t>
      </w:r>
      <w:r w:rsidR="00486C50">
        <w:t>benefit it would provide</w:t>
      </w:r>
      <w:r w:rsidR="00DA047E">
        <w:t>:</w:t>
      </w:r>
    </w:p>
    <w:p w14:paraId="173516FC" w14:textId="77777777" w:rsidR="002931C8" w:rsidRDefault="00E4501A" w:rsidP="006375F9">
      <w:pPr>
        <w:pStyle w:val="Heading4"/>
        <w:spacing w:after="160" w:line="276" w:lineRule="auto"/>
        <w:rPr>
          <w:rFonts w:eastAsiaTheme="minorHAnsi" w:cs="Arial"/>
          <w:i/>
          <w:color w:val="auto"/>
          <w:szCs w:val="24"/>
          <w:u w:val="none"/>
        </w:rPr>
      </w:pPr>
      <w:r w:rsidRPr="00300E01">
        <w:rPr>
          <w:i/>
          <w:szCs w:val="24"/>
          <w:u w:val="none"/>
        </w:rPr>
        <w:t xml:space="preserve">“…we did do this a few years ago, and it was one of those indicators where you thought, 'What quite are we doing here?' It can feel rather like you're extracting data from a patient. 'Are </w:t>
      </w:r>
      <w:proofErr w:type="gramStart"/>
      <w:r w:rsidRPr="00300E01">
        <w:rPr>
          <w:i/>
          <w:szCs w:val="24"/>
          <w:u w:val="none"/>
        </w:rPr>
        <w:t>you</w:t>
      </w:r>
      <w:proofErr w:type="gramEnd"/>
      <w:r w:rsidRPr="00300E01">
        <w:rPr>
          <w:i/>
          <w:szCs w:val="24"/>
          <w:u w:val="none"/>
        </w:rPr>
        <w:t xml:space="preserve"> seizure free?', 'Yippee', or, 'How many seizures have you had?' So, I'm not sure how useful it felt to the patients when we were doing it before and any indicator that sort of gives that result feels a bit cynical to deliver as a doctor and might feel a bit cynical and un-engaging to a patient. So, I think that's worth just considering.” [GP, Interview] </w:t>
      </w:r>
    </w:p>
    <w:p w14:paraId="0012E641" w14:textId="78EC2ADB" w:rsidR="008C19C3" w:rsidRPr="002931C8" w:rsidRDefault="008C19C3" w:rsidP="00491F62">
      <w:pPr>
        <w:pStyle w:val="Heading4"/>
        <w:spacing w:before="360"/>
      </w:pPr>
      <w:r w:rsidRPr="002931C8">
        <w:t xml:space="preserve">Financial incentivisation </w:t>
      </w:r>
    </w:p>
    <w:p w14:paraId="61F9E32B" w14:textId="786A592E" w:rsidR="00E7549B" w:rsidRDefault="00A504AC" w:rsidP="004B4482">
      <w:r>
        <w:t xml:space="preserve">Most respondents to the survey were supportive of financial incentives for the </w:t>
      </w:r>
      <w:r w:rsidR="008E42DA">
        <w:t>epilepsy-related</w:t>
      </w:r>
      <w:r>
        <w:t xml:space="preserve"> indicators. </w:t>
      </w:r>
    </w:p>
    <w:p w14:paraId="67157C9E" w14:textId="71A461AE" w:rsidR="00292F2A" w:rsidRPr="00E7549B" w:rsidRDefault="00292F2A" w:rsidP="00292F2A">
      <w:r w:rsidRPr="00A504AC">
        <w:t xml:space="preserve">The proportion of respondents who </w:t>
      </w:r>
      <w:r>
        <w:t>agreed</w:t>
      </w:r>
      <w:r w:rsidRPr="00A504AC">
        <w:t xml:space="preserve"> the</w:t>
      </w:r>
      <w:r>
        <w:t xml:space="preserve"> </w:t>
      </w:r>
      <w:r w:rsidRPr="00A504AC">
        <w:t xml:space="preserve">indicators should be financially incentivised varied between </w:t>
      </w:r>
      <w:r>
        <w:t xml:space="preserve">each </w:t>
      </w:r>
      <w:r w:rsidRPr="00A504AC">
        <w:t>indicato</w:t>
      </w:r>
      <w:r>
        <w:t>r</w:t>
      </w:r>
      <w:r w:rsidRPr="00A504AC">
        <w:t xml:space="preserve"> (Table 3)</w:t>
      </w:r>
      <w:r>
        <w:t>. Whilst a high proportion (80.6%, 29/36) thought the annual review of all adults receiving drug treatment for epilepsy (indicator 1) should be financially incentivised, there was slightly less support for incentivising indicators 2 and 3 (75.0% and 69.4%, respectively). Five respondents (13.9%) did not think the annual review of adults with a mental health condition and epilepsy (indicator 3) should be financially incentivised, and a further six respondents (16.7%) were unsure.</w:t>
      </w:r>
    </w:p>
    <w:p w14:paraId="521C5B1F" w14:textId="77777777" w:rsidR="006D7A0A" w:rsidRPr="004B4482" w:rsidRDefault="006D7A0A" w:rsidP="006D7A0A">
      <w:pPr>
        <w:spacing w:line="276" w:lineRule="auto"/>
        <w:rPr>
          <w:u w:val="single"/>
        </w:rPr>
      </w:pPr>
      <w:r w:rsidRPr="004B4482">
        <w:rPr>
          <w:u w:val="single"/>
        </w:rPr>
        <w:t>Table 3: Views on financial incentivisation of epilepsy-related indicators (survey)</w:t>
      </w:r>
    </w:p>
    <w:tbl>
      <w:tblPr>
        <w:tblStyle w:val="TableGrid"/>
        <w:tblW w:w="9209" w:type="dxa"/>
        <w:tblLook w:val="04A0" w:firstRow="1" w:lastRow="0" w:firstColumn="1" w:lastColumn="0" w:noHBand="0" w:noVBand="1"/>
      </w:tblPr>
      <w:tblGrid>
        <w:gridCol w:w="4815"/>
        <w:gridCol w:w="1241"/>
        <w:gridCol w:w="1169"/>
        <w:gridCol w:w="1234"/>
        <w:gridCol w:w="750"/>
      </w:tblGrid>
      <w:tr w:rsidR="006D7A0A" w14:paraId="579297C7"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p w14:paraId="24E09A77" w14:textId="77777777" w:rsidR="006D7A0A" w:rsidRPr="008726C8" w:rsidRDefault="006D7A0A" w:rsidP="00154EC2">
            <w:pPr>
              <w:spacing w:before="60" w:after="60" w:line="240" w:lineRule="auto"/>
              <w:rPr>
                <w:b/>
                <w:sz w:val="22"/>
              </w:rPr>
            </w:pPr>
            <w:r w:rsidRPr="008726C8">
              <w:rPr>
                <w:b/>
                <w:sz w:val="22"/>
              </w:rPr>
              <w:t>Do you think the following indicators should be financially incentivised?</w:t>
            </w:r>
          </w:p>
        </w:tc>
      </w:tr>
      <w:tr w:rsidR="006D7A0A" w14:paraId="44504FDA" w14:textId="77777777" w:rsidTr="00154EC2">
        <w:tc>
          <w:tcPr>
            <w:tcW w:w="4815" w:type="dxa"/>
            <w:tcBorders>
              <w:top w:val="single" w:sz="4" w:space="0" w:color="auto"/>
              <w:left w:val="single" w:sz="4" w:space="0" w:color="auto"/>
              <w:bottom w:val="single" w:sz="4" w:space="0" w:color="auto"/>
              <w:right w:val="single" w:sz="4" w:space="0" w:color="auto"/>
            </w:tcBorders>
          </w:tcPr>
          <w:p w14:paraId="2DD59140" w14:textId="77777777" w:rsidR="006D7A0A" w:rsidRPr="008726C8" w:rsidRDefault="006D7A0A"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75320390" w14:textId="77777777" w:rsidR="006D7A0A" w:rsidRPr="008726C8" w:rsidRDefault="006D7A0A" w:rsidP="00154EC2">
            <w:pPr>
              <w:spacing w:before="60" w:after="60" w:line="240" w:lineRule="auto"/>
              <w:jc w:val="center"/>
              <w:rPr>
                <w:sz w:val="22"/>
              </w:rPr>
            </w:pPr>
            <w:r w:rsidRPr="008726C8">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1ABF97D0" w14:textId="77777777" w:rsidR="006D7A0A" w:rsidRPr="008726C8" w:rsidRDefault="006D7A0A" w:rsidP="00154EC2">
            <w:pPr>
              <w:spacing w:before="60" w:after="60" w:line="240" w:lineRule="auto"/>
              <w:jc w:val="center"/>
              <w:rPr>
                <w:sz w:val="22"/>
              </w:rPr>
            </w:pPr>
            <w:r w:rsidRPr="008726C8">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432FBAA3" w14:textId="77777777" w:rsidR="006D7A0A" w:rsidRPr="008726C8" w:rsidRDefault="006D7A0A" w:rsidP="00154EC2">
            <w:pPr>
              <w:spacing w:before="60" w:after="60" w:line="240" w:lineRule="auto"/>
              <w:jc w:val="center"/>
              <w:rPr>
                <w:sz w:val="22"/>
              </w:rPr>
            </w:pPr>
            <w:r w:rsidRPr="008726C8">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1917E246" w14:textId="77777777" w:rsidR="006D7A0A" w:rsidRPr="008726C8" w:rsidRDefault="006D7A0A" w:rsidP="00154EC2">
            <w:pPr>
              <w:spacing w:before="60" w:after="60" w:line="240" w:lineRule="auto"/>
              <w:jc w:val="center"/>
              <w:rPr>
                <w:sz w:val="22"/>
              </w:rPr>
            </w:pPr>
            <w:r w:rsidRPr="008726C8">
              <w:rPr>
                <w:sz w:val="22"/>
              </w:rPr>
              <w:t>Total</w:t>
            </w:r>
          </w:p>
        </w:tc>
      </w:tr>
      <w:tr w:rsidR="006D7A0A" w14:paraId="026F5F57"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58142F6B" w14:textId="77777777" w:rsidR="006D7A0A" w:rsidRPr="008726C8" w:rsidRDefault="006D7A0A" w:rsidP="00154EC2">
            <w:pPr>
              <w:spacing w:before="60" w:after="60" w:line="240" w:lineRule="auto"/>
              <w:rPr>
                <w:sz w:val="22"/>
              </w:rPr>
            </w:pPr>
            <w:r w:rsidRPr="008726C8">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196BF1D1" w14:textId="77777777" w:rsidR="006D7A0A" w:rsidRPr="008726C8" w:rsidRDefault="006D7A0A" w:rsidP="00154EC2">
            <w:pPr>
              <w:spacing w:before="60" w:after="60" w:line="240" w:lineRule="auto"/>
              <w:jc w:val="center"/>
              <w:rPr>
                <w:sz w:val="22"/>
              </w:rPr>
            </w:pPr>
            <w:r w:rsidRPr="008726C8">
              <w:rPr>
                <w:sz w:val="22"/>
              </w:rPr>
              <w:t>29</w:t>
            </w:r>
          </w:p>
          <w:p w14:paraId="5D289F83" w14:textId="77777777" w:rsidR="006D7A0A" w:rsidRPr="008726C8" w:rsidRDefault="006D7A0A" w:rsidP="00154EC2">
            <w:pPr>
              <w:spacing w:before="60" w:after="60" w:line="240" w:lineRule="auto"/>
              <w:jc w:val="center"/>
              <w:rPr>
                <w:sz w:val="22"/>
              </w:rPr>
            </w:pPr>
            <w:r w:rsidRPr="008726C8">
              <w:rPr>
                <w:sz w:val="22"/>
              </w:rPr>
              <w:t>(80.6%)</w:t>
            </w:r>
          </w:p>
        </w:tc>
        <w:tc>
          <w:tcPr>
            <w:tcW w:w="1169" w:type="dxa"/>
            <w:tcBorders>
              <w:top w:val="single" w:sz="4" w:space="0" w:color="auto"/>
              <w:left w:val="single" w:sz="4" w:space="0" w:color="auto"/>
              <w:bottom w:val="single" w:sz="4" w:space="0" w:color="auto"/>
              <w:right w:val="single" w:sz="4" w:space="0" w:color="auto"/>
            </w:tcBorders>
            <w:hideMark/>
          </w:tcPr>
          <w:p w14:paraId="7A7C5474" w14:textId="77777777" w:rsidR="006D7A0A" w:rsidRPr="008726C8" w:rsidRDefault="006D7A0A" w:rsidP="00154EC2">
            <w:pPr>
              <w:spacing w:before="60" w:after="60" w:line="240" w:lineRule="auto"/>
              <w:jc w:val="center"/>
              <w:rPr>
                <w:sz w:val="22"/>
              </w:rPr>
            </w:pPr>
            <w:r w:rsidRPr="008726C8">
              <w:rPr>
                <w:sz w:val="22"/>
              </w:rPr>
              <w:t>2</w:t>
            </w:r>
          </w:p>
          <w:p w14:paraId="0EC0ED9D" w14:textId="77777777" w:rsidR="006D7A0A" w:rsidRPr="008726C8" w:rsidRDefault="006D7A0A" w:rsidP="00154EC2">
            <w:pPr>
              <w:spacing w:before="60" w:after="60" w:line="240" w:lineRule="auto"/>
              <w:jc w:val="center"/>
              <w:rPr>
                <w:sz w:val="22"/>
              </w:rPr>
            </w:pPr>
            <w:r w:rsidRPr="008726C8">
              <w:rPr>
                <w:sz w:val="22"/>
              </w:rPr>
              <w:t>(5.6%)</w:t>
            </w:r>
          </w:p>
        </w:tc>
        <w:tc>
          <w:tcPr>
            <w:tcW w:w="1234" w:type="dxa"/>
            <w:tcBorders>
              <w:top w:val="single" w:sz="4" w:space="0" w:color="auto"/>
              <w:left w:val="single" w:sz="4" w:space="0" w:color="auto"/>
              <w:bottom w:val="single" w:sz="4" w:space="0" w:color="auto"/>
              <w:right w:val="single" w:sz="4" w:space="0" w:color="auto"/>
            </w:tcBorders>
            <w:hideMark/>
          </w:tcPr>
          <w:p w14:paraId="1A686319" w14:textId="77777777" w:rsidR="006D7A0A" w:rsidRPr="008726C8" w:rsidRDefault="006D7A0A" w:rsidP="00154EC2">
            <w:pPr>
              <w:spacing w:before="60" w:after="60" w:line="240" w:lineRule="auto"/>
              <w:jc w:val="center"/>
              <w:rPr>
                <w:sz w:val="22"/>
              </w:rPr>
            </w:pPr>
            <w:r w:rsidRPr="008726C8">
              <w:rPr>
                <w:sz w:val="22"/>
              </w:rPr>
              <w:t>5</w:t>
            </w:r>
          </w:p>
          <w:p w14:paraId="31AE7F5D" w14:textId="77777777" w:rsidR="006D7A0A" w:rsidRPr="008726C8" w:rsidRDefault="006D7A0A" w:rsidP="00154EC2">
            <w:pPr>
              <w:spacing w:before="60" w:after="60" w:line="240" w:lineRule="auto"/>
              <w:jc w:val="center"/>
              <w:rPr>
                <w:sz w:val="22"/>
              </w:rPr>
            </w:pPr>
            <w:r w:rsidRPr="008726C8">
              <w:rPr>
                <w:sz w:val="22"/>
              </w:rPr>
              <w:t>(13.9%)</w:t>
            </w:r>
          </w:p>
        </w:tc>
        <w:tc>
          <w:tcPr>
            <w:tcW w:w="750" w:type="dxa"/>
            <w:tcBorders>
              <w:top w:val="single" w:sz="4" w:space="0" w:color="auto"/>
              <w:left w:val="single" w:sz="4" w:space="0" w:color="auto"/>
              <w:bottom w:val="single" w:sz="4" w:space="0" w:color="auto"/>
              <w:right w:val="single" w:sz="4" w:space="0" w:color="auto"/>
            </w:tcBorders>
            <w:hideMark/>
          </w:tcPr>
          <w:p w14:paraId="0E58DEFE" w14:textId="77777777" w:rsidR="006D7A0A" w:rsidRPr="008726C8" w:rsidRDefault="006D7A0A" w:rsidP="00154EC2">
            <w:pPr>
              <w:spacing w:before="60" w:after="60" w:line="240" w:lineRule="auto"/>
              <w:jc w:val="center"/>
              <w:rPr>
                <w:sz w:val="22"/>
              </w:rPr>
            </w:pPr>
            <w:r w:rsidRPr="008726C8">
              <w:rPr>
                <w:sz w:val="22"/>
              </w:rPr>
              <w:t>36</w:t>
            </w:r>
          </w:p>
        </w:tc>
      </w:tr>
      <w:tr w:rsidR="006D7A0A" w14:paraId="6C6F7A19"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05A92E67" w14:textId="77777777" w:rsidR="006D7A0A" w:rsidRPr="008726C8" w:rsidRDefault="006D7A0A" w:rsidP="00154EC2">
            <w:pPr>
              <w:spacing w:before="60" w:after="60" w:line="240" w:lineRule="auto"/>
              <w:rPr>
                <w:sz w:val="22"/>
              </w:rPr>
            </w:pPr>
            <w:r w:rsidRPr="008726C8">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4665D5D3" w14:textId="77777777" w:rsidR="006D7A0A" w:rsidRPr="008726C8" w:rsidRDefault="006D7A0A" w:rsidP="00154EC2">
            <w:pPr>
              <w:spacing w:before="60" w:after="60" w:line="240" w:lineRule="auto"/>
              <w:jc w:val="center"/>
              <w:rPr>
                <w:sz w:val="22"/>
              </w:rPr>
            </w:pPr>
            <w:r w:rsidRPr="008726C8">
              <w:rPr>
                <w:sz w:val="22"/>
              </w:rPr>
              <w:t>27</w:t>
            </w:r>
          </w:p>
          <w:p w14:paraId="4BC8D729" w14:textId="77777777" w:rsidR="006D7A0A" w:rsidRPr="008726C8" w:rsidRDefault="006D7A0A" w:rsidP="00154EC2">
            <w:pPr>
              <w:spacing w:before="60" w:after="60" w:line="240" w:lineRule="auto"/>
              <w:jc w:val="center"/>
              <w:rPr>
                <w:sz w:val="22"/>
              </w:rPr>
            </w:pPr>
            <w:r w:rsidRPr="008726C8">
              <w:rPr>
                <w:sz w:val="22"/>
              </w:rPr>
              <w:t>(75.0%)</w:t>
            </w:r>
          </w:p>
        </w:tc>
        <w:tc>
          <w:tcPr>
            <w:tcW w:w="1169" w:type="dxa"/>
            <w:tcBorders>
              <w:top w:val="single" w:sz="4" w:space="0" w:color="auto"/>
              <w:left w:val="single" w:sz="4" w:space="0" w:color="auto"/>
              <w:bottom w:val="single" w:sz="4" w:space="0" w:color="auto"/>
              <w:right w:val="single" w:sz="4" w:space="0" w:color="auto"/>
            </w:tcBorders>
            <w:hideMark/>
          </w:tcPr>
          <w:p w14:paraId="72F31071" w14:textId="77777777" w:rsidR="006D7A0A" w:rsidRPr="008726C8" w:rsidRDefault="006D7A0A" w:rsidP="00154EC2">
            <w:pPr>
              <w:spacing w:before="60" w:after="60" w:line="240" w:lineRule="auto"/>
              <w:jc w:val="center"/>
              <w:rPr>
                <w:sz w:val="22"/>
              </w:rPr>
            </w:pPr>
            <w:r w:rsidRPr="008726C8">
              <w:rPr>
                <w:sz w:val="22"/>
              </w:rPr>
              <w:t>3</w:t>
            </w:r>
          </w:p>
          <w:p w14:paraId="71CAA301" w14:textId="77777777" w:rsidR="006D7A0A" w:rsidRPr="008726C8" w:rsidRDefault="006D7A0A" w:rsidP="00154EC2">
            <w:pPr>
              <w:spacing w:before="60" w:after="60" w:line="240" w:lineRule="auto"/>
              <w:jc w:val="center"/>
              <w:rPr>
                <w:sz w:val="22"/>
              </w:rPr>
            </w:pPr>
            <w:r w:rsidRPr="008726C8">
              <w:rPr>
                <w:sz w:val="22"/>
              </w:rPr>
              <w:t>(8.3%)</w:t>
            </w:r>
          </w:p>
        </w:tc>
        <w:tc>
          <w:tcPr>
            <w:tcW w:w="1234" w:type="dxa"/>
            <w:tcBorders>
              <w:top w:val="single" w:sz="4" w:space="0" w:color="auto"/>
              <w:left w:val="single" w:sz="4" w:space="0" w:color="auto"/>
              <w:bottom w:val="single" w:sz="4" w:space="0" w:color="auto"/>
              <w:right w:val="single" w:sz="4" w:space="0" w:color="auto"/>
            </w:tcBorders>
            <w:hideMark/>
          </w:tcPr>
          <w:p w14:paraId="05DC4332" w14:textId="77777777" w:rsidR="006D7A0A" w:rsidRPr="008726C8" w:rsidRDefault="006D7A0A" w:rsidP="00154EC2">
            <w:pPr>
              <w:spacing w:before="60" w:after="60" w:line="240" w:lineRule="auto"/>
              <w:jc w:val="center"/>
              <w:rPr>
                <w:sz w:val="22"/>
              </w:rPr>
            </w:pPr>
            <w:r w:rsidRPr="008726C8">
              <w:rPr>
                <w:sz w:val="22"/>
              </w:rPr>
              <w:t>6</w:t>
            </w:r>
          </w:p>
          <w:p w14:paraId="6E0A82F1" w14:textId="77777777" w:rsidR="006D7A0A" w:rsidRPr="008726C8" w:rsidRDefault="006D7A0A" w:rsidP="00154EC2">
            <w:pPr>
              <w:spacing w:before="60" w:after="60" w:line="240" w:lineRule="auto"/>
              <w:jc w:val="center"/>
              <w:rPr>
                <w:sz w:val="22"/>
              </w:rPr>
            </w:pPr>
            <w:r w:rsidRPr="008726C8">
              <w:rPr>
                <w:sz w:val="22"/>
              </w:rPr>
              <w:t xml:space="preserve"> (16.7%)</w:t>
            </w:r>
          </w:p>
        </w:tc>
        <w:tc>
          <w:tcPr>
            <w:tcW w:w="750" w:type="dxa"/>
            <w:tcBorders>
              <w:top w:val="single" w:sz="4" w:space="0" w:color="auto"/>
              <w:left w:val="single" w:sz="4" w:space="0" w:color="auto"/>
              <w:bottom w:val="single" w:sz="4" w:space="0" w:color="auto"/>
              <w:right w:val="single" w:sz="4" w:space="0" w:color="auto"/>
            </w:tcBorders>
            <w:hideMark/>
          </w:tcPr>
          <w:p w14:paraId="244E5715" w14:textId="77777777" w:rsidR="006D7A0A" w:rsidRPr="008726C8" w:rsidRDefault="006D7A0A" w:rsidP="00154EC2">
            <w:pPr>
              <w:spacing w:before="60" w:after="60" w:line="240" w:lineRule="auto"/>
              <w:jc w:val="center"/>
              <w:rPr>
                <w:sz w:val="22"/>
              </w:rPr>
            </w:pPr>
            <w:r w:rsidRPr="008726C8">
              <w:rPr>
                <w:sz w:val="22"/>
              </w:rPr>
              <w:t>36</w:t>
            </w:r>
          </w:p>
        </w:tc>
      </w:tr>
      <w:tr w:rsidR="006D7A0A" w14:paraId="4F5D26FF" w14:textId="77777777" w:rsidTr="00154EC2">
        <w:tc>
          <w:tcPr>
            <w:tcW w:w="4815" w:type="dxa"/>
            <w:tcBorders>
              <w:top w:val="single" w:sz="4" w:space="0" w:color="auto"/>
              <w:left w:val="single" w:sz="4" w:space="0" w:color="auto"/>
              <w:bottom w:val="single" w:sz="4" w:space="0" w:color="auto"/>
              <w:right w:val="single" w:sz="4" w:space="0" w:color="auto"/>
            </w:tcBorders>
          </w:tcPr>
          <w:p w14:paraId="5F34BC79" w14:textId="5D290A76" w:rsidR="006D7A0A" w:rsidRPr="008726C8" w:rsidRDefault="006D7A0A" w:rsidP="00154EC2">
            <w:pPr>
              <w:spacing w:before="60" w:after="60" w:line="240" w:lineRule="auto"/>
              <w:rPr>
                <w:sz w:val="22"/>
              </w:rPr>
            </w:pPr>
            <w:r w:rsidRPr="008726C8">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052F6818" w14:textId="77777777" w:rsidR="006D7A0A" w:rsidRPr="008726C8" w:rsidRDefault="006D7A0A" w:rsidP="00154EC2">
            <w:pPr>
              <w:spacing w:before="60" w:after="60" w:line="240" w:lineRule="auto"/>
              <w:jc w:val="center"/>
              <w:rPr>
                <w:sz w:val="22"/>
              </w:rPr>
            </w:pPr>
            <w:r w:rsidRPr="008726C8">
              <w:rPr>
                <w:sz w:val="22"/>
              </w:rPr>
              <w:t>25</w:t>
            </w:r>
          </w:p>
          <w:p w14:paraId="06B9170C" w14:textId="77777777" w:rsidR="006D7A0A" w:rsidRPr="008726C8" w:rsidRDefault="006D7A0A" w:rsidP="00154EC2">
            <w:pPr>
              <w:spacing w:before="60" w:after="60" w:line="240" w:lineRule="auto"/>
              <w:jc w:val="center"/>
              <w:rPr>
                <w:sz w:val="22"/>
              </w:rPr>
            </w:pPr>
            <w:r w:rsidRPr="008726C8">
              <w:rPr>
                <w:sz w:val="22"/>
              </w:rPr>
              <w:t>(69.4%)</w:t>
            </w:r>
          </w:p>
        </w:tc>
        <w:tc>
          <w:tcPr>
            <w:tcW w:w="1169" w:type="dxa"/>
            <w:tcBorders>
              <w:top w:val="single" w:sz="4" w:space="0" w:color="auto"/>
              <w:left w:val="single" w:sz="4" w:space="0" w:color="auto"/>
              <w:bottom w:val="single" w:sz="4" w:space="0" w:color="auto"/>
              <w:right w:val="single" w:sz="4" w:space="0" w:color="auto"/>
            </w:tcBorders>
            <w:hideMark/>
          </w:tcPr>
          <w:p w14:paraId="05B5CEED" w14:textId="77777777" w:rsidR="006D7A0A" w:rsidRPr="008726C8" w:rsidRDefault="006D7A0A" w:rsidP="00154EC2">
            <w:pPr>
              <w:spacing w:before="60" w:after="60" w:line="240" w:lineRule="auto"/>
              <w:jc w:val="center"/>
              <w:rPr>
                <w:sz w:val="22"/>
              </w:rPr>
            </w:pPr>
            <w:r w:rsidRPr="008726C8">
              <w:rPr>
                <w:sz w:val="22"/>
              </w:rPr>
              <w:t>5</w:t>
            </w:r>
          </w:p>
          <w:p w14:paraId="2AD009FA" w14:textId="77777777" w:rsidR="006D7A0A" w:rsidRPr="008726C8" w:rsidRDefault="006D7A0A" w:rsidP="00154EC2">
            <w:pPr>
              <w:spacing w:before="60" w:after="60" w:line="240" w:lineRule="auto"/>
              <w:jc w:val="center"/>
              <w:rPr>
                <w:sz w:val="22"/>
              </w:rPr>
            </w:pPr>
            <w:r w:rsidRPr="008726C8">
              <w:rPr>
                <w:sz w:val="22"/>
              </w:rPr>
              <w:t>(13.9%)</w:t>
            </w:r>
          </w:p>
        </w:tc>
        <w:tc>
          <w:tcPr>
            <w:tcW w:w="1234" w:type="dxa"/>
            <w:tcBorders>
              <w:top w:val="single" w:sz="4" w:space="0" w:color="auto"/>
              <w:left w:val="single" w:sz="4" w:space="0" w:color="auto"/>
              <w:bottom w:val="single" w:sz="4" w:space="0" w:color="auto"/>
              <w:right w:val="single" w:sz="4" w:space="0" w:color="auto"/>
            </w:tcBorders>
            <w:hideMark/>
          </w:tcPr>
          <w:p w14:paraId="0A1B9849" w14:textId="77777777" w:rsidR="006D7A0A" w:rsidRPr="008726C8" w:rsidRDefault="006D7A0A" w:rsidP="00154EC2">
            <w:pPr>
              <w:spacing w:before="60" w:after="60" w:line="240" w:lineRule="auto"/>
              <w:jc w:val="center"/>
              <w:rPr>
                <w:sz w:val="22"/>
              </w:rPr>
            </w:pPr>
            <w:r w:rsidRPr="008726C8">
              <w:rPr>
                <w:sz w:val="22"/>
              </w:rPr>
              <w:t>6</w:t>
            </w:r>
          </w:p>
          <w:p w14:paraId="5FADE18A" w14:textId="77777777" w:rsidR="006D7A0A" w:rsidRPr="008726C8" w:rsidRDefault="006D7A0A" w:rsidP="00154EC2">
            <w:pPr>
              <w:spacing w:before="60" w:after="60" w:line="240" w:lineRule="auto"/>
              <w:jc w:val="center"/>
              <w:rPr>
                <w:sz w:val="22"/>
              </w:rPr>
            </w:pPr>
            <w:r w:rsidRPr="008726C8">
              <w:rPr>
                <w:sz w:val="22"/>
              </w:rPr>
              <w:t>(16.7%)</w:t>
            </w:r>
          </w:p>
        </w:tc>
        <w:tc>
          <w:tcPr>
            <w:tcW w:w="750" w:type="dxa"/>
            <w:tcBorders>
              <w:top w:val="single" w:sz="4" w:space="0" w:color="auto"/>
              <w:left w:val="single" w:sz="4" w:space="0" w:color="auto"/>
              <w:bottom w:val="single" w:sz="4" w:space="0" w:color="auto"/>
              <w:right w:val="single" w:sz="4" w:space="0" w:color="auto"/>
            </w:tcBorders>
            <w:hideMark/>
          </w:tcPr>
          <w:p w14:paraId="2CB24DBD" w14:textId="77777777" w:rsidR="006D7A0A" w:rsidRPr="008726C8" w:rsidRDefault="006D7A0A" w:rsidP="00154EC2">
            <w:pPr>
              <w:spacing w:before="60" w:after="60" w:line="240" w:lineRule="auto"/>
              <w:jc w:val="center"/>
              <w:rPr>
                <w:sz w:val="22"/>
              </w:rPr>
            </w:pPr>
            <w:r w:rsidRPr="008726C8">
              <w:rPr>
                <w:sz w:val="22"/>
              </w:rPr>
              <w:t>36</w:t>
            </w:r>
          </w:p>
        </w:tc>
      </w:tr>
    </w:tbl>
    <w:p w14:paraId="02A6C431" w14:textId="77777777" w:rsidR="006D7A0A" w:rsidRDefault="006D7A0A" w:rsidP="004B4482"/>
    <w:p w14:paraId="2CF82A1A" w14:textId="7AE1BCE0" w:rsidR="0005132A" w:rsidRPr="004E553F" w:rsidRDefault="0005132A" w:rsidP="004B4482">
      <w:r>
        <w:lastRenderedPageBreak/>
        <w:t xml:space="preserve">As </w:t>
      </w:r>
      <w:r w:rsidR="00574768">
        <w:t>noted</w:t>
      </w:r>
      <w:r w:rsidR="00665570">
        <w:t xml:space="preserve"> </w:t>
      </w:r>
      <w:r w:rsidR="00574768">
        <w:t>previously</w:t>
      </w:r>
      <w:r>
        <w:t xml:space="preserve">, one of the practices interviewed </w:t>
      </w:r>
      <w:r w:rsidR="00665570">
        <w:t>cautioned</w:t>
      </w:r>
      <w:r>
        <w:t xml:space="preserve"> that if only </w:t>
      </w:r>
      <w:r w:rsidR="00793C23">
        <w:t>i</w:t>
      </w:r>
      <w:r>
        <w:t xml:space="preserve">ndicator 1 was implemented in QOF, there is a risk that the harder to reach subgroups associated with </w:t>
      </w:r>
      <w:r w:rsidR="00793C23">
        <w:t>i</w:t>
      </w:r>
      <w:r>
        <w:t xml:space="preserve">ndicators 2 and 3 may be overlooked once the target parameters for </w:t>
      </w:r>
      <w:r w:rsidR="00793C23">
        <w:t>i</w:t>
      </w:r>
      <w:r>
        <w:t>ndicator 1 had been achieved.</w:t>
      </w:r>
    </w:p>
    <w:p w14:paraId="50221296" w14:textId="3BBF593D" w:rsidR="000C7A2E" w:rsidRPr="00E4501A" w:rsidRDefault="00E4501A" w:rsidP="00491F62">
      <w:pPr>
        <w:pStyle w:val="Heading4"/>
        <w:spacing w:before="240"/>
      </w:pPr>
      <w:r w:rsidRPr="00E4501A">
        <w:t>Quality improvement</w:t>
      </w:r>
    </w:p>
    <w:p w14:paraId="5D7D85C3" w14:textId="1E7BEE49" w:rsidR="001569A5" w:rsidRDefault="004C19AA" w:rsidP="000F1EC8">
      <w:r>
        <w:t xml:space="preserve">The survey </w:t>
      </w:r>
      <w:r w:rsidR="00A504AC">
        <w:t>showed</w:t>
      </w:r>
      <w:r>
        <w:t xml:space="preserve"> </w:t>
      </w:r>
      <w:r w:rsidR="00B77D70">
        <w:t>mixed views as to whether the epilepsy</w:t>
      </w:r>
      <w:r w:rsidR="00BF120F">
        <w:t>-related</w:t>
      </w:r>
      <w:r w:rsidR="00B77D70">
        <w:t xml:space="preserve"> indicators could be suitable for quality improvement without incentivisation.</w:t>
      </w:r>
      <w:r>
        <w:t xml:space="preserve"> </w:t>
      </w:r>
    </w:p>
    <w:p w14:paraId="59993DDE" w14:textId="30C76282" w:rsidR="000F1EC8" w:rsidRDefault="004C19AA" w:rsidP="000F1EC8">
      <w:r>
        <w:t>Approximately half of respondents thought the indicators were suitable for quality improvement</w:t>
      </w:r>
      <w:r w:rsidR="00E172C5">
        <w:t xml:space="preserve"> without incentivisation</w:t>
      </w:r>
      <w:r>
        <w:t>; 52.8% (19/3</w:t>
      </w:r>
      <w:r w:rsidR="001569A5">
        <w:t>6</w:t>
      </w:r>
      <w:r>
        <w:t>) reported this was the case for indicators 1 and 3</w:t>
      </w:r>
      <w:r w:rsidR="003833F2">
        <w:t>,</w:t>
      </w:r>
      <w:r>
        <w:t xml:space="preserve"> with a slightly higher proportion </w:t>
      </w:r>
      <w:r w:rsidR="001569A5">
        <w:t>(</w:t>
      </w:r>
      <w:r w:rsidR="00292F2A">
        <w:t xml:space="preserve">58.3%, </w:t>
      </w:r>
      <w:r w:rsidR="001569A5">
        <w:t xml:space="preserve">21/36) agreeing </w:t>
      </w:r>
      <w:r w:rsidR="00793C23">
        <w:t>i</w:t>
      </w:r>
      <w:r w:rsidR="001569A5">
        <w:t xml:space="preserve">ndicator 2 was suitable for quality improvement (Table </w:t>
      </w:r>
      <w:r w:rsidR="00AB7743">
        <w:t>4</w:t>
      </w:r>
      <w:r w:rsidR="001569A5">
        <w:t>). Around one quarter of respondents did not feel the indicators were suitable for quality improvement without incentivisation</w:t>
      </w:r>
      <w:r w:rsidR="00BF120F">
        <w:t>, with the remaining respondents being unsure (Table 4)</w:t>
      </w:r>
      <w:r w:rsidR="006375F9">
        <w:t>.</w:t>
      </w:r>
    </w:p>
    <w:p w14:paraId="06895406" w14:textId="7E6C9741" w:rsidR="00BF120F" w:rsidRPr="004B4482" w:rsidRDefault="00BF120F" w:rsidP="004B4482">
      <w:pPr>
        <w:spacing w:line="276" w:lineRule="auto"/>
        <w:rPr>
          <w:u w:val="single"/>
        </w:rPr>
      </w:pPr>
      <w:r w:rsidRPr="004B4482">
        <w:rPr>
          <w:u w:val="single"/>
        </w:rPr>
        <w:t xml:space="preserve">Table 4: Views on </w:t>
      </w:r>
      <w:bookmarkStart w:id="3" w:name="_Hlk98859648"/>
      <w:r w:rsidRPr="004B4482">
        <w:rPr>
          <w:u w:val="single"/>
        </w:rPr>
        <w:t xml:space="preserve">suitability of </w:t>
      </w:r>
      <w:bookmarkEnd w:id="3"/>
      <w:r w:rsidR="00A504AC" w:rsidRPr="004B4482">
        <w:rPr>
          <w:u w:val="single"/>
        </w:rPr>
        <w:t>epilepsy</w:t>
      </w:r>
      <w:r w:rsidRPr="004B4482">
        <w:rPr>
          <w:u w:val="single"/>
        </w:rPr>
        <w:t xml:space="preserve">-related indicators </w:t>
      </w:r>
      <w:bookmarkStart w:id="4" w:name="_Hlk98859656"/>
      <w:r w:rsidRPr="004B4482">
        <w:rPr>
          <w:u w:val="single"/>
        </w:rPr>
        <w:t>for quality improvement (survey)</w:t>
      </w:r>
    </w:p>
    <w:tbl>
      <w:tblPr>
        <w:tblStyle w:val="TableGrid"/>
        <w:tblW w:w="9209" w:type="dxa"/>
        <w:tblLook w:val="04A0" w:firstRow="1" w:lastRow="0" w:firstColumn="1" w:lastColumn="0" w:noHBand="0" w:noVBand="1"/>
      </w:tblPr>
      <w:tblGrid>
        <w:gridCol w:w="4815"/>
        <w:gridCol w:w="1241"/>
        <w:gridCol w:w="1169"/>
        <w:gridCol w:w="1234"/>
        <w:gridCol w:w="750"/>
      </w:tblGrid>
      <w:tr w:rsidR="00BF120F" w:rsidRPr="008726C8" w14:paraId="221FA4AD"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bookmarkEnd w:id="4"/>
          <w:p w14:paraId="5D690CDF" w14:textId="710F328A" w:rsidR="00BF120F" w:rsidRPr="008726C8" w:rsidRDefault="00BF120F" w:rsidP="00154EC2">
            <w:pPr>
              <w:spacing w:before="60" w:after="60" w:line="240" w:lineRule="auto"/>
              <w:rPr>
                <w:b/>
                <w:sz w:val="22"/>
              </w:rPr>
            </w:pPr>
            <w:r w:rsidRPr="008726C8">
              <w:rPr>
                <w:b/>
                <w:sz w:val="22"/>
              </w:rPr>
              <w:t>Do you think the following indicators could be suitable for quality improvement, without financial incentive?</w:t>
            </w:r>
          </w:p>
        </w:tc>
      </w:tr>
      <w:tr w:rsidR="00BF120F" w:rsidRPr="008726C8" w14:paraId="01FF256B" w14:textId="77777777" w:rsidTr="00154EC2">
        <w:tc>
          <w:tcPr>
            <w:tcW w:w="4815" w:type="dxa"/>
            <w:tcBorders>
              <w:top w:val="single" w:sz="4" w:space="0" w:color="auto"/>
              <w:left w:val="single" w:sz="4" w:space="0" w:color="auto"/>
              <w:bottom w:val="single" w:sz="4" w:space="0" w:color="auto"/>
              <w:right w:val="single" w:sz="4" w:space="0" w:color="auto"/>
            </w:tcBorders>
          </w:tcPr>
          <w:p w14:paraId="32FD3646" w14:textId="77777777" w:rsidR="00BF120F" w:rsidRPr="008726C8" w:rsidRDefault="00BF120F"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3717E276" w14:textId="77777777" w:rsidR="00BF120F" w:rsidRPr="008726C8" w:rsidRDefault="00BF120F" w:rsidP="00154EC2">
            <w:pPr>
              <w:spacing w:before="60" w:after="60" w:line="240" w:lineRule="auto"/>
              <w:jc w:val="center"/>
              <w:rPr>
                <w:sz w:val="22"/>
              </w:rPr>
            </w:pPr>
            <w:r w:rsidRPr="008726C8">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2A57AA33" w14:textId="77777777" w:rsidR="00BF120F" w:rsidRPr="008726C8" w:rsidRDefault="00BF120F" w:rsidP="00154EC2">
            <w:pPr>
              <w:spacing w:before="60" w:after="60" w:line="240" w:lineRule="auto"/>
              <w:jc w:val="center"/>
              <w:rPr>
                <w:sz w:val="22"/>
              </w:rPr>
            </w:pPr>
            <w:r w:rsidRPr="008726C8">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00293E7F" w14:textId="77777777" w:rsidR="00BF120F" w:rsidRPr="008726C8" w:rsidRDefault="00BF120F" w:rsidP="00154EC2">
            <w:pPr>
              <w:spacing w:before="60" w:after="60" w:line="240" w:lineRule="auto"/>
              <w:jc w:val="center"/>
              <w:rPr>
                <w:sz w:val="22"/>
              </w:rPr>
            </w:pPr>
            <w:r w:rsidRPr="008726C8">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494F4B0E" w14:textId="77777777" w:rsidR="00BF120F" w:rsidRPr="008726C8" w:rsidRDefault="00BF120F" w:rsidP="00154EC2">
            <w:pPr>
              <w:spacing w:before="60" w:after="60" w:line="240" w:lineRule="auto"/>
              <w:jc w:val="center"/>
              <w:rPr>
                <w:sz w:val="22"/>
              </w:rPr>
            </w:pPr>
            <w:r w:rsidRPr="008726C8">
              <w:rPr>
                <w:sz w:val="22"/>
              </w:rPr>
              <w:t>Total</w:t>
            </w:r>
          </w:p>
        </w:tc>
      </w:tr>
      <w:tr w:rsidR="00BF120F" w:rsidRPr="008726C8" w14:paraId="0479D2AF"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344B26C1" w14:textId="77777777" w:rsidR="00BF120F" w:rsidRPr="008726C8" w:rsidRDefault="00BF120F" w:rsidP="00154EC2">
            <w:pPr>
              <w:spacing w:before="60" w:after="60" w:line="240" w:lineRule="auto"/>
              <w:rPr>
                <w:sz w:val="22"/>
              </w:rPr>
            </w:pPr>
            <w:r w:rsidRPr="008726C8">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421A8C63" w14:textId="24E6151C" w:rsidR="00BF120F" w:rsidRPr="008726C8" w:rsidRDefault="008C19C3" w:rsidP="00154EC2">
            <w:pPr>
              <w:spacing w:before="60" w:after="60" w:line="240" w:lineRule="auto"/>
              <w:jc w:val="center"/>
              <w:rPr>
                <w:sz w:val="22"/>
              </w:rPr>
            </w:pPr>
            <w:r w:rsidRPr="008726C8">
              <w:rPr>
                <w:sz w:val="22"/>
              </w:rPr>
              <w:t>19</w:t>
            </w:r>
          </w:p>
          <w:p w14:paraId="0F888D61" w14:textId="77DE1384" w:rsidR="00BF120F" w:rsidRPr="008726C8" w:rsidRDefault="00BF120F" w:rsidP="00154EC2">
            <w:pPr>
              <w:spacing w:before="60" w:after="60" w:line="240" w:lineRule="auto"/>
              <w:jc w:val="center"/>
              <w:rPr>
                <w:sz w:val="22"/>
              </w:rPr>
            </w:pPr>
            <w:r w:rsidRPr="008726C8">
              <w:rPr>
                <w:sz w:val="22"/>
              </w:rPr>
              <w:t>(</w:t>
            </w:r>
            <w:r w:rsidR="008C19C3" w:rsidRPr="008726C8">
              <w:rPr>
                <w:sz w:val="22"/>
              </w:rPr>
              <w:t>52</w:t>
            </w:r>
            <w:r w:rsidRPr="008726C8">
              <w:rPr>
                <w:sz w:val="22"/>
              </w:rPr>
              <w:t>.8%)</w:t>
            </w:r>
          </w:p>
        </w:tc>
        <w:tc>
          <w:tcPr>
            <w:tcW w:w="1169" w:type="dxa"/>
            <w:tcBorders>
              <w:top w:val="single" w:sz="4" w:space="0" w:color="auto"/>
              <w:left w:val="single" w:sz="4" w:space="0" w:color="auto"/>
              <w:bottom w:val="single" w:sz="4" w:space="0" w:color="auto"/>
              <w:right w:val="single" w:sz="4" w:space="0" w:color="auto"/>
            </w:tcBorders>
            <w:hideMark/>
          </w:tcPr>
          <w:p w14:paraId="04A48CCC" w14:textId="0E692D63" w:rsidR="00BF120F" w:rsidRPr="008726C8" w:rsidRDefault="008C19C3" w:rsidP="00154EC2">
            <w:pPr>
              <w:spacing w:before="60" w:after="60" w:line="240" w:lineRule="auto"/>
              <w:jc w:val="center"/>
              <w:rPr>
                <w:sz w:val="22"/>
              </w:rPr>
            </w:pPr>
            <w:r w:rsidRPr="008726C8">
              <w:rPr>
                <w:sz w:val="22"/>
              </w:rPr>
              <w:t>8</w:t>
            </w:r>
          </w:p>
          <w:p w14:paraId="37BA1752" w14:textId="1B321F5D" w:rsidR="00BF120F" w:rsidRPr="008726C8" w:rsidRDefault="00BF120F" w:rsidP="00154EC2">
            <w:pPr>
              <w:spacing w:before="60" w:after="60" w:line="240" w:lineRule="auto"/>
              <w:jc w:val="center"/>
              <w:rPr>
                <w:sz w:val="22"/>
              </w:rPr>
            </w:pPr>
            <w:r w:rsidRPr="008726C8">
              <w:rPr>
                <w:sz w:val="22"/>
              </w:rPr>
              <w:t>(</w:t>
            </w:r>
            <w:r w:rsidR="008C19C3" w:rsidRPr="008726C8">
              <w:rPr>
                <w:sz w:val="22"/>
              </w:rPr>
              <w:t>22</w:t>
            </w:r>
            <w:r w:rsidRPr="008726C8">
              <w:rPr>
                <w:sz w:val="22"/>
              </w:rPr>
              <w:t>.</w:t>
            </w:r>
            <w:r w:rsidR="008C19C3" w:rsidRPr="008726C8">
              <w:rPr>
                <w:sz w:val="22"/>
              </w:rPr>
              <w:t>2</w:t>
            </w:r>
            <w:r w:rsidRPr="008726C8">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791D7AE1" w14:textId="15C5E944" w:rsidR="00BF120F" w:rsidRPr="008726C8" w:rsidRDefault="008C19C3" w:rsidP="00154EC2">
            <w:pPr>
              <w:spacing w:before="60" w:after="60" w:line="240" w:lineRule="auto"/>
              <w:jc w:val="center"/>
              <w:rPr>
                <w:sz w:val="22"/>
              </w:rPr>
            </w:pPr>
            <w:r w:rsidRPr="008726C8">
              <w:rPr>
                <w:sz w:val="22"/>
              </w:rPr>
              <w:t>9</w:t>
            </w:r>
          </w:p>
          <w:p w14:paraId="7AFFFEA0" w14:textId="74650CB1" w:rsidR="00BF120F" w:rsidRPr="008726C8" w:rsidRDefault="00BF120F" w:rsidP="00154EC2">
            <w:pPr>
              <w:spacing w:before="60" w:after="60" w:line="240" w:lineRule="auto"/>
              <w:jc w:val="center"/>
              <w:rPr>
                <w:sz w:val="22"/>
              </w:rPr>
            </w:pPr>
            <w:r w:rsidRPr="008726C8">
              <w:rPr>
                <w:sz w:val="22"/>
              </w:rPr>
              <w:t>(</w:t>
            </w:r>
            <w:r w:rsidR="008C19C3" w:rsidRPr="008726C8">
              <w:rPr>
                <w:sz w:val="22"/>
              </w:rPr>
              <w:t>25</w:t>
            </w:r>
            <w:r w:rsidRPr="008726C8">
              <w:rPr>
                <w:sz w:val="22"/>
              </w:rPr>
              <w:t>.</w:t>
            </w:r>
            <w:r w:rsidR="008C19C3" w:rsidRPr="008726C8">
              <w:rPr>
                <w:sz w:val="22"/>
              </w:rPr>
              <w:t>0</w:t>
            </w:r>
            <w:r w:rsidRPr="008726C8">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49D827C0" w14:textId="67741B0D" w:rsidR="00BF120F" w:rsidRPr="008726C8" w:rsidRDefault="00BF120F" w:rsidP="00154EC2">
            <w:pPr>
              <w:spacing w:before="60" w:after="60" w:line="240" w:lineRule="auto"/>
              <w:jc w:val="center"/>
              <w:rPr>
                <w:sz w:val="22"/>
              </w:rPr>
            </w:pPr>
            <w:r w:rsidRPr="008726C8">
              <w:rPr>
                <w:sz w:val="22"/>
              </w:rPr>
              <w:t>3</w:t>
            </w:r>
            <w:r w:rsidR="008C19C3" w:rsidRPr="008726C8">
              <w:rPr>
                <w:sz w:val="22"/>
              </w:rPr>
              <w:t>6</w:t>
            </w:r>
          </w:p>
        </w:tc>
      </w:tr>
      <w:tr w:rsidR="00BF120F" w:rsidRPr="008726C8" w14:paraId="13572BD4"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5094468F" w14:textId="77777777" w:rsidR="00BF120F" w:rsidRPr="008726C8" w:rsidRDefault="00BF120F" w:rsidP="00154EC2">
            <w:pPr>
              <w:spacing w:before="60" w:after="60" w:line="240" w:lineRule="auto"/>
              <w:rPr>
                <w:sz w:val="22"/>
              </w:rPr>
            </w:pPr>
            <w:r w:rsidRPr="008726C8">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6363C49F" w14:textId="109D986A" w:rsidR="00BF120F" w:rsidRPr="008726C8" w:rsidRDefault="00BF120F" w:rsidP="00154EC2">
            <w:pPr>
              <w:spacing w:before="60" w:after="60" w:line="240" w:lineRule="auto"/>
              <w:jc w:val="center"/>
              <w:rPr>
                <w:sz w:val="22"/>
              </w:rPr>
            </w:pPr>
            <w:r w:rsidRPr="008726C8">
              <w:rPr>
                <w:sz w:val="22"/>
              </w:rPr>
              <w:t>2</w:t>
            </w:r>
            <w:r w:rsidR="008C19C3" w:rsidRPr="008726C8">
              <w:rPr>
                <w:sz w:val="22"/>
              </w:rPr>
              <w:t>1</w:t>
            </w:r>
          </w:p>
          <w:p w14:paraId="057AFE74" w14:textId="58236B8C" w:rsidR="00BF120F" w:rsidRPr="008726C8" w:rsidRDefault="00BF120F" w:rsidP="00154EC2">
            <w:pPr>
              <w:spacing w:before="60" w:after="60" w:line="240" w:lineRule="auto"/>
              <w:jc w:val="center"/>
              <w:rPr>
                <w:sz w:val="22"/>
              </w:rPr>
            </w:pPr>
            <w:r w:rsidRPr="008726C8">
              <w:rPr>
                <w:sz w:val="22"/>
              </w:rPr>
              <w:t>(</w:t>
            </w:r>
            <w:r w:rsidR="008C19C3" w:rsidRPr="008726C8">
              <w:rPr>
                <w:sz w:val="22"/>
              </w:rPr>
              <w:t>58.3</w:t>
            </w:r>
            <w:r w:rsidRPr="008726C8">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5A8050D3" w14:textId="3EA0E112" w:rsidR="00BF120F" w:rsidRPr="008726C8" w:rsidRDefault="008C19C3" w:rsidP="00154EC2">
            <w:pPr>
              <w:spacing w:before="60" w:after="60" w:line="240" w:lineRule="auto"/>
              <w:jc w:val="center"/>
              <w:rPr>
                <w:sz w:val="22"/>
              </w:rPr>
            </w:pPr>
            <w:r w:rsidRPr="008726C8">
              <w:rPr>
                <w:sz w:val="22"/>
              </w:rPr>
              <w:t>9</w:t>
            </w:r>
          </w:p>
          <w:p w14:paraId="07A9A0B2" w14:textId="4E1AE347" w:rsidR="00BF120F" w:rsidRPr="008726C8" w:rsidRDefault="00BF120F" w:rsidP="00154EC2">
            <w:pPr>
              <w:spacing w:before="60" w:after="60" w:line="240" w:lineRule="auto"/>
              <w:jc w:val="center"/>
              <w:rPr>
                <w:sz w:val="22"/>
              </w:rPr>
            </w:pPr>
            <w:r w:rsidRPr="008726C8">
              <w:rPr>
                <w:sz w:val="22"/>
              </w:rPr>
              <w:t>(</w:t>
            </w:r>
            <w:r w:rsidR="008C19C3" w:rsidRPr="008726C8">
              <w:rPr>
                <w:sz w:val="22"/>
              </w:rPr>
              <w:t>25.0</w:t>
            </w:r>
            <w:r w:rsidRPr="008726C8">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118691AD" w14:textId="1C1A9703" w:rsidR="00BF120F" w:rsidRPr="008726C8" w:rsidRDefault="008C19C3" w:rsidP="00154EC2">
            <w:pPr>
              <w:spacing w:before="60" w:after="60" w:line="240" w:lineRule="auto"/>
              <w:jc w:val="center"/>
              <w:rPr>
                <w:sz w:val="22"/>
              </w:rPr>
            </w:pPr>
            <w:r w:rsidRPr="008726C8">
              <w:rPr>
                <w:sz w:val="22"/>
              </w:rPr>
              <w:t>6</w:t>
            </w:r>
          </w:p>
          <w:p w14:paraId="728F587C" w14:textId="1B102638" w:rsidR="00BF120F" w:rsidRPr="008726C8" w:rsidRDefault="00BF120F" w:rsidP="00154EC2">
            <w:pPr>
              <w:spacing w:before="60" w:after="60" w:line="240" w:lineRule="auto"/>
              <w:jc w:val="center"/>
              <w:rPr>
                <w:sz w:val="22"/>
              </w:rPr>
            </w:pPr>
            <w:r w:rsidRPr="008726C8">
              <w:rPr>
                <w:sz w:val="22"/>
              </w:rPr>
              <w:t xml:space="preserve"> (</w:t>
            </w:r>
            <w:r w:rsidR="008C19C3" w:rsidRPr="008726C8">
              <w:rPr>
                <w:sz w:val="22"/>
              </w:rPr>
              <w:t>16.7</w:t>
            </w:r>
            <w:r w:rsidRPr="008726C8">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0042878F" w14:textId="2B7B2E5F" w:rsidR="00BF120F" w:rsidRPr="008726C8" w:rsidRDefault="00BF120F" w:rsidP="00154EC2">
            <w:pPr>
              <w:spacing w:before="60" w:after="60" w:line="240" w:lineRule="auto"/>
              <w:jc w:val="center"/>
              <w:rPr>
                <w:sz w:val="22"/>
              </w:rPr>
            </w:pPr>
            <w:r w:rsidRPr="008726C8">
              <w:rPr>
                <w:sz w:val="22"/>
              </w:rPr>
              <w:t>3</w:t>
            </w:r>
            <w:r w:rsidR="008C19C3" w:rsidRPr="008726C8">
              <w:rPr>
                <w:sz w:val="22"/>
              </w:rPr>
              <w:t>6</w:t>
            </w:r>
          </w:p>
        </w:tc>
      </w:tr>
      <w:tr w:rsidR="00BF120F" w:rsidRPr="008726C8" w14:paraId="036DC541" w14:textId="77777777" w:rsidTr="00154EC2">
        <w:tc>
          <w:tcPr>
            <w:tcW w:w="4815" w:type="dxa"/>
            <w:tcBorders>
              <w:top w:val="single" w:sz="4" w:space="0" w:color="auto"/>
              <w:left w:val="single" w:sz="4" w:space="0" w:color="auto"/>
              <w:bottom w:val="single" w:sz="4" w:space="0" w:color="auto"/>
              <w:right w:val="single" w:sz="4" w:space="0" w:color="auto"/>
            </w:tcBorders>
          </w:tcPr>
          <w:p w14:paraId="3532A6B3" w14:textId="0A834562" w:rsidR="00BF120F" w:rsidRPr="008726C8" w:rsidRDefault="00BF120F" w:rsidP="00154EC2">
            <w:pPr>
              <w:spacing w:before="60" w:after="60" w:line="240" w:lineRule="auto"/>
              <w:rPr>
                <w:sz w:val="22"/>
              </w:rPr>
            </w:pPr>
            <w:r w:rsidRPr="008726C8">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7331EF4E" w14:textId="137F0BEB" w:rsidR="00BF120F" w:rsidRPr="008726C8" w:rsidRDefault="008C19C3" w:rsidP="00154EC2">
            <w:pPr>
              <w:spacing w:before="60" w:after="60" w:line="240" w:lineRule="auto"/>
              <w:jc w:val="center"/>
              <w:rPr>
                <w:sz w:val="22"/>
              </w:rPr>
            </w:pPr>
            <w:r w:rsidRPr="008726C8">
              <w:rPr>
                <w:sz w:val="22"/>
              </w:rPr>
              <w:t>19</w:t>
            </w:r>
          </w:p>
          <w:p w14:paraId="5DB68449" w14:textId="1BB9DF10" w:rsidR="00BF120F" w:rsidRPr="008726C8" w:rsidRDefault="00BF120F" w:rsidP="00154EC2">
            <w:pPr>
              <w:spacing w:before="60" w:after="60" w:line="240" w:lineRule="auto"/>
              <w:jc w:val="center"/>
              <w:rPr>
                <w:sz w:val="22"/>
              </w:rPr>
            </w:pPr>
            <w:r w:rsidRPr="008726C8">
              <w:rPr>
                <w:sz w:val="22"/>
              </w:rPr>
              <w:t>(</w:t>
            </w:r>
            <w:r w:rsidR="008C19C3" w:rsidRPr="008726C8">
              <w:rPr>
                <w:sz w:val="22"/>
              </w:rPr>
              <w:t>52</w:t>
            </w:r>
            <w:r w:rsidRPr="008726C8">
              <w:rPr>
                <w:sz w:val="22"/>
              </w:rPr>
              <w:t>.</w:t>
            </w:r>
            <w:r w:rsidR="008C19C3" w:rsidRPr="008726C8">
              <w:rPr>
                <w:sz w:val="22"/>
              </w:rPr>
              <w:t>8</w:t>
            </w:r>
            <w:r w:rsidRPr="008726C8">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3DFDD596" w14:textId="0C465DF4" w:rsidR="00BF120F" w:rsidRPr="008726C8" w:rsidRDefault="008C19C3" w:rsidP="00154EC2">
            <w:pPr>
              <w:spacing w:before="60" w:after="60" w:line="240" w:lineRule="auto"/>
              <w:jc w:val="center"/>
              <w:rPr>
                <w:sz w:val="22"/>
              </w:rPr>
            </w:pPr>
            <w:r w:rsidRPr="008726C8">
              <w:rPr>
                <w:sz w:val="22"/>
              </w:rPr>
              <w:t>10</w:t>
            </w:r>
          </w:p>
          <w:p w14:paraId="4DF7B901" w14:textId="79592C4A" w:rsidR="00BF120F" w:rsidRPr="008726C8" w:rsidRDefault="00BF120F" w:rsidP="00154EC2">
            <w:pPr>
              <w:spacing w:before="60" w:after="60" w:line="240" w:lineRule="auto"/>
              <w:jc w:val="center"/>
              <w:rPr>
                <w:sz w:val="22"/>
              </w:rPr>
            </w:pPr>
            <w:r w:rsidRPr="008726C8">
              <w:rPr>
                <w:sz w:val="22"/>
              </w:rPr>
              <w:t>(</w:t>
            </w:r>
            <w:r w:rsidR="008C19C3" w:rsidRPr="008726C8">
              <w:rPr>
                <w:sz w:val="22"/>
              </w:rPr>
              <w:t>27.8</w:t>
            </w:r>
            <w:r w:rsidRPr="008726C8">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33812937" w14:textId="77777777" w:rsidR="00BF120F" w:rsidRPr="008726C8" w:rsidRDefault="00BF120F" w:rsidP="00154EC2">
            <w:pPr>
              <w:spacing w:before="60" w:after="60" w:line="240" w:lineRule="auto"/>
              <w:jc w:val="center"/>
              <w:rPr>
                <w:sz w:val="22"/>
              </w:rPr>
            </w:pPr>
            <w:r w:rsidRPr="008726C8">
              <w:rPr>
                <w:sz w:val="22"/>
              </w:rPr>
              <w:t>7</w:t>
            </w:r>
          </w:p>
          <w:p w14:paraId="7D16F240" w14:textId="025CD792" w:rsidR="00BF120F" w:rsidRPr="008726C8" w:rsidRDefault="00BF120F" w:rsidP="00154EC2">
            <w:pPr>
              <w:spacing w:before="60" w:after="60" w:line="240" w:lineRule="auto"/>
              <w:jc w:val="center"/>
              <w:rPr>
                <w:sz w:val="22"/>
              </w:rPr>
            </w:pPr>
            <w:r w:rsidRPr="008726C8">
              <w:rPr>
                <w:sz w:val="22"/>
              </w:rPr>
              <w:t>(1</w:t>
            </w:r>
            <w:r w:rsidR="008C19C3" w:rsidRPr="008726C8">
              <w:rPr>
                <w:sz w:val="22"/>
              </w:rPr>
              <w:t>9</w:t>
            </w:r>
            <w:r w:rsidRPr="008726C8">
              <w:rPr>
                <w:sz w:val="22"/>
              </w:rPr>
              <w:t>.4%)</w:t>
            </w:r>
          </w:p>
        </w:tc>
        <w:tc>
          <w:tcPr>
            <w:tcW w:w="750" w:type="dxa"/>
            <w:tcBorders>
              <w:top w:val="single" w:sz="4" w:space="0" w:color="auto"/>
              <w:left w:val="single" w:sz="4" w:space="0" w:color="auto"/>
              <w:bottom w:val="single" w:sz="4" w:space="0" w:color="auto"/>
              <w:right w:val="single" w:sz="4" w:space="0" w:color="auto"/>
            </w:tcBorders>
            <w:hideMark/>
          </w:tcPr>
          <w:p w14:paraId="74588831" w14:textId="5CDD2D28" w:rsidR="00BF120F" w:rsidRPr="008726C8" w:rsidRDefault="00BF120F" w:rsidP="00154EC2">
            <w:pPr>
              <w:spacing w:before="60" w:after="60" w:line="240" w:lineRule="auto"/>
              <w:jc w:val="center"/>
              <w:rPr>
                <w:sz w:val="22"/>
              </w:rPr>
            </w:pPr>
            <w:r w:rsidRPr="008726C8">
              <w:rPr>
                <w:sz w:val="22"/>
              </w:rPr>
              <w:t>3</w:t>
            </w:r>
            <w:r w:rsidR="008C19C3" w:rsidRPr="008726C8">
              <w:rPr>
                <w:sz w:val="22"/>
              </w:rPr>
              <w:t>6</w:t>
            </w:r>
          </w:p>
        </w:tc>
      </w:tr>
    </w:tbl>
    <w:p w14:paraId="7E65CCE9" w14:textId="77777777" w:rsidR="00E4501A" w:rsidRPr="009939B1" w:rsidRDefault="00E4501A" w:rsidP="00B24F07"/>
    <w:p w14:paraId="44265C9A" w14:textId="0013B0EF" w:rsidR="00207799" w:rsidRDefault="00EE0D40" w:rsidP="00207799">
      <w:pPr>
        <w:pStyle w:val="Heading4"/>
        <w:rPr>
          <w:bCs/>
          <w:i/>
        </w:rPr>
      </w:pPr>
      <w:r w:rsidRPr="006375F9">
        <w:rPr>
          <w:i/>
        </w:rPr>
        <w:t xml:space="preserve">Indicator 1 </w:t>
      </w:r>
      <w:r w:rsidR="00FD2694" w:rsidRPr="006375F9">
        <w:rPr>
          <w:i/>
        </w:rPr>
        <w:t>–</w:t>
      </w:r>
      <w:r w:rsidR="00207799" w:rsidRPr="006375F9">
        <w:rPr>
          <w:i/>
        </w:rPr>
        <w:t xml:space="preserve"> </w:t>
      </w:r>
      <w:r w:rsidR="00491F62" w:rsidRPr="006375F9">
        <w:rPr>
          <w:i/>
        </w:rPr>
        <w:t>A</w:t>
      </w:r>
      <w:r w:rsidR="007040D7" w:rsidRPr="006375F9">
        <w:rPr>
          <w:i/>
        </w:rPr>
        <w:t>nnual review (all adults receiving drug treatment for epilepsy)</w:t>
      </w:r>
      <w:r w:rsidR="00CE2CF7" w:rsidRPr="006375F9">
        <w:rPr>
          <w:i/>
        </w:rPr>
        <w:t xml:space="preserve">– specific issues identified </w:t>
      </w:r>
      <w:r w:rsidR="00CE2CF7" w:rsidRPr="006375F9">
        <w:rPr>
          <w:bCs/>
          <w:i/>
        </w:rPr>
        <w:t>in interviews and survey</w:t>
      </w:r>
    </w:p>
    <w:p w14:paraId="194294A5" w14:textId="710C4E5D" w:rsidR="00A45FF2" w:rsidRPr="00A45FF2" w:rsidRDefault="00A45FF2" w:rsidP="00A45FF2">
      <w:pPr>
        <w:pStyle w:val="Heading5"/>
      </w:pPr>
      <w:r w:rsidRPr="00A45FF2">
        <w:t>Review setting</w:t>
      </w:r>
    </w:p>
    <w:p w14:paraId="35216265" w14:textId="77777777" w:rsidR="001C466E" w:rsidRDefault="000F1EC8" w:rsidP="00E45239">
      <w:r>
        <w:t xml:space="preserve">As noted </w:t>
      </w:r>
      <w:r w:rsidR="00175C28">
        <w:t>previously</w:t>
      </w:r>
      <w:r>
        <w:t xml:space="preserve">, one practice </w:t>
      </w:r>
      <w:r w:rsidR="00B92CB6">
        <w:t xml:space="preserve">interviewed </w:t>
      </w:r>
      <w:r w:rsidR="00175C28">
        <w:t>was not in</w:t>
      </w:r>
      <w:r>
        <w:t xml:space="preserve"> favour </w:t>
      </w:r>
      <w:r w:rsidR="00175C28">
        <w:t xml:space="preserve">of </w:t>
      </w:r>
      <w:r>
        <w:t xml:space="preserve">this indicator </w:t>
      </w:r>
      <w:r w:rsidR="00080778">
        <w:t xml:space="preserve">due to the limited involvement </w:t>
      </w:r>
      <w:r w:rsidR="00E45239">
        <w:t xml:space="preserve">(in their view) </w:t>
      </w:r>
      <w:r w:rsidR="00080778">
        <w:t>that</w:t>
      </w:r>
      <w:r>
        <w:t xml:space="preserve"> GPs </w:t>
      </w:r>
      <w:r w:rsidR="00080778">
        <w:t xml:space="preserve">have in managing </w:t>
      </w:r>
      <w:r>
        <w:t>medication for patients</w:t>
      </w:r>
      <w:r w:rsidR="008E3389">
        <w:t xml:space="preserve"> with epilepsy</w:t>
      </w:r>
      <w:r w:rsidR="00A45FF2">
        <w:t xml:space="preserve"> and </w:t>
      </w:r>
      <w:r w:rsidR="00C12151">
        <w:t>believed</w:t>
      </w:r>
      <w:r w:rsidR="00A45FF2">
        <w:t xml:space="preserve"> it should take place in specialist settings</w:t>
      </w:r>
      <w:r w:rsidR="00E45239">
        <w:t>:</w:t>
      </w:r>
      <w:r>
        <w:t xml:space="preserve"> </w:t>
      </w:r>
    </w:p>
    <w:p w14:paraId="4435AFDA" w14:textId="5A5CCC95" w:rsidR="00E45239" w:rsidRPr="001C466E" w:rsidRDefault="00E45239" w:rsidP="00602B20">
      <w:pPr>
        <w:spacing w:line="276" w:lineRule="auto"/>
      </w:pPr>
      <w:r>
        <w:rPr>
          <w:i/>
          <w:iCs/>
        </w:rPr>
        <w:t xml:space="preserve">“I am not a big fan of this, and the reason why is because – fine, you have reviewed these patients, they have got side effects, they get seizures from it – what are you </w:t>
      </w:r>
      <w:r>
        <w:rPr>
          <w:i/>
          <w:iCs/>
        </w:rPr>
        <w:lastRenderedPageBreak/>
        <w:t>going to do as a GP? You just end up referring anyway – you are just basically a middleman here.” [GP, Interview]</w:t>
      </w:r>
    </w:p>
    <w:p w14:paraId="36D4DC69" w14:textId="6548B37D" w:rsidR="00B92CB6" w:rsidRDefault="008474A0" w:rsidP="00602B20">
      <w:pPr>
        <w:spacing w:before="240"/>
      </w:pPr>
      <w:r>
        <w:t>One</w:t>
      </w:r>
      <w:r w:rsidR="00905356">
        <w:t xml:space="preserve"> </w:t>
      </w:r>
      <w:r w:rsidR="00B92CB6">
        <w:t xml:space="preserve">respondent </w:t>
      </w:r>
      <w:r>
        <w:t xml:space="preserve">from a different practice </w:t>
      </w:r>
      <w:r w:rsidR="00B92CB6">
        <w:t>corroborated this view</w:t>
      </w:r>
      <w:r>
        <w:t xml:space="preserve"> in the survey</w:t>
      </w:r>
      <w:r w:rsidR="00B92CB6">
        <w:t xml:space="preserve">: </w:t>
      </w:r>
    </w:p>
    <w:p w14:paraId="0A567130" w14:textId="023BA67A" w:rsidR="00B92CB6" w:rsidRDefault="00B92CB6" w:rsidP="00602B20">
      <w:pPr>
        <w:spacing w:after="160" w:line="276" w:lineRule="auto"/>
        <w:rPr>
          <w:i/>
          <w:iCs/>
        </w:rPr>
      </w:pPr>
      <w:r>
        <w:rPr>
          <w:i/>
          <w:iCs/>
        </w:rPr>
        <w:t>“</w:t>
      </w:r>
      <w:r w:rsidRPr="00B92CB6">
        <w:rPr>
          <w:i/>
          <w:iCs/>
        </w:rPr>
        <w:t>Too much crossover duplication with the epilepsy ones and most patients under secondary care anyway.</w:t>
      </w:r>
      <w:r>
        <w:rPr>
          <w:i/>
          <w:iCs/>
        </w:rPr>
        <w:t>”</w:t>
      </w:r>
      <w:r w:rsidRPr="00B92CB6">
        <w:rPr>
          <w:i/>
          <w:iCs/>
        </w:rPr>
        <w:t xml:space="preserve"> [Practice Manager, Survey]</w:t>
      </w:r>
    </w:p>
    <w:p w14:paraId="186050FF" w14:textId="77777777" w:rsidR="001C466E" w:rsidRDefault="00905356" w:rsidP="00602B20">
      <w:pPr>
        <w:spacing w:line="276" w:lineRule="auto"/>
        <w:rPr>
          <w:i/>
          <w:iCs/>
        </w:rPr>
      </w:pPr>
      <w:r>
        <w:rPr>
          <w:i/>
          <w:iCs/>
        </w:rPr>
        <w:t>“</w:t>
      </w:r>
      <w:r w:rsidRPr="00905356">
        <w:rPr>
          <w:i/>
          <w:iCs/>
        </w:rPr>
        <w:t>I don't feel there is much use for epilepsy reviews as we are powerless to alter the patient's medications. Referring to neurology when there is a problem is additional work for the GP. Therefore</w:t>
      </w:r>
      <w:r w:rsidR="00490EA9">
        <w:rPr>
          <w:i/>
          <w:iCs/>
        </w:rPr>
        <w:t>,</w:t>
      </w:r>
      <w:r w:rsidRPr="00905356">
        <w:rPr>
          <w:i/>
          <w:iCs/>
        </w:rPr>
        <w:t xml:space="preserve"> it is preferable for 2o care or epilepsy nurses to do them</w:t>
      </w:r>
      <w:r>
        <w:rPr>
          <w:i/>
          <w:iCs/>
        </w:rPr>
        <w:t xml:space="preserve">” [GP, </w:t>
      </w:r>
      <w:r w:rsidR="00121864">
        <w:rPr>
          <w:i/>
          <w:iCs/>
        </w:rPr>
        <w:t>Survey</w:t>
      </w:r>
      <w:r>
        <w:rPr>
          <w:i/>
          <w:iCs/>
        </w:rPr>
        <w:t>]</w:t>
      </w:r>
      <w:r w:rsidRPr="00905356">
        <w:rPr>
          <w:i/>
          <w:iCs/>
        </w:rPr>
        <w:t>.</w:t>
      </w:r>
    </w:p>
    <w:p w14:paraId="5F60B1DF" w14:textId="6270B1C2" w:rsidR="00175C28" w:rsidRPr="001C466E" w:rsidRDefault="00D3205D" w:rsidP="00602B20">
      <w:pPr>
        <w:spacing w:before="240"/>
        <w:rPr>
          <w:i/>
          <w:iCs/>
        </w:rPr>
      </w:pPr>
      <w:r>
        <w:t xml:space="preserve">The potential overlap with </w:t>
      </w:r>
      <w:r w:rsidR="00323BE2">
        <w:t>secondary</w:t>
      </w:r>
      <w:r>
        <w:t xml:space="preserve"> care was</w:t>
      </w:r>
      <w:r w:rsidR="000F1EC8">
        <w:t xml:space="preserve"> also</w:t>
      </w:r>
      <w:r>
        <w:t xml:space="preserve"> highlighted</w:t>
      </w:r>
      <w:r w:rsidR="00F66319">
        <w:t xml:space="preserve"> </w:t>
      </w:r>
      <w:r w:rsidR="00D851C2">
        <w:t>as an issue</w:t>
      </w:r>
      <w:r w:rsidR="006C614D">
        <w:t xml:space="preserve"> </w:t>
      </w:r>
      <w:r>
        <w:t xml:space="preserve">by </w:t>
      </w:r>
      <w:r w:rsidR="004B5389">
        <w:t xml:space="preserve">a few </w:t>
      </w:r>
      <w:r w:rsidR="006C614D">
        <w:t xml:space="preserve">other </w:t>
      </w:r>
      <w:r>
        <w:t>practices</w:t>
      </w:r>
      <w:r w:rsidR="00D851C2">
        <w:t xml:space="preserve"> interviewed</w:t>
      </w:r>
      <w:r w:rsidR="0013302B">
        <w:t xml:space="preserve"> with practices emphasising, </w:t>
      </w:r>
      <w:proofErr w:type="gramStart"/>
      <w:r w:rsidR="0013302B">
        <w:t>on the whole</w:t>
      </w:r>
      <w:proofErr w:type="gramEnd"/>
      <w:r w:rsidR="0013302B">
        <w:t>, that they would not want to re-review the patient if they had already been reviewed in secondary care</w:t>
      </w:r>
      <w:r w:rsidR="00E45239">
        <w:t>:</w:t>
      </w:r>
      <w:r w:rsidR="006C614D">
        <w:t xml:space="preserve"> </w:t>
      </w:r>
    </w:p>
    <w:p w14:paraId="6D1CA758" w14:textId="0AC49ED0" w:rsidR="003D5963" w:rsidRDefault="003D5963" w:rsidP="00602B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i/>
          <w:iCs/>
          <w:szCs w:val="24"/>
        </w:rPr>
      </w:pPr>
      <w:r>
        <w:rPr>
          <w:rFonts w:cs="Arial"/>
          <w:i/>
          <w:iCs/>
          <w:szCs w:val="24"/>
        </w:rPr>
        <w:t>“</w:t>
      </w:r>
      <w:r w:rsidRPr="003D5963">
        <w:rPr>
          <w:rFonts w:cs="Arial"/>
          <w:i/>
          <w:iCs/>
          <w:szCs w:val="24"/>
        </w:rPr>
        <w:t>I suppose what I'm concerned we had was around the relationship with secondary care. A lot of epileptic patients will have been assessed by neurologists and a lot of them will have their review don</w:t>
      </w:r>
      <w:r w:rsidR="004E588B">
        <w:rPr>
          <w:rFonts w:cs="Arial"/>
          <w:i/>
          <w:iCs/>
          <w:szCs w:val="24"/>
        </w:rPr>
        <w:t>e</w:t>
      </w:r>
      <w:r w:rsidRPr="003D5963">
        <w:rPr>
          <w:rFonts w:cs="Arial"/>
          <w:i/>
          <w:iCs/>
          <w:szCs w:val="24"/>
        </w:rPr>
        <w:t xml:space="preserve"> by their neurologist, so are we duplicating slightly what's been done by secondary care if this was going to be an indicator? Would the neurologists' review stand instead of what we do in primary care, or would we be then reviewing the patient in primary care?</w:t>
      </w:r>
      <w:r>
        <w:rPr>
          <w:rFonts w:cs="Arial"/>
          <w:i/>
          <w:iCs/>
          <w:szCs w:val="24"/>
        </w:rPr>
        <w:t>”</w:t>
      </w:r>
      <w:r w:rsidRPr="003D5963">
        <w:rPr>
          <w:rFonts w:cs="Arial"/>
          <w:i/>
          <w:iCs/>
          <w:szCs w:val="24"/>
        </w:rPr>
        <w:t xml:space="preserve"> [Pharmacist, Interview]</w:t>
      </w:r>
    </w:p>
    <w:p w14:paraId="340D37ED" w14:textId="77777777" w:rsidR="004621CA" w:rsidRPr="004621CA" w:rsidRDefault="004621CA" w:rsidP="003D59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p>
    <w:p w14:paraId="23EAC18C" w14:textId="3A579C83" w:rsidR="00490EA9" w:rsidRDefault="00350141" w:rsidP="004326E4">
      <w:r>
        <w:t>Some of the practices interviewed stated</w:t>
      </w:r>
      <w:r w:rsidR="004E553F">
        <w:t xml:space="preserve"> </w:t>
      </w:r>
      <w:r w:rsidR="00F66319">
        <w:t xml:space="preserve">that GPs are not involved in </w:t>
      </w:r>
      <w:r w:rsidR="00E6704C">
        <w:t>altering</w:t>
      </w:r>
      <w:r w:rsidR="00F66319">
        <w:t xml:space="preserve"> </w:t>
      </w:r>
      <w:r w:rsidR="009E3330">
        <w:t xml:space="preserve">patients’ </w:t>
      </w:r>
      <w:r w:rsidR="00F66319">
        <w:t>anti-epileptic medications</w:t>
      </w:r>
      <w:r w:rsidR="009A7E10">
        <w:t xml:space="preserve">. </w:t>
      </w:r>
      <w:r>
        <w:t>However, this varied between practices with some stating that</w:t>
      </w:r>
      <w:r w:rsidR="00C96809">
        <w:t xml:space="preserve"> they were able to make changes.</w:t>
      </w:r>
      <w:r w:rsidR="00F66319">
        <w:t xml:space="preserve"> </w:t>
      </w:r>
      <w:r w:rsidR="003459B5">
        <w:t>In summary, t</w:t>
      </w:r>
      <w:r w:rsidR="007B0BFE">
        <w:t>he interviews revealed</w:t>
      </w:r>
      <w:r w:rsidR="004E553F">
        <w:t xml:space="preserve"> </w:t>
      </w:r>
      <w:r w:rsidR="00972C0B">
        <w:t xml:space="preserve">variation </w:t>
      </w:r>
      <w:r w:rsidR="0063456A">
        <w:t xml:space="preserve">between practices </w:t>
      </w:r>
      <w:r w:rsidR="00326236">
        <w:t xml:space="preserve">in </w:t>
      </w:r>
      <w:r w:rsidR="00AB7743">
        <w:t>how</w:t>
      </w:r>
      <w:r w:rsidR="004B5389">
        <w:t xml:space="preserve"> </w:t>
      </w:r>
      <w:r w:rsidR="00E6704C">
        <w:t xml:space="preserve">epilepsy </w:t>
      </w:r>
      <w:r w:rsidR="004B5389">
        <w:t xml:space="preserve">patients </w:t>
      </w:r>
      <w:r w:rsidR="00144F6F">
        <w:t>are</w:t>
      </w:r>
      <w:r w:rsidR="004B5389">
        <w:t xml:space="preserve"> managed</w:t>
      </w:r>
      <w:r w:rsidR="009E3330">
        <w:t xml:space="preserve">. </w:t>
      </w:r>
      <w:r w:rsidR="00F83FB0">
        <w:t>A few practices</w:t>
      </w:r>
      <w:r w:rsidR="009E3330">
        <w:t xml:space="preserve"> </w:t>
      </w:r>
      <w:r w:rsidR="00F83FB0">
        <w:t xml:space="preserve">explained that most patients are discharged to </w:t>
      </w:r>
      <w:r w:rsidR="00980462">
        <w:t>primary care</w:t>
      </w:r>
      <w:r w:rsidR="002C1E9D">
        <w:t xml:space="preserve"> </w:t>
      </w:r>
      <w:r w:rsidR="00F83FB0">
        <w:t xml:space="preserve">from their local neurology team, </w:t>
      </w:r>
      <w:r w:rsidR="00E05831">
        <w:t>with one practice noting that their neurology service was “non-existent” in their area.  I</w:t>
      </w:r>
      <w:r w:rsidR="00E6704C">
        <w:t>n</w:t>
      </w:r>
      <w:r w:rsidR="00A44098">
        <w:t xml:space="preserve"> other areas patients with epilepsy </w:t>
      </w:r>
      <w:r w:rsidR="00E05831">
        <w:t>appear to be</w:t>
      </w:r>
      <w:r w:rsidR="00080778">
        <w:t xml:space="preserve"> </w:t>
      </w:r>
      <w:r w:rsidR="00E6704C">
        <w:t xml:space="preserve">largely </w:t>
      </w:r>
      <w:r w:rsidR="00A44098">
        <w:t xml:space="preserve">under </w:t>
      </w:r>
      <w:r w:rsidR="00D851C2">
        <w:t>the care of a specialist epilepsy team.</w:t>
      </w:r>
      <w:r w:rsidR="0014433B">
        <w:t xml:space="preserve"> </w:t>
      </w:r>
    </w:p>
    <w:p w14:paraId="7C395DB9" w14:textId="1C09C972" w:rsidR="00A45FF2" w:rsidRPr="00A45FF2" w:rsidRDefault="003459B5" w:rsidP="00602B20">
      <w:pPr>
        <w:pStyle w:val="Heading5"/>
        <w:spacing w:before="240"/>
      </w:pPr>
      <w:r>
        <w:t xml:space="preserve">Implication of reviews being conducted in secondary care </w:t>
      </w:r>
    </w:p>
    <w:p w14:paraId="61FF4310" w14:textId="0E9DD603" w:rsidR="000E4A7F" w:rsidRDefault="00D851C2" w:rsidP="00244D6E">
      <w:r>
        <w:t xml:space="preserve">There were mixed views on </w:t>
      </w:r>
      <w:r w:rsidR="00E6704C">
        <w:t xml:space="preserve">the </w:t>
      </w:r>
      <w:r w:rsidR="00FC5F09">
        <w:t xml:space="preserve">value of </w:t>
      </w:r>
      <w:r w:rsidR="00144F6F">
        <w:t xml:space="preserve">the </w:t>
      </w:r>
      <w:r w:rsidR="0044420E">
        <w:t xml:space="preserve">indicator if the </w:t>
      </w:r>
      <w:r w:rsidR="00144F6F">
        <w:t xml:space="preserve">review </w:t>
      </w:r>
      <w:r w:rsidR="0044420E">
        <w:t xml:space="preserve">was </w:t>
      </w:r>
      <w:r w:rsidR="00144F6F">
        <w:t xml:space="preserve">conducted in </w:t>
      </w:r>
      <w:r w:rsidR="00CE4820">
        <w:t>secondary</w:t>
      </w:r>
      <w:r w:rsidR="00144F6F">
        <w:t xml:space="preserve"> care</w:t>
      </w:r>
      <w:r w:rsidR="0044420E">
        <w:t>,</w:t>
      </w:r>
      <w:r w:rsidR="00144F6F">
        <w:t xml:space="preserve"> with GP practices recording this information</w:t>
      </w:r>
      <w:r w:rsidR="0063456A">
        <w:t xml:space="preserve"> in their </w:t>
      </w:r>
      <w:r w:rsidR="00990CA7">
        <w:t xml:space="preserve">clinical </w:t>
      </w:r>
      <w:r w:rsidR="0063456A">
        <w:t xml:space="preserve">system. </w:t>
      </w:r>
      <w:r w:rsidR="00144F6F">
        <w:t xml:space="preserve"> </w:t>
      </w:r>
      <w:r w:rsidR="00980462">
        <w:t>Many</w:t>
      </w:r>
      <w:r w:rsidR="007E603A">
        <w:t xml:space="preserve"> practices thought it </w:t>
      </w:r>
      <w:r w:rsidR="00D70342">
        <w:t>should</w:t>
      </w:r>
      <w:r w:rsidR="00CC283A">
        <w:t xml:space="preserve"> be acceptable to </w:t>
      </w:r>
      <w:r w:rsidR="00A25D76">
        <w:t xml:space="preserve">simply </w:t>
      </w:r>
      <w:r w:rsidR="00CC283A">
        <w:t>record that the review had taken place in s</w:t>
      </w:r>
      <w:r w:rsidR="00821A5B">
        <w:t>pecialist</w:t>
      </w:r>
      <w:r w:rsidR="00CC283A">
        <w:t xml:space="preserve"> care</w:t>
      </w:r>
      <w:r w:rsidR="0014433B">
        <w:t xml:space="preserve"> to fulfil this indicator</w:t>
      </w:r>
      <w:r w:rsidR="00CC283A">
        <w:t xml:space="preserve">, with one GP noting that it would </w:t>
      </w:r>
      <w:r w:rsidR="00E52837">
        <w:lastRenderedPageBreak/>
        <w:t xml:space="preserve">be ‘irritating’ </w:t>
      </w:r>
      <w:r w:rsidR="007C720C">
        <w:t>if they were required to conduct a</w:t>
      </w:r>
      <w:r w:rsidR="00361826">
        <w:t>n additional</w:t>
      </w:r>
      <w:r w:rsidR="007C720C">
        <w:t xml:space="preserve"> review</w:t>
      </w:r>
      <w:r w:rsidR="00D464C0">
        <w:t xml:space="preserve"> when this was already being </w:t>
      </w:r>
      <w:r w:rsidR="00047DB2">
        <w:t xml:space="preserve">completed </w:t>
      </w:r>
      <w:r w:rsidR="00D464C0">
        <w:t>by a specialist</w:t>
      </w:r>
      <w:r w:rsidR="007C720C">
        <w:t>.</w:t>
      </w:r>
    </w:p>
    <w:p w14:paraId="365B876A" w14:textId="3AE330CA" w:rsidR="00A422C9" w:rsidRPr="00D406BD" w:rsidRDefault="00A422C9"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cs="Arial"/>
          <w:i/>
          <w:iCs/>
          <w:szCs w:val="24"/>
        </w:rPr>
      </w:pPr>
      <w:r>
        <w:rPr>
          <w:rFonts w:cs="Arial"/>
          <w:i/>
          <w:iCs/>
          <w:szCs w:val="24"/>
        </w:rPr>
        <w:t xml:space="preserve">“…it </w:t>
      </w:r>
      <w:r w:rsidRPr="00A422C9">
        <w:rPr>
          <w:rFonts w:cs="Arial"/>
          <w:i/>
          <w:iCs/>
          <w:szCs w:val="24"/>
        </w:rPr>
        <w:t>feels very tick box-y if somebody else is doing a review and we're being asked to do a face-to-face review of somebody who we know is having a review under a specialist. That feels very tick box-y and is a bit irritating. If it's adequate to say, 'This patient is under active epilepsy clinic review and that that meets the indicator,' I think that enhances the indicator rather than detracts from it, given that one would expect an epilepsy clinic to manage effectiveness and tolerability.</w:t>
      </w:r>
      <w:r>
        <w:rPr>
          <w:rFonts w:cs="Arial"/>
          <w:i/>
          <w:iCs/>
          <w:szCs w:val="24"/>
        </w:rPr>
        <w:t>” [GP, Interview]</w:t>
      </w:r>
    </w:p>
    <w:p w14:paraId="03B29CDC" w14:textId="7F911BB1" w:rsidR="007C720C" w:rsidRDefault="00E52837" w:rsidP="00D406BD">
      <w:pPr>
        <w:pStyle w:val="ListParagraph"/>
        <w:spacing w:line="276" w:lineRule="auto"/>
        <w:ind w:left="0"/>
        <w:contextualSpacing w:val="0"/>
        <w:rPr>
          <w:rFonts w:cs="Arial"/>
          <w:i/>
          <w:iCs/>
          <w:szCs w:val="24"/>
        </w:rPr>
      </w:pPr>
      <w:r w:rsidRPr="000E4A7F">
        <w:rPr>
          <w:rFonts w:cs="Arial"/>
          <w:i/>
          <w:iCs/>
          <w:szCs w:val="24"/>
        </w:rPr>
        <w:t>“Quite a few of these patients are under the epilepsy service</w:t>
      </w:r>
      <w:r w:rsidR="00A25D76">
        <w:rPr>
          <w:rFonts w:cs="Arial"/>
          <w:i/>
          <w:iCs/>
          <w:szCs w:val="24"/>
        </w:rPr>
        <w:t>,</w:t>
      </w:r>
      <w:r w:rsidRPr="000E4A7F">
        <w:rPr>
          <w:rFonts w:cs="Arial"/>
          <w:i/>
          <w:iCs/>
          <w:szCs w:val="24"/>
        </w:rPr>
        <w:t xml:space="preserve"> so a review by the epilepsy service should count as a review – it doesn’t have to be additional work.  If the professional epilepsy service is doing the review – fine – tick the box.</w:t>
      </w:r>
      <w:r w:rsidR="00D406BD">
        <w:rPr>
          <w:rFonts w:cs="Arial"/>
          <w:i/>
          <w:iCs/>
          <w:szCs w:val="24"/>
        </w:rPr>
        <w:t>” [Practice manager, Interview]</w:t>
      </w:r>
    </w:p>
    <w:p w14:paraId="0A6DF03E" w14:textId="0CF82E85" w:rsidR="007C245A" w:rsidRDefault="007C720C" w:rsidP="00244D6E">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left="0"/>
        <w:contextualSpacing w:val="0"/>
        <w:rPr>
          <w:rFonts w:cs="Arial"/>
          <w:i/>
          <w:iCs/>
          <w:szCs w:val="24"/>
        </w:rPr>
      </w:pPr>
      <w:r w:rsidRPr="00144F6F">
        <w:rPr>
          <w:rFonts w:cs="Arial"/>
          <w:i/>
          <w:iCs/>
          <w:szCs w:val="24"/>
        </w:rPr>
        <w:t>“I think ultimately the outcome for the patient would be similar if they've still got an assessment every twelve months, it doesn't really matter where that's done. Arguably, there might be more value in their assessment coming from the neurologist perhaps, because they have a specialist interest in that field.” [Pharmacist, Interview]</w:t>
      </w:r>
    </w:p>
    <w:p w14:paraId="1D770DC5" w14:textId="0273B159" w:rsidR="00D464C0" w:rsidRDefault="00363FF1" w:rsidP="00292F2A">
      <w:pPr>
        <w:spacing w:before="240"/>
      </w:pPr>
      <w:r>
        <w:t>When discussing the potential duplication</w:t>
      </w:r>
      <w:r w:rsidR="00532000">
        <w:t xml:space="preserve"> with </w:t>
      </w:r>
      <w:r w:rsidR="00080778">
        <w:t xml:space="preserve">reviews being carried out in </w:t>
      </w:r>
      <w:r w:rsidR="00532000">
        <w:t>secondary care, o</w:t>
      </w:r>
      <w:r w:rsidR="00D464C0">
        <w:t>ne practice suggested that</w:t>
      </w:r>
      <w:r w:rsidR="00E7349A">
        <w:t xml:space="preserve"> some of their practice members thought</w:t>
      </w:r>
      <w:r w:rsidR="00D464C0">
        <w:t xml:space="preserve"> </w:t>
      </w:r>
      <w:r w:rsidR="00330796">
        <w:t xml:space="preserve">it could be important for </w:t>
      </w:r>
      <w:r w:rsidR="00B84463">
        <w:t>an additional</w:t>
      </w:r>
      <w:r w:rsidR="00D464C0">
        <w:t xml:space="preserve"> review </w:t>
      </w:r>
      <w:r w:rsidR="00330796">
        <w:t xml:space="preserve">to be </w:t>
      </w:r>
      <w:r w:rsidR="00D464C0">
        <w:t xml:space="preserve">conducted in primary care </w:t>
      </w:r>
      <w:r w:rsidR="00330796">
        <w:t xml:space="preserve">which </w:t>
      </w:r>
      <w:r w:rsidR="00B84463">
        <w:t>was</w:t>
      </w:r>
      <w:r w:rsidR="00330796">
        <w:t xml:space="preserve"> more ‘holistic’ in nature</w:t>
      </w:r>
      <w:r w:rsidR="00E7349A">
        <w:t xml:space="preserve"> although this view was contested</w:t>
      </w:r>
    </w:p>
    <w:p w14:paraId="346B447A" w14:textId="2115DEB7" w:rsidR="00144F6F" w:rsidRDefault="00330796" w:rsidP="00244D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cs="Arial"/>
          <w:i/>
          <w:iCs/>
          <w:szCs w:val="24"/>
        </w:rPr>
      </w:pPr>
      <w:r w:rsidRPr="00361826">
        <w:rPr>
          <w:rFonts w:cs="Arial"/>
          <w:i/>
          <w:iCs/>
          <w:szCs w:val="24"/>
        </w:rPr>
        <w:t>“We did wonder about whether there will be some duplication for people in secondary care, who are having their medication reviews in secondary care. Then we wondered whether</w:t>
      </w:r>
      <w:proofErr w:type="gramStart"/>
      <w:r w:rsidR="007B363A">
        <w:rPr>
          <w:rFonts w:cs="Arial"/>
          <w:i/>
          <w:iCs/>
          <w:szCs w:val="24"/>
        </w:rPr>
        <w:t>,</w:t>
      </w:r>
      <w:r w:rsidRPr="00361826">
        <w:rPr>
          <w:rFonts w:cs="Arial"/>
          <w:i/>
          <w:iCs/>
          <w:szCs w:val="24"/>
        </w:rPr>
        <w:t xml:space="preserve"> actually</w:t>
      </w:r>
      <w:r w:rsidR="007B363A">
        <w:rPr>
          <w:rFonts w:cs="Arial"/>
          <w:i/>
          <w:iCs/>
          <w:szCs w:val="24"/>
        </w:rPr>
        <w:t>,</w:t>
      </w:r>
      <w:r w:rsidRPr="00361826">
        <w:rPr>
          <w:rFonts w:cs="Arial"/>
          <w:i/>
          <w:iCs/>
          <w:szCs w:val="24"/>
        </w:rPr>
        <w:t xml:space="preserve"> what</w:t>
      </w:r>
      <w:proofErr w:type="gramEnd"/>
      <w:r w:rsidRPr="00361826">
        <w:rPr>
          <w:rFonts w:cs="Arial"/>
          <w:i/>
          <w:iCs/>
          <w:szCs w:val="24"/>
        </w:rPr>
        <w:t xml:space="preserve"> we would do would be a more holistic review than some of our secondary care colleagues and actually, it might be important that we should review them as well.</w:t>
      </w:r>
      <w:r w:rsidR="00E7349A">
        <w:rPr>
          <w:rFonts w:cs="Arial"/>
          <w:i/>
          <w:iCs/>
          <w:szCs w:val="24"/>
        </w:rPr>
        <w:t xml:space="preserve"> </w:t>
      </w:r>
      <w:proofErr w:type="gramStart"/>
      <w:r w:rsidR="00E7349A" w:rsidRPr="00E7349A">
        <w:rPr>
          <w:rFonts w:cs="Arial"/>
          <w:i/>
          <w:iCs/>
          <w:szCs w:val="24"/>
        </w:rPr>
        <w:t>So</w:t>
      </w:r>
      <w:proofErr w:type="gramEnd"/>
      <w:r w:rsidR="00E7349A" w:rsidRPr="00E7349A">
        <w:rPr>
          <w:rFonts w:cs="Arial"/>
          <w:i/>
          <w:iCs/>
          <w:szCs w:val="24"/>
        </w:rPr>
        <w:t xml:space="preserve"> there was some difference of opinion in the group there as to whether there should be a code for an annual secondary care review that would take people out of this or not.</w:t>
      </w:r>
      <w:r w:rsidRPr="00361826">
        <w:rPr>
          <w:rFonts w:cs="Arial"/>
          <w:i/>
          <w:iCs/>
          <w:szCs w:val="24"/>
        </w:rPr>
        <w:t>” [GP, Interview]</w:t>
      </w:r>
    </w:p>
    <w:p w14:paraId="73D55C67" w14:textId="097FC0BB" w:rsidR="00BF523B" w:rsidRPr="004621CA" w:rsidRDefault="00A45FF2" w:rsidP="00D406BD">
      <w:pPr>
        <w:pStyle w:val="Heading5"/>
        <w:spacing w:before="240"/>
      </w:pPr>
      <w:r w:rsidRPr="00A45FF2">
        <w:t>Notifications from secondary care</w:t>
      </w:r>
    </w:p>
    <w:p w14:paraId="6DB0DAE8" w14:textId="1B7555A8" w:rsidR="00FA45EC" w:rsidRDefault="00E6704C" w:rsidP="003D5963">
      <w:r>
        <w:t xml:space="preserve">If the review was carried out in secondary care there was a </w:t>
      </w:r>
      <w:r w:rsidR="00665570">
        <w:t>shared</w:t>
      </w:r>
      <w:r>
        <w:t xml:space="preserve"> </w:t>
      </w:r>
      <w:r w:rsidR="00803A5E">
        <w:t>view</w:t>
      </w:r>
      <w:r>
        <w:t xml:space="preserve"> that practices would be notified</w:t>
      </w:r>
      <w:r w:rsidR="00FC5F09">
        <w:t xml:space="preserve">, </w:t>
      </w:r>
      <w:r>
        <w:t xml:space="preserve">although </w:t>
      </w:r>
      <w:r w:rsidR="00FC5F09">
        <w:t>one practice said there could be a delay in receiving this information</w:t>
      </w:r>
      <w:r w:rsidR="007B363A">
        <w:t>.</w:t>
      </w:r>
      <w:r w:rsidR="00FC5F09">
        <w:t xml:space="preserve"> </w:t>
      </w:r>
      <w:r w:rsidR="007B363A">
        <w:t>Further, a</w:t>
      </w:r>
      <w:r w:rsidR="00FC5F09">
        <w:t>nother practice noted that the letters can be of poor quality</w:t>
      </w:r>
      <w:r w:rsidR="007B363A">
        <w:t>,</w:t>
      </w:r>
      <w:r w:rsidR="00FC5F09">
        <w:t xml:space="preserve"> making it difficult to record</w:t>
      </w:r>
      <w:r w:rsidR="00A275D6">
        <w:t xml:space="preserve"> </w:t>
      </w:r>
      <w:r w:rsidR="0015141F">
        <w:t xml:space="preserve">the </w:t>
      </w:r>
      <w:r w:rsidR="00361826">
        <w:t>information in</w:t>
      </w:r>
      <w:r w:rsidR="00A275D6">
        <w:t xml:space="preserve"> their</w:t>
      </w:r>
      <w:r w:rsidR="00361826">
        <w:t xml:space="preserve"> clinical</w:t>
      </w:r>
      <w:r w:rsidR="00A275D6">
        <w:t xml:space="preserve"> system</w:t>
      </w:r>
      <w:r w:rsidR="00FC5F09">
        <w:t xml:space="preserve">. </w:t>
      </w:r>
      <w:r w:rsidR="001A097E">
        <w:t>It was</w:t>
      </w:r>
      <w:r w:rsidR="00FA45EC">
        <w:t xml:space="preserve"> implied </w:t>
      </w:r>
      <w:r w:rsidR="001A097E">
        <w:t xml:space="preserve">by one </w:t>
      </w:r>
      <w:r w:rsidR="007B363A">
        <w:t xml:space="preserve">interviewed </w:t>
      </w:r>
      <w:r w:rsidR="001A097E">
        <w:t xml:space="preserve">practice </w:t>
      </w:r>
      <w:r w:rsidR="00FA45EC">
        <w:t xml:space="preserve">that </w:t>
      </w:r>
      <w:r w:rsidR="00BF523B">
        <w:t>the notification of reviews conducted in secondary care</w:t>
      </w:r>
      <w:r w:rsidR="00FA45EC">
        <w:t xml:space="preserve"> would depend on the </w:t>
      </w:r>
      <w:r w:rsidR="00CC56A6">
        <w:t>quality</w:t>
      </w:r>
      <w:r w:rsidR="0055726C">
        <w:t xml:space="preserve"> of the local </w:t>
      </w:r>
      <w:r w:rsidR="00BF523B">
        <w:t>specialist</w:t>
      </w:r>
      <w:r w:rsidR="0055726C">
        <w:t xml:space="preserve"> service:</w:t>
      </w:r>
    </w:p>
    <w:p w14:paraId="3914F2A3" w14:textId="5011539C" w:rsidR="00323BE2" w:rsidRDefault="00FA45EC" w:rsidP="00602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rFonts w:cs="Arial"/>
          <w:i/>
          <w:iCs/>
          <w:szCs w:val="24"/>
        </w:rPr>
      </w:pPr>
      <w:r>
        <w:rPr>
          <w:rFonts w:cs="Arial"/>
          <w:i/>
          <w:iCs/>
          <w:szCs w:val="24"/>
        </w:rPr>
        <w:lastRenderedPageBreak/>
        <w:t>“W</w:t>
      </w:r>
      <w:r w:rsidRPr="007B0BFE">
        <w:rPr>
          <w:rFonts w:cs="Arial"/>
          <w:i/>
          <w:iCs/>
          <w:szCs w:val="24"/>
        </w:rPr>
        <w:t>e have actually got quite a good epilepsy team in our area with a very good epilepsy nurse specialist so I suppose it will depend on what’s available to each of the primary care teams across the country, but we are quite lucky” [GP, Interview</w:t>
      </w:r>
      <w:r w:rsidRPr="00FA45EC">
        <w:rPr>
          <w:rFonts w:cs="Arial"/>
          <w:i/>
          <w:iCs/>
          <w:szCs w:val="24"/>
        </w:rPr>
        <w:t>]</w:t>
      </w:r>
    </w:p>
    <w:p w14:paraId="43C157D8" w14:textId="4684F449" w:rsidR="00E05831" w:rsidRPr="00865033" w:rsidRDefault="00E05831" w:rsidP="00865033">
      <w:r w:rsidRPr="00865033">
        <w:t xml:space="preserve">It was also highlighted by one practice that </w:t>
      </w:r>
      <w:r w:rsidR="00690AB9" w:rsidRPr="00865033">
        <w:t>it can be difficult to know the quality and content of a review</w:t>
      </w:r>
      <w:r w:rsidR="00865033">
        <w:t xml:space="preserve"> that </w:t>
      </w:r>
      <w:r w:rsidR="00C12151">
        <w:t>has been</w:t>
      </w:r>
      <w:r w:rsidR="00690AB9" w:rsidRPr="00865033">
        <w:t xml:space="preserve"> conducted in secondary care</w:t>
      </w:r>
      <w:r w:rsidR="00CC56A6">
        <w:t>:</w:t>
      </w:r>
    </w:p>
    <w:p w14:paraId="1C05A7C0" w14:textId="4CF06FF5" w:rsidR="00690AB9" w:rsidRPr="00690AB9" w:rsidRDefault="00865033"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cs="Arial"/>
          <w:i/>
          <w:iCs/>
          <w:szCs w:val="24"/>
        </w:rPr>
      </w:pPr>
      <w:r>
        <w:rPr>
          <w:rFonts w:cs="Arial"/>
          <w:szCs w:val="24"/>
        </w:rPr>
        <w:t>“</w:t>
      </w:r>
      <w:r w:rsidR="00690AB9" w:rsidRPr="00690AB9">
        <w:rPr>
          <w:rFonts w:cs="Arial"/>
          <w:i/>
          <w:iCs/>
          <w:szCs w:val="24"/>
        </w:rPr>
        <w:t xml:space="preserve">I think that it's difficult for primary care to necessarily quality assure what's going on in secondary care. So, you know, if there's a code associated with a secondary care review it will just be added when the letter comes in from secondary care on a regular basis. </w:t>
      </w:r>
      <w:proofErr w:type="gramStart"/>
      <w:r w:rsidR="00690AB9" w:rsidRPr="00690AB9">
        <w:rPr>
          <w:rFonts w:cs="Arial"/>
          <w:i/>
          <w:iCs/>
          <w:szCs w:val="24"/>
        </w:rPr>
        <w:t>So</w:t>
      </w:r>
      <w:proofErr w:type="gramEnd"/>
      <w:r w:rsidR="00690AB9" w:rsidRPr="00690AB9">
        <w:rPr>
          <w:rFonts w:cs="Arial"/>
          <w:i/>
          <w:iCs/>
          <w:szCs w:val="24"/>
        </w:rPr>
        <w:t xml:space="preserve"> we don't necessarily know that everything that should be in that structured review is going to be done</w:t>
      </w:r>
      <w:r>
        <w:rPr>
          <w:rFonts w:cs="Arial"/>
          <w:i/>
          <w:iCs/>
          <w:szCs w:val="24"/>
        </w:rPr>
        <w:t>.” [GP, Interview]</w:t>
      </w:r>
      <w:r w:rsidR="00690AB9" w:rsidRPr="00690AB9">
        <w:rPr>
          <w:rFonts w:cs="Arial"/>
          <w:i/>
          <w:iCs/>
          <w:szCs w:val="24"/>
        </w:rPr>
        <w:t xml:space="preserve">. </w:t>
      </w:r>
    </w:p>
    <w:p w14:paraId="638F3DDD" w14:textId="77777777" w:rsidR="00690AB9" w:rsidRDefault="00690AB9" w:rsidP="00CE4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ascii="Calibri" w:hAnsi="Calibri" w:cs="Calibri"/>
          <w:sz w:val="22"/>
          <w:highlight w:val="yellow"/>
        </w:rPr>
      </w:pPr>
    </w:p>
    <w:p w14:paraId="698F1CAB" w14:textId="57C62F00" w:rsidR="003459B5" w:rsidRPr="002D36AD" w:rsidRDefault="003459B5" w:rsidP="001230C6">
      <w:pPr>
        <w:pStyle w:val="Heading5"/>
      </w:pPr>
      <w:r>
        <w:t>Content</w:t>
      </w:r>
      <w:r w:rsidRPr="00A45FF2">
        <w:t xml:space="preserve"> of review</w:t>
      </w:r>
    </w:p>
    <w:p w14:paraId="51CF7B29" w14:textId="5CE8A890" w:rsidR="003459B5" w:rsidRDefault="003459B5" w:rsidP="003459B5">
      <w:r>
        <w:t xml:space="preserve">Concern was expressed by a few practices that </w:t>
      </w:r>
      <w:r w:rsidR="00CC56A6" w:rsidRPr="001230C6">
        <w:t>there could be</w:t>
      </w:r>
      <w:r w:rsidR="00CC56A6">
        <w:t xml:space="preserve"> </w:t>
      </w:r>
      <w:r>
        <w:t xml:space="preserve">variation </w:t>
      </w:r>
      <w:r w:rsidR="00CC56A6" w:rsidRPr="001230C6">
        <w:t xml:space="preserve">in </w:t>
      </w:r>
      <w:r w:rsidRPr="001230C6">
        <w:t>the</w:t>
      </w:r>
      <w:r>
        <w:t xml:space="preserve"> level of review conducted, with some practices just ‘ticking the box’ and others completing a more extensive review. One practice suggested that more information in the supporting guidance would help mitigate this issue.</w:t>
      </w:r>
    </w:p>
    <w:p w14:paraId="1FB4BD2C" w14:textId="2CCD346B" w:rsidR="003459B5" w:rsidRPr="00404C0E" w:rsidRDefault="003459B5" w:rsidP="003459B5">
      <w:r>
        <w:t xml:space="preserve">Effectiveness and tolerability were identified </w:t>
      </w:r>
      <w:r w:rsidR="00CC56A6" w:rsidRPr="001230C6">
        <w:t>by some practices</w:t>
      </w:r>
      <w:r w:rsidR="00CC56A6">
        <w:t xml:space="preserve"> </w:t>
      </w:r>
      <w:r>
        <w:t>as key topics to include in the content of the review. One practice argued that it was ‘quite straightforward’ what needed to be included in the</w:t>
      </w:r>
      <w:r w:rsidR="00CC56A6">
        <w:t xml:space="preserve"> </w:t>
      </w:r>
      <w:r w:rsidR="00CC56A6" w:rsidRPr="001230C6">
        <w:t xml:space="preserve">review, </w:t>
      </w:r>
      <w:r w:rsidRPr="001230C6">
        <w:t>stating</w:t>
      </w:r>
      <w:r>
        <w:t xml:space="preserve"> “It’s last fit, contracepti</w:t>
      </w:r>
      <w:r w:rsidR="00602B20">
        <w:t>on, driving, and mental health.”</w:t>
      </w:r>
      <w:r>
        <w:t xml:space="preserve"> [GP, Interview]</w:t>
      </w:r>
    </w:p>
    <w:p w14:paraId="1163FDF5" w14:textId="77777777" w:rsidR="003459B5" w:rsidRPr="00E05831" w:rsidRDefault="003459B5" w:rsidP="00CE48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59" w:lineRule="auto"/>
        <w:rPr>
          <w:rFonts w:ascii="Calibri" w:hAnsi="Calibri" w:cs="Calibri"/>
          <w:sz w:val="22"/>
          <w:highlight w:val="yellow"/>
        </w:rPr>
      </w:pPr>
    </w:p>
    <w:p w14:paraId="5C6A1C65" w14:textId="2AE8C089" w:rsidR="00CE2CF7" w:rsidRPr="00A45FF2" w:rsidRDefault="00A05649" w:rsidP="004B4482">
      <w:pPr>
        <w:pStyle w:val="Heading4"/>
        <w:rPr>
          <w:i/>
        </w:rPr>
      </w:pPr>
      <w:r w:rsidRPr="00E05831">
        <w:rPr>
          <w:i/>
        </w:rPr>
        <w:t>I</w:t>
      </w:r>
      <w:r w:rsidR="001B4F95" w:rsidRPr="00E05831">
        <w:rPr>
          <w:i/>
        </w:rPr>
        <w:t xml:space="preserve">ndicator 2 </w:t>
      </w:r>
      <w:r w:rsidR="00B24F07" w:rsidRPr="00E05831">
        <w:rPr>
          <w:i/>
        </w:rPr>
        <w:t>–</w:t>
      </w:r>
      <w:r w:rsidR="001B4F95" w:rsidRPr="00E05831">
        <w:rPr>
          <w:i/>
        </w:rPr>
        <w:t xml:space="preserve"> </w:t>
      </w:r>
      <w:r w:rsidR="00084A70" w:rsidRPr="00E05831">
        <w:rPr>
          <w:i/>
        </w:rPr>
        <w:t>Annual review (adults with</w:t>
      </w:r>
      <w:r w:rsidR="00084A70" w:rsidRPr="00A45FF2">
        <w:rPr>
          <w:i/>
        </w:rPr>
        <w:t xml:space="preserve"> a learning disability and epilepsy) </w:t>
      </w:r>
      <w:r w:rsidR="00CE2CF7" w:rsidRPr="00A45FF2">
        <w:rPr>
          <w:i/>
        </w:rPr>
        <w:t>– specific issues identified in interviews and survey</w:t>
      </w:r>
    </w:p>
    <w:p w14:paraId="3E2F24C2" w14:textId="40B18BF0" w:rsidR="000878BB" w:rsidRPr="000878BB" w:rsidRDefault="000878BB" w:rsidP="00A45FF2">
      <w:pPr>
        <w:pStyle w:val="Heading5"/>
      </w:pPr>
      <w:r w:rsidRPr="000878BB">
        <w:t>Learning disability reviews</w:t>
      </w:r>
    </w:p>
    <w:p w14:paraId="35498CF9" w14:textId="31CDA389" w:rsidR="00084A70" w:rsidRDefault="002D3763" w:rsidP="000854E0">
      <w:pPr>
        <w:rPr>
          <w:bCs/>
          <w:iCs/>
        </w:rPr>
      </w:pPr>
      <w:r>
        <w:rPr>
          <w:bCs/>
          <w:iCs/>
        </w:rPr>
        <w:t>There</w:t>
      </w:r>
      <w:r w:rsidR="000F6A0D">
        <w:rPr>
          <w:bCs/>
          <w:iCs/>
        </w:rPr>
        <w:t xml:space="preserve"> was</w:t>
      </w:r>
      <w:r w:rsidR="00BC71A2">
        <w:rPr>
          <w:bCs/>
          <w:iCs/>
        </w:rPr>
        <w:t xml:space="preserve"> </w:t>
      </w:r>
      <w:r w:rsidR="000F6A0D">
        <w:rPr>
          <w:bCs/>
          <w:iCs/>
        </w:rPr>
        <w:t>agreement</w:t>
      </w:r>
      <w:r>
        <w:rPr>
          <w:bCs/>
          <w:iCs/>
        </w:rPr>
        <w:t xml:space="preserve"> amongst those interviewed</w:t>
      </w:r>
      <w:r w:rsidR="000F6A0D">
        <w:rPr>
          <w:bCs/>
          <w:iCs/>
        </w:rPr>
        <w:t xml:space="preserve"> </w:t>
      </w:r>
      <w:r w:rsidR="00BC71A2">
        <w:rPr>
          <w:bCs/>
          <w:iCs/>
        </w:rPr>
        <w:t xml:space="preserve">that </w:t>
      </w:r>
      <w:r w:rsidR="00323BE2">
        <w:rPr>
          <w:bCs/>
          <w:iCs/>
        </w:rPr>
        <w:t xml:space="preserve">this indicator could be fulfilled by </w:t>
      </w:r>
      <w:r w:rsidR="0054773B">
        <w:rPr>
          <w:bCs/>
          <w:iCs/>
        </w:rPr>
        <w:t>incorporating a review of patients’ epilepsy within the</w:t>
      </w:r>
      <w:r w:rsidR="00D23FAB">
        <w:rPr>
          <w:bCs/>
          <w:iCs/>
        </w:rPr>
        <w:t xml:space="preserve"> existing</w:t>
      </w:r>
      <w:r w:rsidR="0054773B">
        <w:rPr>
          <w:bCs/>
          <w:iCs/>
        </w:rPr>
        <w:t xml:space="preserve"> learning disability annual reviews/health checks</w:t>
      </w:r>
      <w:r w:rsidR="004179D1">
        <w:rPr>
          <w:bCs/>
          <w:iCs/>
        </w:rPr>
        <w:t xml:space="preserve">. </w:t>
      </w:r>
      <w:r w:rsidR="00A25FDE">
        <w:rPr>
          <w:bCs/>
          <w:iCs/>
        </w:rPr>
        <w:t>Many p</w:t>
      </w:r>
      <w:r w:rsidR="000F6A0D">
        <w:rPr>
          <w:bCs/>
          <w:iCs/>
        </w:rPr>
        <w:t xml:space="preserve">ractices noted </w:t>
      </w:r>
      <w:r w:rsidR="00090A3C">
        <w:rPr>
          <w:bCs/>
          <w:iCs/>
        </w:rPr>
        <w:t xml:space="preserve">how existing </w:t>
      </w:r>
      <w:r w:rsidR="000F6A0D">
        <w:rPr>
          <w:bCs/>
          <w:iCs/>
        </w:rPr>
        <w:t xml:space="preserve">full reviews </w:t>
      </w:r>
      <w:r w:rsidR="0054773B">
        <w:rPr>
          <w:bCs/>
          <w:iCs/>
        </w:rPr>
        <w:t xml:space="preserve">with this group of patients </w:t>
      </w:r>
      <w:r w:rsidR="00090A3C">
        <w:rPr>
          <w:bCs/>
          <w:iCs/>
        </w:rPr>
        <w:t>already</w:t>
      </w:r>
      <w:r w:rsidR="0054773B">
        <w:rPr>
          <w:bCs/>
          <w:iCs/>
        </w:rPr>
        <w:t xml:space="preserve"> include a discussion of their epilepsy</w:t>
      </w:r>
      <w:r w:rsidR="00E414FD">
        <w:rPr>
          <w:bCs/>
          <w:iCs/>
        </w:rPr>
        <w:t>:</w:t>
      </w:r>
    </w:p>
    <w:p w14:paraId="497E30D8" w14:textId="2039E6E7" w:rsidR="004179D1" w:rsidRPr="004179D1" w:rsidRDefault="00BC71A2" w:rsidP="00602B20">
      <w:pPr>
        <w:spacing w:after="160" w:line="276" w:lineRule="auto"/>
        <w:rPr>
          <w:i/>
          <w:iCs/>
        </w:rPr>
      </w:pPr>
      <w:r w:rsidRPr="00BC71A2">
        <w:rPr>
          <w:i/>
          <w:iCs/>
        </w:rPr>
        <w:t xml:space="preserve">“We </w:t>
      </w:r>
      <w:proofErr w:type="gramStart"/>
      <w:r w:rsidRPr="00BC71A2">
        <w:rPr>
          <w:i/>
          <w:iCs/>
        </w:rPr>
        <w:t>actually already</w:t>
      </w:r>
      <w:proofErr w:type="gramEnd"/>
      <w:r w:rsidRPr="00BC71A2">
        <w:rPr>
          <w:i/>
          <w:iCs/>
        </w:rPr>
        <w:t xml:space="preserve"> currently do this under the learning disability health check. Our nurses identified that they didn't feel that they could do the full check for the learning disability if they were epileptic without discussing it in detail anyway. So, as far as we're concerned, that's something we fully support, because it won't be any change to us.” [Data Quality </w:t>
      </w:r>
      <w:r w:rsidR="00E7349A">
        <w:rPr>
          <w:i/>
          <w:iCs/>
        </w:rPr>
        <w:t>Staff Member</w:t>
      </w:r>
      <w:r w:rsidRPr="00BC71A2">
        <w:rPr>
          <w:i/>
          <w:iCs/>
        </w:rPr>
        <w:t>, Interview]</w:t>
      </w:r>
    </w:p>
    <w:p w14:paraId="35595C47" w14:textId="016D5941" w:rsidR="004179D1" w:rsidRDefault="004179D1" w:rsidP="004179D1">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heme="minorBidi"/>
          <w:i/>
          <w:iCs/>
          <w:sz w:val="24"/>
          <w:szCs w:val="22"/>
        </w:rPr>
      </w:pPr>
      <w:r>
        <w:rPr>
          <w:rFonts w:cstheme="minorBidi"/>
          <w:i/>
          <w:iCs/>
          <w:sz w:val="24"/>
          <w:szCs w:val="22"/>
        </w:rPr>
        <w:lastRenderedPageBreak/>
        <w:t>“</w:t>
      </w:r>
      <w:r w:rsidRPr="004179D1">
        <w:rPr>
          <w:rFonts w:cstheme="minorBidi"/>
          <w:i/>
          <w:iCs/>
          <w:sz w:val="24"/>
          <w:szCs w:val="22"/>
        </w:rPr>
        <w:t>It is already being done (…) obviously they have a full review with the nurse and with the GP. So, there wouldn't be much change, really</w:t>
      </w:r>
      <w:r>
        <w:rPr>
          <w:rFonts w:cstheme="minorBidi"/>
          <w:i/>
          <w:iCs/>
          <w:sz w:val="24"/>
          <w:szCs w:val="22"/>
        </w:rPr>
        <w:t>.” [Deputy Practice Manager, Interview]</w:t>
      </w:r>
    </w:p>
    <w:p w14:paraId="6F5571FC" w14:textId="77777777" w:rsidR="0023441F" w:rsidRDefault="0023441F" w:rsidP="004179D1">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cstheme="minorBidi"/>
          <w:i/>
          <w:iCs/>
          <w:sz w:val="24"/>
          <w:szCs w:val="22"/>
        </w:rPr>
      </w:pPr>
    </w:p>
    <w:p w14:paraId="653CDF36" w14:textId="29B1ACAB" w:rsidR="007D6F70" w:rsidRPr="00930E8B" w:rsidRDefault="007D6F70" w:rsidP="007D6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rPr>
          <w:bCs/>
          <w:iCs/>
        </w:rPr>
      </w:pPr>
      <w:r w:rsidRPr="00930E8B">
        <w:rPr>
          <w:bCs/>
          <w:iCs/>
        </w:rPr>
        <w:t xml:space="preserve">One GP said it would be straightforward for the epilepsy review to be part of the learning disability review as a ‘tick box’ exercise, </w:t>
      </w:r>
      <w:r w:rsidR="006B391C">
        <w:rPr>
          <w:bCs/>
          <w:iCs/>
        </w:rPr>
        <w:t>but</w:t>
      </w:r>
      <w:r w:rsidR="006B391C" w:rsidRPr="00930E8B">
        <w:rPr>
          <w:bCs/>
          <w:iCs/>
        </w:rPr>
        <w:t xml:space="preserve"> </w:t>
      </w:r>
      <w:r w:rsidRPr="00930E8B">
        <w:rPr>
          <w:bCs/>
          <w:iCs/>
        </w:rPr>
        <w:t>felt it was important for the learning disability review to be of high quality through greater investment</w:t>
      </w:r>
      <w:r w:rsidR="006B391C">
        <w:rPr>
          <w:bCs/>
          <w:iCs/>
        </w:rPr>
        <w:t>:</w:t>
      </w:r>
    </w:p>
    <w:p w14:paraId="6DD15B77" w14:textId="2C10E766" w:rsidR="0023441F" w:rsidRDefault="007D6F70" w:rsidP="00E42FEB">
      <w:pPr>
        <w:spacing w:after="0" w:line="276" w:lineRule="auto"/>
        <w:rPr>
          <w:i/>
          <w:iCs/>
        </w:rPr>
      </w:pPr>
      <w:r w:rsidRPr="00906712">
        <w:rPr>
          <w:i/>
          <w:iCs/>
        </w:rPr>
        <w:t>“I thought it was already being done in the learning disability reviews. We thought that it would be a box-tick, potentially, that a review is done as part of the learning disability and you could mak</w:t>
      </w:r>
      <w:r>
        <w:rPr>
          <w:i/>
          <w:iCs/>
        </w:rPr>
        <w:t>e</w:t>
      </w:r>
      <w:r w:rsidRPr="00906712">
        <w:rPr>
          <w:i/>
          <w:iCs/>
        </w:rPr>
        <w:t xml:space="preserve"> an extra box to tick on that, it would be easy to do. But what's </w:t>
      </w:r>
      <w:proofErr w:type="gramStart"/>
      <w:r w:rsidRPr="00906712">
        <w:rPr>
          <w:i/>
          <w:iCs/>
        </w:rPr>
        <w:t>actually important</w:t>
      </w:r>
      <w:proofErr w:type="gramEnd"/>
      <w:r w:rsidRPr="00906712">
        <w:rPr>
          <w:i/>
          <w:iCs/>
        </w:rPr>
        <w:t xml:space="preserve"> in this population is thinking about control of epilepsy and side-effects, and actually that if you amended what goes on in the learning disability review and put some money into it rather than ticking boxes, actually getting better quality reviews done and then that actually might be a better way to invest that.” [GP, Interview]</w:t>
      </w:r>
    </w:p>
    <w:p w14:paraId="1F8A0834" w14:textId="77777777" w:rsidR="00E42FEB" w:rsidRPr="00E42FEB" w:rsidRDefault="00E42FEB" w:rsidP="00E42FEB">
      <w:pPr>
        <w:spacing w:after="0" w:line="276" w:lineRule="auto"/>
        <w:rPr>
          <w:i/>
          <w:iCs/>
        </w:rPr>
      </w:pPr>
    </w:p>
    <w:p w14:paraId="1B896F4B" w14:textId="602BA69E" w:rsidR="009C250F" w:rsidRDefault="0023441F" w:rsidP="00E42FEB">
      <w:r>
        <w:t>Practices</w:t>
      </w:r>
      <w:r w:rsidR="00E414FD">
        <w:t>’</w:t>
      </w:r>
      <w:r>
        <w:t xml:space="preserve"> views on expanding the existing </w:t>
      </w:r>
      <w:r w:rsidR="00C83393">
        <w:t>Primary Care Network (</w:t>
      </w:r>
      <w:r>
        <w:t>PCN</w:t>
      </w:r>
      <w:r w:rsidR="00C83393">
        <w:t>)</w:t>
      </w:r>
      <w:r>
        <w:t xml:space="preserve"> DE</w:t>
      </w:r>
      <w:r w:rsidR="00793C23">
        <w:t>S i</w:t>
      </w:r>
      <w:r>
        <w:t>ndicator are outlined in the later relevant section (</w:t>
      </w:r>
      <w:r w:rsidR="00FC197C">
        <w:t xml:space="preserve">see </w:t>
      </w:r>
      <w:r w:rsidR="00FC197C" w:rsidRPr="00FC197C">
        <w:t>p36</w:t>
      </w:r>
      <w:r w:rsidRPr="00FC197C">
        <w:t>).</w:t>
      </w:r>
    </w:p>
    <w:p w14:paraId="61F68ED9" w14:textId="36677680" w:rsidR="000878BB" w:rsidRPr="000878BB" w:rsidRDefault="000878BB" w:rsidP="00602B20">
      <w:pPr>
        <w:pStyle w:val="Heading5"/>
        <w:spacing w:before="240"/>
      </w:pPr>
      <w:r w:rsidRPr="000878BB">
        <w:t>Difficulty engaging patients</w:t>
      </w:r>
    </w:p>
    <w:p w14:paraId="608F6672" w14:textId="5265AE64" w:rsidR="001A097E" w:rsidRDefault="001A097E" w:rsidP="000854E0">
      <w:pPr>
        <w:rPr>
          <w:bCs/>
          <w:iCs/>
        </w:rPr>
      </w:pPr>
      <w:r>
        <w:rPr>
          <w:bCs/>
          <w:iCs/>
        </w:rPr>
        <w:t xml:space="preserve">It was noted by </w:t>
      </w:r>
      <w:r w:rsidR="004179D1">
        <w:rPr>
          <w:bCs/>
          <w:iCs/>
        </w:rPr>
        <w:t xml:space="preserve">two </w:t>
      </w:r>
      <w:r w:rsidR="00B0399F">
        <w:rPr>
          <w:bCs/>
          <w:iCs/>
        </w:rPr>
        <w:t xml:space="preserve">interviewed </w:t>
      </w:r>
      <w:r>
        <w:rPr>
          <w:bCs/>
          <w:iCs/>
        </w:rPr>
        <w:t>practices</w:t>
      </w:r>
      <w:r w:rsidR="00945686">
        <w:rPr>
          <w:bCs/>
          <w:iCs/>
        </w:rPr>
        <w:t xml:space="preserve"> and one </w:t>
      </w:r>
      <w:r w:rsidR="003427F8">
        <w:rPr>
          <w:bCs/>
          <w:iCs/>
        </w:rPr>
        <w:t>survey respondent</w:t>
      </w:r>
      <w:r>
        <w:rPr>
          <w:bCs/>
          <w:iCs/>
        </w:rPr>
        <w:t xml:space="preserve"> that it can be difficult to engage with patients with learning di</w:t>
      </w:r>
      <w:r w:rsidR="009B7CF2">
        <w:rPr>
          <w:bCs/>
          <w:iCs/>
        </w:rPr>
        <w:t>sabilities</w:t>
      </w:r>
      <w:r>
        <w:rPr>
          <w:bCs/>
          <w:iCs/>
        </w:rPr>
        <w:t xml:space="preserve"> so including a review of their epilepsy within the learning disability health check, rather than a separate review, was considered important.</w:t>
      </w:r>
    </w:p>
    <w:p w14:paraId="6BDD6013" w14:textId="72D0DFE9" w:rsidR="004621CA" w:rsidRDefault="004621CA" w:rsidP="00602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i/>
          <w:iCs/>
        </w:rPr>
      </w:pPr>
      <w:r>
        <w:rPr>
          <w:i/>
          <w:iCs/>
        </w:rPr>
        <w:t>“</w:t>
      </w:r>
      <w:r w:rsidRPr="00945686">
        <w:rPr>
          <w:i/>
          <w:iCs/>
        </w:rPr>
        <w:t>We are already struggling to get patients to attend their LD reviews - it often takes as many as 4 or 5 invites with hours of clinical time lost</w:t>
      </w:r>
      <w:r>
        <w:rPr>
          <w:i/>
          <w:iCs/>
        </w:rPr>
        <w:t>.” [Other Sen</w:t>
      </w:r>
      <w:r w:rsidR="0084330A">
        <w:rPr>
          <w:i/>
          <w:iCs/>
        </w:rPr>
        <w:t>ior Management, Survey</w:t>
      </w:r>
      <w:r>
        <w:rPr>
          <w:i/>
          <w:iCs/>
        </w:rPr>
        <w:t>]</w:t>
      </w:r>
      <w:r w:rsidRPr="00945686">
        <w:rPr>
          <w:i/>
          <w:iCs/>
        </w:rPr>
        <w:t>.</w:t>
      </w:r>
    </w:p>
    <w:p w14:paraId="092C94B8" w14:textId="6FFD18F5" w:rsidR="007932D4" w:rsidRDefault="009C250F" w:rsidP="00602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i/>
          <w:iCs/>
        </w:rPr>
      </w:pPr>
      <w:r w:rsidRPr="009C250F">
        <w:rPr>
          <w:i/>
          <w:iCs/>
        </w:rPr>
        <w:t>“I think it is crucial to do that within primary care really as part of that disability review</w:t>
      </w:r>
      <w:r w:rsidR="004179D1">
        <w:rPr>
          <w:i/>
          <w:iCs/>
        </w:rPr>
        <w:t xml:space="preserve"> (…) </w:t>
      </w:r>
      <w:r w:rsidRPr="009C250F">
        <w:rPr>
          <w:i/>
          <w:iCs/>
        </w:rPr>
        <w:t>because often when you arrange these disability reviews you have got the carers coming in, you have got the parents, you have got whoever and I think it is an ideal time to, again do a one stop shop for that patient really, because it is quite hard getting these patients in sometimes.” [GP, Interview]</w:t>
      </w:r>
    </w:p>
    <w:p w14:paraId="1D563069" w14:textId="77777777" w:rsidR="007D6F70" w:rsidRPr="00E05831" w:rsidRDefault="007D6F70" w:rsidP="009672DF"/>
    <w:p w14:paraId="6DD03EDC" w14:textId="70DD5CC2" w:rsidR="00CE2CF7" w:rsidRDefault="00207799" w:rsidP="005A0773">
      <w:pPr>
        <w:pStyle w:val="Heading4"/>
        <w:rPr>
          <w:i/>
        </w:rPr>
      </w:pPr>
      <w:r w:rsidRPr="009939B1">
        <w:rPr>
          <w:i/>
        </w:rPr>
        <w:lastRenderedPageBreak/>
        <w:t>Indicator</w:t>
      </w:r>
      <w:r w:rsidR="00C02BCE" w:rsidRPr="009939B1">
        <w:rPr>
          <w:i/>
        </w:rPr>
        <w:t xml:space="preserve"> 3</w:t>
      </w:r>
      <w:r w:rsidRPr="009939B1">
        <w:rPr>
          <w:i/>
        </w:rPr>
        <w:t xml:space="preserve"> </w:t>
      </w:r>
      <w:r w:rsidR="00FD2694" w:rsidRPr="009939B1">
        <w:rPr>
          <w:i/>
        </w:rPr>
        <w:t>–</w:t>
      </w:r>
      <w:r w:rsidRPr="009939B1">
        <w:rPr>
          <w:i/>
        </w:rPr>
        <w:t xml:space="preserve"> </w:t>
      </w:r>
      <w:r w:rsidR="00A60484" w:rsidRPr="00A60484">
        <w:rPr>
          <w:bCs/>
          <w:i/>
        </w:rPr>
        <w:t>Annual review (adults with a mental health condition and epilepsy)</w:t>
      </w:r>
      <w:r w:rsidR="00A60484">
        <w:rPr>
          <w:bCs/>
          <w:i/>
        </w:rPr>
        <w:t xml:space="preserve"> </w:t>
      </w:r>
      <w:r w:rsidR="00CE2CF7" w:rsidRPr="009939B1">
        <w:rPr>
          <w:i/>
        </w:rPr>
        <w:t xml:space="preserve">– specific issues </w:t>
      </w:r>
      <w:r w:rsidR="00CE2CF7" w:rsidRPr="003427F8">
        <w:rPr>
          <w:i/>
        </w:rPr>
        <w:t>identified in interviews and survey</w:t>
      </w:r>
    </w:p>
    <w:p w14:paraId="773C6BA5" w14:textId="3021C6D0" w:rsidR="00E52178" w:rsidRPr="00E52178" w:rsidRDefault="00E52178" w:rsidP="00B70F67">
      <w:pPr>
        <w:pStyle w:val="Heading5"/>
      </w:pPr>
      <w:r>
        <w:t>S</w:t>
      </w:r>
      <w:r w:rsidRPr="00E52178">
        <w:t xml:space="preserve">mall </w:t>
      </w:r>
      <w:r>
        <w:t xml:space="preserve">patient </w:t>
      </w:r>
      <w:r w:rsidRPr="00E52178">
        <w:t>cohort</w:t>
      </w:r>
    </w:p>
    <w:p w14:paraId="359623E2" w14:textId="2D57908C" w:rsidR="008F7BB0" w:rsidRDefault="008F7BB0" w:rsidP="00B70F67">
      <w:r>
        <w:t xml:space="preserve">During the </w:t>
      </w:r>
      <w:r w:rsidRPr="00F274DB">
        <w:t>interviews</w:t>
      </w:r>
      <w:r>
        <w:t xml:space="preserve">, a few practices questioned the value of this indicator given the small number of patients that would be both on the epilepsy register and the </w:t>
      </w:r>
      <w:r w:rsidR="0078462B">
        <w:t>m</w:t>
      </w:r>
      <w:r w:rsidR="009B7CF2">
        <w:t xml:space="preserve">ental </w:t>
      </w:r>
      <w:r w:rsidR="00F274DB">
        <w:t>h</w:t>
      </w:r>
      <w:r w:rsidR="009B7CF2">
        <w:t>ealth QOF</w:t>
      </w:r>
      <w:r w:rsidR="00FB6DF5">
        <w:t xml:space="preserve"> </w:t>
      </w:r>
      <w:r>
        <w:t>register.</w:t>
      </w:r>
    </w:p>
    <w:p w14:paraId="5BEB729C" w14:textId="71D833F0" w:rsidR="008F7BB0" w:rsidRDefault="008F7BB0"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Pr>
          <w:i/>
          <w:iCs/>
        </w:rPr>
        <w:t>“</w:t>
      </w:r>
      <w:r w:rsidRPr="002E258E">
        <w:rPr>
          <w:i/>
          <w:iCs/>
        </w:rPr>
        <w:t xml:space="preserve">I think there's only five patients on both the mental health register and the epilepsy register, that wouldn't really be much more work </w:t>
      </w:r>
      <w:r>
        <w:rPr>
          <w:i/>
          <w:iCs/>
        </w:rPr>
        <w:t>(…) s</w:t>
      </w:r>
      <w:r w:rsidRPr="002E258E">
        <w:rPr>
          <w:i/>
          <w:iCs/>
        </w:rPr>
        <w:t xml:space="preserve">o, I can't see that </w:t>
      </w:r>
      <w:r w:rsidR="00954E01">
        <w:rPr>
          <w:i/>
          <w:iCs/>
        </w:rPr>
        <w:t>needs to be an indicator, in it</w:t>
      </w:r>
      <w:r w:rsidRPr="002E258E">
        <w:rPr>
          <w:i/>
          <w:iCs/>
        </w:rPr>
        <w:t xml:space="preserve">s, like, own right, kind of thing.” [Data Quality </w:t>
      </w:r>
      <w:r w:rsidR="004F5197">
        <w:rPr>
          <w:i/>
          <w:iCs/>
        </w:rPr>
        <w:t>Staff Member</w:t>
      </w:r>
      <w:r w:rsidRPr="002E258E">
        <w:rPr>
          <w:i/>
          <w:iCs/>
        </w:rPr>
        <w:t>, Interview]</w:t>
      </w:r>
    </w:p>
    <w:p w14:paraId="7298BEE2" w14:textId="77777777" w:rsidR="008F7BB0" w:rsidRPr="00154BDF" w:rsidRDefault="008F7BB0"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p>
    <w:p w14:paraId="571C896E" w14:textId="77777777" w:rsidR="001C466E" w:rsidRDefault="008F7BB0"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sidRPr="00154BDF">
        <w:rPr>
          <w:i/>
          <w:iCs/>
        </w:rPr>
        <w:t xml:space="preserve">“It's not going to be very helpful. It's going to throw up a few people because they're both relatively small registers. So, there might be one or two people in a huge practice who you may or may not be able to chase down.” [GP, </w:t>
      </w:r>
      <w:r>
        <w:rPr>
          <w:i/>
          <w:iCs/>
        </w:rPr>
        <w:t>I</w:t>
      </w:r>
      <w:r w:rsidRPr="00154BDF">
        <w:rPr>
          <w:i/>
          <w:iCs/>
        </w:rPr>
        <w:t xml:space="preserve">nterview] </w:t>
      </w:r>
    </w:p>
    <w:p w14:paraId="7C7CA1F6" w14:textId="77777777" w:rsidR="001C466E" w:rsidRDefault="001C466E"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p>
    <w:p w14:paraId="4290BD0A" w14:textId="7CD1176D" w:rsidR="00534AB3" w:rsidRPr="001C466E" w:rsidRDefault="00534AB3"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t>However, one practice interviewed</w:t>
      </w:r>
      <w:r w:rsidR="00B035B4">
        <w:t xml:space="preserve"> implied that the small numbers involved would make the indicator more achievable but that it should be done at PCN level.</w:t>
      </w:r>
    </w:p>
    <w:p w14:paraId="3F9239AF" w14:textId="67BBC557" w:rsidR="00B035B4" w:rsidRDefault="00B035B4"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pPr>
    </w:p>
    <w:p w14:paraId="5C8AEAB1" w14:textId="5E873E60" w:rsidR="008F7BB0" w:rsidRDefault="00B035B4" w:rsidP="00B70F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rPr>
      </w:pPr>
      <w:r w:rsidRPr="00450E48">
        <w:rPr>
          <w:i/>
        </w:rPr>
        <w:t>“So, patients on the severe mental health illness, there isn’t a big register on those so that would be doabl</w:t>
      </w:r>
      <w:r w:rsidR="00581CAC" w:rsidRPr="00450E48">
        <w:rPr>
          <w:i/>
        </w:rPr>
        <w:t>e … and only a small proportion of those will have epilepsy. So, the numbers are quite small there so you can do it as a PCN level.”</w:t>
      </w:r>
      <w:r w:rsidRPr="00450E48">
        <w:rPr>
          <w:i/>
        </w:rPr>
        <w:t xml:space="preserve"> [GP, Interview]</w:t>
      </w:r>
    </w:p>
    <w:p w14:paraId="64F71937" w14:textId="77777777" w:rsidR="001C466E" w:rsidRPr="001C466E" w:rsidRDefault="001C466E" w:rsidP="008F7B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i/>
        </w:rPr>
      </w:pPr>
    </w:p>
    <w:p w14:paraId="2F020351" w14:textId="272ED1D0" w:rsidR="00E52178" w:rsidRDefault="006B3ECD" w:rsidP="00A45FF2">
      <w:pPr>
        <w:pStyle w:val="Heading5"/>
      </w:pPr>
      <w:r>
        <w:t>Related</w:t>
      </w:r>
      <w:r w:rsidR="00E52178" w:rsidRPr="00E52178">
        <w:t xml:space="preserve"> </w:t>
      </w:r>
      <w:r w:rsidR="007932D4">
        <w:t xml:space="preserve">mental health </w:t>
      </w:r>
      <w:r w:rsidR="00E52178" w:rsidRPr="00E52178">
        <w:t>indicator</w:t>
      </w:r>
    </w:p>
    <w:p w14:paraId="4A33DB06" w14:textId="39896A14" w:rsidR="00C3739E" w:rsidRPr="00C3739E" w:rsidRDefault="00C3739E" w:rsidP="00450E48">
      <w:r>
        <w:t xml:space="preserve">Practices noted that they already conduct comprehensive reviews of people with a mental health condition who are on the </w:t>
      </w:r>
      <w:r w:rsidR="00F274DB">
        <w:t>m</w:t>
      </w:r>
      <w:r w:rsidR="009B7CF2">
        <w:t xml:space="preserve">ental </w:t>
      </w:r>
      <w:r w:rsidR="00F274DB">
        <w:t>h</w:t>
      </w:r>
      <w:r w:rsidR="009B7CF2">
        <w:t>ealth QOF</w:t>
      </w:r>
      <w:r>
        <w:t xml:space="preserve"> register.</w:t>
      </w:r>
      <w:r w:rsidR="003C5244">
        <w:t xml:space="preserve"> </w:t>
      </w:r>
    </w:p>
    <w:p w14:paraId="78768377" w14:textId="46EA2CFC" w:rsidR="00C96834" w:rsidRDefault="00C34708" w:rsidP="00C96834">
      <w:r>
        <w:t xml:space="preserve">There were mixed views on </w:t>
      </w:r>
      <w:r w:rsidR="00927461">
        <w:t xml:space="preserve">whether </w:t>
      </w:r>
      <w:r w:rsidR="00481A0C">
        <w:t>existing mental health indicators</w:t>
      </w:r>
      <w:r w:rsidR="00E42FEB">
        <w:t xml:space="preserve"> </w:t>
      </w:r>
      <w:r w:rsidR="00927461">
        <w:t xml:space="preserve">could be expanded to include a </w:t>
      </w:r>
      <w:r>
        <w:t>discussion of epilepsy</w:t>
      </w:r>
      <w:r w:rsidR="00927461">
        <w:t>.</w:t>
      </w:r>
      <w:r w:rsidR="00877ADE">
        <w:t xml:space="preserve"> </w:t>
      </w:r>
      <w:r w:rsidR="004F5197">
        <w:t>At least four</w:t>
      </w:r>
      <w:r w:rsidR="008A1AD9">
        <w:t xml:space="preserve"> practices thought it would be acceptable to incorporate a discussion of epilepsy within the existing mental health reviews</w:t>
      </w:r>
      <w:r w:rsidR="004F5197">
        <w:t>, with one explicitly stating that epilepsy would already be covered in this discussion</w:t>
      </w:r>
      <w:r w:rsidR="00877ADE">
        <w:t xml:space="preserve">. In contrast, </w:t>
      </w:r>
      <w:r w:rsidR="004F5197">
        <w:t>two</w:t>
      </w:r>
      <w:r w:rsidR="00877ADE">
        <w:t xml:space="preserve"> </w:t>
      </w:r>
      <w:r w:rsidR="00505F33">
        <w:t xml:space="preserve">other </w:t>
      </w:r>
      <w:r w:rsidR="00877ADE">
        <w:t>practices did not agree</w:t>
      </w:r>
      <w:r w:rsidR="009D18E8">
        <w:t xml:space="preserve"> with this suggestion;</w:t>
      </w:r>
      <w:r w:rsidR="00877ADE">
        <w:t xml:space="preserve"> </w:t>
      </w:r>
      <w:r w:rsidR="009D18E8">
        <w:t>o</w:t>
      </w:r>
      <w:r w:rsidR="00877ADE">
        <w:t xml:space="preserve">ne </w:t>
      </w:r>
      <w:r w:rsidR="009D18E8">
        <w:t xml:space="preserve">GP felt </w:t>
      </w:r>
      <w:r w:rsidR="00133E5D">
        <w:t>the</w:t>
      </w:r>
      <w:r w:rsidR="00B96084">
        <w:t xml:space="preserve"> focus of the</w:t>
      </w:r>
      <w:r w:rsidR="009D18E8">
        <w:t xml:space="preserve"> care plan review </w:t>
      </w:r>
      <w:r w:rsidR="00B96084">
        <w:t>is not compatible with a discussion of epilepsy</w:t>
      </w:r>
      <w:r w:rsidR="009D18E8">
        <w:t xml:space="preserve"> and </w:t>
      </w:r>
      <w:r w:rsidR="004F5197">
        <w:t>one</w:t>
      </w:r>
      <w:r w:rsidR="009D18E8">
        <w:t xml:space="preserve"> practice </w:t>
      </w:r>
      <w:r w:rsidR="003E6B98">
        <w:t>emphasised</w:t>
      </w:r>
      <w:r w:rsidR="00133E5D">
        <w:t xml:space="preserve"> th</w:t>
      </w:r>
      <w:r w:rsidR="00B96084">
        <w:t>at the</w:t>
      </w:r>
      <w:r w:rsidR="00133E5D">
        <w:t xml:space="preserve"> healthcare professional conducting a mental health review </w:t>
      </w:r>
      <w:r w:rsidR="00B96084">
        <w:t>may</w:t>
      </w:r>
      <w:r w:rsidR="00133E5D">
        <w:t xml:space="preserve"> not have the necessary knowledge </w:t>
      </w:r>
      <w:r w:rsidR="00EB28E9">
        <w:t xml:space="preserve">of epilepsy </w:t>
      </w:r>
      <w:r w:rsidR="003E6B98">
        <w:t>as their focus is on mental health rather than neurology</w:t>
      </w:r>
      <w:r w:rsidR="00133E5D">
        <w:t xml:space="preserve">.  </w:t>
      </w:r>
      <w:r w:rsidR="00630424">
        <w:t>It was suggested that a separate review</w:t>
      </w:r>
      <w:r w:rsidR="00A4562D">
        <w:t xml:space="preserve"> (or split review with different professionals)</w:t>
      </w:r>
      <w:r w:rsidR="00630424">
        <w:t xml:space="preserve"> would be required</w:t>
      </w:r>
      <w:r w:rsidR="0054513B">
        <w:t>:</w:t>
      </w:r>
      <w:r w:rsidR="000B015D">
        <w:t xml:space="preserve"> </w:t>
      </w:r>
    </w:p>
    <w:p w14:paraId="4AE80E12" w14:textId="78A54705" w:rsidR="009D18E8" w:rsidRDefault="00133E5D"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sidRPr="00133E5D">
        <w:rPr>
          <w:i/>
          <w:iCs/>
        </w:rPr>
        <w:lastRenderedPageBreak/>
        <w:t>“…</w:t>
      </w:r>
      <w:r w:rsidR="009D18E8" w:rsidRPr="009D18E8">
        <w:rPr>
          <w:i/>
          <w:iCs/>
        </w:rPr>
        <w:t>I think the care plan review certainly feels like it's more about recognising deterioration in their mental health rather than dealing with their other co-morbidities</w:t>
      </w:r>
      <w:r w:rsidRPr="00133E5D">
        <w:rPr>
          <w:i/>
          <w:iCs/>
        </w:rPr>
        <w:t xml:space="preserve"> (…) s</w:t>
      </w:r>
      <w:r w:rsidR="009D18E8" w:rsidRPr="009D18E8">
        <w:rPr>
          <w:i/>
          <w:iCs/>
        </w:rPr>
        <w:t>o I think this would sit better as indicator three under epilepsy than it would as a component of the mental health care review even if it was a subset under that. I suspect it would sit better in a separate epilepsy</w:t>
      </w:r>
      <w:r w:rsidR="00B0399F">
        <w:rPr>
          <w:i/>
          <w:iCs/>
        </w:rPr>
        <w:t xml:space="preserve"> </w:t>
      </w:r>
      <w:r w:rsidR="00B34801">
        <w:rPr>
          <w:i/>
          <w:iCs/>
        </w:rPr>
        <w:t>[</w:t>
      </w:r>
      <w:r w:rsidR="00B0399F">
        <w:rPr>
          <w:i/>
          <w:iCs/>
        </w:rPr>
        <w:t>review</w:t>
      </w:r>
      <w:r w:rsidR="00B34801">
        <w:rPr>
          <w:i/>
          <w:iCs/>
        </w:rPr>
        <w:t>]</w:t>
      </w:r>
      <w:r w:rsidR="009D18E8" w:rsidRPr="009D18E8">
        <w:rPr>
          <w:i/>
          <w:iCs/>
        </w:rPr>
        <w:t>.</w:t>
      </w:r>
      <w:r>
        <w:rPr>
          <w:i/>
          <w:iCs/>
        </w:rPr>
        <w:t>”</w:t>
      </w:r>
      <w:r w:rsidR="003E6B98">
        <w:rPr>
          <w:i/>
          <w:iCs/>
        </w:rPr>
        <w:t xml:space="preserve"> [GP, Interview]</w:t>
      </w:r>
    </w:p>
    <w:p w14:paraId="4370B09D" w14:textId="77777777" w:rsidR="009D18E8" w:rsidRPr="009D18E8" w:rsidRDefault="009D18E8" w:rsidP="00D406BD">
      <w:pPr>
        <w:widowControl w:val="0"/>
        <w:autoSpaceDE w:val="0"/>
        <w:autoSpaceDN w:val="0"/>
        <w:adjustRightInd w:val="0"/>
        <w:spacing w:after="0" w:line="240" w:lineRule="auto"/>
        <w:rPr>
          <w:rFonts w:ascii="Times New Roman" w:hAnsi="Times New Roman" w:cs="Times New Roman"/>
          <w:szCs w:val="24"/>
        </w:rPr>
      </w:pPr>
    </w:p>
    <w:p w14:paraId="395C7DE6" w14:textId="2B00E9F2" w:rsidR="003F45CB" w:rsidRDefault="002A7889"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sidRPr="002A7889">
        <w:rPr>
          <w:i/>
          <w:iCs/>
        </w:rPr>
        <w:t>“</w:t>
      </w:r>
      <w:proofErr w:type="gramStart"/>
      <w:r w:rsidR="003F45CB" w:rsidRPr="003F45CB">
        <w:rPr>
          <w:i/>
          <w:iCs/>
        </w:rPr>
        <w:t>so</w:t>
      </w:r>
      <w:proofErr w:type="gramEnd"/>
      <w:r w:rsidR="003F45CB" w:rsidRPr="003F45CB">
        <w:rPr>
          <w:i/>
          <w:iCs/>
        </w:rPr>
        <w:t xml:space="preserve"> this one </w:t>
      </w:r>
      <w:r w:rsidRPr="002A7889">
        <w:rPr>
          <w:i/>
          <w:iCs/>
        </w:rPr>
        <w:t xml:space="preserve">[mental health review] </w:t>
      </w:r>
      <w:r w:rsidR="003F45CB" w:rsidRPr="003F45CB">
        <w:rPr>
          <w:i/>
          <w:iCs/>
        </w:rPr>
        <w:t>is done by a mental health facilitator</w:t>
      </w:r>
      <w:r w:rsidR="003E0055">
        <w:rPr>
          <w:i/>
          <w:iCs/>
        </w:rPr>
        <w:t>…</w:t>
      </w:r>
      <w:r w:rsidR="00177C78">
        <w:rPr>
          <w:i/>
          <w:iCs/>
        </w:rPr>
        <w:t xml:space="preserve"> </w:t>
      </w:r>
      <w:r w:rsidR="003F45CB" w:rsidRPr="003F45CB">
        <w:rPr>
          <w:i/>
          <w:iCs/>
        </w:rPr>
        <w:t>obviously the epilepsy wouldn't be mentioned during that, because it's not something you would be able to help with. So, that would require a completely different review</w:t>
      </w:r>
      <w:r w:rsidRPr="002A7889">
        <w:rPr>
          <w:i/>
          <w:iCs/>
        </w:rPr>
        <w:t xml:space="preserve"> (…) s</w:t>
      </w:r>
      <w:r w:rsidR="003F45CB" w:rsidRPr="003F45CB">
        <w:rPr>
          <w:i/>
          <w:iCs/>
        </w:rPr>
        <w:t>o, for us it would be two separate appointments</w:t>
      </w:r>
      <w:r w:rsidRPr="002A7889">
        <w:rPr>
          <w:i/>
          <w:iCs/>
        </w:rPr>
        <w:t>.” [</w:t>
      </w:r>
      <w:r w:rsidR="000B015D">
        <w:rPr>
          <w:i/>
          <w:iCs/>
        </w:rPr>
        <w:t xml:space="preserve">Deputy </w:t>
      </w:r>
      <w:r w:rsidRPr="002A7889">
        <w:rPr>
          <w:i/>
          <w:iCs/>
        </w:rPr>
        <w:t xml:space="preserve">Practice </w:t>
      </w:r>
      <w:r w:rsidR="00E315A9">
        <w:rPr>
          <w:i/>
          <w:iCs/>
        </w:rPr>
        <w:t>M</w:t>
      </w:r>
      <w:r w:rsidRPr="002A7889">
        <w:rPr>
          <w:i/>
          <w:iCs/>
        </w:rPr>
        <w:t>anager, Interview]</w:t>
      </w:r>
    </w:p>
    <w:p w14:paraId="3D45FC7C" w14:textId="40F40826" w:rsidR="000B015D" w:rsidRDefault="000B015D"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p>
    <w:p w14:paraId="6CE9713E" w14:textId="187DC68A" w:rsidR="000B015D" w:rsidRDefault="00A40F0E"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t>One of the</w:t>
      </w:r>
      <w:r w:rsidR="000B015D">
        <w:t xml:space="preserve"> practices warned that the process of splitting the review (or conducting separate reviews) would have negative implications</w:t>
      </w:r>
      <w:r w:rsidR="00E315A9">
        <w:t>.</w:t>
      </w:r>
    </w:p>
    <w:p w14:paraId="603DE404" w14:textId="40A50167" w:rsidR="00E315A9" w:rsidRPr="004746AB" w:rsidRDefault="00E315A9"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sidRPr="0054513B">
        <w:rPr>
          <w:i/>
          <w:iCs/>
        </w:rPr>
        <w:t xml:space="preserve">“You can’t put indicators that require two different </w:t>
      </w:r>
      <w:proofErr w:type="gramStart"/>
      <w:r w:rsidRPr="0054513B">
        <w:rPr>
          <w:i/>
          <w:iCs/>
        </w:rPr>
        <w:t>things</w:t>
      </w:r>
      <w:proofErr w:type="gramEnd"/>
      <w:r w:rsidRPr="0054513B">
        <w:rPr>
          <w:i/>
          <w:iCs/>
        </w:rPr>
        <w:t xml:space="preserve"> and two different skill sets and then split the work to five different people. It’s not efficient money-wise, it’s not good for the patient.” [Deputy Practice Manager, Interview]</w:t>
      </w:r>
    </w:p>
    <w:p w14:paraId="2C56BEAB" w14:textId="77777777" w:rsidR="003F45CB" w:rsidRPr="003F45CB" w:rsidRDefault="003F45CB" w:rsidP="00D406B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s="Times New Roman"/>
          <w:szCs w:val="24"/>
        </w:rPr>
      </w:pPr>
    </w:p>
    <w:p w14:paraId="4CCFB5E2" w14:textId="64173B1A" w:rsidR="0071189B" w:rsidRDefault="008F7BB0" w:rsidP="00D406BD">
      <w:r>
        <w:t xml:space="preserve">Due to variability between practices </w:t>
      </w:r>
      <w:r w:rsidR="00BA0072">
        <w:t xml:space="preserve">of </w:t>
      </w:r>
      <w:r>
        <w:t xml:space="preserve">the skills in the team and how they run their systems, </w:t>
      </w:r>
      <w:r w:rsidR="004746AB">
        <w:t xml:space="preserve">the GP quoted </w:t>
      </w:r>
      <w:r w:rsidR="00132F84">
        <w:t>in connection to the use of a separate review</w:t>
      </w:r>
      <w:r w:rsidR="004746AB">
        <w:t xml:space="preserve"> </w:t>
      </w:r>
      <w:r w:rsidR="0071189B">
        <w:t xml:space="preserve">suggested that </w:t>
      </w:r>
      <w:r w:rsidR="00BA0072">
        <w:t xml:space="preserve">individual </w:t>
      </w:r>
      <w:r w:rsidR="0071189B">
        <w:t xml:space="preserve">practices </w:t>
      </w:r>
      <w:r w:rsidR="00630424">
        <w:t xml:space="preserve">should </w:t>
      </w:r>
      <w:r w:rsidR="0071189B">
        <w:t>decide on how best to conduct the review:</w:t>
      </w:r>
    </w:p>
    <w:p w14:paraId="266983D4" w14:textId="5C8EB331" w:rsidR="0071189B" w:rsidRPr="0071189B" w:rsidRDefault="004824F2"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Pr>
          <w:i/>
          <w:iCs/>
        </w:rPr>
        <w:t>“</w:t>
      </w:r>
      <w:r w:rsidR="0071189B" w:rsidRPr="0071189B">
        <w:rPr>
          <w:i/>
          <w:iCs/>
        </w:rPr>
        <w:t xml:space="preserve">I would think, and probably best left, the practices, to decide how they do them. I mean, I guess if you're ultimately organised as a practice, you make it all one review with the right person who has the set of skills to deal with it all, or </w:t>
      </w:r>
      <w:proofErr w:type="gramStart"/>
      <w:r w:rsidR="0071189B" w:rsidRPr="0071189B">
        <w:rPr>
          <w:i/>
          <w:iCs/>
        </w:rPr>
        <w:t>a,</w:t>
      </w:r>
      <w:proofErr w:type="gramEnd"/>
      <w:r w:rsidR="0071189B" w:rsidRPr="0071189B">
        <w:rPr>
          <w:i/>
          <w:iCs/>
        </w:rPr>
        <w:t xml:space="preserve"> sort of, split review. So, an appointment with one, followed by a finishing off appointment with someone else, and if you're in a less coordinated practice you might find yourself thinking, 'Okay, well we'll do the epilepsy review in March, and then we'll contact them for their diabetic review in August,' but I think that would just vary so much about how practices run their systems.</w:t>
      </w:r>
      <w:r>
        <w:rPr>
          <w:i/>
          <w:iCs/>
        </w:rPr>
        <w:t>”</w:t>
      </w:r>
      <w:r w:rsidR="0071189B" w:rsidRPr="0071189B">
        <w:rPr>
          <w:i/>
          <w:iCs/>
        </w:rPr>
        <w:t xml:space="preserve"> </w:t>
      </w:r>
      <w:r w:rsidRPr="004824F2">
        <w:rPr>
          <w:i/>
          <w:iCs/>
        </w:rPr>
        <w:t>[GP, Interview]</w:t>
      </w:r>
    </w:p>
    <w:p w14:paraId="5FE25587" w14:textId="77777777" w:rsidR="00154BDF" w:rsidRPr="00154BDF" w:rsidRDefault="00154BDF"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cs="Arial"/>
          <w:sz w:val="20"/>
          <w:szCs w:val="20"/>
        </w:rPr>
      </w:pPr>
    </w:p>
    <w:p w14:paraId="20F201C4" w14:textId="39CA8F50" w:rsidR="00E52178" w:rsidRPr="00E52178" w:rsidRDefault="000878BB" w:rsidP="00D406BD">
      <w:pPr>
        <w:pStyle w:val="Heading5"/>
        <w:rPr>
          <w:sz w:val="24"/>
        </w:rPr>
      </w:pPr>
      <w:r w:rsidRPr="000625D0">
        <w:t>Identifying patients</w:t>
      </w:r>
    </w:p>
    <w:p w14:paraId="3A2E4F2D" w14:textId="7AF94EAC" w:rsidR="00902A83" w:rsidRPr="00B564B1" w:rsidRDefault="007C797C" w:rsidP="00D406BD">
      <w:r>
        <w:t xml:space="preserve">There were mixed views as to whether </w:t>
      </w:r>
      <w:r w:rsidR="000625D0">
        <w:t xml:space="preserve">patients on the mental health QOF register would adequately capture appropriate patients for this indicator </w:t>
      </w:r>
      <w:proofErr w:type="gramStart"/>
      <w:r w:rsidR="000625D0">
        <w:t>i.e.</w:t>
      </w:r>
      <w:proofErr w:type="gramEnd"/>
      <w:r w:rsidR="000625D0">
        <w:t xml:space="preserve"> patients with </w:t>
      </w:r>
      <w:r w:rsidR="00505F33">
        <w:t>a</w:t>
      </w:r>
      <w:r>
        <w:t xml:space="preserve"> ‘complex mental health problem’</w:t>
      </w:r>
      <w:r w:rsidR="000625D0">
        <w:t>.</w:t>
      </w:r>
      <w:r>
        <w:t xml:space="preserve"> </w:t>
      </w:r>
      <w:r w:rsidR="00E841CF">
        <w:t xml:space="preserve">One practice </w:t>
      </w:r>
      <w:r w:rsidR="00986EC6">
        <w:t xml:space="preserve">noted that </w:t>
      </w:r>
      <w:r>
        <w:t>many</w:t>
      </w:r>
      <w:r w:rsidR="00986EC6">
        <w:t xml:space="preserve"> patients </w:t>
      </w:r>
      <w:r w:rsidR="00513873">
        <w:t xml:space="preserve">who have a complex </w:t>
      </w:r>
      <w:r w:rsidR="00902A83">
        <w:t>‘</w:t>
      </w:r>
      <w:r w:rsidR="00513873">
        <w:t>mental health problem</w:t>
      </w:r>
      <w:r w:rsidR="00902A83">
        <w:t>’</w:t>
      </w:r>
      <w:r w:rsidR="00513873">
        <w:t xml:space="preserve"> </w:t>
      </w:r>
      <w:r w:rsidR="00132F84">
        <w:t>“</w:t>
      </w:r>
      <w:r w:rsidR="00D26F05">
        <w:t>would</w:t>
      </w:r>
      <w:r w:rsidR="00986EC6">
        <w:t xml:space="preserve"> be missed</w:t>
      </w:r>
      <w:r w:rsidR="00132F84">
        <w:t>”</w:t>
      </w:r>
      <w:r w:rsidR="00986EC6">
        <w:t xml:space="preserve"> as</w:t>
      </w:r>
      <w:r w:rsidR="00902A83">
        <w:t xml:space="preserve"> they are not on the register</w:t>
      </w:r>
      <w:r w:rsidR="00BA0072">
        <w:t>:</w:t>
      </w:r>
      <w:r w:rsidR="00902A83">
        <w:t xml:space="preserve">  </w:t>
      </w:r>
    </w:p>
    <w:p w14:paraId="4B51D12D" w14:textId="6F7633F1" w:rsidR="00902A83" w:rsidRDefault="00902A83"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rPr>
      </w:pPr>
      <w:r w:rsidRPr="007C797C">
        <w:rPr>
          <w:i/>
          <w:iCs/>
        </w:rPr>
        <w:t>“T</w:t>
      </w:r>
      <w:r w:rsidRPr="00902A83">
        <w:rPr>
          <w:i/>
          <w:iCs/>
        </w:rPr>
        <w:t>he vast majority of that patient group aren't on the SMI register, of course</w:t>
      </w:r>
      <w:r w:rsidRPr="007C797C">
        <w:rPr>
          <w:i/>
          <w:iCs/>
        </w:rPr>
        <w:t xml:space="preserve"> (…) </w:t>
      </w:r>
      <w:r w:rsidRPr="00902A83">
        <w:rPr>
          <w:i/>
          <w:iCs/>
        </w:rPr>
        <w:t>Huge, huge numbers would be missed</w:t>
      </w:r>
      <w:r w:rsidRPr="007C797C">
        <w:rPr>
          <w:i/>
          <w:iCs/>
        </w:rPr>
        <w:t xml:space="preserve"> (…) </w:t>
      </w:r>
      <w:r w:rsidRPr="00902A83">
        <w:rPr>
          <w:i/>
          <w:iCs/>
        </w:rPr>
        <w:t xml:space="preserve">There will be personality disorders, there'll be chronic depressions, recurrent depressions, anxiety depressions, PTSDs, all of those. Although, you know, the severe and enduring mental illness register is </w:t>
      </w:r>
      <w:r w:rsidRPr="00902A83">
        <w:rPr>
          <w:i/>
          <w:iCs/>
        </w:rPr>
        <w:lastRenderedPageBreak/>
        <w:t xml:space="preserve">psychosis and bipolar disorder. So, </w:t>
      </w:r>
      <w:proofErr w:type="gramStart"/>
      <w:r w:rsidRPr="00902A83">
        <w:rPr>
          <w:i/>
          <w:iCs/>
        </w:rPr>
        <w:t>all of</w:t>
      </w:r>
      <w:proofErr w:type="gramEnd"/>
      <w:r w:rsidRPr="00902A83">
        <w:rPr>
          <w:i/>
          <w:iCs/>
        </w:rPr>
        <w:t xml:space="preserve"> those chronic, complex mental health patients aren't on the SMI register.</w:t>
      </w:r>
      <w:r w:rsidRPr="007C797C">
        <w:rPr>
          <w:i/>
          <w:iCs/>
        </w:rPr>
        <w:t>” [GP, Interview]</w:t>
      </w:r>
    </w:p>
    <w:p w14:paraId="70C7B80B" w14:textId="77777777" w:rsidR="00074D6F" w:rsidRDefault="00074D6F" w:rsidP="00902A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i/>
          <w:iCs/>
        </w:rPr>
      </w:pPr>
    </w:p>
    <w:p w14:paraId="0232ED61" w14:textId="5A2D1146" w:rsidR="00AF708D" w:rsidRDefault="00AF708D" w:rsidP="00B564B1">
      <w:r w:rsidRPr="00AF708D">
        <w:t xml:space="preserve">Similarly, another GP </w:t>
      </w:r>
      <w:r>
        <w:t xml:space="preserve">commented that there are patients </w:t>
      </w:r>
      <w:r w:rsidR="00B564B1">
        <w:t>with mental illness</w:t>
      </w:r>
      <w:r w:rsidR="00BA0072">
        <w:t>es who</w:t>
      </w:r>
      <w:r w:rsidR="00B564B1">
        <w:t xml:space="preserve"> may not be captured within the QOF register</w:t>
      </w:r>
      <w:r w:rsidR="00BA0072">
        <w:t>,</w:t>
      </w:r>
      <w:r w:rsidR="00B564B1">
        <w:t xml:space="preserve"> </w:t>
      </w:r>
      <w:r w:rsidR="00BA0072">
        <w:t>noting</w:t>
      </w:r>
      <w:r w:rsidR="00B564B1">
        <w:t xml:space="preserve"> the importance of </w:t>
      </w:r>
      <w:r w:rsidR="00793C23">
        <w:t>using i</w:t>
      </w:r>
      <w:r w:rsidR="00B564B1">
        <w:t xml:space="preserve">ndicator 1 to ensure </w:t>
      </w:r>
      <w:r w:rsidR="00630424">
        <w:t>patients</w:t>
      </w:r>
      <w:r w:rsidR="00B564B1">
        <w:t xml:space="preserve"> are not missed</w:t>
      </w:r>
      <w:r w:rsidR="00BA0072">
        <w:t>:</w:t>
      </w:r>
      <w:r w:rsidR="00B564B1">
        <w:t xml:space="preserve"> </w:t>
      </w:r>
    </w:p>
    <w:p w14:paraId="22765245" w14:textId="38EC7B5A" w:rsidR="00B564B1" w:rsidRDefault="00B564B1" w:rsidP="00A40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60" w:line="276" w:lineRule="auto"/>
        <w:rPr>
          <w:i/>
          <w:iCs/>
        </w:rPr>
      </w:pPr>
      <w:r w:rsidRPr="00B564B1">
        <w:rPr>
          <w:i/>
          <w:iCs/>
        </w:rPr>
        <w:t xml:space="preserve">“I think if you didn’t have Indicator 1, then it would be concerning because </w:t>
      </w:r>
      <w:r w:rsidR="00BA0072">
        <w:rPr>
          <w:i/>
          <w:iCs/>
        </w:rPr>
        <w:t xml:space="preserve">[of] </w:t>
      </w:r>
      <w:r w:rsidRPr="00B564B1">
        <w:rPr>
          <w:i/>
          <w:iCs/>
        </w:rPr>
        <w:t>the fact that there are a lot of patients with mental health conditions that don’t quite fit the theory of mental illness.  So, if you had Indicator 1 as well, I would be reassured.” [GP, Interview]</w:t>
      </w:r>
    </w:p>
    <w:p w14:paraId="36D838B1" w14:textId="77777777" w:rsidR="00D51598" w:rsidRDefault="00074D6F" w:rsidP="00B564B1">
      <w:r>
        <w:t xml:space="preserve">This view was supported by another </w:t>
      </w:r>
      <w:r w:rsidR="004805CC">
        <w:t>GP</w:t>
      </w:r>
      <w:r>
        <w:t xml:space="preserve"> who when asked if any patients would be missed </w:t>
      </w:r>
      <w:r w:rsidR="00613C3A">
        <w:t xml:space="preserve">by </w:t>
      </w:r>
      <w:r>
        <w:t>us</w:t>
      </w:r>
      <w:r w:rsidR="00613C3A">
        <w:t>ing</w:t>
      </w:r>
      <w:r>
        <w:t xml:space="preserve"> the existing QOF mental health register </w:t>
      </w:r>
      <w:r w:rsidR="00613C3A">
        <w:t xml:space="preserve">for the indicator population </w:t>
      </w:r>
      <w:r>
        <w:t>responded by saying</w:t>
      </w:r>
      <w:r w:rsidR="004805CC">
        <w:t xml:space="preserve"> “Any patients that are missed are still covered by indicator one.” </w:t>
      </w:r>
    </w:p>
    <w:p w14:paraId="76FBDEA0" w14:textId="77777777" w:rsidR="001C466E" w:rsidRDefault="009366E8" w:rsidP="009C1561">
      <w:r>
        <w:t>Views on t</w:t>
      </w:r>
      <w:r w:rsidR="001F6EEC">
        <w:t>he</w:t>
      </w:r>
      <w:r w:rsidR="00552E58">
        <w:t xml:space="preserve"> accuracy of the mental health </w:t>
      </w:r>
      <w:r w:rsidR="00177C78">
        <w:t>register varied</w:t>
      </w:r>
      <w:r w:rsidR="00505F33">
        <w:t xml:space="preserve"> between practices. One</w:t>
      </w:r>
      <w:r w:rsidR="001F6EEC">
        <w:t xml:space="preserve"> </w:t>
      </w:r>
      <w:r w:rsidR="00393ED3">
        <w:t xml:space="preserve">practice explained that their mental health register </w:t>
      </w:r>
      <w:r w:rsidR="008E42DA">
        <w:t xml:space="preserve">is </w:t>
      </w:r>
      <w:proofErr w:type="gramStart"/>
      <w:r w:rsidR="008E42DA">
        <w:t>up</w:t>
      </w:r>
      <w:r w:rsidR="00BA0072">
        <w:t>-</w:t>
      </w:r>
      <w:r w:rsidR="008E42DA">
        <w:t>to</w:t>
      </w:r>
      <w:r w:rsidR="00BA0072">
        <w:t>-</w:t>
      </w:r>
      <w:r w:rsidR="008E42DA">
        <w:t>date</w:t>
      </w:r>
      <w:proofErr w:type="gramEnd"/>
      <w:r w:rsidR="008E42DA">
        <w:t xml:space="preserve"> as it </w:t>
      </w:r>
      <w:r w:rsidR="00393ED3">
        <w:t>was reviewed last year</w:t>
      </w:r>
      <w:r w:rsidR="00753329">
        <w:t>,</w:t>
      </w:r>
      <w:r w:rsidR="00393ED3">
        <w:t xml:space="preserve"> but prior to this some people were missed due to incorrect coding. </w:t>
      </w:r>
      <w:r w:rsidR="00753329">
        <w:t>A different practice</w:t>
      </w:r>
      <w:r w:rsidR="00552E58">
        <w:t xml:space="preserve"> noted that</w:t>
      </w:r>
      <w:r w:rsidR="00753329">
        <w:t xml:space="preserve"> conducting a search of patients who are on medication for a mental health problem via the care plan should be accurate, </w:t>
      </w:r>
      <w:r w:rsidR="003E514C">
        <w:t>but other patients (who are not on medication) would not be on the register as their social circumstances are more of a clinical judgement.</w:t>
      </w:r>
    </w:p>
    <w:p w14:paraId="1E079DD1" w14:textId="2699D7E3" w:rsidR="00A7621C" w:rsidRPr="001C466E" w:rsidRDefault="009C1561" w:rsidP="009C1561">
      <w:pPr>
        <w:rPr>
          <w:i/>
          <w:iCs/>
        </w:rPr>
      </w:pPr>
      <w:r>
        <w:t xml:space="preserve">The interviews </w:t>
      </w:r>
      <w:r w:rsidR="00A7621C">
        <w:t>revealed</w:t>
      </w:r>
      <w:r>
        <w:t xml:space="preserve"> </w:t>
      </w:r>
      <w:r w:rsidR="00A7621C">
        <w:t>that</w:t>
      </w:r>
      <w:r w:rsidR="0080772E">
        <w:t xml:space="preserve">, if the review was not conducted in primary care, capturing information from secondary care is </w:t>
      </w:r>
      <w:r w:rsidR="0080772E" w:rsidRPr="0080772E">
        <w:t>another potential issue for this indicator</w:t>
      </w:r>
      <w:r w:rsidR="0080772E">
        <w:t>.</w:t>
      </w:r>
      <w:r w:rsidR="00A7621C">
        <w:t xml:space="preserve"> </w:t>
      </w:r>
      <w:r w:rsidR="00F550FB">
        <w:t xml:space="preserve">Whilst </w:t>
      </w:r>
      <w:r w:rsidR="008F7BB0">
        <w:t>one</w:t>
      </w:r>
      <w:r w:rsidR="00F550FB">
        <w:t xml:space="preserve"> practice</w:t>
      </w:r>
      <w:r w:rsidR="008F7BB0">
        <w:t xml:space="preserve"> </w:t>
      </w:r>
      <w:r w:rsidR="00F550FB">
        <w:t>said they would expect to receive information from secondary care around what had been done or discussed with the patients, another practice highlighted that in their area capturing such information would be difficult</w:t>
      </w:r>
      <w:r w:rsidR="00B564B1">
        <w:t>:</w:t>
      </w:r>
      <w:r w:rsidR="00F550FB">
        <w:t xml:space="preserve"> </w:t>
      </w:r>
    </w:p>
    <w:p w14:paraId="352AD658" w14:textId="20616922" w:rsidR="00A7621C" w:rsidRPr="00A7621C" w:rsidRDefault="00B564B1" w:rsidP="00A762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i/>
          <w:iCs/>
        </w:rPr>
      </w:pPr>
      <w:r>
        <w:rPr>
          <w:i/>
          <w:iCs/>
        </w:rPr>
        <w:t>“</w:t>
      </w:r>
      <w:r w:rsidR="00A7621C" w:rsidRPr="00A7621C">
        <w:rPr>
          <w:i/>
          <w:iCs/>
        </w:rPr>
        <w:t xml:space="preserve">The only thing I would say is if it isn't done in primary care, the data coming back for mental health is </w:t>
      </w:r>
      <w:proofErr w:type="gramStart"/>
      <w:r w:rsidR="00A7621C" w:rsidRPr="00A7621C">
        <w:rPr>
          <w:i/>
          <w:iCs/>
        </w:rPr>
        <w:t>really poor</w:t>
      </w:r>
      <w:proofErr w:type="gramEnd"/>
      <w:r w:rsidR="00A7621C" w:rsidRPr="00A7621C">
        <w:rPr>
          <w:i/>
          <w:iCs/>
        </w:rPr>
        <w:t xml:space="preserve"> in our area. So, capturing that data would be difficult.</w:t>
      </w:r>
      <w:r>
        <w:rPr>
          <w:i/>
          <w:iCs/>
        </w:rPr>
        <w:t>” [</w:t>
      </w:r>
      <w:r w:rsidR="0037508A">
        <w:rPr>
          <w:i/>
          <w:iCs/>
        </w:rPr>
        <w:t>Practice Manager</w:t>
      </w:r>
      <w:r w:rsidR="0092687F">
        <w:rPr>
          <w:i/>
          <w:iCs/>
        </w:rPr>
        <w:t>, Interview]</w:t>
      </w:r>
    </w:p>
    <w:p w14:paraId="476DBD65" w14:textId="77777777" w:rsidR="00A7621C" w:rsidRPr="00A7621C" w:rsidRDefault="00A7621C" w:rsidP="00A762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sz w:val="20"/>
          <w:szCs w:val="20"/>
        </w:rPr>
      </w:pPr>
    </w:p>
    <w:p w14:paraId="5CF03160" w14:textId="77777777" w:rsidR="00D406BD" w:rsidRDefault="00D406BD">
      <w:pPr>
        <w:spacing w:after="160" w:line="259" w:lineRule="auto"/>
        <w:rPr>
          <w:rFonts w:eastAsiaTheme="majorEastAsia" w:cstheme="majorBidi"/>
          <w:b/>
          <w:sz w:val="28"/>
          <w:szCs w:val="26"/>
        </w:rPr>
      </w:pPr>
      <w:r>
        <w:br w:type="page"/>
      </w:r>
    </w:p>
    <w:p w14:paraId="329FBCFD" w14:textId="6D2C70CC" w:rsidR="00900AEE" w:rsidRPr="009939B1" w:rsidRDefault="00900AEE" w:rsidP="00244D6E">
      <w:pPr>
        <w:pStyle w:val="Heading2"/>
        <w:spacing w:before="360"/>
      </w:pPr>
      <w:r w:rsidRPr="009939B1">
        <w:lastRenderedPageBreak/>
        <w:t>Suggested amendments to indicator</w:t>
      </w:r>
      <w:r w:rsidR="002C3DB1">
        <w:t xml:space="preserve"> definitions and/or</w:t>
      </w:r>
      <w:r w:rsidRPr="009939B1">
        <w:t xml:space="preserve"> wording</w:t>
      </w:r>
    </w:p>
    <w:p w14:paraId="55C4E2FD" w14:textId="3ED63926" w:rsidR="007D7838" w:rsidRDefault="003E71B2" w:rsidP="002C3DB1">
      <w:pPr>
        <w:rPr>
          <w:color w:val="000000" w:themeColor="text1"/>
        </w:rPr>
      </w:pPr>
      <w:r w:rsidRPr="004F7D73">
        <w:rPr>
          <w:color w:val="000000" w:themeColor="text1"/>
        </w:rPr>
        <w:t>Feedback</w:t>
      </w:r>
      <w:r w:rsidR="002C3DB1" w:rsidRPr="004F7D73">
        <w:rPr>
          <w:color w:val="000000" w:themeColor="text1"/>
        </w:rPr>
        <w:t xml:space="preserve"> regarding the indicator</w:t>
      </w:r>
      <w:r w:rsidR="00A85B21">
        <w:rPr>
          <w:color w:val="000000" w:themeColor="text1"/>
        </w:rPr>
        <w:t xml:space="preserve"> wording,</w:t>
      </w:r>
      <w:r w:rsidR="002C3DB1" w:rsidRPr="004F7D73">
        <w:rPr>
          <w:color w:val="000000" w:themeColor="text1"/>
        </w:rPr>
        <w:t xml:space="preserve"> definitions and associated guidance were provided from the interviews and the survey.</w:t>
      </w:r>
    </w:p>
    <w:p w14:paraId="3CD575E7" w14:textId="20EFD954" w:rsidR="008B5E8A" w:rsidRPr="004B4482" w:rsidRDefault="008B5E8A" w:rsidP="00A45FF2">
      <w:pPr>
        <w:pStyle w:val="Heading3"/>
        <w:rPr>
          <w:iCs/>
        </w:rPr>
      </w:pPr>
      <w:r w:rsidRPr="004B4482">
        <w:t>Indicator 1 – Annual review of all adults receiving drug treatment for epilepsy</w:t>
      </w:r>
    </w:p>
    <w:p w14:paraId="337541DF" w14:textId="2ECFF1AD" w:rsidR="00464AE1" w:rsidRDefault="00464AE1" w:rsidP="004C6FC7">
      <w:pPr>
        <w:rPr>
          <w:color w:val="000000" w:themeColor="text1"/>
        </w:rPr>
      </w:pPr>
      <w:r>
        <w:rPr>
          <w:color w:val="000000" w:themeColor="text1"/>
        </w:rPr>
        <w:t>Only 2 of the 33 survey respondents (6.1%) thought the wording for this indicator should be changed. Both respondents thought the word ‘structured’</w:t>
      </w:r>
      <w:r w:rsidR="00A65730">
        <w:rPr>
          <w:color w:val="000000" w:themeColor="text1"/>
        </w:rPr>
        <w:t xml:space="preserve"> should be removed due to the implication this </w:t>
      </w:r>
      <w:r w:rsidR="008E42DA">
        <w:rPr>
          <w:color w:val="000000" w:themeColor="text1"/>
        </w:rPr>
        <w:t>is</w:t>
      </w:r>
      <w:r w:rsidR="00A65730">
        <w:rPr>
          <w:color w:val="000000" w:themeColor="text1"/>
        </w:rPr>
        <w:t xml:space="preserve"> associated with </w:t>
      </w:r>
      <w:r w:rsidR="00E42FEB">
        <w:rPr>
          <w:color w:val="000000" w:themeColor="text1"/>
        </w:rPr>
        <w:t>numerous</w:t>
      </w:r>
      <w:r w:rsidR="00A65730">
        <w:rPr>
          <w:color w:val="000000" w:themeColor="text1"/>
        </w:rPr>
        <w:t xml:space="preserve"> requirements.</w:t>
      </w:r>
    </w:p>
    <w:p w14:paraId="33DB4CA7" w14:textId="097F8EF7" w:rsidR="00A65730" w:rsidRPr="00A65730" w:rsidRDefault="0098139D" w:rsidP="0098139D">
      <w:pPr>
        <w:spacing w:line="276" w:lineRule="auto"/>
        <w:rPr>
          <w:i/>
          <w:iCs/>
        </w:rPr>
      </w:pPr>
      <w:r>
        <w:rPr>
          <w:i/>
          <w:iCs/>
        </w:rPr>
        <w:t>“</w:t>
      </w:r>
      <w:r w:rsidR="00A65730" w:rsidRPr="00A65730">
        <w:rPr>
          <w:i/>
          <w:iCs/>
        </w:rPr>
        <w:t>For the epilepsy</w:t>
      </w:r>
      <w:r w:rsidR="004F7D73">
        <w:rPr>
          <w:i/>
          <w:iCs/>
        </w:rPr>
        <w:t xml:space="preserve"> [indicators]</w:t>
      </w:r>
      <w:r w:rsidR="00A65730" w:rsidRPr="00A65730">
        <w:rPr>
          <w:i/>
          <w:iCs/>
        </w:rPr>
        <w:t xml:space="preserve"> I would remove the word 'structured'. It indicates a lot of questions to ask</w:t>
      </w:r>
      <w:r>
        <w:rPr>
          <w:i/>
          <w:iCs/>
        </w:rPr>
        <w:t>.”</w:t>
      </w:r>
      <w:r w:rsidR="00A65730" w:rsidRPr="00A65730">
        <w:rPr>
          <w:i/>
          <w:iCs/>
        </w:rPr>
        <w:t xml:space="preserve"> [GP, Survey]</w:t>
      </w:r>
    </w:p>
    <w:p w14:paraId="294602D0" w14:textId="6E684D1B" w:rsidR="00490EA9" w:rsidRDefault="0098139D" w:rsidP="004204E4">
      <w:pPr>
        <w:spacing w:line="276" w:lineRule="auto"/>
        <w:rPr>
          <w:i/>
          <w:iCs/>
        </w:rPr>
      </w:pPr>
      <w:r>
        <w:rPr>
          <w:i/>
          <w:iCs/>
        </w:rPr>
        <w:t>“</w:t>
      </w:r>
      <w:r w:rsidR="00A65730" w:rsidRPr="00A65730">
        <w:rPr>
          <w:i/>
          <w:iCs/>
        </w:rPr>
        <w:t>Less is more! The epilepsy ones use the amorphous term structured review - this could hold a multitude of requirements</w:t>
      </w:r>
      <w:r>
        <w:rPr>
          <w:i/>
          <w:iCs/>
        </w:rPr>
        <w:t>.”</w:t>
      </w:r>
      <w:r w:rsidR="00A65730" w:rsidRPr="00A65730">
        <w:rPr>
          <w:i/>
          <w:iCs/>
        </w:rPr>
        <w:t xml:space="preserve"> [Practice Manager, Survey]</w:t>
      </w:r>
    </w:p>
    <w:p w14:paraId="5725EAD9" w14:textId="72C2C173" w:rsidR="00B84463" w:rsidRDefault="007B6CA3" w:rsidP="00F74AF7">
      <w:pPr>
        <w:spacing w:before="240"/>
      </w:pPr>
      <w:r>
        <w:t xml:space="preserve">Practices were asked </w:t>
      </w:r>
      <w:r w:rsidR="0081037B">
        <w:t xml:space="preserve">whether </w:t>
      </w:r>
      <w:r w:rsidR="008B5E8A">
        <w:t>this indicator</w:t>
      </w:r>
      <w:r w:rsidR="00E85530" w:rsidRPr="00E85530">
        <w:t xml:space="preserve"> </w:t>
      </w:r>
      <w:r w:rsidR="00452043">
        <w:t xml:space="preserve">should </w:t>
      </w:r>
      <w:r w:rsidR="00E85530" w:rsidRPr="00E85530">
        <w:t xml:space="preserve">be limited to patients </w:t>
      </w:r>
      <w:r w:rsidR="00084A70">
        <w:t xml:space="preserve">with epilepsy </w:t>
      </w:r>
      <w:r w:rsidR="00064AF4">
        <w:t>receiving</w:t>
      </w:r>
      <w:r w:rsidR="00064AF4" w:rsidRPr="00E85530">
        <w:t xml:space="preserve"> </w:t>
      </w:r>
      <w:r w:rsidR="00E85530" w:rsidRPr="00E85530">
        <w:t xml:space="preserve">certain </w:t>
      </w:r>
      <w:r w:rsidR="00894D76">
        <w:t>anti-</w:t>
      </w:r>
      <w:r w:rsidR="00452043">
        <w:t>seizure</w:t>
      </w:r>
      <w:r w:rsidR="00894D76">
        <w:t xml:space="preserve"> </w:t>
      </w:r>
      <w:r w:rsidR="00E85530" w:rsidRPr="00E85530">
        <w:t>medications</w:t>
      </w:r>
      <w:r w:rsidR="00894D76">
        <w:t xml:space="preserve"> </w:t>
      </w:r>
      <w:r w:rsidR="00452043">
        <w:t>associated with long-term side effects or drug interactions (rather than all patients on the epilepsy register</w:t>
      </w:r>
      <w:r w:rsidR="00036F96">
        <w:t xml:space="preserve"> </w:t>
      </w:r>
      <w:proofErr w:type="gramStart"/>
      <w:r w:rsidR="00036F96">
        <w:t>i.e.</w:t>
      </w:r>
      <w:proofErr w:type="gramEnd"/>
      <w:r w:rsidR="00036F96">
        <w:t xml:space="preserve"> all patients receiving drug treatment for epilepsy</w:t>
      </w:r>
      <w:r w:rsidR="00452043">
        <w:t>), and/or whether they should focus on adults aged 65 and over receiving drug treatment for epilepsy.</w:t>
      </w:r>
    </w:p>
    <w:p w14:paraId="212967C1" w14:textId="68F80960" w:rsidR="00E85530" w:rsidRDefault="00526CE0" w:rsidP="004C6FC7">
      <w:pPr>
        <w:rPr>
          <w:color w:val="000000" w:themeColor="text1"/>
        </w:rPr>
      </w:pPr>
      <w:r>
        <w:rPr>
          <w:color w:val="000000" w:themeColor="text1"/>
        </w:rPr>
        <w:t>Overall, the interviewed practices agreed</w:t>
      </w:r>
      <w:r w:rsidR="0081037B" w:rsidRPr="0081037B">
        <w:rPr>
          <w:color w:val="000000" w:themeColor="text1"/>
        </w:rPr>
        <w:t xml:space="preserve"> that the indicators should not be limited </w:t>
      </w:r>
      <w:r w:rsidR="00564979">
        <w:rPr>
          <w:color w:val="000000" w:themeColor="text1"/>
        </w:rPr>
        <w:t xml:space="preserve">to </w:t>
      </w:r>
      <w:r w:rsidR="0081037B">
        <w:rPr>
          <w:color w:val="000000" w:themeColor="text1"/>
        </w:rPr>
        <w:t>subgroups based on</w:t>
      </w:r>
      <w:r w:rsidR="00564979">
        <w:rPr>
          <w:color w:val="000000" w:themeColor="text1"/>
        </w:rPr>
        <w:t xml:space="preserve"> the patients’</w:t>
      </w:r>
      <w:r w:rsidR="0081037B">
        <w:rPr>
          <w:color w:val="000000" w:themeColor="text1"/>
        </w:rPr>
        <w:t xml:space="preserve"> </w:t>
      </w:r>
      <w:r w:rsidR="00452043">
        <w:rPr>
          <w:color w:val="000000" w:themeColor="text1"/>
        </w:rPr>
        <w:t xml:space="preserve">type of </w:t>
      </w:r>
      <w:r w:rsidR="0081037B">
        <w:rPr>
          <w:color w:val="000000" w:themeColor="text1"/>
        </w:rPr>
        <w:t xml:space="preserve">medication </w:t>
      </w:r>
      <w:r w:rsidR="00564979">
        <w:rPr>
          <w:color w:val="000000" w:themeColor="text1"/>
        </w:rPr>
        <w:t>and/</w:t>
      </w:r>
      <w:r w:rsidR="0081037B">
        <w:rPr>
          <w:color w:val="000000" w:themeColor="text1"/>
        </w:rPr>
        <w:t>or age</w:t>
      </w:r>
      <w:r w:rsidR="0081037B" w:rsidRPr="0081037B">
        <w:rPr>
          <w:color w:val="000000" w:themeColor="text1"/>
        </w:rPr>
        <w:t xml:space="preserve">. </w:t>
      </w:r>
      <w:r w:rsidR="00481CF3">
        <w:rPr>
          <w:color w:val="000000" w:themeColor="text1"/>
        </w:rPr>
        <w:t xml:space="preserve">It was noted </w:t>
      </w:r>
      <w:r w:rsidR="0037508A">
        <w:rPr>
          <w:color w:val="000000" w:themeColor="text1"/>
        </w:rPr>
        <w:t xml:space="preserve">by a pharmacist </w:t>
      </w:r>
      <w:r w:rsidR="00481CF3">
        <w:rPr>
          <w:color w:val="000000" w:themeColor="text1"/>
        </w:rPr>
        <w:t>that for equality reasons all patients should be given a review</w:t>
      </w:r>
      <w:r w:rsidR="007A3639">
        <w:rPr>
          <w:color w:val="000000" w:themeColor="text1"/>
        </w:rPr>
        <w:t>.</w:t>
      </w:r>
      <w:r w:rsidR="00B20C79">
        <w:rPr>
          <w:color w:val="000000" w:themeColor="text1"/>
        </w:rPr>
        <w:t xml:space="preserve"> </w:t>
      </w:r>
      <w:r w:rsidR="007A3639">
        <w:rPr>
          <w:color w:val="000000" w:themeColor="text1"/>
        </w:rPr>
        <w:t xml:space="preserve">Other practices </w:t>
      </w:r>
      <w:r w:rsidR="001428CD">
        <w:rPr>
          <w:color w:val="000000" w:themeColor="text1"/>
        </w:rPr>
        <w:t xml:space="preserve">mentioned the importance of reviewing all patients to check on compliance and tolerability, </w:t>
      </w:r>
      <w:r w:rsidR="00481CF3">
        <w:rPr>
          <w:color w:val="000000" w:themeColor="text1"/>
        </w:rPr>
        <w:t>and that by</w:t>
      </w:r>
      <w:r w:rsidR="00564979">
        <w:rPr>
          <w:color w:val="000000" w:themeColor="text1"/>
        </w:rPr>
        <w:t xml:space="preserve"> creating subgroups</w:t>
      </w:r>
      <w:r w:rsidR="00481CF3">
        <w:rPr>
          <w:color w:val="000000" w:themeColor="text1"/>
        </w:rPr>
        <w:t xml:space="preserve"> there was a risk that some patients could be missed.</w:t>
      </w:r>
    </w:p>
    <w:p w14:paraId="13DD4B59" w14:textId="1EE5E0CA" w:rsidR="001428CD" w:rsidRPr="00036F96" w:rsidRDefault="001428CD" w:rsidP="00F74AF7">
      <w:pPr>
        <w:spacing w:line="276" w:lineRule="auto"/>
        <w:rPr>
          <w:i/>
          <w:color w:val="000000" w:themeColor="text1"/>
        </w:rPr>
      </w:pPr>
      <w:r w:rsidRPr="00036F96">
        <w:rPr>
          <w:i/>
          <w:color w:val="000000" w:themeColor="text1"/>
        </w:rPr>
        <w:t>“I’m fine with keeping with just the register, personally, partly around the issue of equality</w:t>
      </w:r>
      <w:r w:rsidR="007B47CE" w:rsidRPr="00036F96">
        <w:rPr>
          <w:i/>
          <w:color w:val="000000" w:themeColor="text1"/>
        </w:rPr>
        <w:t xml:space="preserve">. If they’ve been diagnosed with </w:t>
      </w:r>
      <w:r w:rsidR="0095042C" w:rsidRPr="00036F96">
        <w:rPr>
          <w:i/>
          <w:color w:val="000000" w:themeColor="text1"/>
        </w:rPr>
        <w:t>epilepsy,</w:t>
      </w:r>
      <w:r w:rsidR="007B47CE" w:rsidRPr="00036F96">
        <w:rPr>
          <w:i/>
          <w:color w:val="000000" w:themeColor="text1"/>
        </w:rPr>
        <w:t xml:space="preserve"> I think they’re entitled to a review.” [Pharmacist, Interview]</w:t>
      </w:r>
    </w:p>
    <w:p w14:paraId="7588123F" w14:textId="1162C0CB" w:rsidR="00481CF3" w:rsidRDefault="00564979" w:rsidP="00F74AF7">
      <w:pPr>
        <w:pStyle w:val="ListParagraph"/>
        <w:autoSpaceDE w:val="0"/>
        <w:autoSpaceDN w:val="0"/>
        <w:adjustRightInd w:val="0"/>
        <w:spacing w:line="276" w:lineRule="auto"/>
        <w:ind w:left="0"/>
        <w:rPr>
          <w:i/>
          <w:iCs/>
          <w:color w:val="000000" w:themeColor="text1"/>
        </w:rPr>
      </w:pPr>
      <w:r w:rsidRPr="00564979">
        <w:rPr>
          <w:i/>
          <w:iCs/>
          <w:color w:val="000000" w:themeColor="text1"/>
        </w:rPr>
        <w:t xml:space="preserve">“I just think with this condition (…) everybody should have that review.  I think it is </w:t>
      </w:r>
      <w:proofErr w:type="gramStart"/>
      <w:r w:rsidRPr="00564979">
        <w:rPr>
          <w:i/>
          <w:iCs/>
          <w:color w:val="000000" w:themeColor="text1"/>
        </w:rPr>
        <w:t>really important</w:t>
      </w:r>
      <w:proofErr w:type="gramEnd"/>
      <w:r w:rsidRPr="00564979">
        <w:rPr>
          <w:i/>
          <w:iCs/>
          <w:color w:val="000000" w:themeColor="text1"/>
        </w:rPr>
        <w:t xml:space="preserve"> and compliance, side effects, contraception – all of those things, they all tie in with it (…) I didn’t like the idea of sub-groups.” [GP, Interview]</w:t>
      </w:r>
    </w:p>
    <w:p w14:paraId="7F031CDA" w14:textId="4E1A6099" w:rsidR="00481CF3" w:rsidRPr="00481CF3" w:rsidRDefault="00481CF3" w:rsidP="00F74A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i/>
          <w:iCs/>
          <w:color w:val="000000" w:themeColor="text1"/>
        </w:rPr>
      </w:pPr>
      <w:r>
        <w:rPr>
          <w:i/>
          <w:iCs/>
          <w:color w:val="000000" w:themeColor="text1"/>
        </w:rPr>
        <w:t>“</w:t>
      </w:r>
      <w:proofErr w:type="gramStart"/>
      <w:r w:rsidRPr="00481CF3">
        <w:rPr>
          <w:i/>
          <w:iCs/>
          <w:color w:val="000000" w:themeColor="text1"/>
        </w:rPr>
        <w:t>So</w:t>
      </w:r>
      <w:proofErr w:type="gramEnd"/>
      <w:r w:rsidRPr="00481CF3">
        <w:rPr>
          <w:i/>
          <w:iCs/>
          <w:color w:val="000000" w:themeColor="text1"/>
        </w:rPr>
        <w:t xml:space="preserve"> I think the more you subset things, the more difficult they get to manage to get the right people. So, I mean, for everyone, they need effectiveness. Some drugs may have more tolerability problems but trying to divide that-, I would keep it simple and say all patients with epilepsy.</w:t>
      </w:r>
      <w:r w:rsidR="004C6FC7">
        <w:rPr>
          <w:i/>
          <w:iCs/>
          <w:color w:val="000000" w:themeColor="text1"/>
        </w:rPr>
        <w:t>”</w:t>
      </w:r>
      <w:r w:rsidRPr="00481CF3">
        <w:rPr>
          <w:i/>
          <w:iCs/>
          <w:color w:val="000000" w:themeColor="text1"/>
        </w:rPr>
        <w:t xml:space="preserve"> [GP, Interview]</w:t>
      </w:r>
    </w:p>
    <w:p w14:paraId="3576E15D" w14:textId="77777777" w:rsidR="00481CF3" w:rsidRPr="00481CF3" w:rsidRDefault="00481CF3" w:rsidP="00481CF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s="Times New Roman"/>
          <w:szCs w:val="24"/>
        </w:rPr>
      </w:pPr>
    </w:p>
    <w:p w14:paraId="78BD1DC0" w14:textId="462323D1" w:rsidR="004F7D73" w:rsidRPr="004F7D73" w:rsidRDefault="00B20C79" w:rsidP="004F7D73">
      <w:r>
        <w:lastRenderedPageBreak/>
        <w:t>When discussing the potential age groups for restricting the indicator</w:t>
      </w:r>
      <w:r w:rsidR="00E066E8">
        <w:t>s</w:t>
      </w:r>
      <w:r>
        <w:t xml:space="preserve">, one </w:t>
      </w:r>
      <w:r w:rsidR="00A40087">
        <w:t>GP</w:t>
      </w:r>
      <w:r>
        <w:t xml:space="preserve"> </w:t>
      </w:r>
      <w:r w:rsidR="0099287C">
        <w:t>advised</w:t>
      </w:r>
      <w:r>
        <w:t xml:space="preserve"> that those aged over 65 </w:t>
      </w:r>
      <w:r w:rsidR="003B009A">
        <w:t>typically report fewer side effects and generally adhere to prescriptions, suggesting therefore that those aged 20-40 years should be</w:t>
      </w:r>
      <w:r w:rsidR="00EF10AF">
        <w:t xml:space="preserve"> prioritised. </w:t>
      </w:r>
      <w:r w:rsidR="00AC45F8">
        <w:t xml:space="preserve">In contrast, while </w:t>
      </w:r>
      <w:r w:rsidR="00A40087">
        <w:t>a GP from a different</w:t>
      </w:r>
      <w:r w:rsidR="00AC45F8">
        <w:t xml:space="preserve"> practice agreed that those aged over 65 are less likely to have continued seizures, they noted that</w:t>
      </w:r>
      <w:r w:rsidR="00AC45F8" w:rsidRPr="00A40087">
        <w:t xml:space="preserve"> older patients are more susceptible to side effects and toxicity from other </w:t>
      </w:r>
      <w:r w:rsidR="00A40087" w:rsidRPr="00A40087">
        <w:t>medications</w:t>
      </w:r>
      <w:r w:rsidR="00452043">
        <w:t xml:space="preserve"> (polypharmacy)</w:t>
      </w:r>
      <w:r w:rsidR="00A40087" w:rsidRPr="00A40087">
        <w:t xml:space="preserve">, so it </w:t>
      </w:r>
      <w:r w:rsidR="003B009A">
        <w:t>i</w:t>
      </w:r>
      <w:r w:rsidR="003B009A" w:rsidRPr="00A40087">
        <w:t xml:space="preserve">s </w:t>
      </w:r>
      <w:r w:rsidR="00A40087" w:rsidRPr="00A40087">
        <w:t>important to review everyone</w:t>
      </w:r>
      <w:r w:rsidR="00AC45F8" w:rsidRPr="00A40087">
        <w:t xml:space="preserve">. This view was supported by </w:t>
      </w:r>
      <w:r w:rsidR="00A40087">
        <w:t>another GP</w:t>
      </w:r>
      <w:r w:rsidR="00AC45F8" w:rsidRPr="00A40087">
        <w:t xml:space="preserve"> </w:t>
      </w:r>
      <w:r w:rsidR="00A40087" w:rsidRPr="00A40087">
        <w:t>who highlighted</w:t>
      </w:r>
      <w:r w:rsidR="00AC45F8" w:rsidRPr="00A40087">
        <w:t xml:space="preserve"> that </w:t>
      </w:r>
      <w:r w:rsidR="00A40087" w:rsidRPr="00A40087">
        <w:t>as people age their bodies change and they are more likely to be given other medications which may have side effects.</w:t>
      </w:r>
      <w:r w:rsidR="00A40087">
        <w:t xml:space="preserve"> </w:t>
      </w:r>
    </w:p>
    <w:p w14:paraId="79C2D16D" w14:textId="77777777" w:rsidR="001C466E" w:rsidRDefault="00BA383B" w:rsidP="0095042C">
      <w:r>
        <w:t>The same</w:t>
      </w:r>
      <w:r w:rsidR="00A40087">
        <w:t xml:space="preserve"> G</w:t>
      </w:r>
      <w:r w:rsidR="0099287C">
        <w:t xml:space="preserve">P suggested that </w:t>
      </w:r>
      <w:r w:rsidR="006B66D9">
        <w:t>an alternative indicator for those patients aged 65 and over, where a different type of review could be conducted, would allow for a consideration of anti-epileptic medication’s side effects</w:t>
      </w:r>
      <w:r w:rsidR="0095042C">
        <w:t xml:space="preserve">. However, they </w:t>
      </w:r>
      <w:r w:rsidR="001B399A">
        <w:t xml:space="preserve">added that, </w:t>
      </w:r>
      <w:r w:rsidR="0095042C">
        <w:t>rather than sub-grouping the indicator</w:t>
      </w:r>
      <w:r w:rsidR="001B399A">
        <w:t>,</w:t>
      </w:r>
      <w:r w:rsidR="0095042C">
        <w:t xml:space="preserve"> the guidance could instead state that the practice could vary the focus of the review depending on the age of the patient:</w:t>
      </w:r>
    </w:p>
    <w:p w14:paraId="0CDFCE63" w14:textId="39292024" w:rsidR="0095042C" w:rsidRPr="001C466E" w:rsidRDefault="00296499" w:rsidP="000B199E">
      <w:pPr>
        <w:spacing w:after="240" w:line="276" w:lineRule="auto"/>
      </w:pPr>
      <w:r w:rsidRPr="00296499">
        <w:rPr>
          <w:i/>
          <w:iCs/>
          <w:color w:val="000000" w:themeColor="text1"/>
        </w:rPr>
        <w:t>“</w:t>
      </w:r>
      <w:r w:rsidR="00D227E4">
        <w:rPr>
          <w:i/>
          <w:iCs/>
          <w:color w:val="000000" w:themeColor="text1"/>
        </w:rPr>
        <w:t xml:space="preserve">If what you’re doing is looking for side effects, you could focus on the over-65, you could have that as an alternative indicator … </w:t>
      </w:r>
      <w:r w:rsidRPr="00296499">
        <w:rPr>
          <w:i/>
          <w:iCs/>
          <w:color w:val="000000" w:themeColor="text1"/>
        </w:rPr>
        <w:t xml:space="preserve">The other thing you could do is you could specify in the guidance a different type of review or a different focus to the review depending on the age of the patient and leave it up to the practice to </w:t>
      </w:r>
      <w:proofErr w:type="gramStart"/>
      <w:r w:rsidRPr="00296499">
        <w:rPr>
          <w:i/>
          <w:iCs/>
          <w:color w:val="000000" w:themeColor="text1"/>
        </w:rPr>
        <w:t>actually do</w:t>
      </w:r>
      <w:proofErr w:type="gramEnd"/>
      <w:r w:rsidRPr="00296499">
        <w:rPr>
          <w:i/>
          <w:iCs/>
          <w:color w:val="000000" w:themeColor="text1"/>
        </w:rPr>
        <w:t xml:space="preserve"> two types of reviews to two ages of patients. But you could achieve some of those outcomes without </w:t>
      </w:r>
      <w:proofErr w:type="gramStart"/>
      <w:r w:rsidRPr="00296499">
        <w:rPr>
          <w:i/>
          <w:iCs/>
          <w:color w:val="000000" w:themeColor="text1"/>
        </w:rPr>
        <w:t>actually counting</w:t>
      </w:r>
      <w:proofErr w:type="gramEnd"/>
      <w:r w:rsidRPr="00296499">
        <w:rPr>
          <w:i/>
          <w:iCs/>
          <w:color w:val="000000" w:themeColor="text1"/>
        </w:rPr>
        <w:t xml:space="preserve"> it and just be able to trust practices to do two different reviews depending on age and the guidance.” [GP, interview]</w:t>
      </w:r>
      <w:r w:rsidRPr="003669DF">
        <w:rPr>
          <w:rFonts w:ascii="Times New Roman" w:eastAsia="Times New Roman" w:hAnsi="Times New Roman" w:cs="Times New Roman"/>
          <w:i/>
          <w:iCs/>
          <w:szCs w:val="24"/>
        </w:rPr>
        <w:t xml:space="preserve"> </w:t>
      </w:r>
    </w:p>
    <w:p w14:paraId="7623EF7D" w14:textId="7D15520D" w:rsidR="00861156" w:rsidRDefault="0095042C" w:rsidP="001B399A">
      <w:pPr>
        <w:rPr>
          <w:rFonts w:eastAsia="Times New Roman" w:cs="Arial"/>
          <w:szCs w:val="24"/>
        </w:rPr>
      </w:pPr>
      <w:r>
        <w:rPr>
          <w:rFonts w:eastAsia="Times New Roman" w:cs="Arial"/>
          <w:szCs w:val="24"/>
        </w:rPr>
        <w:t xml:space="preserve">This </w:t>
      </w:r>
      <w:r w:rsidR="001B399A">
        <w:rPr>
          <w:rFonts w:eastAsia="Times New Roman" w:cs="Arial"/>
          <w:szCs w:val="24"/>
        </w:rPr>
        <w:t xml:space="preserve">view was not limited to older people, </w:t>
      </w:r>
      <w:r w:rsidR="00BA383B">
        <w:rPr>
          <w:rFonts w:eastAsia="Times New Roman" w:cs="Arial"/>
          <w:szCs w:val="24"/>
        </w:rPr>
        <w:t xml:space="preserve">another practice </w:t>
      </w:r>
      <w:r w:rsidR="001B399A">
        <w:rPr>
          <w:rFonts w:eastAsia="Times New Roman" w:cs="Arial"/>
          <w:szCs w:val="24"/>
        </w:rPr>
        <w:t xml:space="preserve">made a similar suggestion regarding </w:t>
      </w:r>
      <w:r w:rsidR="00BA383B">
        <w:rPr>
          <w:rFonts w:eastAsia="Times New Roman" w:cs="Arial"/>
          <w:szCs w:val="24"/>
        </w:rPr>
        <w:t>sub-grouping by medication:</w:t>
      </w:r>
    </w:p>
    <w:p w14:paraId="2F4E7ED3" w14:textId="4861E50B" w:rsidR="006D7A0A" w:rsidRPr="00861156" w:rsidRDefault="00BA383B" w:rsidP="000B199E">
      <w:pPr>
        <w:spacing w:after="240" w:line="276" w:lineRule="auto"/>
        <w:rPr>
          <w:rFonts w:eastAsia="Times New Roman" w:cs="Arial"/>
          <w:szCs w:val="24"/>
        </w:rPr>
      </w:pPr>
      <w:r w:rsidRPr="001B399A">
        <w:rPr>
          <w:rFonts w:eastAsia="Times New Roman" w:cs="Arial"/>
          <w:i/>
          <w:iCs/>
          <w:szCs w:val="24"/>
        </w:rPr>
        <w:t>“I think having an epilepsy register and just saying those are the people who are going to be reviewed and then the nature of their treatment determines the nature of the review, would be my perspective.” [Pharmacist, Interview]</w:t>
      </w:r>
    </w:p>
    <w:p w14:paraId="75EB190C" w14:textId="79399081" w:rsidR="00296499" w:rsidRDefault="00296499" w:rsidP="00296499">
      <w:r w:rsidRPr="00296499">
        <w:t xml:space="preserve">The same GP </w:t>
      </w:r>
      <w:r w:rsidR="00A86C49">
        <w:t xml:space="preserve">quoted above </w:t>
      </w:r>
      <w:r>
        <w:t>highlighted</w:t>
      </w:r>
      <w:r w:rsidRPr="00296499">
        <w:t xml:space="preserve"> that if focus</w:t>
      </w:r>
      <w:r>
        <w:t>ing</w:t>
      </w:r>
      <w:r w:rsidRPr="00296499">
        <w:t xml:space="preserve"> on </w:t>
      </w:r>
      <w:r>
        <w:t xml:space="preserve">the </w:t>
      </w:r>
      <w:r w:rsidRPr="00296499">
        <w:t>side</w:t>
      </w:r>
      <w:r w:rsidR="006B66D9">
        <w:t xml:space="preserve"> </w:t>
      </w:r>
      <w:r w:rsidRPr="00296499">
        <w:t>effects</w:t>
      </w:r>
      <w:r>
        <w:t xml:space="preserve"> of anti-epileptic </w:t>
      </w:r>
      <w:r w:rsidR="009C304E">
        <w:t>drugs</w:t>
      </w:r>
      <w:r w:rsidR="00793C23">
        <w:t xml:space="preserve"> is the intention of i</w:t>
      </w:r>
      <w:r w:rsidR="001B399A">
        <w:t>ndicator 1</w:t>
      </w:r>
      <w:r>
        <w:t xml:space="preserve">, the indicator should be </w:t>
      </w:r>
      <w:r w:rsidRPr="00296499">
        <w:t xml:space="preserve">extended to include </w:t>
      </w:r>
      <w:r w:rsidR="00CA0DAB">
        <w:t xml:space="preserve">all </w:t>
      </w:r>
      <w:r w:rsidRPr="00296499">
        <w:t xml:space="preserve">patients </w:t>
      </w:r>
      <w:r w:rsidR="00CA0DAB">
        <w:t>prescribed</w:t>
      </w:r>
      <w:r w:rsidRPr="00296499">
        <w:t xml:space="preserve"> </w:t>
      </w:r>
      <w:r w:rsidR="00CA0DAB">
        <w:t>such medication</w:t>
      </w:r>
      <w:r w:rsidR="00316CD1">
        <w:t xml:space="preserve"> (such as </w:t>
      </w:r>
      <w:r w:rsidR="00E34BFA">
        <w:t xml:space="preserve">for </w:t>
      </w:r>
      <w:r w:rsidR="00316CD1">
        <w:t xml:space="preserve">those with </w:t>
      </w:r>
      <w:r w:rsidR="009C304E" w:rsidRPr="009C304E">
        <w:t>facial pain</w:t>
      </w:r>
      <w:r w:rsidR="00316CD1" w:rsidRPr="009C304E">
        <w:t xml:space="preserve"> or </w:t>
      </w:r>
      <w:r w:rsidR="009C304E" w:rsidRPr="009C304E">
        <w:t>bipolar disorder</w:t>
      </w:r>
      <w:r w:rsidR="00316CD1">
        <w:t>)</w:t>
      </w:r>
      <w:r w:rsidR="00CA0DAB">
        <w:t>, rather than just patients on the epilepsy register.</w:t>
      </w:r>
    </w:p>
    <w:p w14:paraId="27C77565" w14:textId="1E835A1D" w:rsidR="00A86C49" w:rsidRDefault="00A86C49" w:rsidP="00296499">
      <w:r>
        <w:t>Whilst a</w:t>
      </w:r>
      <w:r w:rsidR="00011DB7">
        <w:t xml:space="preserve"> different</w:t>
      </w:r>
      <w:r>
        <w:t xml:space="preserve"> GP suggested </w:t>
      </w:r>
      <w:r w:rsidR="008B4372">
        <w:t xml:space="preserve">that </w:t>
      </w:r>
      <w:r>
        <w:t xml:space="preserve">it may be important to include </w:t>
      </w:r>
      <w:r w:rsidR="008B4372">
        <w:t>all</w:t>
      </w:r>
      <w:r>
        <w:t xml:space="preserve"> epilepsy patients </w:t>
      </w:r>
      <w:r w:rsidR="00793C23">
        <w:t>in i</w:t>
      </w:r>
      <w:r w:rsidR="001B399A">
        <w:t xml:space="preserve">ndicator 1 </w:t>
      </w:r>
      <w:r>
        <w:t>irrespective of whether or not they are on medication</w:t>
      </w:r>
      <w:r w:rsidR="008B4372">
        <w:t>, both to a</w:t>
      </w:r>
      <w:r w:rsidR="00D51F4C">
        <w:t>void</w:t>
      </w:r>
      <w:r w:rsidR="008B4372">
        <w:t xml:space="preserve"> ‘search questions’ </w:t>
      </w:r>
      <w:r w:rsidR="00D51F4C">
        <w:t xml:space="preserve">(in the clinical system) </w:t>
      </w:r>
      <w:r w:rsidR="008B4372">
        <w:t>and</w:t>
      </w:r>
      <w:r>
        <w:t xml:space="preserve"> in case patients had </w:t>
      </w:r>
      <w:r w:rsidR="008B4372">
        <w:t xml:space="preserve">got a </w:t>
      </w:r>
      <w:proofErr w:type="gramStart"/>
      <w:r w:rsidR="008B4372">
        <w:t xml:space="preserve">stock </w:t>
      </w:r>
      <w:r w:rsidR="008B4372">
        <w:lastRenderedPageBreak/>
        <w:t>pile</w:t>
      </w:r>
      <w:proofErr w:type="gramEnd"/>
      <w:r w:rsidR="008B4372">
        <w:t xml:space="preserve"> of</w:t>
      </w:r>
      <w:r>
        <w:t xml:space="preserve"> medication and, as such,</w:t>
      </w:r>
      <w:r w:rsidR="008B4372">
        <w:t xml:space="preserve"> subsequently</w:t>
      </w:r>
      <w:r>
        <w:t xml:space="preserve"> got missed off the register</w:t>
      </w:r>
      <w:r w:rsidR="008B4372">
        <w:t xml:space="preserve"> despite still taking medication</w:t>
      </w:r>
      <w:r>
        <w:t>.</w:t>
      </w:r>
    </w:p>
    <w:p w14:paraId="1783CF6C" w14:textId="7B066DBB" w:rsidR="00A86C49" w:rsidRPr="001B399A" w:rsidRDefault="00A86C49" w:rsidP="00D51F4C">
      <w:pPr>
        <w:spacing w:after="240" w:line="276" w:lineRule="auto"/>
        <w:rPr>
          <w:i/>
          <w:iCs/>
        </w:rPr>
      </w:pPr>
      <w:r w:rsidRPr="001B399A">
        <w:rPr>
          <w:i/>
          <w:iCs/>
        </w:rPr>
        <w:t>“</w:t>
      </w:r>
      <w:r w:rsidR="008B4372" w:rsidRPr="001B399A">
        <w:rPr>
          <w:i/>
          <w:iCs/>
        </w:rPr>
        <w:t xml:space="preserve">… or all patients with epilepsy rather than sub-setting it because I think that makes for search questions and, you know, if they’ve got a </w:t>
      </w:r>
      <w:proofErr w:type="gramStart"/>
      <w:r w:rsidR="008B4372" w:rsidRPr="001B399A">
        <w:rPr>
          <w:i/>
          <w:iCs/>
        </w:rPr>
        <w:t>stock pile</w:t>
      </w:r>
      <w:proofErr w:type="gramEnd"/>
      <w:r w:rsidR="008B4372" w:rsidRPr="001B399A">
        <w:rPr>
          <w:i/>
          <w:iCs/>
        </w:rPr>
        <w:t xml:space="preserve"> of a drug so they’ve ordered it and now that drug hasn’t appeared, they don’t appear in the list so they get missed off.” [GP, Interview]</w:t>
      </w:r>
    </w:p>
    <w:p w14:paraId="130EEE9F" w14:textId="0EC8363D" w:rsidR="008B5E8A" w:rsidRPr="004B4482" w:rsidRDefault="008B5E8A" w:rsidP="00244D6E">
      <w:pPr>
        <w:pStyle w:val="Heading3"/>
        <w:spacing w:before="360"/>
        <w:rPr>
          <w:iCs/>
        </w:rPr>
      </w:pPr>
      <w:r w:rsidRPr="004B4482">
        <w:t>Indicator 2 – Annual review of all adults with a learning disability and epilepsy</w:t>
      </w:r>
    </w:p>
    <w:p w14:paraId="52ADEDCA" w14:textId="2942B39E" w:rsidR="00A65730" w:rsidRDefault="00A65730" w:rsidP="00B53111">
      <w:r>
        <w:t>Three respondents (</w:t>
      </w:r>
      <w:r w:rsidR="00292F2A">
        <w:t xml:space="preserve">9.1%, </w:t>
      </w:r>
      <w:r>
        <w:t>3/33) agreed the wording of this indicator should be changed.</w:t>
      </w:r>
      <w:r w:rsidR="00625578">
        <w:t xml:space="preserve"> Two were the same respondents who </w:t>
      </w:r>
      <w:r w:rsidR="00E83C89">
        <w:t>noted the issue with the word ‘structured’ review</w:t>
      </w:r>
      <w:r w:rsidR="00581EBC">
        <w:t xml:space="preserve"> (</w:t>
      </w:r>
      <w:proofErr w:type="gramStart"/>
      <w:r w:rsidR="00581EBC">
        <w:t>in regard to</w:t>
      </w:r>
      <w:proofErr w:type="gramEnd"/>
      <w:r w:rsidR="00581EBC">
        <w:t xml:space="preserve"> indicator 1)</w:t>
      </w:r>
      <w:r w:rsidR="00E83C89">
        <w:t xml:space="preserve">; the third respondent suggested </w:t>
      </w:r>
      <w:r w:rsidR="000147DB">
        <w:t>specifying the wording for the</w:t>
      </w:r>
      <w:r w:rsidR="00E83C89">
        <w:t xml:space="preserve"> indicator to adults (18 and over) on the Learning Disability register receiving drug treatment.</w:t>
      </w:r>
    </w:p>
    <w:p w14:paraId="048BDC4B" w14:textId="33EAAE04" w:rsidR="00751BC8" w:rsidRPr="008C7270" w:rsidRDefault="00866B7A" w:rsidP="006224DC">
      <w:pPr>
        <w:rPr>
          <w:color w:val="000000" w:themeColor="text1"/>
        </w:rPr>
      </w:pPr>
      <w:r>
        <w:t>When discussing this indicator, p</w:t>
      </w:r>
      <w:r w:rsidR="00131E43">
        <w:t xml:space="preserve">ractices were asked to consider </w:t>
      </w:r>
      <w:r w:rsidR="00316CD1">
        <w:t xml:space="preserve">a wider definition </w:t>
      </w:r>
      <w:r>
        <w:t>of patients with epilepsy</w:t>
      </w:r>
      <w:r w:rsidR="0041604F">
        <w:t xml:space="preserve"> </w:t>
      </w:r>
      <w:r w:rsidR="00316CD1">
        <w:t xml:space="preserve">to include those who may not </w:t>
      </w:r>
      <w:r w:rsidR="0041604F">
        <w:t xml:space="preserve">currently </w:t>
      </w:r>
      <w:r w:rsidR="00316CD1">
        <w:t xml:space="preserve">be on medication. </w:t>
      </w:r>
    </w:p>
    <w:p w14:paraId="5052F5BC" w14:textId="3BE39AD9" w:rsidR="00BB4AA7" w:rsidRDefault="00BB4AA7" w:rsidP="00D406BD">
      <w:r w:rsidRPr="00AF4DA9">
        <w:t>There was variation between the practices interviewed on whether there would be</w:t>
      </w:r>
      <w:r>
        <w:t xml:space="preserve"> any patients who have a clinical code for epilepsy but who are not on the QOF epilepsy register because they are not currently on medication</w:t>
      </w:r>
      <w:r w:rsidR="00CA3A98">
        <w:t xml:space="preserve">. </w:t>
      </w:r>
      <w:r w:rsidR="001B7CAC" w:rsidRPr="00F80466">
        <w:t>One</w:t>
      </w:r>
      <w:r w:rsidR="00102959">
        <w:t xml:space="preserve"> practice</w:t>
      </w:r>
      <w:r>
        <w:t xml:space="preserve"> </w:t>
      </w:r>
      <w:r w:rsidR="006C2901">
        <w:t>explicitly</w:t>
      </w:r>
      <w:r w:rsidR="00102959">
        <w:t xml:space="preserve"> confirmed th</w:t>
      </w:r>
      <w:r w:rsidR="00A224EB">
        <w:t xml:space="preserve">ere are </w:t>
      </w:r>
      <w:r>
        <w:t>patients with an epilepsy clinical code who are not currently on medication</w:t>
      </w:r>
      <w:r w:rsidR="00A224EB">
        <w:t>:</w:t>
      </w:r>
    </w:p>
    <w:p w14:paraId="0C306E2F" w14:textId="75D49F46" w:rsidR="00883744" w:rsidRPr="00883744" w:rsidRDefault="000B74FC"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color w:val="000000" w:themeColor="text1"/>
        </w:rPr>
      </w:pPr>
      <w:r w:rsidRPr="000B74FC">
        <w:rPr>
          <w:i/>
          <w:iCs/>
          <w:color w:val="000000" w:themeColor="text1"/>
        </w:rPr>
        <w:t>“</w:t>
      </w:r>
      <w:r w:rsidR="00883744" w:rsidRPr="00883744">
        <w:rPr>
          <w:i/>
          <w:iCs/>
          <w:color w:val="000000" w:themeColor="text1"/>
        </w:rPr>
        <w:t xml:space="preserve">I know we've got patients logged as epilepsy and they're not on medication. It needs checking and reviewing. There are also quite a lot who have had it changed to 'history of epilepsy', whether that code would have got included I don't know. But it would </w:t>
      </w:r>
      <w:proofErr w:type="gramStart"/>
      <w:r w:rsidR="00883744" w:rsidRPr="00883744">
        <w:rPr>
          <w:i/>
          <w:iCs/>
          <w:color w:val="000000" w:themeColor="text1"/>
        </w:rPr>
        <w:t>definitely need</w:t>
      </w:r>
      <w:proofErr w:type="gramEnd"/>
      <w:r w:rsidR="00883744" w:rsidRPr="00883744">
        <w:rPr>
          <w:i/>
          <w:iCs/>
          <w:color w:val="000000" w:themeColor="text1"/>
        </w:rPr>
        <w:t xml:space="preserve"> some sort of data validation I think.</w:t>
      </w:r>
      <w:r w:rsidRPr="000B74FC">
        <w:rPr>
          <w:i/>
          <w:iCs/>
          <w:color w:val="000000" w:themeColor="text1"/>
        </w:rPr>
        <w:t>” [</w:t>
      </w:r>
      <w:r w:rsidR="004D46FF">
        <w:rPr>
          <w:i/>
          <w:iCs/>
          <w:color w:val="000000" w:themeColor="text1"/>
        </w:rPr>
        <w:t>Practice Manager</w:t>
      </w:r>
      <w:r w:rsidR="00CA7D12">
        <w:rPr>
          <w:i/>
          <w:iCs/>
          <w:color w:val="000000" w:themeColor="text1"/>
        </w:rPr>
        <w:t>,</w:t>
      </w:r>
      <w:r w:rsidR="00A029C7">
        <w:rPr>
          <w:i/>
          <w:iCs/>
          <w:color w:val="000000" w:themeColor="text1"/>
        </w:rPr>
        <w:t xml:space="preserve"> </w:t>
      </w:r>
      <w:r w:rsidRPr="000B74FC">
        <w:rPr>
          <w:i/>
          <w:iCs/>
          <w:color w:val="000000" w:themeColor="text1"/>
        </w:rPr>
        <w:t>Interview]</w:t>
      </w:r>
      <w:r w:rsidR="00883744" w:rsidRPr="00883744">
        <w:rPr>
          <w:i/>
          <w:iCs/>
          <w:color w:val="000000" w:themeColor="text1"/>
        </w:rPr>
        <w:t xml:space="preserve"> </w:t>
      </w:r>
    </w:p>
    <w:p w14:paraId="38FFB2C1" w14:textId="77777777" w:rsidR="00883744" w:rsidRPr="00883744" w:rsidRDefault="00883744"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color w:val="000000" w:themeColor="text1"/>
        </w:rPr>
      </w:pPr>
    </w:p>
    <w:p w14:paraId="6B8D9FC8" w14:textId="0EC22CE1" w:rsidR="00883744" w:rsidRDefault="00102959" w:rsidP="00D406BD">
      <w:r>
        <w:t xml:space="preserve">However, </w:t>
      </w:r>
      <w:r w:rsidR="004D46FF" w:rsidRPr="00F80466">
        <w:t>two</w:t>
      </w:r>
      <w:r w:rsidR="00A224EB" w:rsidRPr="002D53FF">
        <w:t xml:space="preserve"> </w:t>
      </w:r>
      <w:r w:rsidRPr="002D53FF">
        <w:t>practices</w:t>
      </w:r>
      <w:r>
        <w:t xml:space="preserve"> considered it unlikely that there would </w:t>
      </w:r>
      <w:r w:rsidR="0090231B">
        <w:t xml:space="preserve">be </w:t>
      </w:r>
      <w:r>
        <w:t xml:space="preserve">patients with an epilepsy code who were not on medication and </w:t>
      </w:r>
      <w:r w:rsidR="00AF4DA9">
        <w:t xml:space="preserve">therefore on </w:t>
      </w:r>
      <w:r>
        <w:t>the epilepsy register.</w:t>
      </w:r>
    </w:p>
    <w:p w14:paraId="5DDE5095" w14:textId="68FFB5C3" w:rsidR="00866B7A" w:rsidRDefault="00102959" w:rsidP="00D406BD">
      <w:pPr>
        <w:spacing w:line="276" w:lineRule="auto"/>
        <w:rPr>
          <w:i/>
          <w:iCs/>
          <w:color w:val="000000" w:themeColor="text1"/>
        </w:rPr>
      </w:pPr>
      <w:r w:rsidRPr="00102959">
        <w:rPr>
          <w:i/>
          <w:iCs/>
          <w:color w:val="000000" w:themeColor="text1"/>
        </w:rPr>
        <w:t>“I think it is highly unlikely that we have got patients with epilepsy who aren’t on medication.</w:t>
      </w:r>
      <w:r>
        <w:rPr>
          <w:i/>
          <w:iCs/>
          <w:color w:val="000000" w:themeColor="text1"/>
        </w:rPr>
        <w:t>”</w:t>
      </w:r>
      <w:r w:rsidR="00CB7B3A">
        <w:rPr>
          <w:i/>
          <w:iCs/>
          <w:color w:val="000000" w:themeColor="text1"/>
        </w:rPr>
        <w:t xml:space="preserve"> [GP, Interview]</w:t>
      </w:r>
    </w:p>
    <w:p w14:paraId="1C6E095F" w14:textId="3808DB65" w:rsidR="005D306E" w:rsidRPr="000D70C7" w:rsidRDefault="00A224EB" w:rsidP="00D406BD">
      <w:r w:rsidRPr="00A224EB">
        <w:t>It was noted by one of these practices that</w:t>
      </w:r>
      <w:r w:rsidR="00AB6634">
        <w:t xml:space="preserve"> there is a potential for some patients to be coded incorrectly as having epilepsy due to unclear letters </w:t>
      </w:r>
      <w:r w:rsidR="00741223">
        <w:t>provided by</w:t>
      </w:r>
      <w:r w:rsidR="00AB6634">
        <w:t xml:space="preserve"> specialist care, with the coding being completed by non-medically trained staff. </w:t>
      </w:r>
    </w:p>
    <w:p w14:paraId="3E59AC7E" w14:textId="03866CDB" w:rsidR="006032DB" w:rsidRDefault="00785760" w:rsidP="00D406BD">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jc w:val="left"/>
        <w:rPr>
          <w:rFonts w:cstheme="minorBidi"/>
          <w:i/>
          <w:iCs/>
          <w:color w:val="000000" w:themeColor="text1"/>
          <w:sz w:val="24"/>
          <w:szCs w:val="22"/>
        </w:rPr>
      </w:pPr>
      <w:r>
        <w:rPr>
          <w:rFonts w:cstheme="minorBidi"/>
          <w:i/>
          <w:iCs/>
          <w:color w:val="000000" w:themeColor="text1"/>
          <w:sz w:val="24"/>
          <w:szCs w:val="22"/>
        </w:rPr>
        <w:t>“…</w:t>
      </w:r>
      <w:r w:rsidR="005D306E" w:rsidRPr="00785760">
        <w:rPr>
          <w:rFonts w:cstheme="minorBidi"/>
          <w:i/>
          <w:iCs/>
          <w:color w:val="000000" w:themeColor="text1"/>
          <w:sz w:val="24"/>
          <w:szCs w:val="22"/>
        </w:rPr>
        <w:t xml:space="preserve"> it's very unusual to see people with epilepsy who aren't on medication, unless they were </w:t>
      </w:r>
      <w:proofErr w:type="gramStart"/>
      <w:r w:rsidR="005D306E" w:rsidRPr="00785760">
        <w:rPr>
          <w:rFonts w:cstheme="minorBidi"/>
          <w:i/>
          <w:iCs/>
          <w:color w:val="000000" w:themeColor="text1"/>
          <w:sz w:val="24"/>
          <w:szCs w:val="22"/>
        </w:rPr>
        <w:t>actually a</w:t>
      </w:r>
      <w:proofErr w:type="gramEnd"/>
      <w:r w:rsidR="005D306E" w:rsidRPr="00785760">
        <w:rPr>
          <w:rFonts w:cstheme="minorBidi"/>
          <w:i/>
          <w:iCs/>
          <w:color w:val="000000" w:themeColor="text1"/>
          <w:sz w:val="24"/>
          <w:szCs w:val="22"/>
        </w:rPr>
        <w:t xml:space="preserve"> solitary seizure and coded in a way that isn't actually correct. </w:t>
      </w:r>
      <w:r w:rsidR="005D306E" w:rsidRPr="00785760">
        <w:rPr>
          <w:rFonts w:cstheme="minorBidi"/>
          <w:i/>
          <w:iCs/>
          <w:color w:val="000000" w:themeColor="text1"/>
          <w:sz w:val="24"/>
          <w:szCs w:val="22"/>
        </w:rPr>
        <w:lastRenderedPageBreak/>
        <w:t>But then, we do often get quite unclear letters from secondary care and then coding is of course done, often, by non-medically trained staff. They're very good but a letter that says, 'This patient has had two seizures, two years apart, they may have epilepsy,' that could get coded as epilepsy, but it draws one's focus into tidying up registers, I think.”</w:t>
      </w:r>
      <w:r w:rsidR="00AB6634">
        <w:rPr>
          <w:rFonts w:cstheme="minorBidi"/>
          <w:i/>
          <w:iCs/>
          <w:color w:val="000000" w:themeColor="text1"/>
          <w:sz w:val="24"/>
          <w:szCs w:val="22"/>
        </w:rPr>
        <w:t xml:space="preserve"> [GP, Interview]</w:t>
      </w:r>
    </w:p>
    <w:p w14:paraId="1AD329DE" w14:textId="77777777" w:rsidR="006D0BD7" w:rsidRPr="006224DC" w:rsidRDefault="006D0BD7" w:rsidP="006D0BD7">
      <w:r w:rsidRPr="006224DC">
        <w:t>Five practices were asked directly if they could identify patients with epilepsy, who were not on medication, from their clinical systems. Two practices confirmed it would be possible to identify this group of patients, with one noting it would be recorded within the learning disability review.</w:t>
      </w:r>
    </w:p>
    <w:p w14:paraId="31F9E1EC" w14:textId="77777777" w:rsidR="006D0BD7" w:rsidRPr="006224DC" w:rsidRDefault="006D0BD7" w:rsidP="00D406BD">
      <w:pPr>
        <w:spacing w:line="276" w:lineRule="auto"/>
        <w:rPr>
          <w:i/>
          <w:iCs/>
          <w:color w:val="000000" w:themeColor="text1"/>
        </w:rPr>
      </w:pPr>
      <w:r w:rsidRPr="006224DC">
        <w:rPr>
          <w:i/>
          <w:iCs/>
          <w:color w:val="000000" w:themeColor="text1"/>
        </w:rPr>
        <w:t>“Anyone who has epilepsy, who are not on medication, we can identify those cohorts – yes that would be easy to find.” [GP, interview]</w:t>
      </w:r>
    </w:p>
    <w:p w14:paraId="5A5CDE05" w14:textId="443B6F24" w:rsidR="006D0BD7" w:rsidRDefault="006D0BD7" w:rsidP="00D406BD">
      <w:r w:rsidRPr="006224DC">
        <w:t>However, one practice thought identifying this cohort could depend on the quality of coding within the clinical system and suggested the indicator should include patients with a learning disability with either a diagnosis of epilepsy or those who are on antiepileptic drugs</w:t>
      </w:r>
      <w:r w:rsidR="000109A2">
        <w:t>.</w:t>
      </w:r>
      <w:r w:rsidRPr="006224DC">
        <w:t xml:space="preserve"> At least one practice appeared to be confused about the eligibility for the QOF epilepsy register (which requires drug treatment for epilepsy, not just a diagnosis of epilepsy):</w:t>
      </w:r>
    </w:p>
    <w:p w14:paraId="37BE4401" w14:textId="77777777" w:rsidR="006D0BD7" w:rsidRPr="00F80466" w:rsidRDefault="006D0BD7"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color w:val="000000" w:themeColor="text1"/>
        </w:rPr>
      </w:pPr>
      <w:r w:rsidRPr="00BB4AA7">
        <w:rPr>
          <w:i/>
          <w:iCs/>
          <w:color w:val="000000" w:themeColor="text1"/>
        </w:rPr>
        <w:t>“I think it depends on the coding. I think that I'm confident in our coding that if someone has got a diagnosis of epilepsy, they are on our QOF register because I'm confident that our code is-, we'll have picked that up from hospital letters and we'll have added it. I don't know if every practice is that good</w:t>
      </w:r>
      <w:r>
        <w:rPr>
          <w:i/>
          <w:iCs/>
          <w:color w:val="000000" w:themeColor="text1"/>
        </w:rPr>
        <w:t xml:space="preserve"> </w:t>
      </w:r>
      <w:r w:rsidRPr="00F80466">
        <w:rPr>
          <w:i/>
          <w:iCs/>
          <w:color w:val="000000" w:themeColor="text1"/>
        </w:rPr>
        <w:t>(…)” [GP, Interview]</w:t>
      </w:r>
    </w:p>
    <w:p w14:paraId="19439A34" w14:textId="77777777" w:rsidR="006D0BD7" w:rsidRPr="00F80466" w:rsidRDefault="006D0BD7"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i/>
          <w:iCs/>
          <w:color w:val="000000" w:themeColor="text1"/>
        </w:rPr>
      </w:pPr>
    </w:p>
    <w:p w14:paraId="517F8D70" w14:textId="17D18450" w:rsidR="006D0BD7" w:rsidRPr="008C7270" w:rsidRDefault="006D0BD7"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color w:val="000000" w:themeColor="text1"/>
        </w:rPr>
      </w:pPr>
      <w:r w:rsidRPr="00F80466">
        <w:t xml:space="preserve">The need for data validation was also noted by another </w:t>
      </w:r>
      <w:r w:rsidRPr="00FC197C">
        <w:t xml:space="preserve">practice (see </w:t>
      </w:r>
      <w:r w:rsidR="00FC197C" w:rsidRPr="00FC197C">
        <w:t>later</w:t>
      </w:r>
      <w:r w:rsidR="00FC197C">
        <w:t xml:space="preserve"> in this section</w:t>
      </w:r>
      <w:r w:rsidRPr="00F80466">
        <w:t xml:space="preserve">) in relation to including those with epilepsy irrespective of </w:t>
      </w:r>
      <w:proofErr w:type="gramStart"/>
      <w:r w:rsidRPr="00F80466">
        <w:t>whether or not</w:t>
      </w:r>
      <w:proofErr w:type="gramEnd"/>
      <w:r w:rsidRPr="00F80466">
        <w:t xml:space="preserve"> they are on medication.</w:t>
      </w:r>
      <w:r w:rsidRPr="00751BC8">
        <w:t xml:space="preserve"> </w:t>
      </w:r>
    </w:p>
    <w:p w14:paraId="3B1423F9" w14:textId="3A439684" w:rsidR="00866B7A" w:rsidRDefault="006D0BD7" w:rsidP="00D406BD">
      <w:r>
        <w:t>Finally in relation to this area of questioning</w:t>
      </w:r>
      <w:r w:rsidR="00AB6634">
        <w:t xml:space="preserve">, one practice </w:t>
      </w:r>
      <w:r w:rsidR="006C00F3">
        <w:t>highlighted that those patients with epilepsy</w:t>
      </w:r>
      <w:r w:rsidR="0090231B">
        <w:t>,</w:t>
      </w:r>
      <w:r w:rsidR="006C00F3">
        <w:t xml:space="preserve"> who are not taking </w:t>
      </w:r>
      <w:r w:rsidR="006C00F3" w:rsidRPr="00215D2B">
        <w:t xml:space="preserve">anti-epileptic </w:t>
      </w:r>
      <w:r w:rsidR="006C00F3">
        <w:t>medication</w:t>
      </w:r>
      <w:r w:rsidR="0090231B">
        <w:t>,</w:t>
      </w:r>
      <w:r w:rsidR="006C00F3">
        <w:t xml:space="preserve"> would be captured</w:t>
      </w:r>
      <w:r w:rsidR="00AB6634">
        <w:t xml:space="preserve"> </w:t>
      </w:r>
      <w:proofErr w:type="gramStart"/>
      <w:r w:rsidR="004E424B">
        <w:t>regardless</w:t>
      </w:r>
      <w:proofErr w:type="gramEnd"/>
      <w:r w:rsidR="004E424B">
        <w:t xml:space="preserve"> </w:t>
      </w:r>
      <w:r w:rsidR="00AB6634">
        <w:t xml:space="preserve">if the learning disability </w:t>
      </w:r>
      <w:r w:rsidR="00C25277">
        <w:t>health check</w:t>
      </w:r>
      <w:r w:rsidR="00AB6634">
        <w:t xml:space="preserve"> </w:t>
      </w:r>
      <w:r w:rsidR="006C00F3">
        <w:t>was</w:t>
      </w:r>
      <w:r w:rsidR="00AB6634">
        <w:t xml:space="preserve"> extended to include </w:t>
      </w:r>
      <w:r w:rsidR="006C00F3">
        <w:t xml:space="preserve">a review of their </w:t>
      </w:r>
      <w:r w:rsidR="006C2901">
        <w:t>epilepsy</w:t>
      </w:r>
      <w:r w:rsidR="006C00F3">
        <w:t>.</w:t>
      </w:r>
      <w:r w:rsidR="006C2901">
        <w:t xml:space="preserve"> </w:t>
      </w:r>
      <w:r w:rsidR="00061D34">
        <w:t xml:space="preserve">The </w:t>
      </w:r>
      <w:r w:rsidR="006032DB">
        <w:t xml:space="preserve">value of a review being conducted with a patient who was no longer </w:t>
      </w:r>
      <w:r w:rsidR="00AB6634">
        <w:t>taking</w:t>
      </w:r>
      <w:r w:rsidR="006032DB">
        <w:t xml:space="preserve"> medication</w:t>
      </w:r>
      <w:r w:rsidR="00C25277">
        <w:t xml:space="preserve"> for epilepsy</w:t>
      </w:r>
      <w:r w:rsidR="00061D34">
        <w:t xml:space="preserve"> was questioned by </w:t>
      </w:r>
      <w:r w:rsidR="00BE58BD" w:rsidRPr="00F80466">
        <w:t>two</w:t>
      </w:r>
      <w:r w:rsidR="00061D34" w:rsidRPr="00F80466">
        <w:t xml:space="preserve"> practice</w:t>
      </w:r>
      <w:r w:rsidR="00BE58BD" w:rsidRPr="00F80466">
        <w:t>s</w:t>
      </w:r>
      <w:r w:rsidR="00C25277">
        <w:t>.</w:t>
      </w:r>
    </w:p>
    <w:p w14:paraId="7445FB55" w14:textId="55C0855C" w:rsidR="00215D2B" w:rsidRPr="00215D2B" w:rsidRDefault="00426D22" w:rsidP="00D40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cs="Arial"/>
          <w:sz w:val="20"/>
          <w:szCs w:val="20"/>
        </w:rPr>
      </w:pPr>
      <w:r>
        <w:rPr>
          <w:i/>
          <w:iCs/>
          <w:color w:val="000000" w:themeColor="text1"/>
        </w:rPr>
        <w:t>“</w:t>
      </w:r>
      <w:r w:rsidR="00215D2B" w:rsidRPr="00215D2B">
        <w:rPr>
          <w:i/>
          <w:iCs/>
          <w:color w:val="000000" w:themeColor="text1"/>
        </w:rPr>
        <w:t xml:space="preserve">If you make it </w:t>
      </w:r>
      <w:r w:rsidR="00AB6634">
        <w:rPr>
          <w:i/>
          <w:iCs/>
          <w:color w:val="000000" w:themeColor="text1"/>
        </w:rPr>
        <w:t xml:space="preserve">[indicator 2] </w:t>
      </w:r>
      <w:r w:rsidR="00215D2B" w:rsidRPr="00215D2B">
        <w:rPr>
          <w:i/>
          <w:iCs/>
          <w:color w:val="000000" w:themeColor="text1"/>
        </w:rPr>
        <w:t>an 'all are on anti-epileptic medication</w:t>
      </w:r>
      <w:r w:rsidR="00215D2B" w:rsidRPr="00426D22">
        <w:rPr>
          <w:i/>
          <w:iCs/>
          <w:color w:val="000000" w:themeColor="text1"/>
        </w:rPr>
        <w:t>’ (…) t</w:t>
      </w:r>
      <w:r w:rsidR="00215D2B" w:rsidRPr="00215D2B">
        <w:rPr>
          <w:i/>
          <w:iCs/>
          <w:color w:val="000000" w:themeColor="text1"/>
        </w:rPr>
        <w:t>hen you would pick up the vast majority of those. There would be a few who have had a few fits twenty years ago and then not had any more fits and then not been on any medication for the last ten years. But what's the value in doing the review for them anymore?</w:t>
      </w:r>
      <w:r>
        <w:rPr>
          <w:i/>
          <w:iCs/>
          <w:color w:val="000000" w:themeColor="text1"/>
        </w:rPr>
        <w:t>”</w:t>
      </w:r>
      <w:r w:rsidRPr="00426D22">
        <w:rPr>
          <w:i/>
          <w:iCs/>
          <w:color w:val="000000" w:themeColor="text1"/>
        </w:rPr>
        <w:t xml:space="preserve"> [GP, Interview]</w:t>
      </w:r>
      <w:r w:rsidR="00215D2B" w:rsidRPr="00215D2B">
        <w:rPr>
          <w:rFonts w:ascii="Times New Roman" w:hAnsi="Times New Roman" w:cs="Times New Roman"/>
          <w:szCs w:val="24"/>
        </w:rPr>
        <w:t xml:space="preserve"> </w:t>
      </w:r>
    </w:p>
    <w:p w14:paraId="3BC7E8B6" w14:textId="77777777" w:rsidR="00215D2B" w:rsidRPr="00215D2B" w:rsidRDefault="00215D2B" w:rsidP="00215D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sz w:val="20"/>
          <w:szCs w:val="20"/>
        </w:rPr>
      </w:pPr>
    </w:p>
    <w:p w14:paraId="1AA00873" w14:textId="2BC51DCB" w:rsidR="007D7838" w:rsidRDefault="00C25277" w:rsidP="00A45FF2">
      <w:r>
        <w:lastRenderedPageBreak/>
        <w:t xml:space="preserve">In contrast, a different practice appeared to suggest they would still conduct a review </w:t>
      </w:r>
      <w:r w:rsidR="00741223">
        <w:t xml:space="preserve">with </w:t>
      </w:r>
      <w:r>
        <w:t xml:space="preserve">epilepsy patients even if they </w:t>
      </w:r>
      <w:r w:rsidR="00741223">
        <w:t>wer</w:t>
      </w:r>
      <w:r>
        <w:t>e no longer taking medication</w:t>
      </w:r>
      <w:r w:rsidR="002E7281">
        <w:t>:</w:t>
      </w:r>
    </w:p>
    <w:p w14:paraId="6AB19B9E" w14:textId="1EF32299" w:rsidR="002E7281" w:rsidRPr="002E7281" w:rsidRDefault="002E7281" w:rsidP="00FC197C">
      <w:pPr>
        <w:spacing w:line="276" w:lineRule="auto"/>
        <w:rPr>
          <w:i/>
          <w:iCs/>
          <w:color w:val="000000" w:themeColor="text1"/>
        </w:rPr>
      </w:pPr>
      <w:r w:rsidRPr="00D51F4C">
        <w:rPr>
          <w:bCs/>
          <w:i/>
          <w:iCs/>
          <w:color w:val="000000" w:themeColor="text1"/>
        </w:rPr>
        <w:t>Practice Nurse</w:t>
      </w:r>
      <w:r w:rsidRPr="00D51F4C">
        <w:rPr>
          <w:i/>
          <w:iCs/>
          <w:color w:val="000000" w:themeColor="text1"/>
        </w:rPr>
        <w:t>: “….</w:t>
      </w:r>
      <w:r w:rsidRPr="002E7281">
        <w:rPr>
          <w:i/>
          <w:iCs/>
          <w:color w:val="000000" w:themeColor="text1"/>
        </w:rPr>
        <w:t xml:space="preserve"> patients that (…) have got epilepsy and they have come off the medication because it’s resolved but they will still have that code on their records……</w:t>
      </w:r>
    </w:p>
    <w:p w14:paraId="4946470E" w14:textId="6AA5806D" w:rsidR="002E7281" w:rsidRDefault="002E7281" w:rsidP="00FC197C">
      <w:pPr>
        <w:spacing w:line="276" w:lineRule="auto"/>
        <w:rPr>
          <w:i/>
          <w:iCs/>
          <w:color w:val="000000" w:themeColor="text1"/>
        </w:rPr>
      </w:pPr>
      <w:r w:rsidRPr="00D51F4C">
        <w:rPr>
          <w:bCs/>
          <w:i/>
          <w:iCs/>
          <w:color w:val="000000" w:themeColor="text1"/>
        </w:rPr>
        <w:t>GP (from same practice)</w:t>
      </w:r>
      <w:r w:rsidRPr="00D51F4C">
        <w:rPr>
          <w:i/>
          <w:iCs/>
          <w:color w:val="000000" w:themeColor="text1"/>
        </w:rPr>
        <w:t>:</w:t>
      </w:r>
      <w:r w:rsidRPr="002E7281">
        <w:rPr>
          <w:i/>
          <w:iCs/>
          <w:color w:val="000000" w:themeColor="text1"/>
        </w:rPr>
        <w:t xml:space="preserve"> …….and we will still be doing a review with them.”</w:t>
      </w:r>
    </w:p>
    <w:p w14:paraId="1A7FFD46" w14:textId="34F7EA67" w:rsidR="005F5227" w:rsidRDefault="005F5227" w:rsidP="00FC197C">
      <w:pPr>
        <w:pStyle w:val="Heading3"/>
        <w:spacing w:before="360" w:after="240" w:line="240" w:lineRule="auto"/>
      </w:pPr>
      <w:r w:rsidRPr="009939B1">
        <w:t xml:space="preserve">Indicator 3 – </w:t>
      </w:r>
      <w:r w:rsidRPr="00A60484">
        <w:t>Annual review (adults with a mental health condition and epilepsy)</w:t>
      </w:r>
      <w:r>
        <w:t xml:space="preserve"> </w:t>
      </w:r>
    </w:p>
    <w:p w14:paraId="158D36B3" w14:textId="681DC690" w:rsidR="00805D51" w:rsidRDefault="00805D51" w:rsidP="00FD217D">
      <w:r>
        <w:t>Four survey respondents</w:t>
      </w:r>
      <w:r w:rsidR="00E83C89">
        <w:t xml:space="preserve"> (4/33, 12.1%) re</w:t>
      </w:r>
      <w:r>
        <w:t>ported</w:t>
      </w:r>
      <w:r w:rsidR="00E83C89">
        <w:t xml:space="preserve"> the wording of this indicator should be changed. The word ‘structured’ review was noted as problematic by two respondents</w:t>
      </w:r>
      <w:r>
        <w:t xml:space="preserve"> (as per indicators </w:t>
      </w:r>
      <w:r w:rsidR="00954E01">
        <w:t>1 and 2</w:t>
      </w:r>
      <w:r>
        <w:t>)</w:t>
      </w:r>
      <w:r w:rsidR="00E83C89">
        <w:t xml:space="preserve">. A third suggested the wording should be amended to </w:t>
      </w:r>
      <w:r w:rsidR="00E83C89" w:rsidRPr="00805D51">
        <w:rPr>
          <w:i/>
          <w:iCs/>
        </w:rPr>
        <w:t>“only those receiving drug treatment and on</w:t>
      </w:r>
      <w:r w:rsidR="00CF7CFB">
        <w:rPr>
          <w:i/>
          <w:iCs/>
        </w:rPr>
        <w:t>[</w:t>
      </w:r>
      <w:proofErr w:type="spellStart"/>
      <w:r w:rsidR="00CF7CFB">
        <w:rPr>
          <w:i/>
          <w:iCs/>
        </w:rPr>
        <w:t>ly</w:t>
      </w:r>
      <w:proofErr w:type="spellEnd"/>
      <w:r w:rsidR="00CF7CFB">
        <w:rPr>
          <w:i/>
          <w:iCs/>
        </w:rPr>
        <w:t>]</w:t>
      </w:r>
      <w:r w:rsidR="00E83C89" w:rsidRPr="00805D51">
        <w:rPr>
          <w:i/>
          <w:iCs/>
        </w:rPr>
        <w:t xml:space="preserve"> those eligible for MH Care Plan</w:t>
      </w:r>
      <w:r w:rsidRPr="00805D51">
        <w:rPr>
          <w:i/>
          <w:iCs/>
        </w:rPr>
        <w:t>”</w:t>
      </w:r>
      <w:r>
        <w:t xml:space="preserve">. </w:t>
      </w:r>
      <w:r w:rsidR="009C0155">
        <w:t>A</w:t>
      </w:r>
      <w:r>
        <w:t xml:space="preserve"> fourth respondent suggested greater clarity was needed for defining a mental health condition:</w:t>
      </w:r>
    </w:p>
    <w:p w14:paraId="30242E06" w14:textId="72BCAB47" w:rsidR="00805D51" w:rsidRDefault="00805D51" w:rsidP="00805D51">
      <w:pPr>
        <w:spacing w:line="276" w:lineRule="auto"/>
        <w:rPr>
          <w:i/>
          <w:iCs/>
          <w:color w:val="000000" w:themeColor="text1"/>
        </w:rPr>
      </w:pPr>
      <w:r w:rsidRPr="00805D51">
        <w:rPr>
          <w:i/>
          <w:iCs/>
          <w:color w:val="000000" w:themeColor="text1"/>
        </w:rPr>
        <w:t xml:space="preserve">“Clarity is needed when defining mental health condition </w:t>
      </w:r>
      <w:r w:rsidR="00D51F4C">
        <w:rPr>
          <w:i/>
          <w:iCs/>
          <w:color w:val="000000" w:themeColor="text1"/>
        </w:rPr>
        <w:t>–</w:t>
      </w:r>
      <w:r w:rsidRPr="00805D51">
        <w:rPr>
          <w:i/>
          <w:iCs/>
          <w:color w:val="000000" w:themeColor="text1"/>
        </w:rPr>
        <w:t xml:space="preserve"> </w:t>
      </w:r>
      <w:proofErr w:type="gramStart"/>
      <w:r w:rsidRPr="00805D51">
        <w:rPr>
          <w:i/>
          <w:iCs/>
          <w:color w:val="000000" w:themeColor="text1"/>
        </w:rPr>
        <w:t>e</w:t>
      </w:r>
      <w:r w:rsidR="00D51F4C">
        <w:rPr>
          <w:i/>
          <w:iCs/>
          <w:color w:val="000000" w:themeColor="text1"/>
        </w:rPr>
        <w:t>.</w:t>
      </w:r>
      <w:r w:rsidRPr="00805D51">
        <w:rPr>
          <w:i/>
          <w:iCs/>
          <w:color w:val="000000" w:themeColor="text1"/>
        </w:rPr>
        <w:t>g</w:t>
      </w:r>
      <w:r w:rsidR="00D51F4C">
        <w:rPr>
          <w:i/>
          <w:iCs/>
          <w:color w:val="000000" w:themeColor="text1"/>
        </w:rPr>
        <w:t>.</w:t>
      </w:r>
      <w:proofErr w:type="gramEnd"/>
      <w:r w:rsidRPr="00805D51">
        <w:rPr>
          <w:i/>
          <w:iCs/>
          <w:color w:val="000000" w:themeColor="text1"/>
        </w:rPr>
        <w:t xml:space="preserve"> serious mental illness rather than a broad brush-stroke to cover all possible mental health conditions.” [GP, </w:t>
      </w:r>
      <w:r w:rsidR="00176132">
        <w:rPr>
          <w:i/>
          <w:iCs/>
          <w:color w:val="000000" w:themeColor="text1"/>
        </w:rPr>
        <w:t>S</w:t>
      </w:r>
      <w:r w:rsidRPr="00805D51">
        <w:rPr>
          <w:i/>
          <w:iCs/>
          <w:color w:val="000000" w:themeColor="text1"/>
        </w:rPr>
        <w:t>urvey]</w:t>
      </w:r>
    </w:p>
    <w:p w14:paraId="49374B32" w14:textId="014E5120" w:rsidR="00805D51" w:rsidRDefault="00DB3F46" w:rsidP="00FD217D">
      <w:r>
        <w:t>The</w:t>
      </w:r>
      <w:r w:rsidR="00805D51">
        <w:t xml:space="preserve"> need for further defini</w:t>
      </w:r>
      <w:r w:rsidR="00275361">
        <w:t>tion</w:t>
      </w:r>
      <w:r w:rsidR="00805D51">
        <w:t xml:space="preserve"> </w:t>
      </w:r>
      <w:r w:rsidR="00275361">
        <w:t xml:space="preserve">of </w:t>
      </w:r>
      <w:r w:rsidR="009C0155">
        <w:t>patients</w:t>
      </w:r>
      <w:r w:rsidR="00805D51">
        <w:t xml:space="preserve"> with a ‘complex mental health problem’ was </w:t>
      </w:r>
      <w:r w:rsidR="0046357F">
        <w:t xml:space="preserve">also </w:t>
      </w:r>
      <w:r w:rsidR="00275361">
        <w:t>discussed</w:t>
      </w:r>
      <w:r w:rsidR="00805D51">
        <w:t xml:space="preserve"> during the interviews with practices (</w:t>
      </w:r>
      <w:r w:rsidR="00805D51" w:rsidRPr="00FC197C">
        <w:t xml:space="preserve">see </w:t>
      </w:r>
      <w:r w:rsidR="00FC197C" w:rsidRPr="00FC197C">
        <w:t>p19</w:t>
      </w:r>
      <w:r w:rsidR="00805D51" w:rsidRPr="00FC197C">
        <w:t>).</w:t>
      </w:r>
      <w:r w:rsidR="00805D51">
        <w:t xml:space="preserve"> </w:t>
      </w:r>
    </w:p>
    <w:p w14:paraId="0E028E04" w14:textId="5677BD3C" w:rsidR="008B5E8A" w:rsidRPr="00FD217D" w:rsidRDefault="00430203" w:rsidP="00FD217D">
      <w:r>
        <w:t xml:space="preserve">Practices were not asked to consider any changes to the scope of </w:t>
      </w:r>
      <w:r w:rsidR="00793C23">
        <w:t>i</w:t>
      </w:r>
      <w:r>
        <w:t>ndicator</w:t>
      </w:r>
      <w:r w:rsidR="004F7D73">
        <w:t xml:space="preserve"> 3</w:t>
      </w:r>
      <w:r>
        <w:t xml:space="preserve">. </w:t>
      </w:r>
    </w:p>
    <w:p w14:paraId="67494598" w14:textId="0872BB04" w:rsidR="00FC4D8C" w:rsidRPr="009939B1" w:rsidRDefault="00FC4D8C" w:rsidP="00D51F4C">
      <w:pPr>
        <w:pStyle w:val="Heading2"/>
        <w:spacing w:before="480"/>
      </w:pPr>
      <w:r w:rsidRPr="0074051A">
        <w:t xml:space="preserve">Practices’ views on </w:t>
      </w:r>
      <w:r w:rsidR="004A7684" w:rsidRPr="0074051A">
        <w:t xml:space="preserve">implementation issues </w:t>
      </w:r>
      <w:r w:rsidR="00A259AF" w:rsidRPr="0074051A">
        <w:t>and impact</w:t>
      </w:r>
    </w:p>
    <w:p w14:paraId="75DD0EA8" w14:textId="3C964814" w:rsidR="00F902C8" w:rsidRPr="009939B1" w:rsidRDefault="00A60484" w:rsidP="00F902C8">
      <w:r>
        <w:t>T</w:t>
      </w:r>
      <w:r w:rsidR="00F902C8" w:rsidRPr="009939B1">
        <w:t>his section covers practice</w:t>
      </w:r>
      <w:r w:rsidR="00FD5F8B">
        <w:t>s’</w:t>
      </w:r>
      <w:r w:rsidR="00F902C8" w:rsidRPr="009939B1">
        <w:t xml:space="preserve"> views on: training requirements; workload, resource utilisation (including which healthcare professionals would be involved) and costs (including impact on appointment times); any changes required to practice organisation (e.g. </w:t>
      </w:r>
      <w:r w:rsidR="00FD2694" w:rsidRPr="009939B1">
        <w:t>setting up and use of clinical system protocols, recall systems and templates</w:t>
      </w:r>
      <w:r w:rsidR="00F902C8" w:rsidRPr="009939B1">
        <w:t>); any barriers to implementation; assessment of overlap with and/or impact on existing QOF indicators or local schemes; and any other overall views on implementation of the indicators (including unintended consequences).</w:t>
      </w:r>
    </w:p>
    <w:p w14:paraId="2636A94E" w14:textId="1CBDD180" w:rsidR="00F94279" w:rsidRDefault="000A7674" w:rsidP="0018012F">
      <w:pPr>
        <w:pStyle w:val="Heading3"/>
      </w:pPr>
      <w:r w:rsidRPr="009939B1">
        <w:t>Training requirements</w:t>
      </w:r>
    </w:p>
    <w:p w14:paraId="50120A50" w14:textId="047BFA89" w:rsidR="006306E5" w:rsidRDefault="00FE705C" w:rsidP="00630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t xml:space="preserve">Practices </w:t>
      </w:r>
      <w:r w:rsidR="006306E5">
        <w:t>in the survey and</w:t>
      </w:r>
      <w:r>
        <w:t xml:space="preserve"> interviews </w:t>
      </w:r>
      <w:r w:rsidR="006306E5">
        <w:t xml:space="preserve">were asked </w:t>
      </w:r>
      <w:r>
        <w:t xml:space="preserve">whether staff would need any additional training or guidance </w:t>
      </w:r>
      <w:r w:rsidR="007E7CA1">
        <w:t>to</w:t>
      </w:r>
      <w:r>
        <w:t xml:space="preserve"> implement the </w:t>
      </w:r>
      <w:r w:rsidR="00FD31C1">
        <w:t xml:space="preserve">epilepsy-related </w:t>
      </w:r>
      <w:r>
        <w:t>indicators.</w:t>
      </w:r>
      <w:r w:rsidR="006306E5">
        <w:t xml:space="preserve"> </w:t>
      </w:r>
      <w:r w:rsidR="00EF10AF">
        <w:rPr>
          <w:color w:val="000000" w:themeColor="text1"/>
        </w:rPr>
        <w:t xml:space="preserve">Almost </w:t>
      </w:r>
      <w:r w:rsidR="00EF10AF">
        <w:rPr>
          <w:color w:val="000000" w:themeColor="text1"/>
        </w:rPr>
        <w:lastRenderedPageBreak/>
        <w:t xml:space="preserve">two thirds of </w:t>
      </w:r>
      <w:r w:rsidR="006306E5">
        <w:rPr>
          <w:color w:val="000000" w:themeColor="text1"/>
        </w:rPr>
        <w:t>respondents to the survey (</w:t>
      </w:r>
      <w:r w:rsidR="00292F2A">
        <w:rPr>
          <w:color w:val="000000" w:themeColor="text1"/>
        </w:rPr>
        <w:t xml:space="preserve">63.3%, </w:t>
      </w:r>
      <w:r w:rsidR="006306E5">
        <w:rPr>
          <w:color w:val="000000" w:themeColor="text1"/>
        </w:rPr>
        <w:t>19/30) thought that clinical staff would need to undertake additional training if the epilepsy indicators were introduced, with fewer respondents (</w:t>
      </w:r>
      <w:r w:rsidR="00292F2A">
        <w:rPr>
          <w:color w:val="000000" w:themeColor="text1"/>
        </w:rPr>
        <w:t xml:space="preserve">43.3%, </w:t>
      </w:r>
      <w:r w:rsidR="006306E5">
        <w:rPr>
          <w:color w:val="000000" w:themeColor="text1"/>
        </w:rPr>
        <w:t xml:space="preserve">13/30) reporting this was the case for administrative staff. </w:t>
      </w:r>
    </w:p>
    <w:p w14:paraId="1A67A637" w14:textId="41E94652" w:rsidR="00402322" w:rsidRDefault="00402322" w:rsidP="00402322">
      <w:r>
        <w:t xml:space="preserve">It was highlighted by some practices interviewed that the level of training would be dependent on the type of review required and the health professional conducting it. </w:t>
      </w:r>
      <w:r w:rsidR="006306E5">
        <w:rPr>
          <w:color w:val="000000" w:themeColor="text1"/>
        </w:rPr>
        <w:t>In contrast</w:t>
      </w:r>
      <w:r>
        <w:rPr>
          <w:color w:val="000000" w:themeColor="text1"/>
        </w:rPr>
        <w:t xml:space="preserve"> to the survey findings, </w:t>
      </w:r>
      <w:r w:rsidR="007D7838">
        <w:t xml:space="preserve">interviewed practices generally agreed </w:t>
      </w:r>
      <w:r>
        <w:t>that unless GPs will be required to manage patients’ medication (such as being given authorisation to amend their anti-epileptic medication), no further training or guidance would be necessary</w:t>
      </w:r>
      <w:r w:rsidR="00407C14">
        <w:t>:</w:t>
      </w:r>
    </w:p>
    <w:p w14:paraId="0EC38422" w14:textId="2A58E6AB" w:rsidR="00402322" w:rsidRDefault="00402322" w:rsidP="00244D6E">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rPr>
          <w:i/>
          <w:iCs/>
          <w:color w:val="000000" w:themeColor="text1"/>
        </w:rPr>
      </w:pPr>
      <w:r>
        <w:rPr>
          <w:i/>
          <w:iCs/>
          <w:color w:val="000000" w:themeColor="text1"/>
        </w:rPr>
        <w:t>“</w:t>
      </w:r>
      <w:r w:rsidRPr="006D2832">
        <w:rPr>
          <w:i/>
          <w:iCs/>
          <w:color w:val="000000" w:themeColor="text1"/>
        </w:rPr>
        <w:t>I don’t think there is much</w:t>
      </w:r>
      <w:r w:rsidR="00A85B21">
        <w:rPr>
          <w:i/>
          <w:iCs/>
          <w:color w:val="000000" w:themeColor="text1"/>
        </w:rPr>
        <w:t xml:space="preserve"> [training</w:t>
      </w:r>
      <w:r w:rsidR="00551C55">
        <w:rPr>
          <w:i/>
          <w:iCs/>
          <w:color w:val="000000" w:themeColor="text1"/>
        </w:rPr>
        <w:t xml:space="preserve"> or guidance</w:t>
      </w:r>
      <w:r w:rsidR="00A85B21">
        <w:rPr>
          <w:i/>
          <w:iCs/>
          <w:color w:val="000000" w:themeColor="text1"/>
        </w:rPr>
        <w:t xml:space="preserve"> required]</w:t>
      </w:r>
      <w:r w:rsidRPr="006D2832">
        <w:rPr>
          <w:i/>
          <w:iCs/>
          <w:color w:val="000000" w:themeColor="text1"/>
        </w:rPr>
        <w:t xml:space="preserve"> – unless you give authorisation for a GP to be – to fiddle around with their anti-epileptic medications</w:t>
      </w:r>
      <w:r>
        <w:rPr>
          <w:i/>
          <w:iCs/>
          <w:color w:val="000000" w:themeColor="text1"/>
        </w:rPr>
        <w:t>” [GP, Interview]</w:t>
      </w:r>
    </w:p>
    <w:p w14:paraId="7DB0B39C" w14:textId="1FA7A635" w:rsidR="00402322" w:rsidRDefault="00402322" w:rsidP="00244D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i/>
          <w:iCs/>
          <w:color w:val="000000" w:themeColor="text1"/>
        </w:rPr>
      </w:pPr>
      <w:r>
        <w:rPr>
          <w:i/>
          <w:iCs/>
          <w:color w:val="000000" w:themeColor="text1"/>
        </w:rPr>
        <w:t>“…</w:t>
      </w:r>
      <w:r w:rsidRPr="00FD31C1">
        <w:rPr>
          <w:i/>
          <w:iCs/>
          <w:color w:val="000000" w:themeColor="text1"/>
        </w:rPr>
        <w:t>it depends slightly on what the outcome is going to be from these reviews</w:t>
      </w:r>
      <w:r>
        <w:rPr>
          <w:i/>
          <w:iCs/>
          <w:color w:val="000000" w:themeColor="text1"/>
        </w:rPr>
        <w:t xml:space="preserve"> (…) </w:t>
      </w:r>
      <w:r w:rsidRPr="00FD31C1">
        <w:rPr>
          <w:i/>
          <w:iCs/>
          <w:color w:val="000000" w:themeColor="text1"/>
        </w:rPr>
        <w:t xml:space="preserve">The way I'm </w:t>
      </w:r>
      <w:r w:rsidRPr="00C45677">
        <w:rPr>
          <w:i/>
          <w:iCs/>
          <w:color w:val="000000" w:themeColor="text1"/>
        </w:rPr>
        <w:t>reading this is we're talking about a review rather than necessarily a comprehensive clinical intervention. This could well trigger a referral into secondary care, and I think if we're managing</w:t>
      </w:r>
      <w:r w:rsidRPr="00FD31C1">
        <w:rPr>
          <w:i/>
          <w:iCs/>
          <w:color w:val="000000" w:themeColor="text1"/>
        </w:rPr>
        <w:t xml:space="preserve"> it that way, that's what we're trying to achieve, then that's fine. I think in terms of additional training, if we were taking it a step further and saying, 'We're going to be managing epileptic patients in primary care,' then that would require additional input.</w:t>
      </w:r>
      <w:r>
        <w:rPr>
          <w:i/>
          <w:iCs/>
          <w:color w:val="000000" w:themeColor="text1"/>
        </w:rPr>
        <w:t>” [</w:t>
      </w:r>
      <w:r w:rsidR="00551C55">
        <w:rPr>
          <w:i/>
          <w:iCs/>
          <w:color w:val="000000" w:themeColor="text1"/>
        </w:rPr>
        <w:t>Pharmacist</w:t>
      </w:r>
      <w:r>
        <w:rPr>
          <w:i/>
          <w:iCs/>
          <w:color w:val="000000" w:themeColor="text1"/>
        </w:rPr>
        <w:t>, Interview]</w:t>
      </w:r>
    </w:p>
    <w:p w14:paraId="332A74D1" w14:textId="1AB15D21" w:rsidR="002E7281" w:rsidRPr="00FD31C1" w:rsidRDefault="002E7281" w:rsidP="00244D6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i/>
          <w:iCs/>
          <w:color w:val="000000" w:themeColor="text1"/>
        </w:rPr>
      </w:pPr>
      <w:r w:rsidRPr="002E7281">
        <w:rPr>
          <w:i/>
          <w:iCs/>
          <w:color w:val="000000" w:themeColor="text1"/>
        </w:rPr>
        <w:t>“…usually epilepsy is, sort of, a lifelong thing with people with learning disabilities. So, I've never had to start over (…) So, to answer your question, I don't think any new training would be necessary.” [GP, Interview]</w:t>
      </w:r>
    </w:p>
    <w:p w14:paraId="68117EE9" w14:textId="77777777" w:rsidR="00FD31C1" w:rsidRPr="00FD31C1" w:rsidRDefault="00FD31C1" w:rsidP="00FD31C1">
      <w:pPr>
        <w:widowControl w:val="0"/>
        <w:autoSpaceDE w:val="0"/>
        <w:autoSpaceDN w:val="0"/>
        <w:adjustRightInd w:val="0"/>
        <w:spacing w:after="0" w:line="240" w:lineRule="auto"/>
        <w:rPr>
          <w:i/>
          <w:iCs/>
          <w:color w:val="000000" w:themeColor="text1"/>
        </w:rPr>
      </w:pPr>
    </w:p>
    <w:p w14:paraId="6DB7C260" w14:textId="331200D7" w:rsidR="00436140" w:rsidRDefault="00553D71" w:rsidP="003D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Pr>
          <w:color w:val="000000" w:themeColor="text1"/>
        </w:rPr>
        <w:t>Whilst</w:t>
      </w:r>
      <w:r w:rsidR="007830DA">
        <w:rPr>
          <w:color w:val="000000" w:themeColor="text1"/>
        </w:rPr>
        <w:t xml:space="preserve"> one GP said they were comfortable with conducting a review</w:t>
      </w:r>
      <w:r>
        <w:rPr>
          <w:color w:val="000000" w:themeColor="text1"/>
        </w:rPr>
        <w:t xml:space="preserve"> for patients with epilepsy</w:t>
      </w:r>
      <w:r w:rsidR="007830DA">
        <w:rPr>
          <w:color w:val="000000" w:themeColor="text1"/>
        </w:rPr>
        <w:t xml:space="preserve">, </w:t>
      </w:r>
      <w:r w:rsidR="00C45677">
        <w:rPr>
          <w:color w:val="000000" w:themeColor="text1"/>
        </w:rPr>
        <w:t>they</w:t>
      </w:r>
      <w:r w:rsidR="007830DA">
        <w:rPr>
          <w:color w:val="000000" w:themeColor="text1"/>
        </w:rPr>
        <w:t xml:space="preserve"> </w:t>
      </w:r>
      <w:r w:rsidR="00511969">
        <w:rPr>
          <w:color w:val="000000" w:themeColor="text1"/>
        </w:rPr>
        <w:t>thought</w:t>
      </w:r>
      <w:r w:rsidR="007830DA">
        <w:rPr>
          <w:color w:val="000000" w:themeColor="text1"/>
        </w:rPr>
        <w:t xml:space="preserve"> </w:t>
      </w:r>
      <w:r>
        <w:rPr>
          <w:color w:val="000000" w:themeColor="text1"/>
        </w:rPr>
        <w:t>the guidance contained</w:t>
      </w:r>
      <w:r w:rsidR="007830DA">
        <w:rPr>
          <w:color w:val="000000" w:themeColor="text1"/>
        </w:rPr>
        <w:t xml:space="preserve"> useful advice that could be drawn upon </w:t>
      </w:r>
      <w:r>
        <w:rPr>
          <w:color w:val="000000" w:themeColor="text1"/>
        </w:rPr>
        <w:t>in the</w:t>
      </w:r>
      <w:r w:rsidR="007830DA">
        <w:rPr>
          <w:color w:val="000000" w:themeColor="text1"/>
        </w:rPr>
        <w:t xml:space="preserve"> review </w:t>
      </w:r>
      <w:r w:rsidR="003D144E">
        <w:rPr>
          <w:color w:val="000000" w:themeColor="text1"/>
        </w:rPr>
        <w:t xml:space="preserve">and </w:t>
      </w:r>
      <w:r w:rsidR="00943F93">
        <w:rPr>
          <w:color w:val="000000" w:themeColor="text1"/>
        </w:rPr>
        <w:t xml:space="preserve">that </w:t>
      </w:r>
      <w:r w:rsidR="003D144E">
        <w:rPr>
          <w:color w:val="000000" w:themeColor="text1"/>
        </w:rPr>
        <w:t xml:space="preserve">some further </w:t>
      </w:r>
      <w:r w:rsidR="00407C14">
        <w:rPr>
          <w:color w:val="000000" w:themeColor="text1"/>
        </w:rPr>
        <w:t>train</w:t>
      </w:r>
      <w:r w:rsidR="003D144E">
        <w:rPr>
          <w:color w:val="000000" w:themeColor="text1"/>
        </w:rPr>
        <w:t>ing</w:t>
      </w:r>
      <w:r w:rsidR="00873FFE">
        <w:rPr>
          <w:color w:val="000000" w:themeColor="text1"/>
        </w:rPr>
        <w:t xml:space="preserve"> </w:t>
      </w:r>
      <w:r w:rsidR="003D144E">
        <w:rPr>
          <w:color w:val="000000" w:themeColor="text1"/>
        </w:rPr>
        <w:t>of nursing staff</w:t>
      </w:r>
      <w:r w:rsidR="00943F93">
        <w:rPr>
          <w:color w:val="000000" w:themeColor="text1"/>
        </w:rPr>
        <w:t xml:space="preserve"> may be required</w:t>
      </w:r>
      <w:r w:rsidR="003D144E">
        <w:rPr>
          <w:color w:val="000000" w:themeColor="text1"/>
        </w:rPr>
        <w:t xml:space="preserve">. </w:t>
      </w:r>
      <w:r w:rsidR="00436140">
        <w:rPr>
          <w:color w:val="000000" w:themeColor="text1"/>
        </w:rPr>
        <w:t xml:space="preserve">Another GP thought the use of a template might be useful </w:t>
      </w:r>
      <w:r w:rsidR="00C27E59">
        <w:rPr>
          <w:color w:val="000000" w:themeColor="text1"/>
        </w:rPr>
        <w:t>for</w:t>
      </w:r>
      <w:r w:rsidR="00436140">
        <w:rPr>
          <w:color w:val="000000" w:themeColor="text1"/>
        </w:rPr>
        <w:t xml:space="preserve"> indicator 2.</w:t>
      </w:r>
    </w:p>
    <w:p w14:paraId="17B7478C" w14:textId="77777777" w:rsidR="00436140" w:rsidRPr="009965B8" w:rsidRDefault="00436140" w:rsidP="00C2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i/>
          <w:color w:val="000000" w:themeColor="text1"/>
        </w:rPr>
      </w:pPr>
      <w:r w:rsidRPr="009965B8">
        <w:rPr>
          <w:i/>
          <w:color w:val="000000" w:themeColor="text1"/>
        </w:rPr>
        <w:t>“Specify what should take place, making, you know any sort of paperwork or templates available and easy to use. And, like, ‘tick this box if you’ve done this package of care for this patient’.” [GP, Interview]</w:t>
      </w:r>
    </w:p>
    <w:p w14:paraId="56ED5648" w14:textId="77777777" w:rsidR="00753BAB" w:rsidRDefault="00436140" w:rsidP="003D14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themeColor="text1"/>
        </w:rPr>
      </w:pPr>
      <w:r>
        <w:rPr>
          <w:color w:val="000000" w:themeColor="text1"/>
        </w:rPr>
        <w:t>Templates were also mentioned by a couple of the other practices, specifically in relation to either indicator 2 and/or indicator 3</w:t>
      </w:r>
      <w:r w:rsidR="00753BAB">
        <w:rPr>
          <w:color w:val="000000" w:themeColor="text1"/>
        </w:rPr>
        <w:t>. However, practices emphasised the importance of merging the templates with existing templates to avoid significant implications on workload:</w:t>
      </w:r>
    </w:p>
    <w:p w14:paraId="23753473" w14:textId="77777777" w:rsidR="000109A2" w:rsidRDefault="00753BAB" w:rsidP="00C27E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rPr>
          <w:i/>
          <w:color w:val="000000" w:themeColor="text1"/>
        </w:rPr>
      </w:pPr>
      <w:r w:rsidRPr="009965B8">
        <w:rPr>
          <w:i/>
          <w:color w:val="000000" w:themeColor="text1"/>
        </w:rPr>
        <w:lastRenderedPageBreak/>
        <w:t xml:space="preserve">“So, I think it’s just locally how </w:t>
      </w:r>
      <w:proofErr w:type="gramStart"/>
      <w:r w:rsidRPr="009965B8">
        <w:rPr>
          <w:i/>
          <w:color w:val="000000" w:themeColor="text1"/>
        </w:rPr>
        <w:t>do they ensure</w:t>
      </w:r>
      <w:proofErr w:type="gramEnd"/>
      <w:r w:rsidRPr="009965B8">
        <w:rPr>
          <w:i/>
          <w:color w:val="000000" w:themeColor="text1"/>
        </w:rPr>
        <w:t xml:space="preserve"> that it’s all in one template, so that’s a learning disability template, if there is a section on there about if this patient also suffers with epilepsy, then complete that part </w:t>
      </w:r>
      <w:r w:rsidR="00552AC4" w:rsidRPr="009965B8">
        <w:rPr>
          <w:i/>
          <w:color w:val="000000" w:themeColor="text1"/>
        </w:rPr>
        <w:t>rather than switching and changing and completing …” [Deputy Practice Manager, Interview]</w:t>
      </w:r>
    </w:p>
    <w:p w14:paraId="58181A6A" w14:textId="279B6E76" w:rsidR="00E0627B" w:rsidRPr="000109A2" w:rsidRDefault="00961CBE" w:rsidP="00010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themeColor="text1"/>
        </w:rPr>
      </w:pPr>
      <w:r>
        <w:t>O</w:t>
      </w:r>
      <w:r w:rsidR="00CB0043">
        <w:t xml:space="preserve">nly a small </w:t>
      </w:r>
      <w:r w:rsidR="005572E5">
        <w:t>number</w:t>
      </w:r>
      <w:r w:rsidR="00431D41">
        <w:t xml:space="preserve"> of</w:t>
      </w:r>
      <w:r w:rsidR="00E8128F">
        <w:t xml:space="preserve"> survey</w:t>
      </w:r>
      <w:r w:rsidR="00431D41">
        <w:t xml:space="preserve"> respondents thought the indicator guidance in the </w:t>
      </w:r>
      <w:r w:rsidR="00954E01">
        <w:t xml:space="preserve">pilot </w:t>
      </w:r>
      <w:r w:rsidR="00431D41">
        <w:t xml:space="preserve">handbook </w:t>
      </w:r>
      <w:r w:rsidR="00954E01">
        <w:t xml:space="preserve">(Appendix A) </w:t>
      </w:r>
      <w:r w:rsidR="00431D41">
        <w:t>could be improved</w:t>
      </w:r>
      <w:r w:rsidR="007D7838">
        <w:t>:</w:t>
      </w:r>
      <w:r w:rsidR="002872BF">
        <w:t xml:space="preserve"> 3/33 respondents (</w:t>
      </w:r>
      <w:r w:rsidR="00B5559E">
        <w:t>9.1</w:t>
      </w:r>
      <w:r w:rsidR="002872BF">
        <w:t>%) for indicators 1 and 2 and 4/33 respondents (</w:t>
      </w:r>
      <w:r w:rsidR="00B5559E">
        <w:t>12.1</w:t>
      </w:r>
      <w:r w:rsidR="002872BF">
        <w:t xml:space="preserve">%) for </w:t>
      </w:r>
      <w:r w:rsidR="00793C23">
        <w:t>i</w:t>
      </w:r>
      <w:r w:rsidR="002872BF">
        <w:t xml:space="preserve">ndicator 3. </w:t>
      </w:r>
      <w:r w:rsidR="00B80347">
        <w:t>T</w:t>
      </w:r>
      <w:r w:rsidR="0055526A">
        <w:t xml:space="preserve">heir </w:t>
      </w:r>
      <w:r w:rsidR="005572E5">
        <w:t>free</w:t>
      </w:r>
      <w:r w:rsidR="007973A8">
        <w:t xml:space="preserve"> </w:t>
      </w:r>
      <w:r w:rsidR="005572E5">
        <w:t xml:space="preserve">text </w:t>
      </w:r>
      <w:r w:rsidR="00B80347">
        <w:t>comments centred</w:t>
      </w:r>
      <w:r w:rsidR="0055526A">
        <w:t xml:space="preserve"> on the rationale</w:t>
      </w:r>
      <w:r w:rsidR="00107079">
        <w:t xml:space="preserve"> or focus</w:t>
      </w:r>
      <w:r w:rsidR="0055526A">
        <w:t xml:space="preserve"> of the indicators</w:t>
      </w:r>
      <w:r w:rsidR="00080409">
        <w:t xml:space="preserve"> rather than the guidance,</w:t>
      </w:r>
      <w:r w:rsidR="0055526A">
        <w:t xml:space="preserve"> with only one respondent noting that more practical solutions </w:t>
      </w:r>
      <w:r w:rsidR="00080409">
        <w:t>are needed:</w:t>
      </w:r>
      <w:r w:rsidR="0055526A">
        <w:t xml:space="preserve"> </w:t>
      </w:r>
    </w:p>
    <w:p w14:paraId="103B40DE" w14:textId="089C62A0" w:rsidR="0018012F" w:rsidRDefault="00961CBE" w:rsidP="00C27E59">
      <w:pPr>
        <w:spacing w:after="240" w:line="276" w:lineRule="auto"/>
        <w:rPr>
          <w:i/>
          <w:iCs/>
          <w:color w:val="000000" w:themeColor="text1"/>
        </w:rPr>
      </w:pPr>
      <w:r>
        <w:rPr>
          <w:i/>
          <w:iCs/>
          <w:color w:val="000000" w:themeColor="text1"/>
        </w:rPr>
        <w:t>“</w:t>
      </w:r>
      <w:r w:rsidRPr="00961CBE">
        <w:rPr>
          <w:i/>
          <w:iCs/>
          <w:color w:val="000000" w:themeColor="text1"/>
        </w:rPr>
        <w:t>All too "ivory tower". Need more practical solutions rather than a cut &amp; paste from NICE. Just put a link to NICE. I'm capable of finding the detail on their website if I want it.</w:t>
      </w:r>
      <w:r>
        <w:rPr>
          <w:i/>
          <w:iCs/>
          <w:color w:val="000000" w:themeColor="text1"/>
        </w:rPr>
        <w:t>” [GP, Survey]</w:t>
      </w:r>
    </w:p>
    <w:p w14:paraId="5096B9B9" w14:textId="7CE20D33" w:rsidR="009F5077" w:rsidRDefault="00FC4D8C" w:rsidP="00C27E59">
      <w:pPr>
        <w:pStyle w:val="Heading3"/>
        <w:spacing w:before="480"/>
      </w:pPr>
      <w:r w:rsidRPr="009939B1">
        <w:t>Workload</w:t>
      </w:r>
      <w:r w:rsidR="00343D40">
        <w:t>,</w:t>
      </w:r>
      <w:r w:rsidRPr="009939B1">
        <w:t xml:space="preserve"> r</w:t>
      </w:r>
      <w:r w:rsidR="00BB43D3" w:rsidRPr="009939B1">
        <w:t>esource utilisation and costs</w:t>
      </w:r>
    </w:p>
    <w:p w14:paraId="349817DB" w14:textId="35392709" w:rsidR="00530BDB" w:rsidRDefault="008F31CD" w:rsidP="00945686">
      <w:r>
        <w:t>As with</w:t>
      </w:r>
      <w:r w:rsidR="00263452">
        <w:t xml:space="preserve"> </w:t>
      </w:r>
      <w:r>
        <w:t xml:space="preserve">training requirements, </w:t>
      </w:r>
      <w:r w:rsidR="00404C0E">
        <w:t xml:space="preserve">the </w:t>
      </w:r>
      <w:r>
        <w:t xml:space="preserve">perceived </w:t>
      </w:r>
      <w:r w:rsidR="00404C0E">
        <w:t>workload</w:t>
      </w:r>
      <w:r w:rsidR="00263452">
        <w:t xml:space="preserve"> </w:t>
      </w:r>
      <w:r w:rsidR="00943F93">
        <w:t>associated with</w:t>
      </w:r>
      <w:r>
        <w:t xml:space="preserve"> </w:t>
      </w:r>
      <w:r w:rsidR="005020CE">
        <w:t xml:space="preserve">the </w:t>
      </w:r>
      <w:r>
        <w:t xml:space="preserve">indicators </w:t>
      </w:r>
      <w:r w:rsidR="00263452">
        <w:t>was regarded</w:t>
      </w:r>
      <w:r w:rsidR="005020CE">
        <w:t xml:space="preserve"> by interviewees</w:t>
      </w:r>
      <w:r w:rsidR="00727396">
        <w:t xml:space="preserve"> </w:t>
      </w:r>
      <w:r w:rsidR="00263452">
        <w:t xml:space="preserve">to be dependent </w:t>
      </w:r>
      <w:r>
        <w:t>on the type</w:t>
      </w:r>
      <w:r w:rsidR="00053EF4">
        <w:t>/</w:t>
      </w:r>
      <w:r w:rsidR="00F64945">
        <w:t xml:space="preserve">extent </w:t>
      </w:r>
      <w:r>
        <w:t>of review conducted</w:t>
      </w:r>
      <w:r w:rsidR="008121DD">
        <w:t xml:space="preserve">. </w:t>
      </w:r>
      <w:r w:rsidR="00AC7C7D">
        <w:t>G</w:t>
      </w:r>
      <w:r w:rsidR="008121DD">
        <w:t>reater clarity on the expected review content may be requi</w:t>
      </w:r>
      <w:r w:rsidR="008121DD" w:rsidRPr="00AE628E">
        <w:t>red</w:t>
      </w:r>
      <w:r w:rsidR="00180845">
        <w:t xml:space="preserve"> prior to implementation</w:t>
      </w:r>
      <w:r w:rsidR="00784FAD">
        <w:t>,</w:t>
      </w:r>
      <w:r w:rsidR="00785316">
        <w:t xml:space="preserve"> </w:t>
      </w:r>
      <w:r w:rsidR="00AC7C7D">
        <w:t>to</w:t>
      </w:r>
      <w:r w:rsidR="00785316">
        <w:t xml:space="preserve"> </w:t>
      </w:r>
      <w:r w:rsidR="000068BD">
        <w:t>better</w:t>
      </w:r>
      <w:r w:rsidR="00785316">
        <w:t xml:space="preserve"> understand the implications of the indicators </w:t>
      </w:r>
      <w:r w:rsidR="00784FAD">
        <w:t xml:space="preserve">for </w:t>
      </w:r>
      <w:r w:rsidR="00AC7C7D">
        <w:t xml:space="preserve">clinical and administrative </w:t>
      </w:r>
      <w:r w:rsidR="00785316">
        <w:t>workload</w:t>
      </w:r>
      <w:r w:rsidR="00180845">
        <w:t>.</w:t>
      </w:r>
      <w:r w:rsidR="00511969">
        <w:t xml:space="preserve"> One GP felt that specifying which type of health professional should conduct the review is “too formulaic” but specifying what should be covered – effectiveness and tolerability</w:t>
      </w:r>
      <w:r w:rsidR="00784FAD">
        <w:t xml:space="preserve"> – </w:t>
      </w:r>
      <w:r w:rsidR="00511969">
        <w:t>should be included.</w:t>
      </w:r>
    </w:p>
    <w:p w14:paraId="7FD2F35F" w14:textId="57FB0B66" w:rsidR="000068BD" w:rsidRDefault="000068BD" w:rsidP="00C27E59">
      <w:pPr>
        <w:pStyle w:val="Heading4"/>
        <w:spacing w:before="240"/>
      </w:pPr>
      <w:r w:rsidRPr="000068BD">
        <w:t>Clinical workload</w:t>
      </w:r>
    </w:p>
    <w:p w14:paraId="44E71ABF" w14:textId="63D4F79D" w:rsidR="00173FF2" w:rsidRDefault="00173FF2" w:rsidP="00173FF2">
      <w:r>
        <w:t xml:space="preserve">Just over half of the survey respondents (17/31, 54.8%) said </w:t>
      </w:r>
      <w:r w:rsidR="00793C23" w:rsidRPr="00AA193B">
        <w:t>i</w:t>
      </w:r>
      <w:r w:rsidRPr="00AA193B">
        <w:t>ndicator 1 would</w:t>
      </w:r>
      <w:r>
        <w:t xml:space="preserve"> ‘definitely’ create additional clinical workload, with a further 9 respondents (29.0%) saying it would ‘to some extent’ (Table 5). The proportion of respondents who thought indicators 2 and 3 would ‘definitely’ generate additional clinical work was lower</w:t>
      </w:r>
      <w:r w:rsidR="00760AA5">
        <w:t xml:space="preserve"> than for </w:t>
      </w:r>
      <w:r w:rsidR="00793C23">
        <w:t>i</w:t>
      </w:r>
      <w:r w:rsidR="00760AA5">
        <w:t>ndicator 1</w:t>
      </w:r>
      <w:r>
        <w:t xml:space="preserve"> </w:t>
      </w:r>
      <w:r w:rsidR="00443BEB">
        <w:t>(11/31, 35.5%)</w:t>
      </w:r>
      <w:r w:rsidR="0075309D">
        <w:t>.</w:t>
      </w:r>
    </w:p>
    <w:p w14:paraId="6D302E7A" w14:textId="77777777" w:rsidR="000109A2" w:rsidRDefault="000109A2" w:rsidP="00173FF2">
      <w:pPr>
        <w:spacing w:line="276" w:lineRule="auto"/>
        <w:rPr>
          <w:u w:val="single"/>
        </w:rPr>
      </w:pPr>
    </w:p>
    <w:p w14:paraId="145EECF9" w14:textId="77777777" w:rsidR="000109A2" w:rsidRDefault="000109A2" w:rsidP="00173FF2">
      <w:pPr>
        <w:spacing w:line="276" w:lineRule="auto"/>
        <w:rPr>
          <w:u w:val="single"/>
        </w:rPr>
      </w:pPr>
    </w:p>
    <w:p w14:paraId="31483E38" w14:textId="77777777" w:rsidR="00A12693" w:rsidRDefault="00A12693">
      <w:pPr>
        <w:spacing w:after="160" w:line="259" w:lineRule="auto"/>
        <w:rPr>
          <w:u w:val="single"/>
        </w:rPr>
      </w:pPr>
      <w:r>
        <w:rPr>
          <w:u w:val="single"/>
        </w:rPr>
        <w:br w:type="page"/>
      </w:r>
    </w:p>
    <w:p w14:paraId="60793584" w14:textId="0A31BDBA" w:rsidR="00173FF2" w:rsidRDefault="00173FF2" w:rsidP="00173FF2">
      <w:pPr>
        <w:spacing w:line="276" w:lineRule="auto"/>
        <w:rPr>
          <w:u w:val="single"/>
        </w:rPr>
      </w:pPr>
      <w:r w:rsidRPr="004B4482">
        <w:rPr>
          <w:u w:val="single"/>
        </w:rPr>
        <w:lastRenderedPageBreak/>
        <w:t xml:space="preserve">Table </w:t>
      </w:r>
      <w:r>
        <w:rPr>
          <w:u w:val="single"/>
        </w:rPr>
        <w:t>5</w:t>
      </w:r>
      <w:r w:rsidRPr="004B4482">
        <w:rPr>
          <w:u w:val="single"/>
        </w:rPr>
        <w:t xml:space="preserve">: Views on </w:t>
      </w:r>
      <w:r>
        <w:rPr>
          <w:u w:val="single"/>
        </w:rPr>
        <w:t xml:space="preserve">additional clinical workload generated by each indicator </w:t>
      </w:r>
      <w:r w:rsidRPr="004B4482">
        <w:rPr>
          <w:u w:val="single"/>
        </w:rPr>
        <w:t>(survey)</w:t>
      </w:r>
    </w:p>
    <w:tbl>
      <w:tblPr>
        <w:tblStyle w:val="TableGrid"/>
        <w:tblW w:w="9351" w:type="dxa"/>
        <w:tblLook w:val="04A0" w:firstRow="1" w:lastRow="0" w:firstColumn="1" w:lastColumn="0" w:noHBand="0" w:noVBand="1"/>
      </w:tblPr>
      <w:tblGrid>
        <w:gridCol w:w="4285"/>
        <w:gridCol w:w="1132"/>
        <w:gridCol w:w="1129"/>
        <w:gridCol w:w="992"/>
        <w:gridCol w:w="987"/>
        <w:gridCol w:w="826"/>
      </w:tblGrid>
      <w:tr w:rsidR="00173FF2" w14:paraId="623FC79F" w14:textId="77777777" w:rsidTr="007932D4">
        <w:tc>
          <w:tcPr>
            <w:tcW w:w="9351" w:type="dxa"/>
            <w:gridSpan w:val="6"/>
            <w:tcBorders>
              <w:top w:val="single" w:sz="4" w:space="0" w:color="auto"/>
              <w:left w:val="single" w:sz="4" w:space="0" w:color="auto"/>
              <w:bottom w:val="single" w:sz="4" w:space="0" w:color="auto"/>
              <w:right w:val="single" w:sz="4" w:space="0" w:color="auto"/>
            </w:tcBorders>
          </w:tcPr>
          <w:p w14:paraId="16C01705" w14:textId="74FBB58E" w:rsidR="00173FF2" w:rsidRPr="008726C8" w:rsidRDefault="00173FF2" w:rsidP="00154EC2">
            <w:pPr>
              <w:spacing w:before="60" w:after="60" w:line="240" w:lineRule="auto"/>
              <w:rPr>
                <w:b/>
                <w:sz w:val="22"/>
              </w:rPr>
            </w:pPr>
            <w:r w:rsidRPr="008726C8">
              <w:rPr>
                <w:b/>
                <w:sz w:val="22"/>
              </w:rPr>
              <w:t xml:space="preserve">Will the requirements relating to each indicator generate additional </w:t>
            </w:r>
            <w:r w:rsidR="00B65E63" w:rsidRPr="008726C8">
              <w:rPr>
                <w:b/>
                <w:sz w:val="22"/>
              </w:rPr>
              <w:t>clinical</w:t>
            </w:r>
            <w:r w:rsidRPr="008726C8">
              <w:rPr>
                <w:b/>
                <w:sz w:val="22"/>
              </w:rPr>
              <w:t xml:space="preserve"> workload?</w:t>
            </w:r>
          </w:p>
        </w:tc>
      </w:tr>
      <w:tr w:rsidR="00173FF2" w14:paraId="2B9B5C84" w14:textId="77777777" w:rsidTr="007932D4">
        <w:tc>
          <w:tcPr>
            <w:tcW w:w="4285" w:type="dxa"/>
            <w:tcBorders>
              <w:top w:val="single" w:sz="4" w:space="0" w:color="auto"/>
              <w:left w:val="single" w:sz="4" w:space="0" w:color="auto"/>
              <w:bottom w:val="single" w:sz="4" w:space="0" w:color="auto"/>
              <w:right w:val="single" w:sz="4" w:space="0" w:color="auto"/>
            </w:tcBorders>
          </w:tcPr>
          <w:p w14:paraId="43DA106E" w14:textId="77777777" w:rsidR="00173FF2" w:rsidRPr="008726C8" w:rsidRDefault="00173FF2" w:rsidP="00154EC2">
            <w:pPr>
              <w:spacing w:before="60" w:after="60" w:line="240" w:lineRule="auto"/>
              <w:rPr>
                <w:sz w:val="22"/>
              </w:rPr>
            </w:pPr>
          </w:p>
        </w:tc>
        <w:tc>
          <w:tcPr>
            <w:tcW w:w="1132" w:type="dxa"/>
            <w:tcBorders>
              <w:top w:val="single" w:sz="4" w:space="0" w:color="auto"/>
              <w:left w:val="single" w:sz="4" w:space="0" w:color="auto"/>
              <w:bottom w:val="single" w:sz="4" w:space="0" w:color="auto"/>
              <w:right w:val="single" w:sz="4" w:space="0" w:color="auto"/>
            </w:tcBorders>
            <w:hideMark/>
          </w:tcPr>
          <w:p w14:paraId="1FB5147E" w14:textId="77777777" w:rsidR="00173FF2" w:rsidRPr="008726C8" w:rsidRDefault="00173FF2" w:rsidP="00154EC2">
            <w:pPr>
              <w:spacing w:before="60" w:after="60" w:line="240" w:lineRule="auto"/>
              <w:jc w:val="center"/>
              <w:rPr>
                <w:sz w:val="22"/>
              </w:rPr>
            </w:pPr>
            <w:r w:rsidRPr="008726C8">
              <w:rPr>
                <w:sz w:val="22"/>
              </w:rPr>
              <w:t>Yes, definitely</w:t>
            </w:r>
          </w:p>
        </w:tc>
        <w:tc>
          <w:tcPr>
            <w:tcW w:w="1129" w:type="dxa"/>
            <w:tcBorders>
              <w:top w:val="single" w:sz="4" w:space="0" w:color="auto"/>
              <w:left w:val="single" w:sz="4" w:space="0" w:color="auto"/>
              <w:bottom w:val="single" w:sz="4" w:space="0" w:color="auto"/>
              <w:right w:val="single" w:sz="4" w:space="0" w:color="auto"/>
            </w:tcBorders>
            <w:hideMark/>
          </w:tcPr>
          <w:p w14:paraId="00DFF906" w14:textId="77777777" w:rsidR="00173FF2" w:rsidRPr="008726C8" w:rsidRDefault="00173FF2" w:rsidP="00154EC2">
            <w:pPr>
              <w:spacing w:before="60" w:after="60" w:line="240" w:lineRule="auto"/>
              <w:jc w:val="center"/>
              <w:rPr>
                <w:sz w:val="22"/>
              </w:rPr>
            </w:pPr>
            <w:r w:rsidRPr="008726C8">
              <w:rPr>
                <w:sz w:val="22"/>
              </w:rPr>
              <w:t xml:space="preserve">Yes, to some extent </w:t>
            </w:r>
          </w:p>
        </w:tc>
        <w:tc>
          <w:tcPr>
            <w:tcW w:w="992" w:type="dxa"/>
            <w:tcBorders>
              <w:top w:val="single" w:sz="4" w:space="0" w:color="auto"/>
              <w:left w:val="single" w:sz="4" w:space="0" w:color="auto"/>
              <w:bottom w:val="single" w:sz="4" w:space="0" w:color="auto"/>
              <w:right w:val="single" w:sz="4" w:space="0" w:color="auto"/>
            </w:tcBorders>
            <w:hideMark/>
          </w:tcPr>
          <w:p w14:paraId="2B610717" w14:textId="77777777" w:rsidR="00173FF2" w:rsidRPr="008726C8" w:rsidRDefault="00173FF2" w:rsidP="00154EC2">
            <w:pPr>
              <w:spacing w:before="60" w:after="60" w:line="240" w:lineRule="auto"/>
              <w:jc w:val="center"/>
              <w:rPr>
                <w:sz w:val="22"/>
              </w:rPr>
            </w:pPr>
            <w:r w:rsidRPr="008726C8">
              <w:rPr>
                <w:sz w:val="22"/>
              </w:rPr>
              <w:t>No</w:t>
            </w:r>
          </w:p>
        </w:tc>
        <w:tc>
          <w:tcPr>
            <w:tcW w:w="987" w:type="dxa"/>
            <w:tcBorders>
              <w:top w:val="single" w:sz="4" w:space="0" w:color="auto"/>
              <w:left w:val="single" w:sz="4" w:space="0" w:color="auto"/>
              <w:bottom w:val="single" w:sz="4" w:space="0" w:color="auto"/>
              <w:right w:val="single" w:sz="4" w:space="0" w:color="auto"/>
            </w:tcBorders>
          </w:tcPr>
          <w:p w14:paraId="4459C1C4" w14:textId="77777777" w:rsidR="00173FF2" w:rsidRPr="008726C8" w:rsidRDefault="00173FF2" w:rsidP="00154EC2">
            <w:pPr>
              <w:spacing w:before="60" w:after="60" w:line="240" w:lineRule="auto"/>
              <w:jc w:val="center"/>
              <w:rPr>
                <w:sz w:val="22"/>
              </w:rPr>
            </w:pPr>
            <w:r w:rsidRPr="008726C8">
              <w:rPr>
                <w:sz w:val="22"/>
              </w:rPr>
              <w:t>Unsure</w:t>
            </w:r>
          </w:p>
        </w:tc>
        <w:tc>
          <w:tcPr>
            <w:tcW w:w="826" w:type="dxa"/>
            <w:tcBorders>
              <w:top w:val="single" w:sz="4" w:space="0" w:color="auto"/>
              <w:left w:val="single" w:sz="4" w:space="0" w:color="auto"/>
              <w:bottom w:val="single" w:sz="4" w:space="0" w:color="auto"/>
              <w:right w:val="single" w:sz="4" w:space="0" w:color="auto"/>
            </w:tcBorders>
            <w:hideMark/>
          </w:tcPr>
          <w:p w14:paraId="426B5B53" w14:textId="77777777" w:rsidR="00173FF2" w:rsidRPr="008726C8" w:rsidRDefault="00173FF2" w:rsidP="00154EC2">
            <w:pPr>
              <w:spacing w:before="60" w:after="60" w:line="240" w:lineRule="auto"/>
              <w:jc w:val="center"/>
              <w:rPr>
                <w:sz w:val="22"/>
              </w:rPr>
            </w:pPr>
            <w:r w:rsidRPr="008726C8">
              <w:rPr>
                <w:sz w:val="22"/>
              </w:rPr>
              <w:t>Total</w:t>
            </w:r>
          </w:p>
        </w:tc>
      </w:tr>
      <w:tr w:rsidR="00173FF2" w14:paraId="440FB75E" w14:textId="77777777" w:rsidTr="007932D4">
        <w:trPr>
          <w:trHeight w:val="804"/>
        </w:trPr>
        <w:tc>
          <w:tcPr>
            <w:tcW w:w="4285" w:type="dxa"/>
            <w:tcBorders>
              <w:top w:val="single" w:sz="4" w:space="0" w:color="auto"/>
              <w:left w:val="single" w:sz="4" w:space="0" w:color="auto"/>
              <w:bottom w:val="single" w:sz="4" w:space="0" w:color="auto"/>
              <w:right w:val="single" w:sz="4" w:space="0" w:color="auto"/>
            </w:tcBorders>
            <w:hideMark/>
          </w:tcPr>
          <w:p w14:paraId="0238F3DF" w14:textId="77777777" w:rsidR="00173FF2" w:rsidRPr="008726C8" w:rsidRDefault="00173FF2" w:rsidP="00154EC2">
            <w:pPr>
              <w:spacing w:before="60" w:after="60" w:line="240" w:lineRule="auto"/>
              <w:rPr>
                <w:sz w:val="22"/>
              </w:rPr>
            </w:pPr>
            <w:r w:rsidRPr="008726C8">
              <w:rPr>
                <w:sz w:val="22"/>
              </w:rPr>
              <w:t>Indicator 1: Annual review of all adults receiving drug treatment for epilepsy</w:t>
            </w:r>
          </w:p>
        </w:tc>
        <w:tc>
          <w:tcPr>
            <w:tcW w:w="1132" w:type="dxa"/>
            <w:tcBorders>
              <w:top w:val="single" w:sz="4" w:space="0" w:color="auto"/>
              <w:left w:val="single" w:sz="4" w:space="0" w:color="auto"/>
              <w:bottom w:val="single" w:sz="4" w:space="0" w:color="auto"/>
              <w:right w:val="single" w:sz="4" w:space="0" w:color="auto"/>
            </w:tcBorders>
            <w:hideMark/>
          </w:tcPr>
          <w:p w14:paraId="5DF0632A" w14:textId="77777777" w:rsidR="00173FF2" w:rsidRPr="008726C8" w:rsidRDefault="00173FF2" w:rsidP="00154EC2">
            <w:pPr>
              <w:spacing w:before="60" w:after="60" w:line="240" w:lineRule="auto"/>
              <w:jc w:val="center"/>
              <w:rPr>
                <w:sz w:val="22"/>
              </w:rPr>
            </w:pPr>
            <w:r w:rsidRPr="008726C8">
              <w:rPr>
                <w:sz w:val="22"/>
              </w:rPr>
              <w:t>17</w:t>
            </w:r>
          </w:p>
          <w:p w14:paraId="6A192217" w14:textId="77777777" w:rsidR="00173FF2" w:rsidRPr="008726C8" w:rsidRDefault="00173FF2" w:rsidP="00154EC2">
            <w:pPr>
              <w:spacing w:before="60" w:after="60" w:line="240" w:lineRule="auto"/>
              <w:jc w:val="center"/>
              <w:rPr>
                <w:sz w:val="22"/>
              </w:rPr>
            </w:pPr>
            <w:r w:rsidRPr="008726C8">
              <w:rPr>
                <w:sz w:val="22"/>
              </w:rPr>
              <w:t>(54.8%)</w:t>
            </w:r>
          </w:p>
        </w:tc>
        <w:tc>
          <w:tcPr>
            <w:tcW w:w="1129" w:type="dxa"/>
            <w:tcBorders>
              <w:top w:val="single" w:sz="4" w:space="0" w:color="auto"/>
              <w:left w:val="single" w:sz="4" w:space="0" w:color="auto"/>
              <w:bottom w:val="single" w:sz="4" w:space="0" w:color="auto"/>
              <w:right w:val="single" w:sz="4" w:space="0" w:color="auto"/>
            </w:tcBorders>
            <w:hideMark/>
          </w:tcPr>
          <w:p w14:paraId="613DC969" w14:textId="77777777" w:rsidR="00173FF2" w:rsidRPr="008726C8" w:rsidRDefault="00173FF2" w:rsidP="00154EC2">
            <w:pPr>
              <w:spacing w:before="60" w:after="60" w:line="240" w:lineRule="auto"/>
              <w:jc w:val="center"/>
              <w:rPr>
                <w:sz w:val="22"/>
              </w:rPr>
            </w:pPr>
            <w:r w:rsidRPr="008726C8">
              <w:rPr>
                <w:sz w:val="22"/>
              </w:rPr>
              <w:t>9</w:t>
            </w:r>
          </w:p>
          <w:p w14:paraId="1A64A10E" w14:textId="77777777" w:rsidR="00173FF2" w:rsidRPr="008726C8" w:rsidRDefault="00173FF2" w:rsidP="00154EC2">
            <w:pPr>
              <w:spacing w:before="60" w:after="60" w:line="240" w:lineRule="auto"/>
              <w:jc w:val="center"/>
              <w:rPr>
                <w:sz w:val="22"/>
              </w:rPr>
            </w:pPr>
            <w:r w:rsidRPr="008726C8">
              <w:rPr>
                <w:sz w:val="22"/>
              </w:rPr>
              <w:t>(29.0%)</w:t>
            </w:r>
          </w:p>
        </w:tc>
        <w:tc>
          <w:tcPr>
            <w:tcW w:w="992" w:type="dxa"/>
            <w:tcBorders>
              <w:top w:val="single" w:sz="4" w:space="0" w:color="auto"/>
              <w:left w:val="single" w:sz="4" w:space="0" w:color="auto"/>
              <w:bottom w:val="single" w:sz="4" w:space="0" w:color="auto"/>
              <w:right w:val="single" w:sz="4" w:space="0" w:color="auto"/>
            </w:tcBorders>
            <w:hideMark/>
          </w:tcPr>
          <w:p w14:paraId="21835CBF" w14:textId="77777777" w:rsidR="00173FF2" w:rsidRPr="008726C8" w:rsidRDefault="00173FF2" w:rsidP="00154EC2">
            <w:pPr>
              <w:spacing w:before="60" w:after="60" w:line="240" w:lineRule="auto"/>
              <w:jc w:val="center"/>
              <w:rPr>
                <w:sz w:val="22"/>
              </w:rPr>
            </w:pPr>
            <w:r w:rsidRPr="008726C8">
              <w:rPr>
                <w:sz w:val="22"/>
              </w:rPr>
              <w:t>3</w:t>
            </w:r>
          </w:p>
          <w:p w14:paraId="4789C9E0" w14:textId="77777777" w:rsidR="00173FF2" w:rsidRPr="008726C8" w:rsidRDefault="00173FF2" w:rsidP="00154EC2">
            <w:pPr>
              <w:spacing w:before="60" w:after="60" w:line="240" w:lineRule="auto"/>
              <w:jc w:val="center"/>
              <w:rPr>
                <w:sz w:val="22"/>
              </w:rPr>
            </w:pPr>
            <w:r w:rsidRPr="008726C8">
              <w:rPr>
                <w:sz w:val="22"/>
              </w:rPr>
              <w:t>(9.7%)</w:t>
            </w:r>
          </w:p>
        </w:tc>
        <w:tc>
          <w:tcPr>
            <w:tcW w:w="987" w:type="dxa"/>
            <w:tcBorders>
              <w:top w:val="single" w:sz="4" w:space="0" w:color="auto"/>
              <w:left w:val="single" w:sz="4" w:space="0" w:color="auto"/>
              <w:bottom w:val="single" w:sz="4" w:space="0" w:color="auto"/>
              <w:right w:val="single" w:sz="4" w:space="0" w:color="auto"/>
            </w:tcBorders>
          </w:tcPr>
          <w:p w14:paraId="0C1282F3" w14:textId="77777777" w:rsidR="00173FF2" w:rsidRPr="008726C8" w:rsidRDefault="00173FF2" w:rsidP="00154EC2">
            <w:pPr>
              <w:spacing w:before="60" w:after="60" w:line="240" w:lineRule="auto"/>
              <w:jc w:val="center"/>
              <w:rPr>
                <w:sz w:val="22"/>
              </w:rPr>
            </w:pPr>
            <w:r w:rsidRPr="008726C8">
              <w:rPr>
                <w:sz w:val="22"/>
              </w:rPr>
              <w:t>2</w:t>
            </w:r>
          </w:p>
          <w:p w14:paraId="3D365F52" w14:textId="77777777" w:rsidR="00173FF2" w:rsidRPr="008726C8" w:rsidRDefault="00173FF2" w:rsidP="00154EC2">
            <w:pPr>
              <w:spacing w:before="60" w:after="60" w:line="240" w:lineRule="auto"/>
              <w:jc w:val="center"/>
              <w:rPr>
                <w:sz w:val="22"/>
              </w:rPr>
            </w:pPr>
            <w:r w:rsidRPr="008726C8">
              <w:rPr>
                <w:sz w:val="22"/>
              </w:rPr>
              <w:t>(6.5%)</w:t>
            </w:r>
          </w:p>
        </w:tc>
        <w:tc>
          <w:tcPr>
            <w:tcW w:w="826" w:type="dxa"/>
            <w:tcBorders>
              <w:top w:val="single" w:sz="4" w:space="0" w:color="auto"/>
              <w:left w:val="single" w:sz="4" w:space="0" w:color="auto"/>
              <w:bottom w:val="single" w:sz="4" w:space="0" w:color="auto"/>
              <w:right w:val="single" w:sz="4" w:space="0" w:color="auto"/>
            </w:tcBorders>
            <w:hideMark/>
          </w:tcPr>
          <w:p w14:paraId="69F3ABB9" w14:textId="77777777" w:rsidR="00173FF2" w:rsidRPr="008726C8" w:rsidRDefault="00173FF2" w:rsidP="00154EC2">
            <w:pPr>
              <w:spacing w:before="60" w:after="60" w:line="240" w:lineRule="auto"/>
              <w:jc w:val="center"/>
              <w:rPr>
                <w:sz w:val="22"/>
              </w:rPr>
            </w:pPr>
            <w:r w:rsidRPr="008726C8">
              <w:rPr>
                <w:sz w:val="22"/>
              </w:rPr>
              <w:t>31</w:t>
            </w:r>
          </w:p>
        </w:tc>
      </w:tr>
      <w:tr w:rsidR="00173FF2" w14:paraId="5AA1009C" w14:textId="77777777" w:rsidTr="007932D4">
        <w:tc>
          <w:tcPr>
            <w:tcW w:w="4285" w:type="dxa"/>
            <w:tcBorders>
              <w:top w:val="single" w:sz="4" w:space="0" w:color="auto"/>
              <w:left w:val="single" w:sz="4" w:space="0" w:color="auto"/>
              <w:bottom w:val="single" w:sz="4" w:space="0" w:color="auto"/>
              <w:right w:val="single" w:sz="4" w:space="0" w:color="auto"/>
            </w:tcBorders>
            <w:hideMark/>
          </w:tcPr>
          <w:p w14:paraId="29FA5EDA" w14:textId="77777777" w:rsidR="00173FF2" w:rsidRPr="008726C8" w:rsidRDefault="00173FF2" w:rsidP="00154EC2">
            <w:pPr>
              <w:spacing w:before="60" w:after="60" w:line="240" w:lineRule="auto"/>
              <w:rPr>
                <w:sz w:val="22"/>
              </w:rPr>
            </w:pPr>
            <w:r w:rsidRPr="008726C8">
              <w:rPr>
                <w:sz w:val="22"/>
              </w:rPr>
              <w:t>Indicator 2: Annual review of adults with a learning disability and epilepsy</w:t>
            </w:r>
          </w:p>
        </w:tc>
        <w:tc>
          <w:tcPr>
            <w:tcW w:w="1132" w:type="dxa"/>
            <w:tcBorders>
              <w:top w:val="single" w:sz="4" w:space="0" w:color="auto"/>
              <w:left w:val="single" w:sz="4" w:space="0" w:color="auto"/>
              <w:bottom w:val="single" w:sz="4" w:space="0" w:color="auto"/>
              <w:right w:val="single" w:sz="4" w:space="0" w:color="auto"/>
            </w:tcBorders>
            <w:hideMark/>
          </w:tcPr>
          <w:p w14:paraId="05159289" w14:textId="77777777" w:rsidR="00173FF2" w:rsidRPr="008726C8" w:rsidRDefault="00173FF2" w:rsidP="00154EC2">
            <w:pPr>
              <w:spacing w:before="60" w:after="60" w:line="240" w:lineRule="auto"/>
              <w:jc w:val="center"/>
              <w:rPr>
                <w:sz w:val="22"/>
              </w:rPr>
            </w:pPr>
            <w:r w:rsidRPr="008726C8">
              <w:rPr>
                <w:sz w:val="22"/>
              </w:rPr>
              <w:t>11</w:t>
            </w:r>
          </w:p>
          <w:p w14:paraId="27A3543C" w14:textId="77777777" w:rsidR="00173FF2" w:rsidRPr="008726C8" w:rsidRDefault="00173FF2" w:rsidP="00154EC2">
            <w:pPr>
              <w:spacing w:before="60" w:after="60" w:line="240" w:lineRule="auto"/>
              <w:jc w:val="center"/>
              <w:rPr>
                <w:sz w:val="22"/>
              </w:rPr>
            </w:pPr>
            <w:r w:rsidRPr="008726C8">
              <w:rPr>
                <w:sz w:val="22"/>
              </w:rPr>
              <w:t>(35.5%)</w:t>
            </w:r>
          </w:p>
        </w:tc>
        <w:tc>
          <w:tcPr>
            <w:tcW w:w="1129" w:type="dxa"/>
            <w:tcBorders>
              <w:top w:val="single" w:sz="4" w:space="0" w:color="auto"/>
              <w:left w:val="single" w:sz="4" w:space="0" w:color="auto"/>
              <w:bottom w:val="single" w:sz="4" w:space="0" w:color="auto"/>
              <w:right w:val="single" w:sz="4" w:space="0" w:color="auto"/>
            </w:tcBorders>
            <w:hideMark/>
          </w:tcPr>
          <w:p w14:paraId="3FE339B2" w14:textId="77777777" w:rsidR="00173FF2" w:rsidRPr="008726C8" w:rsidRDefault="00173FF2" w:rsidP="00154EC2">
            <w:pPr>
              <w:spacing w:before="60" w:after="60" w:line="240" w:lineRule="auto"/>
              <w:jc w:val="center"/>
              <w:rPr>
                <w:sz w:val="22"/>
              </w:rPr>
            </w:pPr>
            <w:r w:rsidRPr="008726C8">
              <w:rPr>
                <w:sz w:val="22"/>
              </w:rPr>
              <w:t>9</w:t>
            </w:r>
          </w:p>
          <w:p w14:paraId="0B29287A" w14:textId="77777777" w:rsidR="00173FF2" w:rsidRPr="008726C8" w:rsidRDefault="00173FF2" w:rsidP="00154EC2">
            <w:pPr>
              <w:spacing w:before="60" w:after="60" w:line="240" w:lineRule="auto"/>
              <w:jc w:val="center"/>
              <w:rPr>
                <w:sz w:val="22"/>
              </w:rPr>
            </w:pPr>
            <w:r w:rsidRPr="008726C8">
              <w:rPr>
                <w:sz w:val="22"/>
              </w:rPr>
              <w:t>(29.0%)</w:t>
            </w:r>
          </w:p>
        </w:tc>
        <w:tc>
          <w:tcPr>
            <w:tcW w:w="992" w:type="dxa"/>
            <w:tcBorders>
              <w:top w:val="single" w:sz="4" w:space="0" w:color="auto"/>
              <w:left w:val="single" w:sz="4" w:space="0" w:color="auto"/>
              <w:bottom w:val="single" w:sz="4" w:space="0" w:color="auto"/>
              <w:right w:val="single" w:sz="4" w:space="0" w:color="auto"/>
            </w:tcBorders>
            <w:hideMark/>
          </w:tcPr>
          <w:p w14:paraId="2822F4CC" w14:textId="77777777" w:rsidR="00C83393" w:rsidRDefault="00173FF2" w:rsidP="00C83393">
            <w:pPr>
              <w:spacing w:before="60" w:after="60" w:line="240" w:lineRule="auto"/>
              <w:jc w:val="center"/>
              <w:rPr>
                <w:sz w:val="22"/>
              </w:rPr>
            </w:pPr>
            <w:r w:rsidRPr="008726C8">
              <w:rPr>
                <w:sz w:val="22"/>
              </w:rPr>
              <w:t>7</w:t>
            </w:r>
          </w:p>
          <w:p w14:paraId="0A8471EF" w14:textId="0E907FEB" w:rsidR="00173FF2" w:rsidRPr="008726C8" w:rsidRDefault="00173FF2" w:rsidP="00C83393">
            <w:pPr>
              <w:spacing w:before="60" w:after="60" w:line="240" w:lineRule="auto"/>
              <w:jc w:val="center"/>
              <w:rPr>
                <w:sz w:val="22"/>
              </w:rPr>
            </w:pPr>
            <w:r w:rsidRPr="008726C8">
              <w:rPr>
                <w:sz w:val="22"/>
              </w:rPr>
              <w:t>(22.6%)</w:t>
            </w:r>
          </w:p>
        </w:tc>
        <w:tc>
          <w:tcPr>
            <w:tcW w:w="987" w:type="dxa"/>
            <w:tcBorders>
              <w:top w:val="single" w:sz="4" w:space="0" w:color="auto"/>
              <w:left w:val="single" w:sz="4" w:space="0" w:color="auto"/>
              <w:bottom w:val="single" w:sz="4" w:space="0" w:color="auto"/>
              <w:right w:val="single" w:sz="4" w:space="0" w:color="auto"/>
            </w:tcBorders>
          </w:tcPr>
          <w:p w14:paraId="1613999F" w14:textId="77777777" w:rsidR="00173FF2" w:rsidRPr="008726C8" w:rsidRDefault="00173FF2" w:rsidP="00154EC2">
            <w:pPr>
              <w:spacing w:before="60" w:after="60" w:line="240" w:lineRule="auto"/>
              <w:jc w:val="center"/>
              <w:rPr>
                <w:sz w:val="22"/>
              </w:rPr>
            </w:pPr>
            <w:r w:rsidRPr="008726C8">
              <w:rPr>
                <w:sz w:val="22"/>
              </w:rPr>
              <w:t>4</w:t>
            </w:r>
          </w:p>
          <w:p w14:paraId="08F91A4B" w14:textId="77777777" w:rsidR="00173FF2" w:rsidRPr="008726C8" w:rsidRDefault="00173FF2" w:rsidP="00154EC2">
            <w:pPr>
              <w:spacing w:before="60" w:after="60" w:line="240" w:lineRule="auto"/>
              <w:jc w:val="center"/>
              <w:rPr>
                <w:sz w:val="22"/>
              </w:rPr>
            </w:pPr>
            <w:r w:rsidRPr="008726C8">
              <w:rPr>
                <w:sz w:val="22"/>
              </w:rPr>
              <w:t>(12.9%)</w:t>
            </w:r>
          </w:p>
        </w:tc>
        <w:tc>
          <w:tcPr>
            <w:tcW w:w="826" w:type="dxa"/>
            <w:tcBorders>
              <w:top w:val="single" w:sz="4" w:space="0" w:color="auto"/>
              <w:left w:val="single" w:sz="4" w:space="0" w:color="auto"/>
              <w:bottom w:val="single" w:sz="4" w:space="0" w:color="auto"/>
              <w:right w:val="single" w:sz="4" w:space="0" w:color="auto"/>
            </w:tcBorders>
            <w:hideMark/>
          </w:tcPr>
          <w:p w14:paraId="57726532" w14:textId="77777777" w:rsidR="00173FF2" w:rsidRPr="008726C8" w:rsidRDefault="00173FF2" w:rsidP="00154EC2">
            <w:pPr>
              <w:spacing w:before="60" w:after="60" w:line="240" w:lineRule="auto"/>
              <w:jc w:val="center"/>
              <w:rPr>
                <w:sz w:val="22"/>
              </w:rPr>
            </w:pPr>
            <w:r w:rsidRPr="008726C8">
              <w:rPr>
                <w:sz w:val="22"/>
              </w:rPr>
              <w:t>31</w:t>
            </w:r>
          </w:p>
        </w:tc>
      </w:tr>
      <w:tr w:rsidR="00173FF2" w14:paraId="117D67CE" w14:textId="77777777" w:rsidTr="007932D4">
        <w:tc>
          <w:tcPr>
            <w:tcW w:w="4285" w:type="dxa"/>
            <w:tcBorders>
              <w:top w:val="single" w:sz="4" w:space="0" w:color="auto"/>
              <w:left w:val="single" w:sz="4" w:space="0" w:color="auto"/>
              <w:bottom w:val="single" w:sz="4" w:space="0" w:color="auto"/>
              <w:right w:val="single" w:sz="4" w:space="0" w:color="auto"/>
            </w:tcBorders>
          </w:tcPr>
          <w:p w14:paraId="5FDB07E7" w14:textId="7770EF3C" w:rsidR="00173FF2" w:rsidRPr="008726C8" w:rsidRDefault="00173FF2" w:rsidP="00154EC2">
            <w:pPr>
              <w:spacing w:before="60" w:after="60" w:line="240" w:lineRule="auto"/>
              <w:rPr>
                <w:sz w:val="22"/>
              </w:rPr>
            </w:pPr>
            <w:r w:rsidRPr="008726C8">
              <w:rPr>
                <w:sz w:val="22"/>
              </w:rPr>
              <w:t>Indicator 3: Annual review of adults with a mental health condition and epilepsy</w:t>
            </w:r>
          </w:p>
        </w:tc>
        <w:tc>
          <w:tcPr>
            <w:tcW w:w="1132" w:type="dxa"/>
            <w:tcBorders>
              <w:top w:val="single" w:sz="4" w:space="0" w:color="auto"/>
              <w:left w:val="single" w:sz="4" w:space="0" w:color="auto"/>
              <w:bottom w:val="single" w:sz="4" w:space="0" w:color="auto"/>
              <w:right w:val="single" w:sz="4" w:space="0" w:color="auto"/>
            </w:tcBorders>
            <w:hideMark/>
          </w:tcPr>
          <w:p w14:paraId="70CB19FB" w14:textId="77777777" w:rsidR="00173FF2" w:rsidRPr="008726C8" w:rsidRDefault="00173FF2" w:rsidP="00154EC2">
            <w:pPr>
              <w:spacing w:before="60" w:after="60" w:line="240" w:lineRule="auto"/>
              <w:jc w:val="center"/>
              <w:rPr>
                <w:sz w:val="22"/>
              </w:rPr>
            </w:pPr>
            <w:r w:rsidRPr="008726C8">
              <w:rPr>
                <w:sz w:val="22"/>
              </w:rPr>
              <w:t>11</w:t>
            </w:r>
          </w:p>
          <w:p w14:paraId="3AB0B60F" w14:textId="77777777" w:rsidR="00173FF2" w:rsidRPr="008726C8" w:rsidRDefault="00173FF2" w:rsidP="00154EC2">
            <w:pPr>
              <w:spacing w:before="60" w:after="60" w:line="240" w:lineRule="auto"/>
              <w:jc w:val="center"/>
              <w:rPr>
                <w:sz w:val="22"/>
              </w:rPr>
            </w:pPr>
            <w:r w:rsidRPr="008726C8">
              <w:rPr>
                <w:sz w:val="22"/>
              </w:rPr>
              <w:t>(35.5%)</w:t>
            </w:r>
          </w:p>
        </w:tc>
        <w:tc>
          <w:tcPr>
            <w:tcW w:w="1129" w:type="dxa"/>
            <w:tcBorders>
              <w:top w:val="single" w:sz="4" w:space="0" w:color="auto"/>
              <w:left w:val="single" w:sz="4" w:space="0" w:color="auto"/>
              <w:bottom w:val="single" w:sz="4" w:space="0" w:color="auto"/>
              <w:right w:val="single" w:sz="4" w:space="0" w:color="auto"/>
            </w:tcBorders>
            <w:hideMark/>
          </w:tcPr>
          <w:p w14:paraId="28452B4D" w14:textId="77777777" w:rsidR="00173FF2" w:rsidRPr="008726C8" w:rsidRDefault="00173FF2" w:rsidP="00154EC2">
            <w:pPr>
              <w:spacing w:before="60" w:after="60" w:line="240" w:lineRule="auto"/>
              <w:jc w:val="center"/>
              <w:rPr>
                <w:sz w:val="22"/>
              </w:rPr>
            </w:pPr>
            <w:r w:rsidRPr="008726C8">
              <w:rPr>
                <w:sz w:val="22"/>
              </w:rPr>
              <w:t>10</w:t>
            </w:r>
          </w:p>
          <w:p w14:paraId="009AF840" w14:textId="77777777" w:rsidR="00173FF2" w:rsidRPr="008726C8" w:rsidRDefault="00173FF2" w:rsidP="00154EC2">
            <w:pPr>
              <w:spacing w:before="60" w:after="60" w:line="240" w:lineRule="auto"/>
              <w:jc w:val="center"/>
              <w:rPr>
                <w:sz w:val="22"/>
              </w:rPr>
            </w:pPr>
            <w:r w:rsidRPr="008726C8">
              <w:rPr>
                <w:sz w:val="22"/>
              </w:rPr>
              <w:t>(32.3%)</w:t>
            </w:r>
          </w:p>
        </w:tc>
        <w:tc>
          <w:tcPr>
            <w:tcW w:w="992" w:type="dxa"/>
            <w:tcBorders>
              <w:top w:val="single" w:sz="4" w:space="0" w:color="auto"/>
              <w:left w:val="single" w:sz="4" w:space="0" w:color="auto"/>
              <w:bottom w:val="single" w:sz="4" w:space="0" w:color="auto"/>
              <w:right w:val="single" w:sz="4" w:space="0" w:color="auto"/>
            </w:tcBorders>
            <w:hideMark/>
          </w:tcPr>
          <w:p w14:paraId="54326978" w14:textId="77777777" w:rsidR="00173FF2" w:rsidRPr="008726C8" w:rsidRDefault="00173FF2" w:rsidP="00154EC2">
            <w:pPr>
              <w:spacing w:before="60" w:after="60" w:line="240" w:lineRule="auto"/>
              <w:jc w:val="center"/>
              <w:rPr>
                <w:sz w:val="22"/>
              </w:rPr>
            </w:pPr>
            <w:r w:rsidRPr="008726C8">
              <w:rPr>
                <w:sz w:val="22"/>
              </w:rPr>
              <w:t>7</w:t>
            </w:r>
          </w:p>
          <w:p w14:paraId="2D04FF9B" w14:textId="77777777" w:rsidR="00173FF2" w:rsidRPr="008726C8" w:rsidRDefault="00173FF2" w:rsidP="00154EC2">
            <w:pPr>
              <w:spacing w:before="60" w:after="60" w:line="240" w:lineRule="auto"/>
              <w:jc w:val="center"/>
              <w:rPr>
                <w:sz w:val="22"/>
              </w:rPr>
            </w:pPr>
            <w:r w:rsidRPr="008726C8">
              <w:rPr>
                <w:sz w:val="22"/>
              </w:rPr>
              <w:t>(22.6%)</w:t>
            </w:r>
          </w:p>
        </w:tc>
        <w:tc>
          <w:tcPr>
            <w:tcW w:w="987" w:type="dxa"/>
            <w:tcBorders>
              <w:top w:val="single" w:sz="4" w:space="0" w:color="auto"/>
              <w:left w:val="single" w:sz="4" w:space="0" w:color="auto"/>
              <w:bottom w:val="single" w:sz="4" w:space="0" w:color="auto"/>
              <w:right w:val="single" w:sz="4" w:space="0" w:color="auto"/>
            </w:tcBorders>
          </w:tcPr>
          <w:p w14:paraId="33CEA88A" w14:textId="77777777" w:rsidR="00173FF2" w:rsidRPr="008726C8" w:rsidRDefault="00173FF2" w:rsidP="00154EC2">
            <w:pPr>
              <w:spacing w:before="60" w:after="60" w:line="240" w:lineRule="auto"/>
              <w:jc w:val="center"/>
              <w:rPr>
                <w:sz w:val="22"/>
              </w:rPr>
            </w:pPr>
            <w:r w:rsidRPr="008726C8">
              <w:rPr>
                <w:sz w:val="22"/>
              </w:rPr>
              <w:t>3</w:t>
            </w:r>
          </w:p>
          <w:p w14:paraId="1A2477B3" w14:textId="77777777" w:rsidR="00173FF2" w:rsidRPr="008726C8" w:rsidRDefault="00173FF2" w:rsidP="00154EC2">
            <w:pPr>
              <w:spacing w:before="60" w:after="60" w:line="240" w:lineRule="auto"/>
              <w:jc w:val="center"/>
              <w:rPr>
                <w:sz w:val="22"/>
              </w:rPr>
            </w:pPr>
            <w:r w:rsidRPr="008726C8">
              <w:rPr>
                <w:sz w:val="22"/>
              </w:rPr>
              <w:t>(9.7%)</w:t>
            </w:r>
          </w:p>
        </w:tc>
        <w:tc>
          <w:tcPr>
            <w:tcW w:w="826" w:type="dxa"/>
            <w:tcBorders>
              <w:top w:val="single" w:sz="4" w:space="0" w:color="auto"/>
              <w:left w:val="single" w:sz="4" w:space="0" w:color="auto"/>
              <w:bottom w:val="single" w:sz="4" w:space="0" w:color="auto"/>
              <w:right w:val="single" w:sz="4" w:space="0" w:color="auto"/>
            </w:tcBorders>
            <w:hideMark/>
          </w:tcPr>
          <w:p w14:paraId="0410BF09" w14:textId="77777777" w:rsidR="00173FF2" w:rsidRPr="008726C8" w:rsidRDefault="00173FF2" w:rsidP="00154EC2">
            <w:pPr>
              <w:spacing w:before="60" w:after="60" w:line="240" w:lineRule="auto"/>
              <w:jc w:val="center"/>
              <w:rPr>
                <w:sz w:val="22"/>
              </w:rPr>
            </w:pPr>
            <w:r w:rsidRPr="008726C8">
              <w:rPr>
                <w:sz w:val="22"/>
              </w:rPr>
              <w:t>31</w:t>
            </w:r>
          </w:p>
        </w:tc>
      </w:tr>
    </w:tbl>
    <w:p w14:paraId="130411C5" w14:textId="77777777" w:rsidR="00173FF2" w:rsidRPr="009939B1" w:rsidRDefault="00173FF2" w:rsidP="00173FF2"/>
    <w:p w14:paraId="313F7123" w14:textId="4247DAAE" w:rsidR="00E62103" w:rsidRPr="000109A2" w:rsidRDefault="00784FAD" w:rsidP="000109A2">
      <w:r>
        <w:t>Most</w:t>
      </w:r>
      <w:r w:rsidR="00E82EE0">
        <w:t xml:space="preserve"> survey respondents thought the indicators would create additional workload</w:t>
      </w:r>
      <w:r>
        <w:t>.</w:t>
      </w:r>
      <w:r w:rsidR="006E682E">
        <w:t xml:space="preserve"> </w:t>
      </w:r>
      <w:r>
        <w:t>I</w:t>
      </w:r>
      <w:r w:rsidR="006E682E">
        <w:t>n contrast,</w:t>
      </w:r>
      <w:r w:rsidR="00E82EE0">
        <w:t xml:space="preserve"> </w:t>
      </w:r>
      <w:r w:rsidR="00443BEB">
        <w:t>some practices interviewed noted that if</w:t>
      </w:r>
      <w:r w:rsidR="00263452">
        <w:t xml:space="preserve"> </w:t>
      </w:r>
      <w:r w:rsidR="003B780E">
        <w:t>a comprehensive</w:t>
      </w:r>
      <w:r w:rsidR="00263452">
        <w:t xml:space="preserve"> review was carried out in secondary care</w:t>
      </w:r>
      <w:r w:rsidR="00727396">
        <w:t xml:space="preserve"> </w:t>
      </w:r>
      <w:r w:rsidR="00443BEB">
        <w:t>(</w:t>
      </w:r>
      <w:r w:rsidR="00793C23">
        <w:t>i</w:t>
      </w:r>
      <w:r w:rsidR="00727396">
        <w:t>ndicator 1</w:t>
      </w:r>
      <w:r w:rsidR="00443BEB">
        <w:t>)</w:t>
      </w:r>
      <w:r w:rsidR="00263452">
        <w:t xml:space="preserve">, the workload </w:t>
      </w:r>
      <w:r w:rsidR="00943F93">
        <w:t xml:space="preserve">for primary care </w:t>
      </w:r>
      <w:r w:rsidR="00263452">
        <w:t xml:space="preserve">would </w:t>
      </w:r>
      <w:r w:rsidR="003C5FA1">
        <w:t>be minimal</w:t>
      </w:r>
      <w:r w:rsidR="00285743">
        <w:t xml:space="preserve">, </w:t>
      </w:r>
      <w:proofErr w:type="gramStart"/>
      <w:r w:rsidR="00285743">
        <w:t>as long as</w:t>
      </w:r>
      <w:proofErr w:type="gramEnd"/>
      <w:r w:rsidR="00285743">
        <w:t xml:space="preserve"> practices were able to simply code that a review had been undertaken in secondary care and, as such, not have to re-review the patient</w:t>
      </w:r>
      <w:r w:rsidR="004A5F32">
        <w:t>.</w:t>
      </w:r>
      <w:r w:rsidR="003B780E">
        <w:t xml:space="preserve"> </w:t>
      </w:r>
    </w:p>
    <w:p w14:paraId="768D6EE6" w14:textId="7F4DF5A6" w:rsidR="00053EF4" w:rsidRDefault="00053EF4" w:rsidP="00945686">
      <w:r>
        <w:t xml:space="preserve">One GP </w:t>
      </w:r>
      <w:r w:rsidR="001B387E">
        <w:t>from another practice</w:t>
      </w:r>
      <w:r w:rsidR="001865DA">
        <w:t xml:space="preserve"> </w:t>
      </w:r>
      <w:r>
        <w:t xml:space="preserve">suggested that a text questionnaire could be used to identify </w:t>
      </w:r>
      <w:r w:rsidR="007D7D94">
        <w:t xml:space="preserve">and review </w:t>
      </w:r>
      <w:r>
        <w:t>those patients with epilepsy that are experiencing seizures and/or medication side effects</w:t>
      </w:r>
      <w:r w:rsidR="007D7D94">
        <w:t xml:space="preserve">. </w:t>
      </w:r>
    </w:p>
    <w:p w14:paraId="7E723EE9" w14:textId="77777777" w:rsidR="001C466E" w:rsidRDefault="00727396" w:rsidP="007932D4">
      <w:pPr>
        <w:spacing w:line="276" w:lineRule="auto"/>
        <w:rPr>
          <w:i/>
          <w:iCs/>
        </w:rPr>
      </w:pPr>
      <w:r w:rsidRPr="00727396">
        <w:rPr>
          <w:i/>
          <w:iCs/>
        </w:rPr>
        <w:t xml:space="preserve">“How </w:t>
      </w:r>
      <w:r>
        <w:rPr>
          <w:i/>
          <w:iCs/>
        </w:rPr>
        <w:t xml:space="preserve">[do] </w:t>
      </w:r>
      <w:r w:rsidRPr="00727396">
        <w:rPr>
          <w:i/>
          <w:iCs/>
        </w:rPr>
        <w:t>you define what takes place in that structured review, is it something that could be done as simple as a text questionnaire to try and pull out some people who have got side effects or poor control</w:t>
      </w:r>
      <w:r>
        <w:rPr>
          <w:i/>
          <w:iCs/>
        </w:rPr>
        <w:t xml:space="preserve"> (…)</w:t>
      </w:r>
      <w:r w:rsidRPr="00727396">
        <w:rPr>
          <w:i/>
          <w:iCs/>
        </w:rPr>
        <w:t xml:space="preserve">Those are the two key things to </w:t>
      </w:r>
      <w:r w:rsidR="009C4AB8">
        <w:rPr>
          <w:i/>
          <w:iCs/>
        </w:rPr>
        <w:t xml:space="preserve">(…) </w:t>
      </w:r>
      <w:r w:rsidRPr="00727396">
        <w:rPr>
          <w:i/>
          <w:iCs/>
        </w:rPr>
        <w:t>take some action on (…) a few have said that a text review or a short questionnaire is completely suitable for this</w:t>
      </w:r>
      <w:r w:rsidR="00253684">
        <w:rPr>
          <w:i/>
          <w:iCs/>
        </w:rPr>
        <w:t xml:space="preserve"> (…)</w:t>
      </w:r>
      <w:r w:rsidRPr="00727396">
        <w:rPr>
          <w:i/>
          <w:iCs/>
        </w:rPr>
        <w:t>You don't have to inconvenience and put off large numbers of well-controlled, completely happy patients in order to achieve the quality payment.” [GP, Interview]</w:t>
      </w:r>
    </w:p>
    <w:p w14:paraId="309682EA" w14:textId="6331896E" w:rsidR="007973A8" w:rsidRPr="001C466E" w:rsidRDefault="001B387E" w:rsidP="00292F2A">
      <w:pPr>
        <w:spacing w:before="240"/>
        <w:rPr>
          <w:i/>
          <w:iCs/>
        </w:rPr>
      </w:pPr>
      <w:r>
        <w:t xml:space="preserve">A similar </w:t>
      </w:r>
      <w:r w:rsidR="007973A8">
        <w:t xml:space="preserve">view was </w:t>
      </w:r>
      <w:r>
        <w:t>express</w:t>
      </w:r>
      <w:r w:rsidR="007973A8">
        <w:t>ed by another practice who emphasised that the review should not have to be conducted face-to-face</w:t>
      </w:r>
      <w:r>
        <w:t>:</w:t>
      </w:r>
    </w:p>
    <w:p w14:paraId="63CE2264" w14:textId="31E146EB" w:rsidR="007973A8" w:rsidRPr="001B387E" w:rsidRDefault="007973A8" w:rsidP="007932D4">
      <w:pPr>
        <w:spacing w:line="276" w:lineRule="auto"/>
        <w:rPr>
          <w:i/>
        </w:rPr>
      </w:pPr>
      <w:r w:rsidRPr="00DE5125">
        <w:rPr>
          <w:i/>
        </w:rPr>
        <w:t xml:space="preserve">“Any reviews that are specified as face-to-face … tend to feel more burdensome </w:t>
      </w:r>
      <w:r w:rsidR="00BA1FC6" w:rsidRPr="00DE5125">
        <w:rPr>
          <w:i/>
        </w:rPr>
        <w:t>and it feels a bit more formulaic if you are insisting on face-to-face when in fact it really is just a conversation, so why not do it on the phone? So, I would feel that this would be once that certainly shouldn’t be face-to-face.” [GP, Interview]</w:t>
      </w:r>
    </w:p>
    <w:p w14:paraId="482CBA1E" w14:textId="29E07E1B" w:rsidR="00C45677" w:rsidRDefault="00253684" w:rsidP="00945686">
      <w:r>
        <w:t>However, another practice cautioned that unless</w:t>
      </w:r>
      <w:r w:rsidR="009C4AB8">
        <w:t xml:space="preserve"> the supporting guidance provides greater clarity on what is expected within a review, there will be variability between practices in how the indicator is fulfilled</w:t>
      </w:r>
      <w:r w:rsidR="003C4621">
        <w:t>:</w:t>
      </w:r>
    </w:p>
    <w:p w14:paraId="5E8E3DC3" w14:textId="3DA06C75" w:rsidR="005020CE" w:rsidRDefault="009C4AB8" w:rsidP="009C4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r w:rsidRPr="00532000">
        <w:rPr>
          <w:rFonts w:cs="Arial"/>
          <w:i/>
          <w:iCs/>
          <w:szCs w:val="24"/>
        </w:rPr>
        <w:lastRenderedPageBreak/>
        <w:t>“</w:t>
      </w:r>
      <w:r w:rsidRPr="00363FF1">
        <w:rPr>
          <w:rFonts w:cs="Arial"/>
          <w:i/>
          <w:iCs/>
          <w:szCs w:val="24"/>
        </w:rPr>
        <w:t>I think you'll get a two-tier system. Those practices that'll just tick the box without, you know, doing the full review that you would expect us to do. So, I think you would need more information as part of that indicator to make sure it was all covered.</w:t>
      </w:r>
      <w:r w:rsidRPr="00532000">
        <w:rPr>
          <w:rFonts w:cs="Arial"/>
          <w:i/>
          <w:iCs/>
          <w:szCs w:val="24"/>
        </w:rPr>
        <w:t>” [</w:t>
      </w:r>
      <w:r w:rsidR="00285743">
        <w:rPr>
          <w:rFonts w:cs="Arial"/>
          <w:i/>
          <w:iCs/>
          <w:szCs w:val="24"/>
        </w:rPr>
        <w:t>Practice Manager</w:t>
      </w:r>
      <w:r w:rsidRPr="00532000">
        <w:rPr>
          <w:rFonts w:cs="Arial"/>
          <w:i/>
          <w:iCs/>
          <w:szCs w:val="24"/>
        </w:rPr>
        <w:t>, Interview]</w:t>
      </w:r>
    </w:p>
    <w:p w14:paraId="16281ACA" w14:textId="1B986A69" w:rsidR="00FE28EB" w:rsidRDefault="00FE28EB" w:rsidP="009C4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p>
    <w:p w14:paraId="457E39EF" w14:textId="143BA612" w:rsidR="004313D1" w:rsidRDefault="006E682E" w:rsidP="00DE5125">
      <w:pPr>
        <w:rPr>
          <w:rFonts w:cs="Arial"/>
          <w:i/>
          <w:iCs/>
          <w:szCs w:val="24"/>
        </w:rPr>
      </w:pPr>
      <w:r>
        <w:t>The survey showed</w:t>
      </w:r>
      <w:r w:rsidR="00DD1CF9">
        <w:t xml:space="preserve"> </w:t>
      </w:r>
      <w:r>
        <w:t xml:space="preserve">variation in </w:t>
      </w:r>
      <w:r w:rsidR="00DD1CF9">
        <w:t>views on</w:t>
      </w:r>
      <w:r>
        <w:t xml:space="preserve"> whether the requirements of </w:t>
      </w:r>
      <w:r w:rsidR="00793C23" w:rsidRPr="00AA193B">
        <w:t>i</w:t>
      </w:r>
      <w:r w:rsidRPr="00AA193B">
        <w:t>ndicator 2</w:t>
      </w:r>
      <w:r>
        <w:t xml:space="preserve"> would generate additional clinical workload (Table 5).</w:t>
      </w:r>
      <w:r w:rsidR="00DD1CF9">
        <w:t xml:space="preserve"> The interviews revealed </w:t>
      </w:r>
      <w:r w:rsidR="00DD1CF9">
        <w:rPr>
          <w:rFonts w:cs="Arial"/>
          <w:szCs w:val="24"/>
        </w:rPr>
        <w:t>differences between practices in how the learning disability health checks are currently conducted</w:t>
      </w:r>
      <w:r w:rsidR="004313D1">
        <w:rPr>
          <w:rFonts w:cs="Arial"/>
          <w:szCs w:val="24"/>
        </w:rPr>
        <w:t>,</w:t>
      </w:r>
      <w:r w:rsidR="00DD1CF9">
        <w:rPr>
          <w:rFonts w:cs="Arial"/>
          <w:szCs w:val="24"/>
        </w:rPr>
        <w:t xml:space="preserve"> which may explain some of this variation (given a general agreement that the epilepsy review would be covered within the existing learning disability health checks). For instance, one of the practices interviewed noted that the learning disability health checks are carried out by specialists in the PC</w:t>
      </w:r>
      <w:r w:rsidR="005E6542">
        <w:rPr>
          <w:rFonts w:cs="Arial"/>
          <w:szCs w:val="24"/>
        </w:rPr>
        <w:t>N, whereas</w:t>
      </w:r>
      <w:r w:rsidR="0020272E">
        <w:rPr>
          <w:rFonts w:cs="Arial"/>
          <w:szCs w:val="24"/>
        </w:rPr>
        <w:t xml:space="preserve"> </w:t>
      </w:r>
      <w:r w:rsidR="001B387E">
        <w:rPr>
          <w:rFonts w:cs="Arial"/>
          <w:szCs w:val="24"/>
        </w:rPr>
        <w:t xml:space="preserve">another practice reported that their own </w:t>
      </w:r>
      <w:r w:rsidR="0020272E">
        <w:rPr>
          <w:rFonts w:cs="Arial"/>
          <w:szCs w:val="24"/>
        </w:rPr>
        <w:t>staff conduct them</w:t>
      </w:r>
      <w:r w:rsidR="005E6542">
        <w:rPr>
          <w:rFonts w:cs="Arial"/>
          <w:szCs w:val="24"/>
        </w:rPr>
        <w:t xml:space="preserve">. </w:t>
      </w:r>
      <w:r w:rsidR="00DD1CF9" w:rsidRPr="002504AB">
        <w:rPr>
          <w:rFonts w:cs="Arial"/>
          <w:szCs w:val="24"/>
        </w:rPr>
        <w:t xml:space="preserve"> </w:t>
      </w:r>
    </w:p>
    <w:p w14:paraId="4D5E8F8F" w14:textId="41B6DF87" w:rsidR="00AE628E" w:rsidRDefault="00AE628E" w:rsidP="00AE628E">
      <w:r>
        <w:t>It was noted by a few practices that</w:t>
      </w:r>
      <w:r w:rsidR="001B387E">
        <w:t>,</w:t>
      </w:r>
      <w:r>
        <w:t xml:space="preserve"> due to the small number of patients with both epilepsy and a learning disability</w:t>
      </w:r>
      <w:r w:rsidR="00DD1CF9">
        <w:t>,</w:t>
      </w:r>
      <w:r w:rsidR="00180845">
        <w:t xml:space="preserve"> </w:t>
      </w:r>
      <w:r>
        <w:t xml:space="preserve">or </w:t>
      </w:r>
      <w:r w:rsidR="00DD1CF9">
        <w:t xml:space="preserve">both </w:t>
      </w:r>
      <w:r w:rsidR="00881704">
        <w:t xml:space="preserve">epilepsy and </w:t>
      </w:r>
      <w:r w:rsidR="00053116">
        <w:t>on the</w:t>
      </w:r>
      <w:r w:rsidR="00881704">
        <w:t xml:space="preserve"> </w:t>
      </w:r>
      <w:r>
        <w:t xml:space="preserve">mental health </w:t>
      </w:r>
      <w:r w:rsidR="00053116">
        <w:t>register</w:t>
      </w:r>
      <w:r w:rsidR="00695362">
        <w:t xml:space="preserve">, </w:t>
      </w:r>
      <w:r w:rsidR="00180845">
        <w:t xml:space="preserve">the </w:t>
      </w:r>
      <w:r w:rsidR="007048D8">
        <w:t xml:space="preserve">increase in </w:t>
      </w:r>
      <w:r w:rsidR="00180845">
        <w:t xml:space="preserve">workload </w:t>
      </w:r>
      <w:r w:rsidR="00EE4469">
        <w:t>for</w:t>
      </w:r>
      <w:r w:rsidR="00881704">
        <w:t xml:space="preserve"> implementing</w:t>
      </w:r>
      <w:r w:rsidR="00695362">
        <w:t xml:space="preserve"> </w:t>
      </w:r>
      <w:r w:rsidR="00793C23">
        <w:t>i</w:t>
      </w:r>
      <w:r w:rsidR="00695362">
        <w:t>ndicators 2 and 3</w:t>
      </w:r>
      <w:r w:rsidR="00EE4469">
        <w:t xml:space="preserve"> would not be </w:t>
      </w:r>
      <w:r w:rsidR="008E1143">
        <w:t>significant</w:t>
      </w:r>
      <w:r w:rsidR="00695362">
        <w:t xml:space="preserve">. </w:t>
      </w:r>
      <w:r w:rsidR="00FA439D">
        <w:t xml:space="preserve"> </w:t>
      </w:r>
      <w:r w:rsidR="004313D1">
        <w:t xml:space="preserve">One </w:t>
      </w:r>
      <w:r w:rsidR="00D74673">
        <w:t xml:space="preserve">GP recognised </w:t>
      </w:r>
      <w:r w:rsidR="00793C23">
        <w:t>i</w:t>
      </w:r>
      <w:r w:rsidR="00876EA6">
        <w:t xml:space="preserve">ndicator 2 </w:t>
      </w:r>
      <w:r w:rsidR="00D74673">
        <w:t xml:space="preserve">as </w:t>
      </w:r>
      <w:r w:rsidR="00876EA6">
        <w:t>a ‘high-value’ indicator</w:t>
      </w:r>
      <w:r w:rsidR="004313D1">
        <w:t xml:space="preserve">; </w:t>
      </w:r>
      <w:r w:rsidR="007518BE">
        <w:t>d</w:t>
      </w:r>
      <w:r w:rsidR="007518BE" w:rsidRPr="007518BE">
        <w:t xml:space="preserve">ue to the small cohort of patients, </w:t>
      </w:r>
      <w:r w:rsidR="007F4D70">
        <w:t>complet</w:t>
      </w:r>
      <w:r w:rsidR="00703D6B">
        <w:t xml:space="preserve">ing the epilepsy review </w:t>
      </w:r>
      <w:r w:rsidR="007F4D70">
        <w:t xml:space="preserve">within the learning disability review </w:t>
      </w:r>
      <w:r w:rsidR="00703D6B">
        <w:t xml:space="preserve">would not be </w:t>
      </w:r>
      <w:r w:rsidR="008E1143">
        <w:t>too demanding</w:t>
      </w:r>
      <w:r w:rsidR="003349AF">
        <w:t>.</w:t>
      </w:r>
    </w:p>
    <w:p w14:paraId="44D3AAEF" w14:textId="3523EE2E" w:rsidR="00876EA6" w:rsidRPr="00876EA6" w:rsidRDefault="00876EA6" w:rsidP="00876EA6">
      <w:pPr>
        <w:pStyle w:val="p0"/>
        <w:rPr>
          <w:i/>
          <w:iCs/>
          <w:sz w:val="24"/>
          <w:szCs w:val="24"/>
        </w:rPr>
      </w:pPr>
      <w:r>
        <w:rPr>
          <w:i/>
          <w:iCs/>
          <w:sz w:val="24"/>
          <w:szCs w:val="24"/>
        </w:rPr>
        <w:t>“O</w:t>
      </w:r>
      <w:r w:rsidRPr="00876EA6">
        <w:rPr>
          <w:i/>
          <w:iCs/>
          <w:sz w:val="24"/>
          <w:szCs w:val="24"/>
        </w:rPr>
        <w:t>ne would probably recognise indicator two as potentially quite a high-value indicator, because if you've only got a small number of patients and you've got a high percentage to meet, to hit, it's not a big job to make sure that that's done at their learning disability review. So, I think it would sort of be self-fulfilling in a way.</w:t>
      </w:r>
      <w:r w:rsidR="003349AF">
        <w:rPr>
          <w:i/>
          <w:iCs/>
          <w:sz w:val="24"/>
          <w:szCs w:val="24"/>
        </w:rPr>
        <w:t>” [GP, Interview]</w:t>
      </w:r>
    </w:p>
    <w:p w14:paraId="37D0D12E" w14:textId="77777777" w:rsidR="00FA439D" w:rsidRPr="00321288" w:rsidRDefault="00FA439D" w:rsidP="00FA43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sz w:val="20"/>
          <w:szCs w:val="20"/>
        </w:rPr>
      </w:pPr>
    </w:p>
    <w:p w14:paraId="7A3CC335" w14:textId="5A382481" w:rsidR="00D74673" w:rsidRDefault="00A4562D" w:rsidP="00945686">
      <w:r>
        <w:t>The</w:t>
      </w:r>
      <w:r w:rsidR="00530BDB">
        <w:t xml:space="preserve"> difference in opinions among the practices interviewed on </w:t>
      </w:r>
      <w:r w:rsidR="00490EA9">
        <w:t>whether</w:t>
      </w:r>
      <w:r w:rsidR="007D7D94">
        <w:t xml:space="preserve"> </w:t>
      </w:r>
      <w:r w:rsidR="00530BDB">
        <w:t>the</w:t>
      </w:r>
      <w:r w:rsidR="00F64945">
        <w:t xml:space="preserve"> epilepsy</w:t>
      </w:r>
      <w:r w:rsidR="00530BDB">
        <w:t xml:space="preserve"> review </w:t>
      </w:r>
      <w:r w:rsidR="000D0B66">
        <w:t>(</w:t>
      </w:r>
      <w:r w:rsidR="00793C23" w:rsidRPr="00AA193B">
        <w:t>i</w:t>
      </w:r>
      <w:r w:rsidR="000D0B66" w:rsidRPr="00AA193B">
        <w:t xml:space="preserve">ndicator 3) </w:t>
      </w:r>
      <w:r w:rsidR="00530BDB" w:rsidRPr="00AA193B">
        <w:t>could</w:t>
      </w:r>
      <w:r w:rsidR="00530BDB">
        <w:t xml:space="preserve"> be incorporated within </w:t>
      </w:r>
      <w:r w:rsidR="000068BD">
        <w:t xml:space="preserve">the </w:t>
      </w:r>
      <w:r w:rsidR="00530BDB">
        <w:t xml:space="preserve">existing </w:t>
      </w:r>
      <w:r w:rsidR="00F64945">
        <w:t>mental health</w:t>
      </w:r>
      <w:r w:rsidR="007518BE">
        <w:t xml:space="preserve"> review</w:t>
      </w:r>
      <w:r w:rsidR="00F64945">
        <w:t xml:space="preserve"> </w:t>
      </w:r>
      <w:r w:rsidR="008121DD">
        <w:t xml:space="preserve">has implications </w:t>
      </w:r>
      <w:r w:rsidR="00417064">
        <w:t>for</w:t>
      </w:r>
      <w:r w:rsidR="008121DD">
        <w:t xml:space="preserve"> workload </w:t>
      </w:r>
      <w:r w:rsidR="003349AF">
        <w:t>and resources</w:t>
      </w:r>
      <w:r w:rsidR="00785316">
        <w:t>. I</w:t>
      </w:r>
      <w:r w:rsidR="008121DD">
        <w:t xml:space="preserve">f a separate review was required, this </w:t>
      </w:r>
      <w:r w:rsidR="00785316">
        <w:t xml:space="preserve">could potentially </w:t>
      </w:r>
      <w:r w:rsidR="008121DD">
        <w:t xml:space="preserve">increase the workload to a greater </w:t>
      </w:r>
      <w:r w:rsidR="00785316">
        <w:t>extent and</w:t>
      </w:r>
      <w:r w:rsidR="003349AF">
        <w:t xml:space="preserve"> may require input from more than one type of healthcare professional. </w:t>
      </w:r>
      <w:r w:rsidR="00180845">
        <w:t xml:space="preserve"> </w:t>
      </w:r>
    </w:p>
    <w:p w14:paraId="7E073054" w14:textId="5B441868" w:rsidR="0075309D" w:rsidRDefault="0075309D" w:rsidP="00A45FF2">
      <w:pPr>
        <w:pStyle w:val="Heading4"/>
      </w:pPr>
      <w:r w:rsidRPr="0075309D">
        <w:t>Healthcare professional</w:t>
      </w:r>
      <w:r w:rsidR="007518BE">
        <w:t>s’</w:t>
      </w:r>
      <w:r w:rsidR="001A4B92">
        <w:t xml:space="preserve"> role</w:t>
      </w:r>
    </w:p>
    <w:p w14:paraId="3A455D36" w14:textId="02D26150" w:rsidR="009657D1" w:rsidRDefault="00053116" w:rsidP="00417064">
      <w:r>
        <w:t>T</w:t>
      </w:r>
      <w:r w:rsidR="00417064" w:rsidRPr="00417064">
        <w:t xml:space="preserve">he survey showed </w:t>
      </w:r>
      <w:r w:rsidR="00D10897">
        <w:t>varying</w:t>
      </w:r>
      <w:r w:rsidR="00B65E63">
        <w:t xml:space="preserve"> </w:t>
      </w:r>
      <w:r w:rsidR="00CC2C95">
        <w:t xml:space="preserve">views </w:t>
      </w:r>
      <w:r w:rsidR="00D10897">
        <w:t>as to which</w:t>
      </w:r>
      <w:r w:rsidR="00417064" w:rsidRPr="00417064">
        <w:t xml:space="preserve"> </w:t>
      </w:r>
      <w:r w:rsidR="00EC6441">
        <w:t>staff groups</w:t>
      </w:r>
      <w:r w:rsidR="00417064" w:rsidRPr="00417064">
        <w:t xml:space="preserve"> would be most affected by the clinical requirements of the epilepsy indicators</w:t>
      </w:r>
      <w:r w:rsidR="00CC2C95">
        <w:t xml:space="preserve">. </w:t>
      </w:r>
    </w:p>
    <w:p w14:paraId="1A2EDC8D" w14:textId="5B7F734E" w:rsidR="00636E42" w:rsidRDefault="00221338" w:rsidP="00417064">
      <w:r>
        <w:t xml:space="preserve">Over half of </w:t>
      </w:r>
      <w:r w:rsidR="00636E42">
        <w:t>survey respondents reported that ‘Pharmacists’</w:t>
      </w:r>
      <w:r>
        <w:t xml:space="preserve"> (23/31, 74.2%)</w:t>
      </w:r>
      <w:r w:rsidR="00636E42">
        <w:t xml:space="preserve"> and ‘GPs’ (17/</w:t>
      </w:r>
      <w:r w:rsidR="00AE7C73">
        <w:t>31</w:t>
      </w:r>
      <w:r w:rsidR="00C431A2">
        <w:t>, 54.8%</w:t>
      </w:r>
      <w:r w:rsidR="00636E42">
        <w:t>) would be most affected b</w:t>
      </w:r>
      <w:r w:rsidR="00793C23">
        <w:t>y the clinical requirements of i</w:t>
      </w:r>
      <w:r w:rsidR="00636E42">
        <w:t xml:space="preserve">ndicator 1 (Table 6). For indicators 2 and 3, whilst a slightly higher proportion of survey </w:t>
      </w:r>
      <w:r w:rsidR="00636E42">
        <w:lastRenderedPageBreak/>
        <w:t>respondents indicated GPs would be most affected by the clinical requirements, similar proportions also reported that other staff groups (nursing and pharmacist) could be most affected (Table 6).</w:t>
      </w:r>
    </w:p>
    <w:p w14:paraId="2EA994CF" w14:textId="4817795C" w:rsidR="006D7A0A" w:rsidRPr="004B4482" w:rsidRDefault="006D7A0A" w:rsidP="006D7A0A">
      <w:pPr>
        <w:spacing w:line="276" w:lineRule="auto"/>
        <w:rPr>
          <w:u w:val="single"/>
        </w:rPr>
      </w:pPr>
      <w:r w:rsidRPr="004B4482">
        <w:rPr>
          <w:u w:val="single"/>
        </w:rPr>
        <w:t xml:space="preserve">Table </w:t>
      </w:r>
      <w:r>
        <w:rPr>
          <w:u w:val="single"/>
        </w:rPr>
        <w:t>6</w:t>
      </w:r>
      <w:r w:rsidRPr="004B4482">
        <w:rPr>
          <w:u w:val="single"/>
        </w:rPr>
        <w:t xml:space="preserve">: Views on </w:t>
      </w:r>
      <w:r>
        <w:rPr>
          <w:u w:val="single"/>
        </w:rPr>
        <w:t>staff groups affected by the clinical requirements</w:t>
      </w:r>
      <w:r w:rsidRPr="004B4482">
        <w:rPr>
          <w:u w:val="single"/>
        </w:rPr>
        <w:t xml:space="preserve"> (survey</w:t>
      </w:r>
      <w:r w:rsidR="000C3CD1">
        <w:rPr>
          <w:u w:val="single"/>
        </w:rPr>
        <w:t xml:space="preserve"> n=31*</w:t>
      </w:r>
      <w:r w:rsidRPr="004B4482">
        <w:rPr>
          <w:u w:val="single"/>
        </w:rPr>
        <w:t>)</w:t>
      </w:r>
    </w:p>
    <w:tbl>
      <w:tblPr>
        <w:tblStyle w:val="TableGrid"/>
        <w:tblW w:w="9209" w:type="dxa"/>
        <w:tblLook w:val="04A0" w:firstRow="1" w:lastRow="0" w:firstColumn="1" w:lastColumn="0" w:noHBand="0" w:noVBand="1"/>
      </w:tblPr>
      <w:tblGrid>
        <w:gridCol w:w="2392"/>
        <w:gridCol w:w="987"/>
        <w:gridCol w:w="987"/>
        <w:gridCol w:w="1317"/>
        <w:gridCol w:w="1055"/>
        <w:gridCol w:w="926"/>
        <w:gridCol w:w="1545"/>
      </w:tblGrid>
      <w:tr w:rsidR="006D7A0A" w:rsidRPr="00B65E63" w14:paraId="3DBB313B" w14:textId="77777777" w:rsidTr="000C3CD1">
        <w:tc>
          <w:tcPr>
            <w:tcW w:w="9209" w:type="dxa"/>
            <w:gridSpan w:val="7"/>
          </w:tcPr>
          <w:p w14:paraId="3ABE9DDE" w14:textId="77777777" w:rsidR="006D7A0A" w:rsidRPr="00B65E63" w:rsidRDefault="006D7A0A" w:rsidP="00154EC2">
            <w:pPr>
              <w:spacing w:before="60" w:after="60" w:line="240" w:lineRule="auto"/>
              <w:rPr>
                <w:b/>
                <w:sz w:val="22"/>
              </w:rPr>
            </w:pPr>
            <w:r w:rsidRPr="00B65E63">
              <w:rPr>
                <w:b/>
                <w:sz w:val="22"/>
              </w:rPr>
              <w:t>Which staff group(s) would be most affected by the clinical requirements of the epilepsy indicators?</w:t>
            </w:r>
          </w:p>
        </w:tc>
      </w:tr>
      <w:tr w:rsidR="000C3CD1" w:rsidRPr="00B65E63" w14:paraId="4CAFAA84" w14:textId="77777777" w:rsidTr="000C3CD1">
        <w:tc>
          <w:tcPr>
            <w:tcW w:w="2405" w:type="dxa"/>
          </w:tcPr>
          <w:p w14:paraId="515C6745" w14:textId="77777777" w:rsidR="006D7A0A" w:rsidRPr="00B65E63" w:rsidRDefault="006D7A0A" w:rsidP="00154EC2">
            <w:pPr>
              <w:spacing w:before="60" w:after="60" w:line="240" w:lineRule="auto"/>
              <w:rPr>
                <w:sz w:val="22"/>
              </w:rPr>
            </w:pPr>
          </w:p>
        </w:tc>
        <w:tc>
          <w:tcPr>
            <w:tcW w:w="973" w:type="dxa"/>
            <w:hideMark/>
          </w:tcPr>
          <w:p w14:paraId="60F29CCE" w14:textId="77777777" w:rsidR="006D7A0A" w:rsidRPr="00B65E63" w:rsidRDefault="006D7A0A" w:rsidP="00154EC2">
            <w:pPr>
              <w:spacing w:before="60" w:after="60" w:line="240" w:lineRule="auto"/>
              <w:jc w:val="center"/>
              <w:rPr>
                <w:sz w:val="22"/>
              </w:rPr>
            </w:pPr>
            <w:r w:rsidRPr="00B65E63">
              <w:rPr>
                <w:sz w:val="22"/>
              </w:rPr>
              <w:t>GP</w:t>
            </w:r>
          </w:p>
        </w:tc>
        <w:tc>
          <w:tcPr>
            <w:tcW w:w="987" w:type="dxa"/>
            <w:hideMark/>
          </w:tcPr>
          <w:p w14:paraId="56766366" w14:textId="77777777" w:rsidR="006D7A0A" w:rsidRPr="00B65E63" w:rsidRDefault="006D7A0A" w:rsidP="00154EC2">
            <w:pPr>
              <w:spacing w:before="60" w:after="60" w:line="240" w:lineRule="auto"/>
              <w:jc w:val="center"/>
              <w:rPr>
                <w:sz w:val="22"/>
              </w:rPr>
            </w:pPr>
            <w:r w:rsidRPr="00B65E63">
              <w:rPr>
                <w:sz w:val="22"/>
              </w:rPr>
              <w:t>Nursing</w:t>
            </w:r>
          </w:p>
        </w:tc>
        <w:tc>
          <w:tcPr>
            <w:tcW w:w="1317" w:type="dxa"/>
            <w:hideMark/>
          </w:tcPr>
          <w:p w14:paraId="16D034B9" w14:textId="77777777" w:rsidR="006D7A0A" w:rsidRPr="00B65E63" w:rsidRDefault="006D7A0A" w:rsidP="00154EC2">
            <w:pPr>
              <w:spacing w:before="60" w:after="60" w:line="240" w:lineRule="auto"/>
              <w:jc w:val="center"/>
              <w:rPr>
                <w:sz w:val="22"/>
              </w:rPr>
            </w:pPr>
            <w:r w:rsidRPr="00B65E63">
              <w:rPr>
                <w:sz w:val="22"/>
              </w:rPr>
              <w:t>Pharmacist</w:t>
            </w:r>
          </w:p>
        </w:tc>
        <w:tc>
          <w:tcPr>
            <w:tcW w:w="1056" w:type="dxa"/>
          </w:tcPr>
          <w:p w14:paraId="4C834990" w14:textId="77777777" w:rsidR="006D7A0A" w:rsidRPr="00B65E63" w:rsidRDefault="006D7A0A" w:rsidP="00154EC2">
            <w:pPr>
              <w:spacing w:before="60" w:after="60" w:line="240" w:lineRule="auto"/>
              <w:jc w:val="center"/>
              <w:rPr>
                <w:sz w:val="22"/>
              </w:rPr>
            </w:pPr>
            <w:r w:rsidRPr="00B65E63">
              <w:rPr>
                <w:sz w:val="22"/>
              </w:rPr>
              <w:t>Other Clinical</w:t>
            </w:r>
          </w:p>
        </w:tc>
        <w:tc>
          <w:tcPr>
            <w:tcW w:w="926" w:type="dxa"/>
            <w:hideMark/>
          </w:tcPr>
          <w:p w14:paraId="63AA0788" w14:textId="77777777" w:rsidR="006D7A0A" w:rsidRPr="00B65E63" w:rsidRDefault="006D7A0A" w:rsidP="00154EC2">
            <w:pPr>
              <w:spacing w:before="60" w:after="60" w:line="240" w:lineRule="auto"/>
              <w:jc w:val="center"/>
              <w:rPr>
                <w:sz w:val="22"/>
              </w:rPr>
            </w:pPr>
            <w:r w:rsidRPr="00B65E63">
              <w:rPr>
                <w:sz w:val="22"/>
              </w:rPr>
              <w:t>Unsure</w:t>
            </w:r>
          </w:p>
        </w:tc>
        <w:tc>
          <w:tcPr>
            <w:tcW w:w="1545" w:type="dxa"/>
          </w:tcPr>
          <w:p w14:paraId="66B1C3C1" w14:textId="6CBD7EA2" w:rsidR="006D7A0A" w:rsidRPr="00B65E63" w:rsidRDefault="00616EA8" w:rsidP="00292F2A">
            <w:pPr>
              <w:spacing w:before="60" w:after="60" w:line="240" w:lineRule="auto"/>
              <w:jc w:val="center"/>
              <w:rPr>
                <w:sz w:val="22"/>
              </w:rPr>
            </w:pPr>
            <w:r>
              <w:rPr>
                <w:sz w:val="22"/>
              </w:rPr>
              <w:t xml:space="preserve">Total </w:t>
            </w:r>
            <w:r w:rsidR="000C3CD1">
              <w:rPr>
                <w:sz w:val="22"/>
              </w:rPr>
              <w:t>r</w:t>
            </w:r>
            <w:r w:rsidR="006D7A0A" w:rsidRPr="00B65E63">
              <w:rPr>
                <w:sz w:val="22"/>
              </w:rPr>
              <w:t>espon</w:t>
            </w:r>
            <w:r w:rsidR="00AE7C73">
              <w:rPr>
                <w:sz w:val="22"/>
              </w:rPr>
              <w:t>dents</w:t>
            </w:r>
            <w:r w:rsidR="00292F2A">
              <w:rPr>
                <w:sz w:val="22"/>
              </w:rPr>
              <w:t>*</w:t>
            </w:r>
          </w:p>
        </w:tc>
      </w:tr>
      <w:tr w:rsidR="000C3CD1" w:rsidRPr="00B65E63" w14:paraId="51A45488" w14:textId="77777777" w:rsidTr="000C3CD1">
        <w:trPr>
          <w:trHeight w:val="804"/>
        </w:trPr>
        <w:tc>
          <w:tcPr>
            <w:tcW w:w="2405" w:type="dxa"/>
          </w:tcPr>
          <w:p w14:paraId="0A2D56E8" w14:textId="16A1FA8F" w:rsidR="000C3CD1" w:rsidRPr="000C3CD1" w:rsidRDefault="000C3CD1" w:rsidP="000C3CD1">
            <w:pPr>
              <w:spacing w:before="60" w:after="60" w:line="240" w:lineRule="auto"/>
              <w:rPr>
                <w:sz w:val="21"/>
                <w:szCs w:val="21"/>
              </w:rPr>
            </w:pPr>
            <w:r w:rsidRPr="000C3CD1">
              <w:rPr>
                <w:sz w:val="21"/>
                <w:szCs w:val="21"/>
              </w:rPr>
              <w:t>Indicator 1: Annual review of all adults receiving drug treatment for epilepsy</w:t>
            </w:r>
          </w:p>
        </w:tc>
        <w:tc>
          <w:tcPr>
            <w:tcW w:w="973" w:type="dxa"/>
            <w:hideMark/>
          </w:tcPr>
          <w:p w14:paraId="086BCAAA" w14:textId="77777777" w:rsidR="000C3CD1" w:rsidRPr="00B65E63" w:rsidRDefault="000C3CD1" w:rsidP="000C3CD1">
            <w:pPr>
              <w:spacing w:before="60" w:after="60" w:line="240" w:lineRule="auto"/>
              <w:jc w:val="center"/>
              <w:rPr>
                <w:sz w:val="22"/>
              </w:rPr>
            </w:pPr>
            <w:r w:rsidRPr="00B65E63">
              <w:rPr>
                <w:sz w:val="22"/>
              </w:rPr>
              <w:t>17</w:t>
            </w:r>
          </w:p>
          <w:p w14:paraId="2A4AA111" w14:textId="77777777" w:rsidR="000C3CD1" w:rsidRPr="00B65E63" w:rsidRDefault="000C3CD1" w:rsidP="000C3CD1">
            <w:pPr>
              <w:spacing w:before="60" w:after="60" w:line="240" w:lineRule="auto"/>
              <w:jc w:val="center"/>
              <w:rPr>
                <w:sz w:val="22"/>
              </w:rPr>
            </w:pPr>
            <w:r w:rsidRPr="00B65E63">
              <w:rPr>
                <w:sz w:val="22"/>
              </w:rPr>
              <w:t>(54.8%)</w:t>
            </w:r>
          </w:p>
        </w:tc>
        <w:tc>
          <w:tcPr>
            <w:tcW w:w="987" w:type="dxa"/>
            <w:hideMark/>
          </w:tcPr>
          <w:p w14:paraId="0C11E3B1" w14:textId="77777777" w:rsidR="000C3CD1" w:rsidRPr="00B65E63" w:rsidRDefault="000C3CD1" w:rsidP="000C3CD1">
            <w:pPr>
              <w:spacing w:before="60" w:after="60" w:line="240" w:lineRule="auto"/>
              <w:jc w:val="center"/>
              <w:rPr>
                <w:sz w:val="22"/>
              </w:rPr>
            </w:pPr>
            <w:r w:rsidRPr="00B65E63">
              <w:rPr>
                <w:sz w:val="22"/>
              </w:rPr>
              <w:t>11</w:t>
            </w:r>
          </w:p>
          <w:p w14:paraId="2558C0F7" w14:textId="77777777" w:rsidR="000C3CD1" w:rsidRPr="00B65E63" w:rsidRDefault="000C3CD1" w:rsidP="000C3CD1">
            <w:pPr>
              <w:spacing w:before="60" w:after="60" w:line="240" w:lineRule="auto"/>
              <w:jc w:val="center"/>
              <w:rPr>
                <w:sz w:val="22"/>
              </w:rPr>
            </w:pPr>
            <w:r w:rsidRPr="00B65E63">
              <w:rPr>
                <w:sz w:val="22"/>
              </w:rPr>
              <w:t>(35.5%)</w:t>
            </w:r>
          </w:p>
        </w:tc>
        <w:tc>
          <w:tcPr>
            <w:tcW w:w="1317" w:type="dxa"/>
            <w:hideMark/>
          </w:tcPr>
          <w:p w14:paraId="58EF7807" w14:textId="77777777" w:rsidR="000C3CD1" w:rsidRPr="00B65E63" w:rsidRDefault="000C3CD1" w:rsidP="000C3CD1">
            <w:pPr>
              <w:spacing w:before="60" w:after="60" w:line="240" w:lineRule="auto"/>
              <w:jc w:val="center"/>
              <w:rPr>
                <w:sz w:val="22"/>
              </w:rPr>
            </w:pPr>
            <w:r w:rsidRPr="00B65E63">
              <w:rPr>
                <w:sz w:val="22"/>
              </w:rPr>
              <w:t>23</w:t>
            </w:r>
          </w:p>
          <w:p w14:paraId="75DC9C80" w14:textId="77777777" w:rsidR="000C3CD1" w:rsidRPr="00B65E63" w:rsidRDefault="000C3CD1" w:rsidP="000C3CD1">
            <w:pPr>
              <w:spacing w:before="60" w:after="60" w:line="240" w:lineRule="auto"/>
              <w:jc w:val="center"/>
              <w:rPr>
                <w:sz w:val="22"/>
              </w:rPr>
            </w:pPr>
            <w:r w:rsidRPr="00B65E63">
              <w:rPr>
                <w:sz w:val="22"/>
              </w:rPr>
              <w:t>(74.2%)</w:t>
            </w:r>
          </w:p>
        </w:tc>
        <w:tc>
          <w:tcPr>
            <w:tcW w:w="1056" w:type="dxa"/>
          </w:tcPr>
          <w:p w14:paraId="2B6CD349" w14:textId="77777777" w:rsidR="000C3CD1" w:rsidRPr="00B65E63" w:rsidRDefault="000C3CD1" w:rsidP="000C3CD1">
            <w:pPr>
              <w:spacing w:before="60" w:after="60" w:line="240" w:lineRule="auto"/>
              <w:jc w:val="center"/>
              <w:rPr>
                <w:sz w:val="22"/>
              </w:rPr>
            </w:pPr>
            <w:r w:rsidRPr="00B65E63">
              <w:rPr>
                <w:sz w:val="22"/>
              </w:rPr>
              <w:t>3</w:t>
            </w:r>
          </w:p>
          <w:p w14:paraId="08F269DF" w14:textId="77777777" w:rsidR="000C3CD1" w:rsidRPr="00B65E63" w:rsidRDefault="000C3CD1" w:rsidP="000C3CD1">
            <w:pPr>
              <w:spacing w:before="60" w:after="60" w:line="240" w:lineRule="auto"/>
              <w:jc w:val="center"/>
              <w:rPr>
                <w:sz w:val="22"/>
              </w:rPr>
            </w:pPr>
            <w:r w:rsidRPr="00B65E63">
              <w:rPr>
                <w:sz w:val="22"/>
              </w:rPr>
              <w:t>(9.7%)</w:t>
            </w:r>
          </w:p>
        </w:tc>
        <w:tc>
          <w:tcPr>
            <w:tcW w:w="926" w:type="dxa"/>
            <w:hideMark/>
          </w:tcPr>
          <w:p w14:paraId="56D43506" w14:textId="77777777" w:rsidR="000C3CD1" w:rsidRPr="00B65E63" w:rsidRDefault="000C3CD1" w:rsidP="000C3CD1">
            <w:pPr>
              <w:spacing w:before="60" w:after="60" w:line="240" w:lineRule="auto"/>
              <w:jc w:val="center"/>
              <w:rPr>
                <w:sz w:val="22"/>
              </w:rPr>
            </w:pPr>
            <w:r w:rsidRPr="00B65E63">
              <w:rPr>
                <w:sz w:val="22"/>
              </w:rPr>
              <w:t>1</w:t>
            </w:r>
          </w:p>
          <w:p w14:paraId="26031D0B" w14:textId="77777777" w:rsidR="000C3CD1" w:rsidRPr="00B65E63" w:rsidRDefault="000C3CD1" w:rsidP="000C3CD1">
            <w:pPr>
              <w:spacing w:before="60" w:after="60" w:line="240" w:lineRule="auto"/>
              <w:jc w:val="center"/>
              <w:rPr>
                <w:sz w:val="22"/>
              </w:rPr>
            </w:pPr>
            <w:r w:rsidRPr="00B65E63">
              <w:rPr>
                <w:sz w:val="22"/>
              </w:rPr>
              <w:t>(3.2%)</w:t>
            </w:r>
          </w:p>
        </w:tc>
        <w:tc>
          <w:tcPr>
            <w:tcW w:w="1545" w:type="dxa"/>
          </w:tcPr>
          <w:p w14:paraId="607DFE1E" w14:textId="129D6413" w:rsidR="000C3CD1" w:rsidRPr="00B65E63" w:rsidRDefault="000C3CD1" w:rsidP="000C3CD1">
            <w:pPr>
              <w:spacing w:before="60" w:after="60" w:line="240" w:lineRule="auto"/>
              <w:jc w:val="center"/>
              <w:rPr>
                <w:sz w:val="22"/>
              </w:rPr>
            </w:pPr>
            <w:r>
              <w:rPr>
                <w:sz w:val="22"/>
              </w:rPr>
              <w:t>31</w:t>
            </w:r>
          </w:p>
          <w:p w14:paraId="5C8ABDE8" w14:textId="3B14EDDE" w:rsidR="000C3CD1" w:rsidRPr="00B65E63" w:rsidRDefault="000C3CD1" w:rsidP="000C3CD1">
            <w:pPr>
              <w:spacing w:before="60" w:after="60" w:line="240" w:lineRule="auto"/>
              <w:jc w:val="center"/>
              <w:rPr>
                <w:sz w:val="22"/>
              </w:rPr>
            </w:pPr>
          </w:p>
        </w:tc>
      </w:tr>
      <w:tr w:rsidR="000C3CD1" w:rsidRPr="00B65E63" w14:paraId="5F6FEF73" w14:textId="77777777" w:rsidTr="000C3CD1">
        <w:tc>
          <w:tcPr>
            <w:tcW w:w="2405" w:type="dxa"/>
          </w:tcPr>
          <w:p w14:paraId="284BCAC9" w14:textId="6930E25F" w:rsidR="000C3CD1" w:rsidRPr="000C3CD1" w:rsidRDefault="000C3CD1" w:rsidP="000C3CD1">
            <w:pPr>
              <w:spacing w:before="60" w:after="60" w:line="240" w:lineRule="auto"/>
              <w:rPr>
                <w:sz w:val="21"/>
                <w:szCs w:val="21"/>
              </w:rPr>
            </w:pPr>
            <w:r w:rsidRPr="000C3CD1">
              <w:rPr>
                <w:sz w:val="21"/>
                <w:szCs w:val="21"/>
              </w:rPr>
              <w:t>Indicator 2: Annual review of adults with a learning disability and epilepsy</w:t>
            </w:r>
          </w:p>
        </w:tc>
        <w:tc>
          <w:tcPr>
            <w:tcW w:w="973" w:type="dxa"/>
            <w:hideMark/>
          </w:tcPr>
          <w:p w14:paraId="7EAF51A4" w14:textId="77777777" w:rsidR="000C3CD1" w:rsidRPr="00B65E63" w:rsidRDefault="000C3CD1" w:rsidP="000C3CD1">
            <w:pPr>
              <w:spacing w:before="60" w:after="60" w:line="240" w:lineRule="auto"/>
              <w:jc w:val="center"/>
              <w:rPr>
                <w:sz w:val="22"/>
              </w:rPr>
            </w:pPr>
            <w:r w:rsidRPr="00B65E63">
              <w:rPr>
                <w:sz w:val="22"/>
              </w:rPr>
              <w:t>19</w:t>
            </w:r>
          </w:p>
          <w:p w14:paraId="26DBEB81" w14:textId="77777777" w:rsidR="000C3CD1" w:rsidRPr="00B65E63" w:rsidRDefault="000C3CD1" w:rsidP="000C3CD1">
            <w:pPr>
              <w:spacing w:before="60" w:after="60" w:line="240" w:lineRule="auto"/>
              <w:jc w:val="center"/>
              <w:rPr>
                <w:sz w:val="22"/>
              </w:rPr>
            </w:pPr>
            <w:r w:rsidRPr="00B65E63">
              <w:rPr>
                <w:sz w:val="22"/>
              </w:rPr>
              <w:t>(61.3%)</w:t>
            </w:r>
          </w:p>
        </w:tc>
        <w:tc>
          <w:tcPr>
            <w:tcW w:w="987" w:type="dxa"/>
            <w:hideMark/>
          </w:tcPr>
          <w:p w14:paraId="5DE66F21" w14:textId="77777777" w:rsidR="000C3CD1" w:rsidRPr="00B65E63" w:rsidRDefault="000C3CD1" w:rsidP="000C3CD1">
            <w:pPr>
              <w:spacing w:before="60" w:after="60" w:line="240" w:lineRule="auto"/>
              <w:jc w:val="center"/>
              <w:rPr>
                <w:sz w:val="22"/>
              </w:rPr>
            </w:pPr>
            <w:r w:rsidRPr="00B65E63">
              <w:rPr>
                <w:sz w:val="22"/>
              </w:rPr>
              <w:t>18</w:t>
            </w:r>
          </w:p>
          <w:p w14:paraId="6C4238D3" w14:textId="77777777" w:rsidR="000C3CD1" w:rsidRPr="00B65E63" w:rsidRDefault="000C3CD1" w:rsidP="000C3CD1">
            <w:pPr>
              <w:spacing w:before="60" w:after="60" w:line="240" w:lineRule="auto"/>
              <w:jc w:val="center"/>
              <w:rPr>
                <w:sz w:val="22"/>
              </w:rPr>
            </w:pPr>
            <w:r w:rsidRPr="00B65E63">
              <w:rPr>
                <w:sz w:val="22"/>
              </w:rPr>
              <w:t>(58.1%)</w:t>
            </w:r>
          </w:p>
        </w:tc>
        <w:tc>
          <w:tcPr>
            <w:tcW w:w="1317" w:type="dxa"/>
            <w:hideMark/>
          </w:tcPr>
          <w:p w14:paraId="438AEFD0" w14:textId="77777777" w:rsidR="000C3CD1" w:rsidRPr="00B65E63" w:rsidRDefault="000C3CD1" w:rsidP="000C3CD1">
            <w:pPr>
              <w:spacing w:before="60" w:after="60" w:line="240" w:lineRule="auto"/>
              <w:jc w:val="center"/>
              <w:rPr>
                <w:sz w:val="22"/>
              </w:rPr>
            </w:pPr>
            <w:r w:rsidRPr="00B65E63">
              <w:rPr>
                <w:sz w:val="22"/>
              </w:rPr>
              <w:t>13</w:t>
            </w:r>
          </w:p>
          <w:p w14:paraId="441ECD76" w14:textId="77777777" w:rsidR="000C3CD1" w:rsidRPr="00B65E63" w:rsidRDefault="000C3CD1" w:rsidP="000C3CD1">
            <w:pPr>
              <w:spacing w:before="60" w:after="60" w:line="240" w:lineRule="auto"/>
              <w:jc w:val="center"/>
              <w:rPr>
                <w:sz w:val="22"/>
              </w:rPr>
            </w:pPr>
            <w:r w:rsidRPr="00B65E63">
              <w:rPr>
                <w:sz w:val="22"/>
              </w:rPr>
              <w:t xml:space="preserve"> (41.9%)</w:t>
            </w:r>
          </w:p>
        </w:tc>
        <w:tc>
          <w:tcPr>
            <w:tcW w:w="1056" w:type="dxa"/>
          </w:tcPr>
          <w:p w14:paraId="6CBD0BF8" w14:textId="77777777" w:rsidR="000C3CD1" w:rsidRPr="00B65E63" w:rsidRDefault="000C3CD1" w:rsidP="000C3CD1">
            <w:pPr>
              <w:spacing w:before="60" w:after="60" w:line="240" w:lineRule="auto"/>
              <w:jc w:val="center"/>
              <w:rPr>
                <w:sz w:val="22"/>
              </w:rPr>
            </w:pPr>
            <w:r w:rsidRPr="00B65E63">
              <w:rPr>
                <w:sz w:val="22"/>
              </w:rPr>
              <w:t>6</w:t>
            </w:r>
          </w:p>
          <w:p w14:paraId="2B811CB6" w14:textId="77777777" w:rsidR="000C3CD1" w:rsidRPr="00B65E63" w:rsidRDefault="000C3CD1" w:rsidP="000C3CD1">
            <w:pPr>
              <w:spacing w:before="60" w:after="60" w:line="240" w:lineRule="auto"/>
              <w:jc w:val="center"/>
              <w:rPr>
                <w:sz w:val="22"/>
              </w:rPr>
            </w:pPr>
            <w:r w:rsidRPr="00B65E63">
              <w:rPr>
                <w:sz w:val="22"/>
              </w:rPr>
              <w:t>(19.4%)</w:t>
            </w:r>
          </w:p>
        </w:tc>
        <w:tc>
          <w:tcPr>
            <w:tcW w:w="926" w:type="dxa"/>
            <w:hideMark/>
          </w:tcPr>
          <w:p w14:paraId="13373016" w14:textId="77777777" w:rsidR="000C3CD1" w:rsidRPr="00B65E63" w:rsidRDefault="000C3CD1" w:rsidP="000C3CD1">
            <w:pPr>
              <w:spacing w:before="60" w:after="60" w:line="240" w:lineRule="auto"/>
              <w:jc w:val="center"/>
              <w:rPr>
                <w:sz w:val="22"/>
              </w:rPr>
            </w:pPr>
            <w:r w:rsidRPr="00B65E63">
              <w:rPr>
                <w:sz w:val="22"/>
              </w:rPr>
              <w:t>1</w:t>
            </w:r>
          </w:p>
          <w:p w14:paraId="473C77C9" w14:textId="77777777" w:rsidR="000C3CD1" w:rsidRPr="00B65E63" w:rsidRDefault="000C3CD1" w:rsidP="000C3CD1">
            <w:pPr>
              <w:spacing w:before="60" w:after="60" w:line="240" w:lineRule="auto"/>
              <w:jc w:val="center"/>
              <w:rPr>
                <w:sz w:val="22"/>
              </w:rPr>
            </w:pPr>
            <w:r w:rsidRPr="00B65E63">
              <w:rPr>
                <w:sz w:val="22"/>
              </w:rPr>
              <w:t>(3.2%)</w:t>
            </w:r>
          </w:p>
        </w:tc>
        <w:tc>
          <w:tcPr>
            <w:tcW w:w="1545" w:type="dxa"/>
          </w:tcPr>
          <w:p w14:paraId="75CC31E8" w14:textId="158B2CE9" w:rsidR="000C3CD1" w:rsidRPr="00B65E63" w:rsidRDefault="000C3CD1" w:rsidP="000C3CD1">
            <w:pPr>
              <w:spacing w:before="60" w:after="60" w:line="240" w:lineRule="auto"/>
              <w:jc w:val="center"/>
              <w:rPr>
                <w:sz w:val="22"/>
              </w:rPr>
            </w:pPr>
            <w:r>
              <w:rPr>
                <w:sz w:val="22"/>
              </w:rPr>
              <w:t>31</w:t>
            </w:r>
          </w:p>
          <w:p w14:paraId="35A393F5" w14:textId="1746AB82" w:rsidR="000C3CD1" w:rsidRPr="00B65E63" w:rsidRDefault="000C3CD1" w:rsidP="000C3CD1">
            <w:pPr>
              <w:spacing w:before="60" w:after="60" w:line="240" w:lineRule="auto"/>
              <w:jc w:val="center"/>
              <w:rPr>
                <w:sz w:val="22"/>
              </w:rPr>
            </w:pPr>
          </w:p>
        </w:tc>
      </w:tr>
      <w:tr w:rsidR="000C3CD1" w:rsidRPr="00B65E63" w14:paraId="15D3ED7C" w14:textId="77777777" w:rsidTr="000C3CD1">
        <w:tc>
          <w:tcPr>
            <w:tcW w:w="2405" w:type="dxa"/>
          </w:tcPr>
          <w:p w14:paraId="6441F9A0" w14:textId="460BF762" w:rsidR="000C3CD1" w:rsidRPr="000C3CD1" w:rsidRDefault="000C3CD1" w:rsidP="000C3CD1">
            <w:pPr>
              <w:spacing w:before="60" w:after="60" w:line="240" w:lineRule="auto"/>
              <w:rPr>
                <w:sz w:val="21"/>
                <w:szCs w:val="21"/>
              </w:rPr>
            </w:pPr>
            <w:r w:rsidRPr="000C3CD1">
              <w:rPr>
                <w:sz w:val="21"/>
                <w:szCs w:val="21"/>
              </w:rPr>
              <w:t>Indicator 3: Annual review of adults with a mental health condition and epilepsy</w:t>
            </w:r>
          </w:p>
        </w:tc>
        <w:tc>
          <w:tcPr>
            <w:tcW w:w="973" w:type="dxa"/>
            <w:hideMark/>
          </w:tcPr>
          <w:p w14:paraId="521249B6" w14:textId="77777777" w:rsidR="000C3CD1" w:rsidRPr="00B65E63" w:rsidRDefault="000C3CD1" w:rsidP="000C3CD1">
            <w:pPr>
              <w:spacing w:before="60" w:after="60" w:line="240" w:lineRule="auto"/>
              <w:jc w:val="center"/>
              <w:rPr>
                <w:sz w:val="22"/>
              </w:rPr>
            </w:pPr>
            <w:r w:rsidRPr="00B65E63">
              <w:rPr>
                <w:sz w:val="22"/>
              </w:rPr>
              <w:t>20</w:t>
            </w:r>
          </w:p>
          <w:p w14:paraId="22A2BC1C" w14:textId="77777777" w:rsidR="000C3CD1" w:rsidRPr="00B65E63" w:rsidRDefault="000C3CD1" w:rsidP="000C3CD1">
            <w:pPr>
              <w:spacing w:before="60" w:after="60" w:line="240" w:lineRule="auto"/>
              <w:jc w:val="center"/>
              <w:rPr>
                <w:sz w:val="22"/>
              </w:rPr>
            </w:pPr>
            <w:r w:rsidRPr="00B65E63">
              <w:rPr>
                <w:sz w:val="22"/>
              </w:rPr>
              <w:t>(64.5%)</w:t>
            </w:r>
          </w:p>
        </w:tc>
        <w:tc>
          <w:tcPr>
            <w:tcW w:w="987" w:type="dxa"/>
            <w:hideMark/>
          </w:tcPr>
          <w:p w14:paraId="581754B7" w14:textId="77777777" w:rsidR="000C3CD1" w:rsidRPr="00B65E63" w:rsidRDefault="000C3CD1" w:rsidP="000C3CD1">
            <w:pPr>
              <w:spacing w:before="60" w:after="60" w:line="240" w:lineRule="auto"/>
              <w:jc w:val="center"/>
              <w:rPr>
                <w:sz w:val="22"/>
              </w:rPr>
            </w:pPr>
            <w:r w:rsidRPr="00B65E63">
              <w:rPr>
                <w:sz w:val="22"/>
              </w:rPr>
              <w:t>13</w:t>
            </w:r>
          </w:p>
          <w:p w14:paraId="1219C275" w14:textId="77777777" w:rsidR="000C3CD1" w:rsidRPr="00B65E63" w:rsidRDefault="000C3CD1" w:rsidP="000C3CD1">
            <w:pPr>
              <w:spacing w:before="60" w:after="60" w:line="240" w:lineRule="auto"/>
              <w:jc w:val="center"/>
              <w:rPr>
                <w:sz w:val="22"/>
              </w:rPr>
            </w:pPr>
            <w:r w:rsidRPr="00B65E63">
              <w:rPr>
                <w:sz w:val="22"/>
              </w:rPr>
              <w:t>(41.9%)</w:t>
            </w:r>
          </w:p>
        </w:tc>
        <w:tc>
          <w:tcPr>
            <w:tcW w:w="1317" w:type="dxa"/>
            <w:hideMark/>
          </w:tcPr>
          <w:p w14:paraId="0145AB0B" w14:textId="77777777" w:rsidR="000C3CD1" w:rsidRPr="00B65E63" w:rsidRDefault="000C3CD1" w:rsidP="000C3CD1">
            <w:pPr>
              <w:spacing w:before="60" w:after="60" w:line="240" w:lineRule="auto"/>
              <w:jc w:val="center"/>
              <w:rPr>
                <w:sz w:val="22"/>
              </w:rPr>
            </w:pPr>
            <w:r w:rsidRPr="00B65E63">
              <w:rPr>
                <w:sz w:val="22"/>
              </w:rPr>
              <w:t>15</w:t>
            </w:r>
          </w:p>
          <w:p w14:paraId="68BF82BC" w14:textId="77777777" w:rsidR="000C3CD1" w:rsidRPr="00B65E63" w:rsidRDefault="000C3CD1" w:rsidP="000C3CD1">
            <w:pPr>
              <w:spacing w:before="60" w:after="60" w:line="240" w:lineRule="auto"/>
              <w:jc w:val="center"/>
              <w:rPr>
                <w:sz w:val="22"/>
              </w:rPr>
            </w:pPr>
            <w:r w:rsidRPr="00B65E63">
              <w:rPr>
                <w:sz w:val="22"/>
              </w:rPr>
              <w:t>(48.4%)</w:t>
            </w:r>
          </w:p>
        </w:tc>
        <w:tc>
          <w:tcPr>
            <w:tcW w:w="1056" w:type="dxa"/>
          </w:tcPr>
          <w:p w14:paraId="160759EA" w14:textId="77777777" w:rsidR="000C3CD1" w:rsidRPr="00B65E63" w:rsidRDefault="000C3CD1" w:rsidP="000C3CD1">
            <w:pPr>
              <w:spacing w:before="60" w:after="60" w:line="240" w:lineRule="auto"/>
              <w:jc w:val="center"/>
              <w:rPr>
                <w:sz w:val="22"/>
              </w:rPr>
            </w:pPr>
            <w:r w:rsidRPr="00B65E63">
              <w:rPr>
                <w:sz w:val="22"/>
              </w:rPr>
              <w:t>5</w:t>
            </w:r>
          </w:p>
          <w:p w14:paraId="33112F5D" w14:textId="77777777" w:rsidR="000C3CD1" w:rsidRPr="00B65E63" w:rsidRDefault="000C3CD1" w:rsidP="000C3CD1">
            <w:pPr>
              <w:spacing w:before="60" w:after="60" w:line="240" w:lineRule="auto"/>
              <w:jc w:val="center"/>
              <w:rPr>
                <w:sz w:val="22"/>
              </w:rPr>
            </w:pPr>
            <w:r w:rsidRPr="00B65E63">
              <w:rPr>
                <w:sz w:val="22"/>
              </w:rPr>
              <w:t>(16.1%)</w:t>
            </w:r>
          </w:p>
        </w:tc>
        <w:tc>
          <w:tcPr>
            <w:tcW w:w="926" w:type="dxa"/>
            <w:hideMark/>
          </w:tcPr>
          <w:p w14:paraId="3552D5F5" w14:textId="77777777" w:rsidR="000C3CD1" w:rsidRPr="00B65E63" w:rsidRDefault="000C3CD1" w:rsidP="000C3CD1">
            <w:pPr>
              <w:spacing w:before="60" w:after="60" w:line="240" w:lineRule="auto"/>
              <w:jc w:val="center"/>
              <w:rPr>
                <w:sz w:val="22"/>
              </w:rPr>
            </w:pPr>
            <w:r w:rsidRPr="00B65E63">
              <w:rPr>
                <w:sz w:val="22"/>
              </w:rPr>
              <w:t>2</w:t>
            </w:r>
          </w:p>
          <w:p w14:paraId="45E6E34F" w14:textId="77777777" w:rsidR="000C3CD1" w:rsidRPr="00B65E63" w:rsidRDefault="000C3CD1" w:rsidP="000C3CD1">
            <w:pPr>
              <w:spacing w:before="60" w:after="60" w:line="240" w:lineRule="auto"/>
              <w:jc w:val="center"/>
              <w:rPr>
                <w:sz w:val="22"/>
              </w:rPr>
            </w:pPr>
            <w:r w:rsidRPr="00B65E63">
              <w:rPr>
                <w:sz w:val="22"/>
              </w:rPr>
              <w:t>(6.5%)</w:t>
            </w:r>
          </w:p>
        </w:tc>
        <w:tc>
          <w:tcPr>
            <w:tcW w:w="1545" w:type="dxa"/>
          </w:tcPr>
          <w:p w14:paraId="45AB163B" w14:textId="6BAC253F" w:rsidR="000C3CD1" w:rsidRPr="00B65E63" w:rsidRDefault="000C3CD1" w:rsidP="000C3CD1">
            <w:pPr>
              <w:spacing w:before="60" w:after="60" w:line="240" w:lineRule="auto"/>
              <w:jc w:val="center"/>
              <w:rPr>
                <w:sz w:val="22"/>
              </w:rPr>
            </w:pPr>
            <w:r>
              <w:rPr>
                <w:sz w:val="22"/>
              </w:rPr>
              <w:t>31</w:t>
            </w:r>
          </w:p>
          <w:p w14:paraId="4F80A8AE" w14:textId="7FA60A12" w:rsidR="000C3CD1" w:rsidRPr="00B65E63" w:rsidRDefault="000C3CD1" w:rsidP="000C3CD1">
            <w:pPr>
              <w:spacing w:before="60" w:after="60" w:line="240" w:lineRule="auto"/>
              <w:jc w:val="center"/>
              <w:rPr>
                <w:sz w:val="22"/>
              </w:rPr>
            </w:pPr>
          </w:p>
        </w:tc>
      </w:tr>
    </w:tbl>
    <w:p w14:paraId="4CECACAF" w14:textId="16F3C975" w:rsidR="006D7A0A" w:rsidRDefault="006D7A0A" w:rsidP="006D7A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sz w:val="20"/>
          <w:szCs w:val="20"/>
        </w:rPr>
      </w:pPr>
      <w:r w:rsidRPr="007D7D94">
        <w:rPr>
          <w:rFonts w:cs="Arial"/>
          <w:sz w:val="20"/>
          <w:szCs w:val="20"/>
        </w:rPr>
        <w:t xml:space="preserve">* </w:t>
      </w:r>
      <w:r>
        <w:rPr>
          <w:rFonts w:cs="Arial"/>
          <w:sz w:val="20"/>
          <w:szCs w:val="20"/>
        </w:rPr>
        <w:t>This</w:t>
      </w:r>
      <w:r w:rsidRPr="007D7D94">
        <w:rPr>
          <w:rFonts w:cs="Arial"/>
          <w:sz w:val="20"/>
          <w:szCs w:val="20"/>
        </w:rPr>
        <w:t xml:space="preserve"> is a multiple response question, </w:t>
      </w:r>
      <w:r>
        <w:rPr>
          <w:rFonts w:cs="Arial"/>
          <w:sz w:val="20"/>
          <w:szCs w:val="20"/>
        </w:rPr>
        <w:t xml:space="preserve">so </w:t>
      </w:r>
      <w:r w:rsidR="00AE7C73" w:rsidRPr="00AE7C73">
        <w:rPr>
          <w:rFonts w:cs="Arial"/>
          <w:sz w:val="20"/>
          <w:szCs w:val="20"/>
        </w:rPr>
        <w:t xml:space="preserve">the number of responses per indicator/row </w:t>
      </w:r>
      <w:r w:rsidR="00CD2B54">
        <w:rPr>
          <w:rFonts w:cs="Arial"/>
          <w:sz w:val="20"/>
          <w:szCs w:val="20"/>
        </w:rPr>
        <w:t>totals</w:t>
      </w:r>
      <w:r w:rsidR="00AE7C73" w:rsidRPr="00AE7C73">
        <w:rPr>
          <w:rFonts w:cs="Arial"/>
          <w:sz w:val="20"/>
          <w:szCs w:val="20"/>
        </w:rPr>
        <w:t xml:space="preserve"> more than 31</w:t>
      </w:r>
      <w:r w:rsidR="00AE7C73">
        <w:rPr>
          <w:rFonts w:cs="Arial"/>
          <w:sz w:val="20"/>
          <w:szCs w:val="20"/>
        </w:rPr>
        <w:t>,</w:t>
      </w:r>
      <w:r w:rsidR="00AE7C73" w:rsidRPr="00AE7C73">
        <w:rPr>
          <w:rFonts w:cs="Arial"/>
          <w:sz w:val="20"/>
          <w:szCs w:val="20"/>
        </w:rPr>
        <w:t xml:space="preserve"> as respondents could select more than one response</w:t>
      </w:r>
    </w:p>
    <w:p w14:paraId="7CA2A10A" w14:textId="77777777" w:rsidR="006D7A0A" w:rsidRPr="006D7A0A" w:rsidRDefault="006D7A0A" w:rsidP="006D7A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sz w:val="20"/>
          <w:szCs w:val="20"/>
        </w:rPr>
      </w:pPr>
    </w:p>
    <w:p w14:paraId="2F3BB7DA" w14:textId="461ABA99" w:rsidR="004A1AD2" w:rsidRDefault="00D10897" w:rsidP="00D10897">
      <w:r>
        <w:t xml:space="preserve">The interviews showed variation </w:t>
      </w:r>
      <w:r w:rsidR="007518BE">
        <w:t xml:space="preserve">between </w:t>
      </w:r>
      <w:r w:rsidR="00636E42">
        <w:t>both practices</w:t>
      </w:r>
      <w:r>
        <w:t xml:space="preserve"> and indicators</w:t>
      </w:r>
      <w:r w:rsidR="000F1312">
        <w:t xml:space="preserve"> </w:t>
      </w:r>
      <w:r w:rsidR="007518BE">
        <w:t>regarding</w:t>
      </w:r>
      <w:r w:rsidR="000F1312">
        <w:t xml:space="preserve"> the healthcare professional role required to undertake the annual review</w:t>
      </w:r>
      <w:r>
        <w:t>.</w:t>
      </w:r>
      <w:r w:rsidR="00AF5758">
        <w:t xml:space="preserve"> </w:t>
      </w:r>
      <w:r>
        <w:t>It was also noted that</w:t>
      </w:r>
      <w:r w:rsidR="00682699">
        <w:t xml:space="preserve"> the </w:t>
      </w:r>
      <w:r w:rsidR="00CA787C">
        <w:t xml:space="preserve">staff groups(s) involved </w:t>
      </w:r>
      <w:r>
        <w:t>would depend on the type of review required.</w:t>
      </w:r>
      <w:r w:rsidR="004A1AD2">
        <w:t xml:space="preserve"> </w:t>
      </w:r>
    </w:p>
    <w:p w14:paraId="40D3AFFA" w14:textId="1818E232" w:rsidR="00D10897" w:rsidRDefault="004A1AD2" w:rsidP="00D10897">
      <w:r>
        <w:t xml:space="preserve">When asked about which healthcare professionals would be involved in conducting the reviews and </w:t>
      </w:r>
      <w:proofErr w:type="gramStart"/>
      <w:r>
        <w:t>whether or not</w:t>
      </w:r>
      <w:proofErr w:type="gramEnd"/>
      <w:r>
        <w:t xml:space="preserve"> this would be burdensome for the practice,</w:t>
      </w:r>
      <w:r w:rsidR="009965B8">
        <w:t xml:space="preserve"> </w:t>
      </w:r>
      <w:r>
        <w:t xml:space="preserve">one practice referred to the Additional </w:t>
      </w:r>
      <w:r w:rsidR="007570ED">
        <w:t>R</w:t>
      </w:r>
      <w:r>
        <w:t xml:space="preserve">oles Reimbursement scheme </w:t>
      </w:r>
      <w:r w:rsidR="00456C70">
        <w:t>and the use of these funds to get the staff they need.</w:t>
      </w:r>
    </w:p>
    <w:p w14:paraId="6308C9F6" w14:textId="54E93141" w:rsidR="00456C70" w:rsidRPr="009965B8" w:rsidRDefault="00456C70" w:rsidP="007570ED">
      <w:pPr>
        <w:spacing w:line="276" w:lineRule="auto"/>
        <w:rPr>
          <w:i/>
        </w:rPr>
      </w:pPr>
      <w:r w:rsidRPr="009965B8">
        <w:rPr>
          <w:i/>
        </w:rPr>
        <w:t>“I think particularly with the growth of the ARRS team, I think it’s people who-, if they’re not already there, there are options for them to be already there, according to your priorities and how you spend your ARRS money.” [GP, Interview]</w:t>
      </w:r>
    </w:p>
    <w:p w14:paraId="5D4D08AA" w14:textId="6B47E972" w:rsidR="001865DA" w:rsidRDefault="001865DA" w:rsidP="007570ED">
      <w:pPr>
        <w:pStyle w:val="Heading4"/>
        <w:spacing w:before="360"/>
      </w:pPr>
      <w:r w:rsidRPr="001865DA">
        <w:t>Administrative workload</w:t>
      </w:r>
    </w:p>
    <w:p w14:paraId="6E2EE9CC" w14:textId="247A19A6" w:rsidR="001865DA" w:rsidRDefault="001865DA" w:rsidP="001865DA">
      <w:r>
        <w:t>There were mixed responses to the survey question on whether the indicators would create additional administrative workload, although most responded that the</w:t>
      </w:r>
      <w:r w:rsidR="0075309D">
        <w:t xml:space="preserve"> indicators </w:t>
      </w:r>
      <w:r>
        <w:t>would increase administrative workload</w:t>
      </w:r>
      <w:r w:rsidR="00AD58B2">
        <w:t xml:space="preserve"> either ‘definitely’ or</w:t>
      </w:r>
      <w:r>
        <w:t xml:space="preserve"> ‘to some extent’ (Table </w:t>
      </w:r>
      <w:r w:rsidR="004B59F0">
        <w:t>7</w:t>
      </w:r>
      <w:r>
        <w:t>).</w:t>
      </w:r>
    </w:p>
    <w:p w14:paraId="56FBCB1E" w14:textId="57ED3CE6" w:rsidR="001865DA" w:rsidRPr="004B4482" w:rsidRDefault="001865DA" w:rsidP="001865DA">
      <w:pPr>
        <w:spacing w:line="276" w:lineRule="auto"/>
        <w:rPr>
          <w:u w:val="single"/>
        </w:rPr>
      </w:pPr>
      <w:r w:rsidRPr="004B4482">
        <w:rPr>
          <w:u w:val="single"/>
        </w:rPr>
        <w:lastRenderedPageBreak/>
        <w:t xml:space="preserve">Table </w:t>
      </w:r>
      <w:r w:rsidR="004B59F0">
        <w:rPr>
          <w:u w:val="single"/>
        </w:rPr>
        <w:t>7</w:t>
      </w:r>
      <w:r w:rsidRPr="004B4482">
        <w:rPr>
          <w:u w:val="single"/>
        </w:rPr>
        <w:t xml:space="preserve">: Views on </w:t>
      </w:r>
      <w:r>
        <w:rPr>
          <w:u w:val="single"/>
        </w:rPr>
        <w:t xml:space="preserve">additional administrative workload generated by each indicator </w:t>
      </w:r>
      <w:r w:rsidRPr="004B4482">
        <w:rPr>
          <w:u w:val="single"/>
        </w:rPr>
        <w:t>(survey)</w:t>
      </w:r>
    </w:p>
    <w:tbl>
      <w:tblPr>
        <w:tblStyle w:val="TableGrid"/>
        <w:tblW w:w="8784" w:type="dxa"/>
        <w:tblLook w:val="04A0" w:firstRow="1" w:lastRow="0" w:firstColumn="1" w:lastColumn="0" w:noHBand="0" w:noVBand="1"/>
      </w:tblPr>
      <w:tblGrid>
        <w:gridCol w:w="3958"/>
        <w:gridCol w:w="1085"/>
        <w:gridCol w:w="987"/>
        <w:gridCol w:w="990"/>
        <w:gridCol w:w="926"/>
        <w:gridCol w:w="838"/>
      </w:tblGrid>
      <w:tr w:rsidR="001865DA" w14:paraId="283D092A" w14:textId="77777777" w:rsidTr="00EB5E75">
        <w:tc>
          <w:tcPr>
            <w:tcW w:w="8784" w:type="dxa"/>
            <w:gridSpan w:val="6"/>
            <w:tcBorders>
              <w:top w:val="single" w:sz="4" w:space="0" w:color="auto"/>
              <w:left w:val="single" w:sz="4" w:space="0" w:color="auto"/>
              <w:bottom w:val="single" w:sz="4" w:space="0" w:color="auto"/>
              <w:right w:val="single" w:sz="4" w:space="0" w:color="auto"/>
            </w:tcBorders>
          </w:tcPr>
          <w:p w14:paraId="14AC120C" w14:textId="45A8349E" w:rsidR="001865DA" w:rsidRPr="00B65E63" w:rsidRDefault="001865DA" w:rsidP="00154EC2">
            <w:pPr>
              <w:spacing w:before="60" w:after="60" w:line="240" w:lineRule="auto"/>
              <w:rPr>
                <w:b/>
                <w:sz w:val="22"/>
                <w:szCs w:val="20"/>
              </w:rPr>
            </w:pPr>
            <w:r w:rsidRPr="00B65E63">
              <w:rPr>
                <w:b/>
                <w:sz w:val="22"/>
                <w:szCs w:val="20"/>
              </w:rPr>
              <w:t xml:space="preserve">Will the requirements relating to each indicator generate additional </w:t>
            </w:r>
            <w:r w:rsidR="00B65E63" w:rsidRPr="00B65E63">
              <w:rPr>
                <w:b/>
                <w:sz w:val="22"/>
                <w:szCs w:val="20"/>
              </w:rPr>
              <w:t>administrative</w:t>
            </w:r>
            <w:r w:rsidRPr="00B65E63">
              <w:rPr>
                <w:b/>
                <w:sz w:val="22"/>
                <w:szCs w:val="20"/>
              </w:rPr>
              <w:t xml:space="preserve"> workload?</w:t>
            </w:r>
          </w:p>
        </w:tc>
      </w:tr>
      <w:tr w:rsidR="001865DA" w14:paraId="0A6E08BC" w14:textId="77777777" w:rsidTr="00EB5E75">
        <w:tc>
          <w:tcPr>
            <w:tcW w:w="3958" w:type="dxa"/>
            <w:tcBorders>
              <w:top w:val="single" w:sz="4" w:space="0" w:color="auto"/>
              <w:left w:val="single" w:sz="4" w:space="0" w:color="auto"/>
              <w:bottom w:val="single" w:sz="4" w:space="0" w:color="auto"/>
              <w:right w:val="single" w:sz="4" w:space="0" w:color="auto"/>
            </w:tcBorders>
          </w:tcPr>
          <w:p w14:paraId="48954994" w14:textId="77777777" w:rsidR="001865DA" w:rsidRPr="00B65E63" w:rsidRDefault="001865DA" w:rsidP="00154EC2">
            <w:pPr>
              <w:spacing w:before="60" w:after="60" w:line="240" w:lineRule="auto"/>
              <w:rPr>
                <w:sz w:val="22"/>
                <w:szCs w:val="20"/>
              </w:rPr>
            </w:pPr>
          </w:p>
        </w:tc>
        <w:tc>
          <w:tcPr>
            <w:tcW w:w="1085" w:type="dxa"/>
            <w:tcBorders>
              <w:top w:val="single" w:sz="4" w:space="0" w:color="auto"/>
              <w:left w:val="single" w:sz="4" w:space="0" w:color="auto"/>
              <w:bottom w:val="single" w:sz="4" w:space="0" w:color="auto"/>
              <w:right w:val="single" w:sz="4" w:space="0" w:color="auto"/>
            </w:tcBorders>
            <w:hideMark/>
          </w:tcPr>
          <w:p w14:paraId="22348AE2" w14:textId="77777777" w:rsidR="001865DA" w:rsidRPr="00B65E63" w:rsidRDefault="001865DA" w:rsidP="00154EC2">
            <w:pPr>
              <w:spacing w:before="60" w:after="60" w:line="240" w:lineRule="auto"/>
              <w:jc w:val="center"/>
              <w:rPr>
                <w:sz w:val="22"/>
                <w:szCs w:val="20"/>
              </w:rPr>
            </w:pPr>
            <w:r w:rsidRPr="00B65E63">
              <w:rPr>
                <w:sz w:val="22"/>
                <w:szCs w:val="20"/>
              </w:rPr>
              <w:t>Yes, definitely</w:t>
            </w:r>
          </w:p>
        </w:tc>
        <w:tc>
          <w:tcPr>
            <w:tcW w:w="987" w:type="dxa"/>
            <w:tcBorders>
              <w:top w:val="single" w:sz="4" w:space="0" w:color="auto"/>
              <w:left w:val="single" w:sz="4" w:space="0" w:color="auto"/>
              <w:bottom w:val="single" w:sz="4" w:space="0" w:color="auto"/>
              <w:right w:val="single" w:sz="4" w:space="0" w:color="auto"/>
            </w:tcBorders>
            <w:hideMark/>
          </w:tcPr>
          <w:p w14:paraId="54C0CAF4" w14:textId="77777777" w:rsidR="001865DA" w:rsidRPr="00B65E63" w:rsidRDefault="001865DA" w:rsidP="00154EC2">
            <w:pPr>
              <w:spacing w:before="60" w:after="60" w:line="240" w:lineRule="auto"/>
              <w:jc w:val="center"/>
              <w:rPr>
                <w:sz w:val="22"/>
                <w:szCs w:val="20"/>
              </w:rPr>
            </w:pPr>
            <w:r w:rsidRPr="00B65E63">
              <w:rPr>
                <w:sz w:val="22"/>
                <w:szCs w:val="20"/>
              </w:rPr>
              <w:t xml:space="preserve">Yes, to some extent </w:t>
            </w:r>
          </w:p>
        </w:tc>
        <w:tc>
          <w:tcPr>
            <w:tcW w:w="990" w:type="dxa"/>
            <w:tcBorders>
              <w:top w:val="single" w:sz="4" w:space="0" w:color="auto"/>
              <w:left w:val="single" w:sz="4" w:space="0" w:color="auto"/>
              <w:bottom w:val="single" w:sz="4" w:space="0" w:color="auto"/>
              <w:right w:val="single" w:sz="4" w:space="0" w:color="auto"/>
            </w:tcBorders>
            <w:hideMark/>
          </w:tcPr>
          <w:p w14:paraId="0336DE18" w14:textId="77777777" w:rsidR="001865DA" w:rsidRPr="00B65E63" w:rsidRDefault="001865DA" w:rsidP="00154EC2">
            <w:pPr>
              <w:spacing w:before="60" w:after="60" w:line="240" w:lineRule="auto"/>
              <w:jc w:val="center"/>
              <w:rPr>
                <w:sz w:val="22"/>
                <w:szCs w:val="20"/>
              </w:rPr>
            </w:pPr>
            <w:r w:rsidRPr="00B65E63">
              <w:rPr>
                <w:sz w:val="22"/>
                <w:szCs w:val="20"/>
              </w:rPr>
              <w:t>No</w:t>
            </w:r>
          </w:p>
        </w:tc>
        <w:tc>
          <w:tcPr>
            <w:tcW w:w="926" w:type="dxa"/>
            <w:tcBorders>
              <w:top w:val="single" w:sz="4" w:space="0" w:color="auto"/>
              <w:left w:val="single" w:sz="4" w:space="0" w:color="auto"/>
              <w:bottom w:val="single" w:sz="4" w:space="0" w:color="auto"/>
              <w:right w:val="single" w:sz="4" w:space="0" w:color="auto"/>
            </w:tcBorders>
          </w:tcPr>
          <w:p w14:paraId="6AF2DDF6" w14:textId="77777777" w:rsidR="001865DA" w:rsidRPr="00B65E63" w:rsidRDefault="001865DA" w:rsidP="00154EC2">
            <w:pPr>
              <w:spacing w:before="60" w:after="60" w:line="240" w:lineRule="auto"/>
              <w:jc w:val="center"/>
              <w:rPr>
                <w:sz w:val="22"/>
                <w:szCs w:val="20"/>
              </w:rPr>
            </w:pPr>
            <w:r w:rsidRPr="00B65E63">
              <w:rPr>
                <w:sz w:val="22"/>
                <w:szCs w:val="20"/>
              </w:rPr>
              <w:t>Unsure</w:t>
            </w:r>
          </w:p>
        </w:tc>
        <w:tc>
          <w:tcPr>
            <w:tcW w:w="838" w:type="dxa"/>
            <w:tcBorders>
              <w:top w:val="single" w:sz="4" w:space="0" w:color="auto"/>
              <w:left w:val="single" w:sz="4" w:space="0" w:color="auto"/>
              <w:bottom w:val="single" w:sz="4" w:space="0" w:color="auto"/>
              <w:right w:val="single" w:sz="4" w:space="0" w:color="auto"/>
            </w:tcBorders>
            <w:hideMark/>
          </w:tcPr>
          <w:p w14:paraId="023A1CC3" w14:textId="77777777" w:rsidR="001865DA" w:rsidRPr="00B65E63" w:rsidRDefault="001865DA" w:rsidP="00154EC2">
            <w:pPr>
              <w:spacing w:before="60" w:after="60" w:line="240" w:lineRule="auto"/>
              <w:jc w:val="center"/>
              <w:rPr>
                <w:sz w:val="22"/>
                <w:szCs w:val="20"/>
              </w:rPr>
            </w:pPr>
            <w:r w:rsidRPr="00B65E63">
              <w:rPr>
                <w:sz w:val="22"/>
                <w:szCs w:val="20"/>
              </w:rPr>
              <w:t>Total</w:t>
            </w:r>
          </w:p>
        </w:tc>
      </w:tr>
      <w:tr w:rsidR="001865DA" w14:paraId="7400CB34" w14:textId="77777777" w:rsidTr="00EB5E75">
        <w:trPr>
          <w:trHeight w:val="804"/>
        </w:trPr>
        <w:tc>
          <w:tcPr>
            <w:tcW w:w="3958" w:type="dxa"/>
            <w:tcBorders>
              <w:top w:val="single" w:sz="4" w:space="0" w:color="auto"/>
              <w:left w:val="single" w:sz="4" w:space="0" w:color="auto"/>
              <w:bottom w:val="single" w:sz="4" w:space="0" w:color="auto"/>
              <w:right w:val="single" w:sz="4" w:space="0" w:color="auto"/>
            </w:tcBorders>
            <w:hideMark/>
          </w:tcPr>
          <w:p w14:paraId="3A51C800" w14:textId="77777777" w:rsidR="001865DA" w:rsidRPr="00B65E63" w:rsidRDefault="001865DA" w:rsidP="00154EC2">
            <w:pPr>
              <w:spacing w:before="60" w:after="60" w:line="240" w:lineRule="auto"/>
              <w:rPr>
                <w:sz w:val="22"/>
                <w:szCs w:val="20"/>
              </w:rPr>
            </w:pPr>
            <w:r w:rsidRPr="00B65E63">
              <w:rPr>
                <w:sz w:val="22"/>
                <w:szCs w:val="20"/>
              </w:rPr>
              <w:t>Indicator 1: Annual review of all adults receiving drug treatment for epilepsy</w:t>
            </w:r>
          </w:p>
        </w:tc>
        <w:tc>
          <w:tcPr>
            <w:tcW w:w="1085" w:type="dxa"/>
            <w:tcBorders>
              <w:top w:val="single" w:sz="4" w:space="0" w:color="auto"/>
              <w:left w:val="single" w:sz="4" w:space="0" w:color="auto"/>
              <w:bottom w:val="single" w:sz="4" w:space="0" w:color="auto"/>
              <w:right w:val="single" w:sz="4" w:space="0" w:color="auto"/>
            </w:tcBorders>
            <w:hideMark/>
          </w:tcPr>
          <w:p w14:paraId="6E727F34" w14:textId="77777777" w:rsidR="001865DA" w:rsidRPr="00B65E63" w:rsidRDefault="001865DA" w:rsidP="00154EC2">
            <w:pPr>
              <w:spacing w:before="60" w:after="60" w:line="240" w:lineRule="auto"/>
              <w:jc w:val="center"/>
              <w:rPr>
                <w:sz w:val="22"/>
                <w:szCs w:val="20"/>
              </w:rPr>
            </w:pPr>
            <w:r w:rsidRPr="00B65E63">
              <w:rPr>
                <w:sz w:val="22"/>
                <w:szCs w:val="20"/>
              </w:rPr>
              <w:t>12</w:t>
            </w:r>
          </w:p>
          <w:p w14:paraId="3986EF4B" w14:textId="77777777" w:rsidR="001865DA" w:rsidRPr="00B65E63" w:rsidRDefault="001865DA" w:rsidP="00154EC2">
            <w:pPr>
              <w:spacing w:before="60" w:after="60" w:line="240" w:lineRule="auto"/>
              <w:jc w:val="center"/>
              <w:rPr>
                <w:sz w:val="22"/>
                <w:szCs w:val="20"/>
              </w:rPr>
            </w:pPr>
            <w:r w:rsidRPr="00B65E63">
              <w:rPr>
                <w:sz w:val="22"/>
                <w:szCs w:val="20"/>
              </w:rPr>
              <w:t>(37.5%)</w:t>
            </w:r>
          </w:p>
        </w:tc>
        <w:tc>
          <w:tcPr>
            <w:tcW w:w="987" w:type="dxa"/>
            <w:tcBorders>
              <w:top w:val="single" w:sz="4" w:space="0" w:color="auto"/>
              <w:left w:val="single" w:sz="4" w:space="0" w:color="auto"/>
              <w:bottom w:val="single" w:sz="4" w:space="0" w:color="auto"/>
              <w:right w:val="single" w:sz="4" w:space="0" w:color="auto"/>
            </w:tcBorders>
            <w:hideMark/>
          </w:tcPr>
          <w:p w14:paraId="0896DE66" w14:textId="77777777" w:rsidR="001865DA" w:rsidRPr="00B65E63" w:rsidRDefault="001865DA" w:rsidP="00154EC2">
            <w:pPr>
              <w:spacing w:before="60" w:after="60" w:line="240" w:lineRule="auto"/>
              <w:jc w:val="center"/>
              <w:rPr>
                <w:sz w:val="22"/>
                <w:szCs w:val="20"/>
              </w:rPr>
            </w:pPr>
            <w:r w:rsidRPr="00B65E63">
              <w:rPr>
                <w:sz w:val="22"/>
                <w:szCs w:val="20"/>
              </w:rPr>
              <w:t>14</w:t>
            </w:r>
          </w:p>
          <w:p w14:paraId="1EDEB3D7" w14:textId="77777777" w:rsidR="001865DA" w:rsidRPr="00B65E63" w:rsidRDefault="001865DA" w:rsidP="00154EC2">
            <w:pPr>
              <w:spacing w:before="60" w:after="60" w:line="240" w:lineRule="auto"/>
              <w:jc w:val="center"/>
              <w:rPr>
                <w:sz w:val="22"/>
                <w:szCs w:val="20"/>
              </w:rPr>
            </w:pPr>
            <w:r w:rsidRPr="00B65E63">
              <w:rPr>
                <w:sz w:val="22"/>
                <w:szCs w:val="20"/>
              </w:rPr>
              <w:t>(43.8%)</w:t>
            </w:r>
          </w:p>
        </w:tc>
        <w:tc>
          <w:tcPr>
            <w:tcW w:w="990" w:type="dxa"/>
            <w:tcBorders>
              <w:top w:val="single" w:sz="4" w:space="0" w:color="auto"/>
              <w:left w:val="single" w:sz="4" w:space="0" w:color="auto"/>
              <w:bottom w:val="single" w:sz="4" w:space="0" w:color="auto"/>
              <w:right w:val="single" w:sz="4" w:space="0" w:color="auto"/>
            </w:tcBorders>
            <w:hideMark/>
          </w:tcPr>
          <w:p w14:paraId="60A60F34" w14:textId="77777777" w:rsidR="001865DA" w:rsidRPr="00B65E63" w:rsidRDefault="001865DA" w:rsidP="00154EC2">
            <w:pPr>
              <w:spacing w:before="60" w:after="60" w:line="240" w:lineRule="auto"/>
              <w:jc w:val="center"/>
              <w:rPr>
                <w:sz w:val="22"/>
                <w:szCs w:val="20"/>
              </w:rPr>
            </w:pPr>
            <w:r w:rsidRPr="00B65E63">
              <w:rPr>
                <w:sz w:val="22"/>
                <w:szCs w:val="20"/>
              </w:rPr>
              <w:t>4</w:t>
            </w:r>
          </w:p>
          <w:p w14:paraId="5DA21E66" w14:textId="77777777" w:rsidR="001865DA" w:rsidRPr="00B65E63" w:rsidRDefault="001865DA" w:rsidP="00154EC2">
            <w:pPr>
              <w:spacing w:before="60" w:after="60" w:line="240" w:lineRule="auto"/>
              <w:jc w:val="center"/>
              <w:rPr>
                <w:sz w:val="22"/>
                <w:szCs w:val="20"/>
              </w:rPr>
            </w:pPr>
            <w:r w:rsidRPr="00B65E63">
              <w:rPr>
                <w:sz w:val="22"/>
                <w:szCs w:val="20"/>
              </w:rPr>
              <w:t>(12.5%)</w:t>
            </w:r>
          </w:p>
        </w:tc>
        <w:tc>
          <w:tcPr>
            <w:tcW w:w="926" w:type="dxa"/>
            <w:tcBorders>
              <w:top w:val="single" w:sz="4" w:space="0" w:color="auto"/>
              <w:left w:val="single" w:sz="4" w:space="0" w:color="auto"/>
              <w:bottom w:val="single" w:sz="4" w:space="0" w:color="auto"/>
              <w:right w:val="single" w:sz="4" w:space="0" w:color="auto"/>
            </w:tcBorders>
          </w:tcPr>
          <w:p w14:paraId="2F750719" w14:textId="77777777" w:rsidR="001865DA" w:rsidRPr="00B65E63" w:rsidRDefault="001865DA" w:rsidP="00154EC2">
            <w:pPr>
              <w:spacing w:before="60" w:after="60" w:line="240" w:lineRule="auto"/>
              <w:jc w:val="center"/>
              <w:rPr>
                <w:sz w:val="22"/>
                <w:szCs w:val="20"/>
              </w:rPr>
            </w:pPr>
            <w:r w:rsidRPr="00B65E63">
              <w:rPr>
                <w:sz w:val="22"/>
                <w:szCs w:val="20"/>
              </w:rPr>
              <w:t>2</w:t>
            </w:r>
          </w:p>
          <w:p w14:paraId="379E0DF8" w14:textId="77777777" w:rsidR="001865DA" w:rsidRPr="00B65E63" w:rsidRDefault="001865DA" w:rsidP="00154EC2">
            <w:pPr>
              <w:spacing w:before="60" w:after="60" w:line="240" w:lineRule="auto"/>
              <w:jc w:val="center"/>
              <w:rPr>
                <w:sz w:val="22"/>
                <w:szCs w:val="20"/>
              </w:rPr>
            </w:pPr>
            <w:r w:rsidRPr="00B65E63">
              <w:rPr>
                <w:sz w:val="22"/>
                <w:szCs w:val="20"/>
              </w:rPr>
              <w:t>(6.3%)</w:t>
            </w:r>
          </w:p>
        </w:tc>
        <w:tc>
          <w:tcPr>
            <w:tcW w:w="838" w:type="dxa"/>
            <w:tcBorders>
              <w:top w:val="single" w:sz="4" w:space="0" w:color="auto"/>
              <w:left w:val="single" w:sz="4" w:space="0" w:color="auto"/>
              <w:bottom w:val="single" w:sz="4" w:space="0" w:color="auto"/>
              <w:right w:val="single" w:sz="4" w:space="0" w:color="auto"/>
            </w:tcBorders>
            <w:hideMark/>
          </w:tcPr>
          <w:p w14:paraId="458AAC4C" w14:textId="77777777" w:rsidR="001865DA" w:rsidRPr="00B65E63" w:rsidRDefault="001865DA" w:rsidP="00154EC2">
            <w:pPr>
              <w:spacing w:before="60" w:after="60" w:line="240" w:lineRule="auto"/>
              <w:jc w:val="center"/>
              <w:rPr>
                <w:sz w:val="22"/>
                <w:szCs w:val="20"/>
              </w:rPr>
            </w:pPr>
            <w:r w:rsidRPr="00B65E63">
              <w:rPr>
                <w:sz w:val="22"/>
                <w:szCs w:val="20"/>
              </w:rPr>
              <w:t>32</w:t>
            </w:r>
          </w:p>
        </w:tc>
      </w:tr>
      <w:tr w:rsidR="001865DA" w14:paraId="7E57C285" w14:textId="77777777" w:rsidTr="00EB5E75">
        <w:tc>
          <w:tcPr>
            <w:tcW w:w="3958" w:type="dxa"/>
            <w:tcBorders>
              <w:top w:val="single" w:sz="4" w:space="0" w:color="auto"/>
              <w:left w:val="single" w:sz="4" w:space="0" w:color="auto"/>
              <w:bottom w:val="single" w:sz="4" w:space="0" w:color="auto"/>
              <w:right w:val="single" w:sz="4" w:space="0" w:color="auto"/>
            </w:tcBorders>
            <w:hideMark/>
          </w:tcPr>
          <w:p w14:paraId="5D8083CC" w14:textId="77777777" w:rsidR="001865DA" w:rsidRPr="00B65E63" w:rsidRDefault="001865DA" w:rsidP="00154EC2">
            <w:pPr>
              <w:spacing w:before="60" w:after="60" w:line="240" w:lineRule="auto"/>
              <w:rPr>
                <w:sz w:val="22"/>
                <w:szCs w:val="20"/>
              </w:rPr>
            </w:pPr>
            <w:r w:rsidRPr="00B65E63">
              <w:rPr>
                <w:sz w:val="22"/>
                <w:szCs w:val="20"/>
              </w:rPr>
              <w:t>Indicator 2: Annual review of adults with a learning disability and epilepsy</w:t>
            </w:r>
          </w:p>
        </w:tc>
        <w:tc>
          <w:tcPr>
            <w:tcW w:w="1085" w:type="dxa"/>
            <w:tcBorders>
              <w:top w:val="single" w:sz="4" w:space="0" w:color="auto"/>
              <w:left w:val="single" w:sz="4" w:space="0" w:color="auto"/>
              <w:bottom w:val="single" w:sz="4" w:space="0" w:color="auto"/>
              <w:right w:val="single" w:sz="4" w:space="0" w:color="auto"/>
            </w:tcBorders>
            <w:hideMark/>
          </w:tcPr>
          <w:p w14:paraId="264D1755" w14:textId="77777777" w:rsidR="001865DA" w:rsidRPr="00B65E63" w:rsidRDefault="001865DA" w:rsidP="00154EC2">
            <w:pPr>
              <w:spacing w:before="60" w:after="60" w:line="240" w:lineRule="auto"/>
              <w:jc w:val="center"/>
              <w:rPr>
                <w:sz w:val="22"/>
                <w:szCs w:val="20"/>
              </w:rPr>
            </w:pPr>
            <w:r w:rsidRPr="00B65E63">
              <w:rPr>
                <w:sz w:val="22"/>
                <w:szCs w:val="20"/>
              </w:rPr>
              <w:t>10</w:t>
            </w:r>
          </w:p>
          <w:p w14:paraId="7684D2C5" w14:textId="77777777" w:rsidR="001865DA" w:rsidRPr="00B65E63" w:rsidRDefault="001865DA" w:rsidP="00154EC2">
            <w:pPr>
              <w:spacing w:before="60" w:after="60" w:line="240" w:lineRule="auto"/>
              <w:jc w:val="center"/>
              <w:rPr>
                <w:sz w:val="22"/>
                <w:szCs w:val="20"/>
              </w:rPr>
            </w:pPr>
            <w:r w:rsidRPr="00B65E63">
              <w:rPr>
                <w:sz w:val="22"/>
                <w:szCs w:val="20"/>
              </w:rPr>
              <w:t>(31.3%)</w:t>
            </w:r>
          </w:p>
        </w:tc>
        <w:tc>
          <w:tcPr>
            <w:tcW w:w="987" w:type="dxa"/>
            <w:tcBorders>
              <w:top w:val="single" w:sz="4" w:space="0" w:color="auto"/>
              <w:left w:val="single" w:sz="4" w:space="0" w:color="auto"/>
              <w:bottom w:val="single" w:sz="4" w:space="0" w:color="auto"/>
              <w:right w:val="single" w:sz="4" w:space="0" w:color="auto"/>
            </w:tcBorders>
            <w:hideMark/>
          </w:tcPr>
          <w:p w14:paraId="6096C6ED" w14:textId="77777777" w:rsidR="001865DA" w:rsidRPr="00B65E63" w:rsidRDefault="001865DA" w:rsidP="00154EC2">
            <w:pPr>
              <w:spacing w:before="60" w:after="60" w:line="240" w:lineRule="auto"/>
              <w:jc w:val="center"/>
              <w:rPr>
                <w:sz w:val="22"/>
                <w:szCs w:val="20"/>
              </w:rPr>
            </w:pPr>
            <w:r w:rsidRPr="00B65E63">
              <w:rPr>
                <w:sz w:val="22"/>
                <w:szCs w:val="20"/>
              </w:rPr>
              <w:t>15</w:t>
            </w:r>
          </w:p>
          <w:p w14:paraId="135A5994" w14:textId="77777777" w:rsidR="001865DA" w:rsidRPr="00B65E63" w:rsidRDefault="001865DA" w:rsidP="00154EC2">
            <w:pPr>
              <w:spacing w:before="60" w:after="60" w:line="240" w:lineRule="auto"/>
              <w:jc w:val="center"/>
              <w:rPr>
                <w:sz w:val="22"/>
                <w:szCs w:val="20"/>
              </w:rPr>
            </w:pPr>
            <w:r w:rsidRPr="00B65E63">
              <w:rPr>
                <w:sz w:val="22"/>
                <w:szCs w:val="20"/>
              </w:rPr>
              <w:t>(46.9%)</w:t>
            </w:r>
          </w:p>
        </w:tc>
        <w:tc>
          <w:tcPr>
            <w:tcW w:w="990" w:type="dxa"/>
            <w:tcBorders>
              <w:top w:val="single" w:sz="4" w:space="0" w:color="auto"/>
              <w:left w:val="single" w:sz="4" w:space="0" w:color="auto"/>
              <w:bottom w:val="single" w:sz="4" w:space="0" w:color="auto"/>
              <w:right w:val="single" w:sz="4" w:space="0" w:color="auto"/>
            </w:tcBorders>
            <w:hideMark/>
          </w:tcPr>
          <w:p w14:paraId="0C2B3053" w14:textId="77777777" w:rsidR="001865DA" w:rsidRPr="00B65E63" w:rsidRDefault="001865DA" w:rsidP="00154EC2">
            <w:pPr>
              <w:spacing w:before="60" w:after="60" w:line="240" w:lineRule="auto"/>
              <w:jc w:val="center"/>
              <w:rPr>
                <w:sz w:val="22"/>
                <w:szCs w:val="20"/>
              </w:rPr>
            </w:pPr>
            <w:r w:rsidRPr="00B65E63">
              <w:rPr>
                <w:sz w:val="22"/>
                <w:szCs w:val="20"/>
              </w:rPr>
              <w:t>5</w:t>
            </w:r>
          </w:p>
          <w:p w14:paraId="6FE9A469" w14:textId="15D6AAFD" w:rsidR="001865DA" w:rsidRPr="00B65E63" w:rsidRDefault="001865DA" w:rsidP="00154EC2">
            <w:pPr>
              <w:spacing w:before="60" w:after="60" w:line="240" w:lineRule="auto"/>
              <w:jc w:val="center"/>
              <w:rPr>
                <w:sz w:val="22"/>
                <w:szCs w:val="20"/>
              </w:rPr>
            </w:pPr>
            <w:r w:rsidRPr="00B65E63">
              <w:rPr>
                <w:sz w:val="22"/>
                <w:szCs w:val="20"/>
              </w:rPr>
              <w:t>(15.6%)</w:t>
            </w:r>
          </w:p>
        </w:tc>
        <w:tc>
          <w:tcPr>
            <w:tcW w:w="926" w:type="dxa"/>
            <w:tcBorders>
              <w:top w:val="single" w:sz="4" w:space="0" w:color="auto"/>
              <w:left w:val="single" w:sz="4" w:space="0" w:color="auto"/>
              <w:bottom w:val="single" w:sz="4" w:space="0" w:color="auto"/>
              <w:right w:val="single" w:sz="4" w:space="0" w:color="auto"/>
            </w:tcBorders>
          </w:tcPr>
          <w:p w14:paraId="71553C30" w14:textId="77777777" w:rsidR="001865DA" w:rsidRPr="00B65E63" w:rsidRDefault="001865DA" w:rsidP="00154EC2">
            <w:pPr>
              <w:spacing w:before="60" w:after="60" w:line="240" w:lineRule="auto"/>
              <w:jc w:val="center"/>
              <w:rPr>
                <w:sz w:val="22"/>
                <w:szCs w:val="20"/>
              </w:rPr>
            </w:pPr>
            <w:r w:rsidRPr="00B65E63">
              <w:rPr>
                <w:sz w:val="22"/>
                <w:szCs w:val="20"/>
              </w:rPr>
              <w:t>2</w:t>
            </w:r>
          </w:p>
          <w:p w14:paraId="6DF2FAF1" w14:textId="77777777" w:rsidR="001865DA" w:rsidRPr="00B65E63" w:rsidRDefault="001865DA" w:rsidP="00154EC2">
            <w:pPr>
              <w:spacing w:before="60" w:after="60" w:line="240" w:lineRule="auto"/>
              <w:jc w:val="center"/>
              <w:rPr>
                <w:sz w:val="22"/>
                <w:szCs w:val="20"/>
              </w:rPr>
            </w:pPr>
            <w:r w:rsidRPr="00B65E63">
              <w:rPr>
                <w:sz w:val="22"/>
                <w:szCs w:val="20"/>
              </w:rPr>
              <w:t>(6.3%)</w:t>
            </w:r>
          </w:p>
        </w:tc>
        <w:tc>
          <w:tcPr>
            <w:tcW w:w="838" w:type="dxa"/>
            <w:tcBorders>
              <w:top w:val="single" w:sz="4" w:space="0" w:color="auto"/>
              <w:left w:val="single" w:sz="4" w:space="0" w:color="auto"/>
              <w:bottom w:val="single" w:sz="4" w:space="0" w:color="auto"/>
              <w:right w:val="single" w:sz="4" w:space="0" w:color="auto"/>
            </w:tcBorders>
            <w:hideMark/>
          </w:tcPr>
          <w:p w14:paraId="1D91D2FC" w14:textId="77777777" w:rsidR="001865DA" w:rsidRPr="00B65E63" w:rsidRDefault="001865DA" w:rsidP="00154EC2">
            <w:pPr>
              <w:spacing w:before="60" w:after="60" w:line="240" w:lineRule="auto"/>
              <w:jc w:val="center"/>
              <w:rPr>
                <w:sz w:val="22"/>
                <w:szCs w:val="20"/>
              </w:rPr>
            </w:pPr>
            <w:r w:rsidRPr="00B65E63">
              <w:rPr>
                <w:sz w:val="22"/>
                <w:szCs w:val="20"/>
              </w:rPr>
              <w:t>32</w:t>
            </w:r>
          </w:p>
        </w:tc>
      </w:tr>
      <w:tr w:rsidR="001865DA" w14:paraId="126C4548" w14:textId="77777777" w:rsidTr="00EB5E75">
        <w:tc>
          <w:tcPr>
            <w:tcW w:w="3958" w:type="dxa"/>
            <w:tcBorders>
              <w:top w:val="single" w:sz="4" w:space="0" w:color="auto"/>
              <w:left w:val="single" w:sz="4" w:space="0" w:color="auto"/>
              <w:bottom w:val="single" w:sz="4" w:space="0" w:color="auto"/>
              <w:right w:val="single" w:sz="4" w:space="0" w:color="auto"/>
            </w:tcBorders>
          </w:tcPr>
          <w:p w14:paraId="1136CE8D" w14:textId="483B8D83" w:rsidR="001865DA" w:rsidRPr="00B65E63" w:rsidRDefault="001865DA" w:rsidP="00154EC2">
            <w:pPr>
              <w:spacing w:before="60" w:after="60" w:line="240" w:lineRule="auto"/>
              <w:rPr>
                <w:sz w:val="22"/>
                <w:szCs w:val="20"/>
              </w:rPr>
            </w:pPr>
            <w:r w:rsidRPr="00B65E63">
              <w:rPr>
                <w:sz w:val="22"/>
                <w:szCs w:val="20"/>
              </w:rPr>
              <w:t>Indicator 3: Annual review of adults with a mental health condition and epilepsy</w:t>
            </w:r>
          </w:p>
        </w:tc>
        <w:tc>
          <w:tcPr>
            <w:tcW w:w="1085" w:type="dxa"/>
            <w:tcBorders>
              <w:top w:val="single" w:sz="4" w:space="0" w:color="auto"/>
              <w:left w:val="single" w:sz="4" w:space="0" w:color="auto"/>
              <w:bottom w:val="single" w:sz="4" w:space="0" w:color="auto"/>
              <w:right w:val="single" w:sz="4" w:space="0" w:color="auto"/>
            </w:tcBorders>
            <w:hideMark/>
          </w:tcPr>
          <w:p w14:paraId="7E9EB483" w14:textId="77777777" w:rsidR="001865DA" w:rsidRPr="00B65E63" w:rsidRDefault="001865DA" w:rsidP="00154EC2">
            <w:pPr>
              <w:spacing w:before="60" w:after="60" w:line="240" w:lineRule="auto"/>
              <w:jc w:val="center"/>
              <w:rPr>
                <w:sz w:val="22"/>
                <w:szCs w:val="20"/>
              </w:rPr>
            </w:pPr>
            <w:r w:rsidRPr="00B65E63">
              <w:rPr>
                <w:sz w:val="22"/>
                <w:szCs w:val="20"/>
              </w:rPr>
              <w:t>11</w:t>
            </w:r>
          </w:p>
          <w:p w14:paraId="297FF5C2" w14:textId="77777777" w:rsidR="001865DA" w:rsidRPr="00B65E63" w:rsidRDefault="001865DA" w:rsidP="00154EC2">
            <w:pPr>
              <w:spacing w:before="60" w:after="60" w:line="240" w:lineRule="auto"/>
              <w:jc w:val="center"/>
              <w:rPr>
                <w:sz w:val="22"/>
                <w:szCs w:val="20"/>
              </w:rPr>
            </w:pPr>
            <w:r w:rsidRPr="00B65E63">
              <w:rPr>
                <w:sz w:val="22"/>
                <w:szCs w:val="20"/>
              </w:rPr>
              <w:t>(34.4%)</w:t>
            </w:r>
          </w:p>
        </w:tc>
        <w:tc>
          <w:tcPr>
            <w:tcW w:w="987" w:type="dxa"/>
            <w:tcBorders>
              <w:top w:val="single" w:sz="4" w:space="0" w:color="auto"/>
              <w:left w:val="single" w:sz="4" w:space="0" w:color="auto"/>
              <w:bottom w:val="single" w:sz="4" w:space="0" w:color="auto"/>
              <w:right w:val="single" w:sz="4" w:space="0" w:color="auto"/>
            </w:tcBorders>
            <w:hideMark/>
          </w:tcPr>
          <w:p w14:paraId="2D03EA2C" w14:textId="77777777" w:rsidR="001865DA" w:rsidRPr="00B65E63" w:rsidRDefault="001865DA" w:rsidP="00154EC2">
            <w:pPr>
              <w:spacing w:before="60" w:after="60" w:line="240" w:lineRule="auto"/>
              <w:jc w:val="center"/>
              <w:rPr>
                <w:sz w:val="22"/>
                <w:szCs w:val="20"/>
              </w:rPr>
            </w:pPr>
            <w:r w:rsidRPr="00B65E63">
              <w:rPr>
                <w:sz w:val="22"/>
                <w:szCs w:val="20"/>
              </w:rPr>
              <w:t>14</w:t>
            </w:r>
          </w:p>
          <w:p w14:paraId="0A3B5388" w14:textId="77777777" w:rsidR="001865DA" w:rsidRPr="00B65E63" w:rsidRDefault="001865DA" w:rsidP="00154EC2">
            <w:pPr>
              <w:spacing w:before="60" w:after="60" w:line="240" w:lineRule="auto"/>
              <w:jc w:val="center"/>
              <w:rPr>
                <w:sz w:val="22"/>
                <w:szCs w:val="20"/>
              </w:rPr>
            </w:pPr>
            <w:r w:rsidRPr="00B65E63">
              <w:rPr>
                <w:sz w:val="22"/>
                <w:szCs w:val="20"/>
              </w:rPr>
              <w:t>(43.8%)</w:t>
            </w:r>
          </w:p>
        </w:tc>
        <w:tc>
          <w:tcPr>
            <w:tcW w:w="990" w:type="dxa"/>
            <w:tcBorders>
              <w:top w:val="single" w:sz="4" w:space="0" w:color="auto"/>
              <w:left w:val="single" w:sz="4" w:space="0" w:color="auto"/>
              <w:bottom w:val="single" w:sz="4" w:space="0" w:color="auto"/>
              <w:right w:val="single" w:sz="4" w:space="0" w:color="auto"/>
            </w:tcBorders>
            <w:hideMark/>
          </w:tcPr>
          <w:p w14:paraId="21004F11" w14:textId="77777777" w:rsidR="001865DA" w:rsidRPr="00B65E63" w:rsidRDefault="001865DA" w:rsidP="00154EC2">
            <w:pPr>
              <w:spacing w:before="60" w:after="60" w:line="240" w:lineRule="auto"/>
              <w:jc w:val="center"/>
              <w:rPr>
                <w:sz w:val="22"/>
                <w:szCs w:val="20"/>
              </w:rPr>
            </w:pPr>
            <w:r w:rsidRPr="00B65E63">
              <w:rPr>
                <w:sz w:val="22"/>
                <w:szCs w:val="20"/>
              </w:rPr>
              <w:t>5</w:t>
            </w:r>
          </w:p>
          <w:p w14:paraId="23E5FDAB" w14:textId="77777777" w:rsidR="001865DA" w:rsidRPr="00B65E63" w:rsidRDefault="001865DA" w:rsidP="00154EC2">
            <w:pPr>
              <w:spacing w:before="60" w:after="60" w:line="240" w:lineRule="auto"/>
              <w:jc w:val="center"/>
              <w:rPr>
                <w:sz w:val="22"/>
                <w:szCs w:val="20"/>
              </w:rPr>
            </w:pPr>
            <w:r w:rsidRPr="00B65E63">
              <w:rPr>
                <w:sz w:val="22"/>
                <w:szCs w:val="20"/>
              </w:rPr>
              <w:t>(15.6%)</w:t>
            </w:r>
          </w:p>
        </w:tc>
        <w:tc>
          <w:tcPr>
            <w:tcW w:w="926" w:type="dxa"/>
            <w:tcBorders>
              <w:top w:val="single" w:sz="4" w:space="0" w:color="auto"/>
              <w:left w:val="single" w:sz="4" w:space="0" w:color="auto"/>
              <w:bottom w:val="single" w:sz="4" w:space="0" w:color="auto"/>
              <w:right w:val="single" w:sz="4" w:space="0" w:color="auto"/>
            </w:tcBorders>
          </w:tcPr>
          <w:p w14:paraId="49414F54" w14:textId="77777777" w:rsidR="001865DA" w:rsidRPr="00B65E63" w:rsidRDefault="001865DA" w:rsidP="00154EC2">
            <w:pPr>
              <w:spacing w:before="60" w:after="60" w:line="240" w:lineRule="auto"/>
              <w:jc w:val="center"/>
              <w:rPr>
                <w:sz w:val="22"/>
                <w:szCs w:val="20"/>
              </w:rPr>
            </w:pPr>
            <w:r w:rsidRPr="00B65E63">
              <w:rPr>
                <w:sz w:val="22"/>
                <w:szCs w:val="20"/>
              </w:rPr>
              <w:t>2</w:t>
            </w:r>
          </w:p>
          <w:p w14:paraId="698D2AEC" w14:textId="77777777" w:rsidR="001865DA" w:rsidRPr="00B65E63" w:rsidRDefault="001865DA" w:rsidP="00154EC2">
            <w:pPr>
              <w:spacing w:before="60" w:after="60" w:line="240" w:lineRule="auto"/>
              <w:jc w:val="center"/>
              <w:rPr>
                <w:sz w:val="22"/>
                <w:szCs w:val="20"/>
              </w:rPr>
            </w:pPr>
            <w:r w:rsidRPr="00B65E63">
              <w:rPr>
                <w:sz w:val="22"/>
                <w:szCs w:val="20"/>
              </w:rPr>
              <w:t>(6.3%)</w:t>
            </w:r>
          </w:p>
        </w:tc>
        <w:tc>
          <w:tcPr>
            <w:tcW w:w="838" w:type="dxa"/>
            <w:tcBorders>
              <w:top w:val="single" w:sz="4" w:space="0" w:color="auto"/>
              <w:left w:val="single" w:sz="4" w:space="0" w:color="auto"/>
              <w:bottom w:val="single" w:sz="4" w:space="0" w:color="auto"/>
              <w:right w:val="single" w:sz="4" w:space="0" w:color="auto"/>
            </w:tcBorders>
            <w:hideMark/>
          </w:tcPr>
          <w:p w14:paraId="67B47EAB" w14:textId="77777777" w:rsidR="001865DA" w:rsidRPr="00B65E63" w:rsidRDefault="001865DA" w:rsidP="00154EC2">
            <w:pPr>
              <w:spacing w:before="60" w:after="60" w:line="240" w:lineRule="auto"/>
              <w:jc w:val="center"/>
              <w:rPr>
                <w:sz w:val="22"/>
                <w:szCs w:val="20"/>
              </w:rPr>
            </w:pPr>
            <w:r w:rsidRPr="00B65E63">
              <w:rPr>
                <w:sz w:val="22"/>
                <w:szCs w:val="20"/>
              </w:rPr>
              <w:t>32</w:t>
            </w:r>
          </w:p>
        </w:tc>
      </w:tr>
    </w:tbl>
    <w:p w14:paraId="14F1E297" w14:textId="00D3AFB6" w:rsidR="008E1143" w:rsidRPr="003F0FF2" w:rsidRDefault="00D74673" w:rsidP="00A12693">
      <w:pPr>
        <w:spacing w:before="240"/>
      </w:pPr>
      <w:r>
        <w:t xml:space="preserve">To minimise the administrative workload </w:t>
      </w:r>
      <w:r w:rsidR="00881704">
        <w:t>associated with</w:t>
      </w:r>
      <w:r>
        <w:t xml:space="preserve"> </w:t>
      </w:r>
      <w:r w:rsidR="008E1143">
        <w:t>implementing the</w:t>
      </w:r>
      <w:r>
        <w:t xml:space="preserve"> </w:t>
      </w:r>
      <w:r w:rsidR="00881704">
        <w:t>indicators</w:t>
      </w:r>
      <w:r>
        <w:t>,</w:t>
      </w:r>
      <w:r w:rsidR="00881704">
        <w:t xml:space="preserve"> </w:t>
      </w:r>
      <w:r w:rsidR="00777D8E">
        <w:t xml:space="preserve">a few </w:t>
      </w:r>
      <w:r w:rsidR="00881704">
        <w:t>practices</w:t>
      </w:r>
      <w:r w:rsidR="009657D1">
        <w:t xml:space="preserve"> interviewed</w:t>
      </w:r>
      <w:r w:rsidR="00881704">
        <w:t xml:space="preserve"> suggested that a</w:t>
      </w:r>
      <w:r w:rsidR="008E1143">
        <w:t xml:space="preserve">n integrated template </w:t>
      </w:r>
      <w:r w:rsidR="00A73A9C">
        <w:t>should be</w:t>
      </w:r>
      <w:r w:rsidR="008E1143">
        <w:t xml:space="preserve"> used to capture the information</w:t>
      </w:r>
      <w:r w:rsidR="003F0FF2">
        <w:t xml:space="preserve"> </w:t>
      </w:r>
      <w:r w:rsidR="006B1857">
        <w:t>from an</w:t>
      </w:r>
      <w:r w:rsidR="003F0FF2">
        <w:t xml:space="preserve"> epilepsy review </w:t>
      </w:r>
      <w:r w:rsidR="007518BE">
        <w:t xml:space="preserve">if </w:t>
      </w:r>
      <w:r w:rsidR="003F0FF2">
        <w:t xml:space="preserve">incorporated into </w:t>
      </w:r>
      <w:r w:rsidR="006B1857">
        <w:t>a learning disability or mental health review.</w:t>
      </w:r>
    </w:p>
    <w:p w14:paraId="1E8E8496" w14:textId="63277DFB" w:rsidR="008E1143" w:rsidRDefault="008E1143" w:rsidP="008E1143">
      <w:pPr>
        <w:spacing w:line="276" w:lineRule="auto"/>
        <w:rPr>
          <w:i/>
          <w:iCs/>
        </w:rPr>
      </w:pPr>
      <w:r w:rsidRPr="00945686">
        <w:rPr>
          <w:i/>
          <w:iCs/>
        </w:rPr>
        <w:t>“</w:t>
      </w:r>
      <w:r w:rsidR="00A73A9C">
        <w:rPr>
          <w:i/>
          <w:iCs/>
        </w:rPr>
        <w:t>…</w:t>
      </w:r>
      <w:r w:rsidRPr="00945686">
        <w:rPr>
          <w:i/>
          <w:iCs/>
        </w:rPr>
        <w:t>ensure that QOF review templates for Epilepsy review, LD check and MH review are all integrated - otherwise we potentially need to complete 3 different templates following a single review.”</w:t>
      </w:r>
      <w:r>
        <w:rPr>
          <w:i/>
          <w:iCs/>
        </w:rPr>
        <w:t xml:space="preserve"> [Other Senior Management, Survey]</w:t>
      </w:r>
    </w:p>
    <w:p w14:paraId="7D18F646" w14:textId="3C0C9584" w:rsidR="00FC3559" w:rsidRDefault="00FC3559" w:rsidP="008E1143">
      <w:pPr>
        <w:spacing w:line="276" w:lineRule="auto"/>
        <w:rPr>
          <w:i/>
          <w:iCs/>
        </w:rPr>
      </w:pPr>
      <w:r w:rsidRPr="00FC3559">
        <w:rPr>
          <w:i/>
          <w:iCs/>
        </w:rPr>
        <w:t xml:space="preserve">“I think the only comment that we'd have about this indicator [indicator 2] and the next one [indicator 3] is that it's all (…) mostly been done already. It's just a case of that means another template, the increase would be in work, as in actually admin work, </w:t>
      </w:r>
      <w:proofErr w:type="gramStart"/>
      <w:r w:rsidRPr="00FC3559">
        <w:rPr>
          <w:i/>
          <w:iCs/>
        </w:rPr>
        <w:t>than</w:t>
      </w:r>
      <w:proofErr w:type="gramEnd"/>
      <w:r w:rsidRPr="00FC3559">
        <w:rPr>
          <w:i/>
          <w:iCs/>
        </w:rPr>
        <w:t xml:space="preserve"> the actual clinical work, as it already being done. So, I think it's just locally how </w:t>
      </w:r>
      <w:proofErr w:type="gramStart"/>
      <w:r w:rsidRPr="00FC3559">
        <w:rPr>
          <w:i/>
          <w:iCs/>
        </w:rPr>
        <w:t>do they ensure</w:t>
      </w:r>
      <w:proofErr w:type="gramEnd"/>
      <w:r w:rsidRPr="00FC3559">
        <w:rPr>
          <w:i/>
          <w:iCs/>
        </w:rPr>
        <w:t xml:space="preserve"> that it's all in one template</w:t>
      </w:r>
      <w:r>
        <w:rPr>
          <w:i/>
          <w:iCs/>
        </w:rPr>
        <w:t xml:space="preserve"> (…)</w:t>
      </w:r>
      <w:r w:rsidRPr="00FC3559">
        <w:rPr>
          <w:i/>
          <w:iCs/>
        </w:rPr>
        <w:t xml:space="preserve"> rather than switching and changing and completing, you get another template just for the sake of doing the same amount of work.” [</w:t>
      </w:r>
      <w:r w:rsidR="00D76E4E">
        <w:rPr>
          <w:i/>
          <w:iCs/>
        </w:rPr>
        <w:t xml:space="preserve">Deputy </w:t>
      </w:r>
      <w:r w:rsidRPr="00FC3559">
        <w:rPr>
          <w:i/>
          <w:iCs/>
        </w:rPr>
        <w:t>Practice Manager, Interview]</w:t>
      </w:r>
    </w:p>
    <w:p w14:paraId="7C955BEE" w14:textId="495809D5" w:rsidR="002768C5" w:rsidRPr="00785316" w:rsidRDefault="003F0FF2" w:rsidP="00785316">
      <w:r>
        <w:t xml:space="preserve">Similarly, </w:t>
      </w:r>
      <w:r w:rsidR="006B1857">
        <w:t xml:space="preserve">when discussing </w:t>
      </w:r>
      <w:r w:rsidR="00793C23">
        <w:t>i</w:t>
      </w:r>
      <w:r w:rsidR="006B1857">
        <w:t xml:space="preserve">ndicator 1, </w:t>
      </w:r>
      <w:r w:rsidR="00D76E4E">
        <w:t xml:space="preserve">the Deputy Practice Manager quoted above </w:t>
      </w:r>
      <w:r w:rsidR="00785316">
        <w:t>suggested</w:t>
      </w:r>
      <w:r>
        <w:t xml:space="preserve"> that if the </w:t>
      </w:r>
      <w:r w:rsidR="002768C5">
        <w:t xml:space="preserve">epilepsy </w:t>
      </w:r>
      <w:r>
        <w:t>review is conduct</w:t>
      </w:r>
      <w:r w:rsidR="006B1857">
        <w:t xml:space="preserve">ed </w:t>
      </w:r>
      <w:r>
        <w:t xml:space="preserve">in secondary </w:t>
      </w:r>
      <w:r w:rsidR="009657D1">
        <w:t>care,</w:t>
      </w:r>
      <w:r w:rsidR="0075309D">
        <w:t xml:space="preserve"> </w:t>
      </w:r>
      <w:r w:rsidR="007048D8">
        <w:t xml:space="preserve">an integrated system </w:t>
      </w:r>
      <w:r w:rsidR="002768C5">
        <w:t>would reduce administrative workload and prevent primary care staff from being ‘data entry clerks’</w:t>
      </w:r>
      <w:r w:rsidR="00F03294">
        <w:t>:</w:t>
      </w:r>
      <w:r w:rsidR="006B1857">
        <w:t xml:space="preserve"> </w:t>
      </w:r>
    </w:p>
    <w:p w14:paraId="416DEF3F" w14:textId="12F63AEF" w:rsidR="007048D8" w:rsidRPr="002768C5" w:rsidRDefault="002768C5" w:rsidP="00D406BD">
      <w:pPr>
        <w:pStyle w:val="p0"/>
        <w:jc w:val="left"/>
        <w:rPr>
          <w:rFonts w:cstheme="minorBidi"/>
          <w:i/>
          <w:iCs/>
          <w:sz w:val="24"/>
          <w:szCs w:val="22"/>
        </w:rPr>
      </w:pPr>
      <w:r>
        <w:rPr>
          <w:rFonts w:cstheme="minorBidi"/>
          <w:i/>
          <w:iCs/>
          <w:sz w:val="24"/>
          <w:szCs w:val="22"/>
        </w:rPr>
        <w:t>“</w:t>
      </w:r>
      <w:r w:rsidRPr="002768C5">
        <w:rPr>
          <w:rFonts w:cstheme="minorBidi"/>
          <w:i/>
          <w:iCs/>
          <w:sz w:val="24"/>
          <w:szCs w:val="22"/>
        </w:rPr>
        <w:t xml:space="preserve">If they're already being reviewed in secondary care, then leave it as it is. If they </w:t>
      </w:r>
      <w:proofErr w:type="gramStart"/>
      <w:r w:rsidRPr="002768C5">
        <w:rPr>
          <w:rFonts w:cstheme="minorBidi"/>
          <w:i/>
          <w:iCs/>
          <w:sz w:val="24"/>
          <w:szCs w:val="22"/>
        </w:rPr>
        <w:t>have to</w:t>
      </w:r>
      <w:proofErr w:type="gramEnd"/>
      <w:r w:rsidRPr="002768C5">
        <w:rPr>
          <w:rFonts w:cstheme="minorBidi"/>
          <w:i/>
          <w:iCs/>
          <w:sz w:val="24"/>
          <w:szCs w:val="22"/>
        </w:rPr>
        <w:t xml:space="preserve"> copy information</w:t>
      </w:r>
      <w:r w:rsidR="004204E4">
        <w:rPr>
          <w:rFonts w:cstheme="minorBidi"/>
          <w:i/>
          <w:iCs/>
          <w:sz w:val="24"/>
          <w:szCs w:val="22"/>
        </w:rPr>
        <w:t xml:space="preserve"> over</w:t>
      </w:r>
      <w:r w:rsidRPr="002768C5">
        <w:rPr>
          <w:rFonts w:cstheme="minorBidi"/>
          <w:i/>
          <w:iCs/>
          <w:sz w:val="24"/>
          <w:szCs w:val="22"/>
        </w:rPr>
        <w:t xml:space="preserve">, I think </w:t>
      </w:r>
      <w:r w:rsidR="0020272E">
        <w:rPr>
          <w:rFonts w:cstheme="minorBidi"/>
          <w:i/>
          <w:iCs/>
          <w:sz w:val="24"/>
          <w:szCs w:val="22"/>
        </w:rPr>
        <w:t>our time is utilised</w:t>
      </w:r>
      <w:r w:rsidRPr="002768C5">
        <w:rPr>
          <w:rFonts w:cstheme="minorBidi"/>
          <w:i/>
          <w:iCs/>
          <w:sz w:val="24"/>
          <w:szCs w:val="22"/>
        </w:rPr>
        <w:t xml:space="preserve"> better, why do we have to become data entry clerks? So, if you want to </w:t>
      </w:r>
      <w:r w:rsidR="004204E4">
        <w:rPr>
          <w:rFonts w:cstheme="minorBidi"/>
          <w:i/>
          <w:iCs/>
          <w:sz w:val="24"/>
          <w:szCs w:val="22"/>
        </w:rPr>
        <w:t>collect</w:t>
      </w:r>
      <w:r w:rsidRPr="002768C5">
        <w:rPr>
          <w:rFonts w:cstheme="minorBidi"/>
          <w:i/>
          <w:iCs/>
          <w:sz w:val="24"/>
          <w:szCs w:val="22"/>
        </w:rPr>
        <w:t xml:space="preserve"> data, make sure that we're all integrated system and we all use the same clinical system and then coping and pasting, because there's absolutely no value to it whatsoever</w:t>
      </w:r>
      <w:r w:rsidR="007048D8" w:rsidRPr="002768C5">
        <w:rPr>
          <w:rFonts w:cstheme="minorBidi"/>
          <w:i/>
          <w:iCs/>
          <w:sz w:val="24"/>
          <w:szCs w:val="22"/>
        </w:rPr>
        <w:t>.</w:t>
      </w:r>
      <w:r w:rsidRPr="002768C5">
        <w:rPr>
          <w:rFonts w:cstheme="minorBidi"/>
          <w:i/>
          <w:iCs/>
          <w:sz w:val="24"/>
          <w:szCs w:val="22"/>
        </w:rPr>
        <w:t>” [</w:t>
      </w:r>
      <w:r w:rsidR="00D76E4E">
        <w:rPr>
          <w:rFonts w:cstheme="minorBidi"/>
          <w:i/>
          <w:iCs/>
          <w:sz w:val="24"/>
          <w:szCs w:val="22"/>
        </w:rPr>
        <w:t xml:space="preserve">Deputy </w:t>
      </w:r>
      <w:r w:rsidRPr="002768C5">
        <w:rPr>
          <w:rFonts w:cstheme="minorBidi"/>
          <w:i/>
          <w:iCs/>
          <w:sz w:val="24"/>
          <w:szCs w:val="22"/>
        </w:rPr>
        <w:t>Practice Manager, Interview]</w:t>
      </w:r>
      <w:r w:rsidR="007048D8" w:rsidRPr="002768C5">
        <w:rPr>
          <w:rFonts w:cstheme="minorBidi"/>
          <w:i/>
          <w:iCs/>
          <w:sz w:val="24"/>
          <w:szCs w:val="22"/>
        </w:rPr>
        <w:t xml:space="preserve"> </w:t>
      </w:r>
    </w:p>
    <w:p w14:paraId="55D217F6" w14:textId="111C686D" w:rsidR="00BE1320" w:rsidRPr="00DF4C28" w:rsidRDefault="00295A9F" w:rsidP="00DF4C28">
      <w:pPr>
        <w:pStyle w:val="Heading4"/>
      </w:pPr>
      <w:r>
        <w:lastRenderedPageBreak/>
        <w:t>Time pressure, appointment</w:t>
      </w:r>
      <w:r w:rsidR="009657D1">
        <w:t xml:space="preserve"> capacity</w:t>
      </w:r>
      <w:r w:rsidR="00176132">
        <w:t xml:space="preserve"> and appointment type/length</w:t>
      </w:r>
    </w:p>
    <w:p w14:paraId="650CA0A8" w14:textId="3DDC1B08" w:rsidR="00404C0E" w:rsidRDefault="00DF4C28" w:rsidP="00684FA8">
      <w:r>
        <w:t>Overall, t</w:t>
      </w:r>
      <w:r w:rsidR="00A0352C">
        <w:t>here</w:t>
      </w:r>
      <w:r w:rsidR="00760AA5">
        <w:t xml:space="preserve"> were</w:t>
      </w:r>
      <w:r w:rsidR="00295A9F">
        <w:t xml:space="preserve"> </w:t>
      </w:r>
      <w:r w:rsidR="00A0352C">
        <w:t>mixed</w:t>
      </w:r>
      <w:r w:rsidR="00EB5E75">
        <w:t xml:space="preserve"> </w:t>
      </w:r>
      <w:r w:rsidR="00A0352C">
        <w:t>responses</w:t>
      </w:r>
      <w:r w:rsidR="00EB5E75">
        <w:t xml:space="preserve"> </w:t>
      </w:r>
      <w:r w:rsidR="00A0352C">
        <w:t xml:space="preserve">to the survey </w:t>
      </w:r>
      <w:r w:rsidR="00295A9F">
        <w:t>on</w:t>
      </w:r>
      <w:r w:rsidR="00A0352C">
        <w:t xml:space="preserve"> whether </w:t>
      </w:r>
      <w:r w:rsidR="00A80FFE">
        <w:t xml:space="preserve">the introduction of the indicators </w:t>
      </w:r>
      <w:r w:rsidR="00A0352C">
        <w:t xml:space="preserve">would </w:t>
      </w:r>
      <w:r w:rsidR="00A80FFE">
        <w:t>be associated with any</w:t>
      </w:r>
      <w:r>
        <w:t xml:space="preserve"> time pressure issues (Table </w:t>
      </w:r>
      <w:r w:rsidR="004B59F0">
        <w:t>8</w:t>
      </w:r>
      <w:r>
        <w:t xml:space="preserve">), appointment capacity issues (Table </w:t>
      </w:r>
      <w:r w:rsidR="004B59F0">
        <w:t>9</w:t>
      </w:r>
      <w:r>
        <w:t xml:space="preserve">) or changes needed to the appointment type or length (Table </w:t>
      </w:r>
      <w:r w:rsidR="004B59F0">
        <w:t>10</w:t>
      </w:r>
      <w:r>
        <w:t xml:space="preserve">). </w:t>
      </w:r>
      <w:r w:rsidR="002E7C63">
        <w:t>S</w:t>
      </w:r>
      <w:r>
        <w:t xml:space="preserve">uch varied </w:t>
      </w:r>
      <w:r w:rsidR="002E7C63">
        <w:t>opinions</w:t>
      </w:r>
      <w:r w:rsidR="00B55B68">
        <w:t xml:space="preserve"> may</w:t>
      </w:r>
      <w:r>
        <w:t xml:space="preserve"> reflect the </w:t>
      </w:r>
      <w:r w:rsidR="00684FA8">
        <w:t xml:space="preserve">previously noted </w:t>
      </w:r>
      <w:r w:rsidR="002E7C63">
        <w:t>differences between practices in how existing learning disability and/or mental health reviews are conducted</w:t>
      </w:r>
      <w:r w:rsidR="00A80FFE">
        <w:t xml:space="preserve"> (including variation </w:t>
      </w:r>
      <w:r w:rsidR="00882FA0">
        <w:t>in existing appointment times)</w:t>
      </w:r>
      <w:r w:rsidR="002E7C63">
        <w:t xml:space="preserve">, in addition to </w:t>
      </w:r>
      <w:r w:rsidR="00882FA0">
        <w:t>different</w:t>
      </w:r>
      <w:r w:rsidR="002E7C63">
        <w:t xml:space="preserve"> views on the </w:t>
      </w:r>
      <w:r w:rsidR="00882FA0">
        <w:t>type/extent of the</w:t>
      </w:r>
      <w:r w:rsidR="002E7C63">
        <w:t xml:space="preserve"> </w:t>
      </w:r>
      <w:r w:rsidR="00684FA8">
        <w:t xml:space="preserve">epilepsy </w:t>
      </w:r>
      <w:r w:rsidR="002E7C63">
        <w:t>revie</w:t>
      </w:r>
      <w:r w:rsidR="00882FA0">
        <w:t>w to be introduced.</w:t>
      </w:r>
    </w:p>
    <w:p w14:paraId="4C865FD4" w14:textId="67AE1BFD" w:rsidR="00F03294" w:rsidRPr="00DD1CF9" w:rsidRDefault="00F03294" w:rsidP="00F03294">
      <w:r>
        <w:rPr>
          <w:rFonts w:cs="Arial"/>
          <w:szCs w:val="24"/>
        </w:rPr>
        <w:t xml:space="preserve">In the interviews, there were differences </w:t>
      </w:r>
      <w:r w:rsidR="00A010D0" w:rsidRPr="00A970B2">
        <w:rPr>
          <w:rFonts w:cs="Arial"/>
          <w:szCs w:val="24"/>
        </w:rPr>
        <w:t>reported</w:t>
      </w:r>
      <w:r w:rsidR="00A010D0">
        <w:rPr>
          <w:rFonts w:cs="Arial"/>
          <w:szCs w:val="24"/>
        </w:rPr>
        <w:t xml:space="preserve"> </w:t>
      </w:r>
      <w:r>
        <w:rPr>
          <w:rFonts w:cs="Arial"/>
          <w:szCs w:val="24"/>
        </w:rPr>
        <w:t>between practices in terms of the existing appointment length for a learning disability review/health check, ranging between 30 and 60 minutes.</w:t>
      </w:r>
    </w:p>
    <w:p w14:paraId="5A1728D2" w14:textId="77777777" w:rsidR="00F03294" w:rsidRDefault="00F03294" w:rsidP="00F03294">
      <w:r>
        <w:t>One GP thought the epilepsy review should be kept simple and the appointment would not need to be extended:</w:t>
      </w:r>
    </w:p>
    <w:p w14:paraId="4585F434" w14:textId="77777777" w:rsidR="00F03294" w:rsidRDefault="00F03294" w:rsidP="00F03294">
      <w:pPr>
        <w:spacing w:line="276" w:lineRule="auto"/>
      </w:pPr>
      <w:r w:rsidRPr="00AE7C73">
        <w:rPr>
          <w:i/>
          <w:iCs/>
        </w:rPr>
        <w:t>“I think if you are going to do an epilepsy review for a learning disability patient, it has got to be kept really simple, because we can’t do much for these patients and it would literally be the case of ‘Are you having any seizures? Are you taking your medication regularly?’ Those are the two things that I see relevant in asking (…) I don’t think you need to extend the appointments any longer.” [GP, Interview</w:t>
      </w:r>
      <w:r w:rsidRPr="00AE7C73">
        <w:t>]</w:t>
      </w:r>
    </w:p>
    <w:p w14:paraId="3EF648A8" w14:textId="77777777" w:rsidR="00F03294" w:rsidRPr="00DD1CF9" w:rsidRDefault="00F03294" w:rsidP="007570ED">
      <w:pPr>
        <w:spacing w:before="120"/>
      </w:pPr>
      <w:r>
        <w:t xml:space="preserve">However, other practices thought some additional time would need to be added to the existing learning disability review to cover epilepsy. </w:t>
      </w:r>
    </w:p>
    <w:p w14:paraId="094E1FBD" w14:textId="77777777" w:rsidR="00F03294" w:rsidRDefault="00F03294" w:rsidP="00F03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cs="Arial"/>
          <w:i/>
          <w:iCs/>
          <w:szCs w:val="24"/>
        </w:rPr>
      </w:pPr>
      <w:r>
        <w:rPr>
          <w:rFonts w:cs="Arial"/>
          <w:i/>
          <w:iCs/>
          <w:szCs w:val="24"/>
        </w:rPr>
        <w:t>“</w:t>
      </w:r>
      <w:r w:rsidRPr="00423322">
        <w:rPr>
          <w:rFonts w:cs="Arial"/>
          <w:i/>
          <w:iCs/>
          <w:szCs w:val="24"/>
        </w:rPr>
        <w:t xml:space="preserve">I think perhaps the person doing the review just needs an extra five minutes in the time slot to do it, to cover it. Because I think they should be covering it anyway. Maybe they're not covering it in a structured enough way, as in </w:t>
      </w:r>
      <w:r>
        <w:rPr>
          <w:rFonts w:cs="Arial"/>
          <w:i/>
          <w:iCs/>
          <w:szCs w:val="24"/>
        </w:rPr>
        <w:t>Indicator 1</w:t>
      </w:r>
      <w:r w:rsidRPr="00423322">
        <w:rPr>
          <w:rFonts w:cs="Arial"/>
          <w:i/>
          <w:iCs/>
          <w:szCs w:val="24"/>
        </w:rPr>
        <w:t xml:space="preserve"> I suppose. You know, and it should be.</w:t>
      </w:r>
      <w:r>
        <w:rPr>
          <w:rFonts w:cs="Arial"/>
          <w:i/>
          <w:iCs/>
          <w:szCs w:val="24"/>
        </w:rPr>
        <w:t>” [Practice Manager, Interview]</w:t>
      </w:r>
    </w:p>
    <w:p w14:paraId="2021D21D" w14:textId="77777777" w:rsidR="00F03294" w:rsidRPr="00760AA5" w:rsidRDefault="00F03294" w:rsidP="00684FA8"/>
    <w:p w14:paraId="30F23C67" w14:textId="744D6A65" w:rsidR="0098139D" w:rsidRDefault="00684FA8" w:rsidP="00080409">
      <w:r>
        <w:t>As shown in Table</w:t>
      </w:r>
      <w:r w:rsidR="00325689">
        <w:t>s</w:t>
      </w:r>
      <w:r>
        <w:t xml:space="preserve"> </w:t>
      </w:r>
      <w:r w:rsidR="00325689">
        <w:t xml:space="preserve">8 and 9, </w:t>
      </w:r>
      <w:r>
        <w:t xml:space="preserve">a slightly higher proportion of </w:t>
      </w:r>
      <w:r w:rsidR="00A010D0">
        <w:t xml:space="preserve">survey </w:t>
      </w:r>
      <w:r>
        <w:t xml:space="preserve">respondents anticipated time pressure issues </w:t>
      </w:r>
      <w:r w:rsidR="00325689">
        <w:t xml:space="preserve">and appointment capacity issues </w:t>
      </w:r>
      <w:r>
        <w:t xml:space="preserve">relating to </w:t>
      </w:r>
      <w:r w:rsidR="00793C23">
        <w:t>i</w:t>
      </w:r>
      <w:r>
        <w:t>ndicator 1</w:t>
      </w:r>
      <w:r w:rsidR="007518BE">
        <w:t>,</w:t>
      </w:r>
      <w:r>
        <w:t xml:space="preserve"> when compared with indicator</w:t>
      </w:r>
      <w:r w:rsidR="00325689">
        <w:t>s</w:t>
      </w:r>
      <w:r>
        <w:t xml:space="preserve"> 2</w:t>
      </w:r>
      <w:r w:rsidR="00325689">
        <w:t xml:space="preserve"> </w:t>
      </w:r>
      <w:r>
        <w:t>and 3</w:t>
      </w:r>
      <w:r w:rsidR="00325689">
        <w:t xml:space="preserve">.  </w:t>
      </w:r>
      <w:r>
        <w:t xml:space="preserve">This may reflect that for indicators 2 and 3, </w:t>
      </w:r>
      <w:r w:rsidR="00325689">
        <w:t xml:space="preserve">some respondents considered </w:t>
      </w:r>
      <w:r w:rsidR="007518BE">
        <w:t xml:space="preserve">that </w:t>
      </w:r>
      <w:r w:rsidR="00325689">
        <w:t>a</w:t>
      </w:r>
      <w:r>
        <w:t xml:space="preserve"> review of patients with epilepsy could be</w:t>
      </w:r>
      <w:r w:rsidR="00046B84">
        <w:t>/was already</w:t>
      </w:r>
      <w:r>
        <w:t xml:space="preserve"> incorporated within existing learning disability and mental health reviews/health checks. </w:t>
      </w:r>
    </w:p>
    <w:p w14:paraId="5D6A6370" w14:textId="77777777" w:rsidR="00A12693" w:rsidRDefault="00A12693">
      <w:pPr>
        <w:spacing w:after="160" w:line="259" w:lineRule="auto"/>
        <w:rPr>
          <w:u w:val="single"/>
        </w:rPr>
      </w:pPr>
      <w:r>
        <w:rPr>
          <w:u w:val="single"/>
        </w:rPr>
        <w:br w:type="page"/>
      </w:r>
    </w:p>
    <w:p w14:paraId="518CF505" w14:textId="32A77619" w:rsidR="00581EBC" w:rsidRPr="004B4482" w:rsidRDefault="00581EBC" w:rsidP="00581EBC">
      <w:pPr>
        <w:spacing w:line="276" w:lineRule="auto"/>
        <w:rPr>
          <w:u w:val="single"/>
        </w:rPr>
      </w:pPr>
      <w:r w:rsidRPr="004B4482">
        <w:rPr>
          <w:u w:val="single"/>
        </w:rPr>
        <w:lastRenderedPageBreak/>
        <w:t xml:space="preserve">Table </w:t>
      </w:r>
      <w:r>
        <w:rPr>
          <w:u w:val="single"/>
        </w:rPr>
        <w:t>8</w:t>
      </w:r>
      <w:r w:rsidRPr="004B4482">
        <w:rPr>
          <w:u w:val="single"/>
        </w:rPr>
        <w:t xml:space="preserve">: Views on </w:t>
      </w:r>
      <w:r>
        <w:rPr>
          <w:u w:val="single"/>
        </w:rPr>
        <w:t xml:space="preserve">time pressure issues in the practice relating to the indicators </w:t>
      </w:r>
      <w:r w:rsidRPr="004B4482">
        <w:rPr>
          <w:u w:val="single"/>
        </w:rPr>
        <w:t>(survey)</w:t>
      </w:r>
    </w:p>
    <w:tbl>
      <w:tblPr>
        <w:tblStyle w:val="TableGrid"/>
        <w:tblW w:w="9209" w:type="dxa"/>
        <w:tblLook w:val="04A0" w:firstRow="1" w:lastRow="0" w:firstColumn="1" w:lastColumn="0" w:noHBand="0" w:noVBand="1"/>
      </w:tblPr>
      <w:tblGrid>
        <w:gridCol w:w="4815"/>
        <w:gridCol w:w="1241"/>
        <w:gridCol w:w="1169"/>
        <w:gridCol w:w="1234"/>
        <w:gridCol w:w="750"/>
      </w:tblGrid>
      <w:tr w:rsidR="00581EBC" w14:paraId="59E67358" w14:textId="77777777" w:rsidTr="002C799D">
        <w:tc>
          <w:tcPr>
            <w:tcW w:w="9209" w:type="dxa"/>
            <w:gridSpan w:val="5"/>
            <w:tcBorders>
              <w:top w:val="single" w:sz="4" w:space="0" w:color="auto"/>
              <w:left w:val="single" w:sz="4" w:space="0" w:color="auto"/>
              <w:bottom w:val="single" w:sz="4" w:space="0" w:color="auto"/>
              <w:right w:val="single" w:sz="4" w:space="0" w:color="auto"/>
            </w:tcBorders>
            <w:hideMark/>
          </w:tcPr>
          <w:p w14:paraId="27A0ABAA" w14:textId="77777777" w:rsidR="00581EBC" w:rsidRPr="00295A9F" w:rsidRDefault="00581EBC" w:rsidP="002C799D">
            <w:pPr>
              <w:spacing w:before="60" w:after="60" w:line="240" w:lineRule="auto"/>
              <w:rPr>
                <w:b/>
                <w:sz w:val="22"/>
              </w:rPr>
            </w:pPr>
            <w:r>
              <w:rPr>
                <w:rFonts w:cs="Arial"/>
                <w:b/>
                <w:bCs/>
                <w:color w:val="010205"/>
                <w:sz w:val="22"/>
              </w:rPr>
              <w:t>Can you foresee any other time pressure issues in the practice relating to the indicators</w:t>
            </w:r>
          </w:p>
        </w:tc>
      </w:tr>
      <w:tr w:rsidR="00A970B2" w14:paraId="6A21E78D" w14:textId="77777777" w:rsidTr="002C799D">
        <w:tc>
          <w:tcPr>
            <w:tcW w:w="4815" w:type="dxa"/>
            <w:tcBorders>
              <w:top w:val="single" w:sz="4" w:space="0" w:color="auto"/>
              <w:left w:val="single" w:sz="4" w:space="0" w:color="auto"/>
              <w:bottom w:val="single" w:sz="4" w:space="0" w:color="auto"/>
              <w:right w:val="single" w:sz="4" w:space="0" w:color="auto"/>
            </w:tcBorders>
          </w:tcPr>
          <w:p w14:paraId="78E3E7F5" w14:textId="77777777" w:rsidR="00581EBC" w:rsidRPr="00295A9F" w:rsidRDefault="00581EBC" w:rsidP="002C799D">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5A469EE8" w14:textId="77777777" w:rsidR="00581EBC" w:rsidRPr="00295A9F" w:rsidRDefault="00581EBC" w:rsidP="002C799D">
            <w:pPr>
              <w:spacing w:before="60" w:after="60" w:line="240" w:lineRule="auto"/>
              <w:jc w:val="center"/>
              <w:rPr>
                <w:sz w:val="22"/>
              </w:rPr>
            </w:pPr>
            <w:r w:rsidRPr="00295A9F">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624B22B0" w14:textId="77777777" w:rsidR="00581EBC" w:rsidRPr="00295A9F" w:rsidRDefault="00581EBC" w:rsidP="002C799D">
            <w:pPr>
              <w:spacing w:before="60" w:after="60" w:line="240" w:lineRule="auto"/>
              <w:jc w:val="center"/>
              <w:rPr>
                <w:sz w:val="22"/>
              </w:rPr>
            </w:pPr>
            <w:r w:rsidRPr="00295A9F">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777EB62A" w14:textId="77777777" w:rsidR="00581EBC" w:rsidRPr="00295A9F" w:rsidRDefault="00581EBC" w:rsidP="002C799D">
            <w:pPr>
              <w:spacing w:before="60" w:after="60" w:line="240" w:lineRule="auto"/>
              <w:jc w:val="center"/>
              <w:rPr>
                <w:sz w:val="22"/>
              </w:rPr>
            </w:pPr>
            <w:r w:rsidRPr="00295A9F">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531F6F9A" w14:textId="77777777" w:rsidR="00581EBC" w:rsidRPr="00295A9F" w:rsidRDefault="00581EBC" w:rsidP="002C799D">
            <w:pPr>
              <w:spacing w:before="60" w:after="60" w:line="240" w:lineRule="auto"/>
              <w:jc w:val="center"/>
              <w:rPr>
                <w:sz w:val="22"/>
              </w:rPr>
            </w:pPr>
            <w:r w:rsidRPr="00295A9F">
              <w:rPr>
                <w:sz w:val="22"/>
              </w:rPr>
              <w:t>Total</w:t>
            </w:r>
          </w:p>
        </w:tc>
      </w:tr>
      <w:tr w:rsidR="00A970B2" w14:paraId="7BEDF792" w14:textId="77777777" w:rsidTr="002C799D">
        <w:trPr>
          <w:trHeight w:val="804"/>
        </w:trPr>
        <w:tc>
          <w:tcPr>
            <w:tcW w:w="4815" w:type="dxa"/>
            <w:tcBorders>
              <w:top w:val="single" w:sz="4" w:space="0" w:color="auto"/>
              <w:left w:val="single" w:sz="4" w:space="0" w:color="auto"/>
              <w:bottom w:val="single" w:sz="4" w:space="0" w:color="auto"/>
              <w:right w:val="single" w:sz="4" w:space="0" w:color="auto"/>
            </w:tcBorders>
            <w:hideMark/>
          </w:tcPr>
          <w:p w14:paraId="19F5436E" w14:textId="77777777" w:rsidR="00581EBC" w:rsidRPr="00295A9F" w:rsidRDefault="00581EBC" w:rsidP="002C799D">
            <w:pPr>
              <w:spacing w:before="60" w:after="60" w:line="240" w:lineRule="auto"/>
              <w:rPr>
                <w:sz w:val="22"/>
              </w:rPr>
            </w:pPr>
            <w:r w:rsidRPr="00295A9F">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7128956B" w14:textId="77777777" w:rsidR="00581EBC" w:rsidRPr="00295A9F" w:rsidRDefault="00581EBC" w:rsidP="002C799D">
            <w:pPr>
              <w:spacing w:before="60" w:after="60" w:line="240" w:lineRule="auto"/>
              <w:jc w:val="center"/>
              <w:rPr>
                <w:sz w:val="22"/>
              </w:rPr>
            </w:pPr>
            <w:r w:rsidRPr="00295A9F">
              <w:rPr>
                <w:sz w:val="22"/>
              </w:rPr>
              <w:t>1</w:t>
            </w:r>
            <w:r>
              <w:rPr>
                <w:sz w:val="22"/>
              </w:rPr>
              <w:t>4</w:t>
            </w:r>
          </w:p>
          <w:p w14:paraId="3CF92E7F" w14:textId="77777777" w:rsidR="00581EBC" w:rsidRPr="00295A9F" w:rsidRDefault="00581EBC" w:rsidP="002C799D">
            <w:pPr>
              <w:spacing w:before="60" w:after="60" w:line="240" w:lineRule="auto"/>
              <w:jc w:val="center"/>
              <w:rPr>
                <w:sz w:val="22"/>
              </w:rPr>
            </w:pPr>
            <w:r w:rsidRPr="00295A9F">
              <w:rPr>
                <w:sz w:val="22"/>
              </w:rPr>
              <w:t>(</w:t>
            </w:r>
            <w:r>
              <w:rPr>
                <w:sz w:val="22"/>
              </w:rPr>
              <w:t>46.7</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3E798518" w14:textId="77777777" w:rsidR="00581EBC" w:rsidRPr="00295A9F" w:rsidRDefault="00581EBC" w:rsidP="002C799D">
            <w:pPr>
              <w:spacing w:before="60" w:after="60" w:line="240" w:lineRule="auto"/>
              <w:jc w:val="center"/>
              <w:rPr>
                <w:sz w:val="22"/>
              </w:rPr>
            </w:pPr>
            <w:r w:rsidRPr="00295A9F">
              <w:rPr>
                <w:sz w:val="22"/>
              </w:rPr>
              <w:t>1</w:t>
            </w:r>
            <w:r>
              <w:rPr>
                <w:sz w:val="22"/>
              </w:rPr>
              <w:t>3</w:t>
            </w:r>
          </w:p>
          <w:p w14:paraId="56F3C415" w14:textId="77777777" w:rsidR="00581EBC" w:rsidRPr="00295A9F" w:rsidRDefault="00581EBC" w:rsidP="002C799D">
            <w:pPr>
              <w:spacing w:before="60" w:after="60" w:line="240" w:lineRule="auto"/>
              <w:jc w:val="center"/>
              <w:rPr>
                <w:sz w:val="22"/>
              </w:rPr>
            </w:pPr>
            <w:r w:rsidRPr="00295A9F">
              <w:rPr>
                <w:sz w:val="22"/>
              </w:rPr>
              <w:t>(</w:t>
            </w:r>
            <w:r>
              <w:rPr>
                <w:sz w:val="22"/>
              </w:rPr>
              <w:t>43.3</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60B635B7" w14:textId="77777777" w:rsidR="00581EBC" w:rsidRPr="00295A9F" w:rsidRDefault="00581EBC" w:rsidP="002C799D">
            <w:pPr>
              <w:spacing w:before="60" w:after="60" w:line="240" w:lineRule="auto"/>
              <w:jc w:val="center"/>
              <w:rPr>
                <w:sz w:val="22"/>
              </w:rPr>
            </w:pPr>
            <w:r>
              <w:rPr>
                <w:sz w:val="22"/>
              </w:rPr>
              <w:t>3</w:t>
            </w:r>
          </w:p>
          <w:p w14:paraId="49379063" w14:textId="77777777" w:rsidR="00581EBC" w:rsidRPr="00295A9F" w:rsidRDefault="00581EBC" w:rsidP="002C799D">
            <w:pPr>
              <w:spacing w:before="60" w:after="60" w:line="240" w:lineRule="auto"/>
              <w:jc w:val="center"/>
              <w:rPr>
                <w:sz w:val="22"/>
              </w:rPr>
            </w:pPr>
            <w:r w:rsidRPr="00295A9F">
              <w:rPr>
                <w:sz w:val="22"/>
              </w:rPr>
              <w:t>(</w:t>
            </w:r>
            <w:r>
              <w:rPr>
                <w:sz w:val="22"/>
              </w:rPr>
              <w:t>10.0</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73AAF6CF" w14:textId="77777777" w:rsidR="00581EBC" w:rsidRPr="00295A9F" w:rsidRDefault="00581EBC" w:rsidP="002C799D">
            <w:pPr>
              <w:spacing w:before="60" w:after="60" w:line="240" w:lineRule="auto"/>
              <w:jc w:val="center"/>
              <w:rPr>
                <w:sz w:val="22"/>
              </w:rPr>
            </w:pPr>
            <w:r w:rsidRPr="00295A9F">
              <w:rPr>
                <w:sz w:val="22"/>
              </w:rPr>
              <w:t>3</w:t>
            </w:r>
            <w:r>
              <w:rPr>
                <w:sz w:val="22"/>
              </w:rPr>
              <w:t>0</w:t>
            </w:r>
          </w:p>
        </w:tc>
      </w:tr>
      <w:tr w:rsidR="00A970B2" w14:paraId="1A9977B6" w14:textId="77777777" w:rsidTr="002C799D">
        <w:tc>
          <w:tcPr>
            <w:tcW w:w="4815" w:type="dxa"/>
            <w:tcBorders>
              <w:top w:val="single" w:sz="4" w:space="0" w:color="auto"/>
              <w:left w:val="single" w:sz="4" w:space="0" w:color="auto"/>
              <w:bottom w:val="single" w:sz="4" w:space="0" w:color="auto"/>
              <w:right w:val="single" w:sz="4" w:space="0" w:color="auto"/>
            </w:tcBorders>
            <w:hideMark/>
          </w:tcPr>
          <w:p w14:paraId="15A2D8E4" w14:textId="77777777" w:rsidR="00581EBC" w:rsidRPr="00295A9F" w:rsidRDefault="00581EBC" w:rsidP="002C799D">
            <w:pPr>
              <w:spacing w:before="60" w:after="60" w:line="240" w:lineRule="auto"/>
              <w:rPr>
                <w:sz w:val="22"/>
              </w:rPr>
            </w:pPr>
            <w:r w:rsidRPr="00295A9F">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23675209" w14:textId="77777777" w:rsidR="00581EBC" w:rsidRPr="00295A9F" w:rsidRDefault="00581EBC" w:rsidP="002C799D">
            <w:pPr>
              <w:spacing w:before="60" w:after="60" w:line="240" w:lineRule="auto"/>
              <w:jc w:val="center"/>
              <w:rPr>
                <w:sz w:val="22"/>
              </w:rPr>
            </w:pPr>
            <w:r w:rsidRPr="00295A9F">
              <w:rPr>
                <w:sz w:val="22"/>
              </w:rPr>
              <w:t>1</w:t>
            </w:r>
            <w:r>
              <w:rPr>
                <w:sz w:val="22"/>
              </w:rPr>
              <w:t>1</w:t>
            </w:r>
          </w:p>
          <w:p w14:paraId="4DC2F2E1" w14:textId="77777777" w:rsidR="00581EBC" w:rsidRPr="00295A9F" w:rsidRDefault="00581EBC" w:rsidP="002C799D">
            <w:pPr>
              <w:spacing w:before="60" w:after="60" w:line="240" w:lineRule="auto"/>
              <w:jc w:val="center"/>
              <w:rPr>
                <w:sz w:val="22"/>
              </w:rPr>
            </w:pPr>
            <w:r w:rsidRPr="00295A9F">
              <w:rPr>
                <w:sz w:val="22"/>
              </w:rPr>
              <w:t>(</w:t>
            </w:r>
            <w:r>
              <w:rPr>
                <w:sz w:val="22"/>
              </w:rPr>
              <w:t>36.7</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4AEC8E7F" w14:textId="77777777" w:rsidR="00581EBC" w:rsidRPr="00295A9F" w:rsidRDefault="00581EBC" w:rsidP="002C799D">
            <w:pPr>
              <w:spacing w:before="60" w:after="60" w:line="240" w:lineRule="auto"/>
              <w:jc w:val="center"/>
              <w:rPr>
                <w:sz w:val="22"/>
              </w:rPr>
            </w:pPr>
            <w:r w:rsidRPr="00295A9F">
              <w:rPr>
                <w:sz w:val="22"/>
              </w:rPr>
              <w:t>1</w:t>
            </w:r>
            <w:r>
              <w:rPr>
                <w:sz w:val="22"/>
              </w:rPr>
              <w:t>5</w:t>
            </w:r>
          </w:p>
          <w:p w14:paraId="70237DBE" w14:textId="77777777" w:rsidR="00581EBC" w:rsidRPr="00295A9F" w:rsidRDefault="00581EBC" w:rsidP="002C799D">
            <w:pPr>
              <w:spacing w:before="60" w:after="60" w:line="240" w:lineRule="auto"/>
              <w:jc w:val="center"/>
              <w:rPr>
                <w:sz w:val="22"/>
              </w:rPr>
            </w:pPr>
            <w:r w:rsidRPr="00295A9F">
              <w:rPr>
                <w:sz w:val="22"/>
              </w:rPr>
              <w:t>(</w:t>
            </w:r>
            <w:r>
              <w:rPr>
                <w:sz w:val="22"/>
              </w:rPr>
              <w:t>50.0</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1C9BD989" w14:textId="77777777" w:rsidR="00581EBC" w:rsidRPr="00295A9F" w:rsidRDefault="00581EBC" w:rsidP="002C799D">
            <w:pPr>
              <w:spacing w:before="60" w:after="60" w:line="240" w:lineRule="auto"/>
              <w:jc w:val="center"/>
              <w:rPr>
                <w:sz w:val="22"/>
              </w:rPr>
            </w:pPr>
            <w:r>
              <w:rPr>
                <w:sz w:val="22"/>
              </w:rPr>
              <w:t>4</w:t>
            </w:r>
          </w:p>
          <w:p w14:paraId="21F52BD2" w14:textId="77777777" w:rsidR="00581EBC" w:rsidRPr="00295A9F" w:rsidRDefault="00581EBC" w:rsidP="002C799D">
            <w:pPr>
              <w:spacing w:before="60" w:after="60" w:line="240" w:lineRule="auto"/>
              <w:jc w:val="center"/>
              <w:rPr>
                <w:sz w:val="22"/>
              </w:rPr>
            </w:pPr>
            <w:r w:rsidRPr="00295A9F">
              <w:rPr>
                <w:sz w:val="22"/>
              </w:rPr>
              <w:t xml:space="preserve"> (</w:t>
            </w:r>
            <w:r>
              <w:rPr>
                <w:sz w:val="22"/>
              </w:rPr>
              <w:t>13.3</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559EE2F7" w14:textId="77777777" w:rsidR="00581EBC" w:rsidRPr="00295A9F" w:rsidRDefault="00581EBC" w:rsidP="002C799D">
            <w:pPr>
              <w:spacing w:before="60" w:after="60" w:line="240" w:lineRule="auto"/>
              <w:jc w:val="center"/>
              <w:rPr>
                <w:sz w:val="22"/>
              </w:rPr>
            </w:pPr>
            <w:r w:rsidRPr="00295A9F">
              <w:rPr>
                <w:sz w:val="22"/>
              </w:rPr>
              <w:t>3</w:t>
            </w:r>
            <w:r>
              <w:rPr>
                <w:sz w:val="22"/>
              </w:rPr>
              <w:t>0</w:t>
            </w:r>
          </w:p>
        </w:tc>
      </w:tr>
      <w:tr w:rsidR="00A970B2" w14:paraId="328EF2DB" w14:textId="77777777" w:rsidTr="002C799D">
        <w:tc>
          <w:tcPr>
            <w:tcW w:w="4815" w:type="dxa"/>
            <w:tcBorders>
              <w:top w:val="single" w:sz="4" w:space="0" w:color="auto"/>
              <w:left w:val="single" w:sz="4" w:space="0" w:color="auto"/>
              <w:bottom w:val="single" w:sz="4" w:space="0" w:color="auto"/>
              <w:right w:val="single" w:sz="4" w:space="0" w:color="auto"/>
            </w:tcBorders>
          </w:tcPr>
          <w:p w14:paraId="0A480F74" w14:textId="77777777" w:rsidR="00581EBC" w:rsidRPr="00295A9F" w:rsidRDefault="00581EBC" w:rsidP="002C799D">
            <w:pPr>
              <w:spacing w:before="60" w:after="60" w:line="240" w:lineRule="auto"/>
              <w:rPr>
                <w:sz w:val="22"/>
              </w:rPr>
            </w:pPr>
            <w:r w:rsidRPr="00295A9F">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098582ED" w14:textId="77777777" w:rsidR="00581EBC" w:rsidRPr="00295A9F" w:rsidRDefault="00581EBC" w:rsidP="002C799D">
            <w:pPr>
              <w:spacing w:before="60" w:after="60" w:line="240" w:lineRule="auto"/>
              <w:jc w:val="center"/>
              <w:rPr>
                <w:sz w:val="22"/>
              </w:rPr>
            </w:pPr>
            <w:r>
              <w:rPr>
                <w:sz w:val="22"/>
              </w:rPr>
              <w:t>12</w:t>
            </w:r>
          </w:p>
          <w:p w14:paraId="61FC70E6" w14:textId="77777777" w:rsidR="00581EBC" w:rsidRPr="00295A9F" w:rsidRDefault="00581EBC" w:rsidP="002C799D">
            <w:pPr>
              <w:spacing w:before="60" w:after="60" w:line="240" w:lineRule="auto"/>
              <w:jc w:val="center"/>
              <w:rPr>
                <w:sz w:val="22"/>
              </w:rPr>
            </w:pPr>
            <w:r w:rsidRPr="00295A9F">
              <w:rPr>
                <w:sz w:val="22"/>
              </w:rPr>
              <w:t>(</w:t>
            </w:r>
            <w:r>
              <w:rPr>
                <w:sz w:val="22"/>
              </w:rPr>
              <w:t>40.0</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2C84073D" w14:textId="77777777" w:rsidR="00581EBC" w:rsidRPr="00295A9F" w:rsidRDefault="00581EBC" w:rsidP="002C799D">
            <w:pPr>
              <w:spacing w:before="60" w:after="60" w:line="240" w:lineRule="auto"/>
              <w:jc w:val="center"/>
              <w:rPr>
                <w:sz w:val="22"/>
              </w:rPr>
            </w:pPr>
            <w:r>
              <w:rPr>
                <w:sz w:val="22"/>
              </w:rPr>
              <w:t>13</w:t>
            </w:r>
          </w:p>
          <w:p w14:paraId="60168746" w14:textId="77777777" w:rsidR="00581EBC" w:rsidRPr="00295A9F" w:rsidRDefault="00581EBC" w:rsidP="002C799D">
            <w:pPr>
              <w:spacing w:before="60" w:after="60" w:line="240" w:lineRule="auto"/>
              <w:jc w:val="center"/>
              <w:rPr>
                <w:sz w:val="22"/>
              </w:rPr>
            </w:pPr>
            <w:r w:rsidRPr="00295A9F">
              <w:rPr>
                <w:sz w:val="22"/>
              </w:rPr>
              <w:t>(</w:t>
            </w:r>
            <w:r>
              <w:rPr>
                <w:sz w:val="22"/>
              </w:rPr>
              <w:t>43.3</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5B5079A5" w14:textId="77777777" w:rsidR="00581EBC" w:rsidRPr="00295A9F" w:rsidRDefault="00581EBC" w:rsidP="002C799D">
            <w:pPr>
              <w:spacing w:before="60" w:after="60" w:line="240" w:lineRule="auto"/>
              <w:jc w:val="center"/>
              <w:rPr>
                <w:sz w:val="22"/>
              </w:rPr>
            </w:pPr>
            <w:r>
              <w:rPr>
                <w:sz w:val="22"/>
              </w:rPr>
              <w:t>5</w:t>
            </w:r>
          </w:p>
          <w:p w14:paraId="39579A64" w14:textId="77777777" w:rsidR="00581EBC" w:rsidRPr="00295A9F" w:rsidRDefault="00581EBC" w:rsidP="002C799D">
            <w:pPr>
              <w:spacing w:before="60" w:after="60" w:line="240" w:lineRule="auto"/>
              <w:jc w:val="center"/>
              <w:rPr>
                <w:sz w:val="22"/>
              </w:rPr>
            </w:pPr>
            <w:r w:rsidRPr="00295A9F">
              <w:rPr>
                <w:sz w:val="22"/>
              </w:rPr>
              <w:t>(</w:t>
            </w:r>
            <w:r>
              <w:rPr>
                <w:sz w:val="22"/>
              </w:rPr>
              <w:t>16.7</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70CAB3EF" w14:textId="77777777" w:rsidR="00581EBC" w:rsidRPr="00295A9F" w:rsidRDefault="00581EBC" w:rsidP="002C799D">
            <w:pPr>
              <w:spacing w:before="60" w:after="60" w:line="240" w:lineRule="auto"/>
              <w:jc w:val="center"/>
              <w:rPr>
                <w:sz w:val="22"/>
              </w:rPr>
            </w:pPr>
            <w:r w:rsidRPr="00295A9F">
              <w:rPr>
                <w:sz w:val="22"/>
              </w:rPr>
              <w:t>3</w:t>
            </w:r>
            <w:r>
              <w:rPr>
                <w:sz w:val="22"/>
              </w:rPr>
              <w:t>0</w:t>
            </w:r>
          </w:p>
        </w:tc>
      </w:tr>
    </w:tbl>
    <w:p w14:paraId="1D9C4C50" w14:textId="4B78FA7A" w:rsidR="00FC3559" w:rsidRDefault="00FC3559">
      <w:pPr>
        <w:spacing w:after="160" w:line="259" w:lineRule="auto"/>
        <w:rPr>
          <w:u w:val="single"/>
        </w:rPr>
      </w:pPr>
    </w:p>
    <w:p w14:paraId="4ACE6527" w14:textId="59228D87" w:rsidR="0098139D" w:rsidRPr="004B4482" w:rsidRDefault="0098139D" w:rsidP="0098139D">
      <w:pPr>
        <w:spacing w:line="276" w:lineRule="auto"/>
        <w:rPr>
          <w:u w:val="single"/>
        </w:rPr>
      </w:pPr>
      <w:r w:rsidRPr="004B4482">
        <w:rPr>
          <w:u w:val="single"/>
        </w:rPr>
        <w:t xml:space="preserve">Table </w:t>
      </w:r>
      <w:r w:rsidR="004B59F0">
        <w:rPr>
          <w:u w:val="single"/>
        </w:rPr>
        <w:t>9</w:t>
      </w:r>
      <w:r w:rsidRPr="004B4482">
        <w:rPr>
          <w:u w:val="single"/>
        </w:rPr>
        <w:t xml:space="preserve">: Views on </w:t>
      </w:r>
      <w:r>
        <w:rPr>
          <w:u w:val="single"/>
        </w:rPr>
        <w:t xml:space="preserve">potential capacity issues in the practice relating to the indicators </w:t>
      </w:r>
      <w:r w:rsidRPr="004B4482">
        <w:rPr>
          <w:u w:val="single"/>
        </w:rPr>
        <w:t>(survey)</w:t>
      </w:r>
    </w:p>
    <w:tbl>
      <w:tblPr>
        <w:tblStyle w:val="TableGrid"/>
        <w:tblW w:w="9209" w:type="dxa"/>
        <w:tblLook w:val="04A0" w:firstRow="1" w:lastRow="0" w:firstColumn="1" w:lastColumn="0" w:noHBand="0" w:noVBand="1"/>
      </w:tblPr>
      <w:tblGrid>
        <w:gridCol w:w="4815"/>
        <w:gridCol w:w="1241"/>
        <w:gridCol w:w="1169"/>
        <w:gridCol w:w="1234"/>
        <w:gridCol w:w="750"/>
      </w:tblGrid>
      <w:tr w:rsidR="0098139D" w14:paraId="2D35C8AB"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p w14:paraId="6B0B57D7" w14:textId="53B2D1B1" w:rsidR="0098139D" w:rsidRPr="00295A9F" w:rsidRDefault="00295A9F" w:rsidP="00154EC2">
            <w:pPr>
              <w:spacing w:before="60" w:after="60" w:line="240" w:lineRule="auto"/>
              <w:rPr>
                <w:b/>
                <w:sz w:val="22"/>
              </w:rPr>
            </w:pPr>
            <w:r w:rsidRPr="00295A9F">
              <w:rPr>
                <w:rFonts w:cs="Arial"/>
                <w:b/>
                <w:bCs/>
                <w:color w:val="010205"/>
                <w:sz w:val="22"/>
              </w:rPr>
              <w:t>Can you foresee any appointment capacity issues in the practice relating to the indicators?</w:t>
            </w:r>
          </w:p>
        </w:tc>
      </w:tr>
      <w:tr w:rsidR="0098139D" w14:paraId="10B387F0" w14:textId="77777777" w:rsidTr="00154EC2">
        <w:tc>
          <w:tcPr>
            <w:tcW w:w="4815" w:type="dxa"/>
            <w:tcBorders>
              <w:top w:val="single" w:sz="4" w:space="0" w:color="auto"/>
              <w:left w:val="single" w:sz="4" w:space="0" w:color="auto"/>
              <w:bottom w:val="single" w:sz="4" w:space="0" w:color="auto"/>
              <w:right w:val="single" w:sz="4" w:space="0" w:color="auto"/>
            </w:tcBorders>
          </w:tcPr>
          <w:p w14:paraId="036021D0" w14:textId="77777777" w:rsidR="0098139D" w:rsidRPr="00295A9F" w:rsidRDefault="0098139D"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19FDEC4D" w14:textId="77777777" w:rsidR="0098139D" w:rsidRPr="00295A9F" w:rsidRDefault="0098139D" w:rsidP="00154EC2">
            <w:pPr>
              <w:spacing w:before="60" w:after="60" w:line="240" w:lineRule="auto"/>
              <w:jc w:val="center"/>
              <w:rPr>
                <w:sz w:val="22"/>
              </w:rPr>
            </w:pPr>
            <w:r w:rsidRPr="00295A9F">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3D5F013E" w14:textId="77777777" w:rsidR="0098139D" w:rsidRPr="00295A9F" w:rsidRDefault="0098139D" w:rsidP="00154EC2">
            <w:pPr>
              <w:spacing w:before="60" w:after="60" w:line="240" w:lineRule="auto"/>
              <w:jc w:val="center"/>
              <w:rPr>
                <w:sz w:val="22"/>
              </w:rPr>
            </w:pPr>
            <w:r w:rsidRPr="00295A9F">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00BF7501" w14:textId="77777777" w:rsidR="0098139D" w:rsidRPr="00295A9F" w:rsidRDefault="0098139D" w:rsidP="00154EC2">
            <w:pPr>
              <w:spacing w:before="60" w:after="60" w:line="240" w:lineRule="auto"/>
              <w:jc w:val="center"/>
              <w:rPr>
                <w:sz w:val="22"/>
              </w:rPr>
            </w:pPr>
            <w:r w:rsidRPr="00295A9F">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4BF853CC" w14:textId="77777777" w:rsidR="0098139D" w:rsidRPr="00295A9F" w:rsidRDefault="0098139D" w:rsidP="00154EC2">
            <w:pPr>
              <w:spacing w:before="60" w:after="60" w:line="240" w:lineRule="auto"/>
              <w:jc w:val="center"/>
              <w:rPr>
                <w:sz w:val="22"/>
              </w:rPr>
            </w:pPr>
            <w:r w:rsidRPr="00295A9F">
              <w:rPr>
                <w:sz w:val="22"/>
              </w:rPr>
              <w:t>Total</w:t>
            </w:r>
          </w:p>
        </w:tc>
      </w:tr>
      <w:tr w:rsidR="0098139D" w14:paraId="15AE2208" w14:textId="77777777" w:rsidTr="00154EC2">
        <w:trPr>
          <w:trHeight w:val="804"/>
        </w:trPr>
        <w:tc>
          <w:tcPr>
            <w:tcW w:w="4815" w:type="dxa"/>
            <w:tcBorders>
              <w:top w:val="single" w:sz="4" w:space="0" w:color="auto"/>
              <w:left w:val="single" w:sz="4" w:space="0" w:color="auto"/>
              <w:bottom w:val="single" w:sz="4" w:space="0" w:color="auto"/>
              <w:right w:val="single" w:sz="4" w:space="0" w:color="auto"/>
            </w:tcBorders>
            <w:hideMark/>
          </w:tcPr>
          <w:p w14:paraId="5272C46C" w14:textId="77777777" w:rsidR="0098139D" w:rsidRPr="00295A9F" w:rsidRDefault="0098139D" w:rsidP="00154EC2">
            <w:pPr>
              <w:spacing w:before="60" w:after="60" w:line="240" w:lineRule="auto"/>
              <w:rPr>
                <w:sz w:val="22"/>
              </w:rPr>
            </w:pPr>
            <w:r w:rsidRPr="00295A9F">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17E652F5" w14:textId="25AEABDD" w:rsidR="0098139D" w:rsidRPr="00295A9F" w:rsidRDefault="00295A9F" w:rsidP="00154EC2">
            <w:pPr>
              <w:spacing w:before="60" w:after="60" w:line="240" w:lineRule="auto"/>
              <w:jc w:val="center"/>
              <w:rPr>
                <w:sz w:val="22"/>
              </w:rPr>
            </w:pPr>
            <w:r w:rsidRPr="00295A9F">
              <w:rPr>
                <w:sz w:val="22"/>
              </w:rPr>
              <w:t>18</w:t>
            </w:r>
          </w:p>
          <w:p w14:paraId="7A092DCF" w14:textId="66F30D84" w:rsidR="0098139D" w:rsidRPr="00295A9F" w:rsidRDefault="0098139D" w:rsidP="00154EC2">
            <w:pPr>
              <w:spacing w:before="60" w:after="60" w:line="240" w:lineRule="auto"/>
              <w:jc w:val="center"/>
              <w:rPr>
                <w:sz w:val="22"/>
              </w:rPr>
            </w:pPr>
            <w:r w:rsidRPr="00295A9F">
              <w:rPr>
                <w:sz w:val="22"/>
              </w:rPr>
              <w:t>(5</w:t>
            </w:r>
            <w:r w:rsidR="00295A9F">
              <w:rPr>
                <w:sz w:val="22"/>
              </w:rPr>
              <w:t>8.1</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4D2F4FDD" w14:textId="70A71761" w:rsidR="0098139D" w:rsidRPr="00295A9F" w:rsidRDefault="00295A9F" w:rsidP="00154EC2">
            <w:pPr>
              <w:spacing w:before="60" w:after="60" w:line="240" w:lineRule="auto"/>
              <w:jc w:val="center"/>
              <w:rPr>
                <w:sz w:val="22"/>
              </w:rPr>
            </w:pPr>
            <w:r w:rsidRPr="00295A9F">
              <w:rPr>
                <w:sz w:val="22"/>
              </w:rPr>
              <w:t>12</w:t>
            </w:r>
          </w:p>
          <w:p w14:paraId="2B17C041" w14:textId="4939E550" w:rsidR="0098139D" w:rsidRPr="00295A9F" w:rsidRDefault="0098139D" w:rsidP="00154EC2">
            <w:pPr>
              <w:spacing w:before="60" w:after="60" w:line="240" w:lineRule="auto"/>
              <w:jc w:val="center"/>
              <w:rPr>
                <w:sz w:val="22"/>
              </w:rPr>
            </w:pPr>
            <w:r w:rsidRPr="00295A9F">
              <w:rPr>
                <w:sz w:val="22"/>
              </w:rPr>
              <w:t>(38.</w:t>
            </w:r>
            <w:r w:rsidR="00295A9F">
              <w:rPr>
                <w:sz w:val="22"/>
              </w:rPr>
              <w:t>7</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493757D4" w14:textId="7FDD749C" w:rsidR="0098139D" w:rsidRPr="00295A9F" w:rsidRDefault="00295A9F" w:rsidP="00154EC2">
            <w:pPr>
              <w:spacing w:before="60" w:after="60" w:line="240" w:lineRule="auto"/>
              <w:jc w:val="center"/>
              <w:rPr>
                <w:sz w:val="22"/>
              </w:rPr>
            </w:pPr>
            <w:r w:rsidRPr="00295A9F">
              <w:rPr>
                <w:sz w:val="22"/>
              </w:rPr>
              <w:t>1</w:t>
            </w:r>
          </w:p>
          <w:p w14:paraId="6B312E2A" w14:textId="16CE4546" w:rsidR="0098139D" w:rsidRPr="00295A9F" w:rsidRDefault="0098139D" w:rsidP="00154EC2">
            <w:pPr>
              <w:spacing w:before="60" w:after="60" w:line="240" w:lineRule="auto"/>
              <w:jc w:val="center"/>
              <w:rPr>
                <w:sz w:val="22"/>
              </w:rPr>
            </w:pPr>
            <w:r w:rsidRPr="00295A9F">
              <w:rPr>
                <w:sz w:val="22"/>
              </w:rPr>
              <w:t>(</w:t>
            </w:r>
            <w:r w:rsidR="00295A9F">
              <w:rPr>
                <w:sz w:val="22"/>
              </w:rPr>
              <w:t>3.2</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58C4EC67" w14:textId="0E46F26F" w:rsidR="0098139D" w:rsidRPr="00295A9F" w:rsidRDefault="0098139D" w:rsidP="00154EC2">
            <w:pPr>
              <w:spacing w:before="60" w:after="60" w:line="240" w:lineRule="auto"/>
              <w:jc w:val="center"/>
              <w:rPr>
                <w:sz w:val="22"/>
              </w:rPr>
            </w:pPr>
            <w:r w:rsidRPr="00295A9F">
              <w:rPr>
                <w:sz w:val="22"/>
              </w:rPr>
              <w:t>3</w:t>
            </w:r>
            <w:r w:rsidR="00295A9F" w:rsidRPr="00295A9F">
              <w:rPr>
                <w:sz w:val="22"/>
              </w:rPr>
              <w:t>1</w:t>
            </w:r>
          </w:p>
        </w:tc>
      </w:tr>
      <w:tr w:rsidR="0098139D" w14:paraId="3E3ECC76"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545C54FD" w14:textId="77777777" w:rsidR="0098139D" w:rsidRPr="00295A9F" w:rsidRDefault="0098139D" w:rsidP="00154EC2">
            <w:pPr>
              <w:spacing w:before="60" w:after="60" w:line="240" w:lineRule="auto"/>
              <w:rPr>
                <w:sz w:val="22"/>
              </w:rPr>
            </w:pPr>
            <w:r w:rsidRPr="00295A9F">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75353DB5" w14:textId="6DCF755D" w:rsidR="0098139D" w:rsidRPr="00295A9F" w:rsidRDefault="00295A9F" w:rsidP="00154EC2">
            <w:pPr>
              <w:spacing w:before="60" w:after="60" w:line="240" w:lineRule="auto"/>
              <w:jc w:val="center"/>
              <w:rPr>
                <w:sz w:val="22"/>
              </w:rPr>
            </w:pPr>
            <w:r w:rsidRPr="00295A9F">
              <w:rPr>
                <w:sz w:val="22"/>
              </w:rPr>
              <w:t>1</w:t>
            </w:r>
            <w:r w:rsidR="0098139D" w:rsidRPr="00295A9F">
              <w:rPr>
                <w:sz w:val="22"/>
              </w:rPr>
              <w:t>3</w:t>
            </w:r>
          </w:p>
          <w:p w14:paraId="168D33C1" w14:textId="1FCAE8EC" w:rsidR="0098139D" w:rsidRPr="00295A9F" w:rsidRDefault="0098139D" w:rsidP="00154EC2">
            <w:pPr>
              <w:spacing w:before="60" w:after="60" w:line="240" w:lineRule="auto"/>
              <w:jc w:val="center"/>
              <w:rPr>
                <w:sz w:val="22"/>
              </w:rPr>
            </w:pPr>
            <w:r w:rsidRPr="00295A9F">
              <w:rPr>
                <w:sz w:val="22"/>
              </w:rPr>
              <w:t>(</w:t>
            </w:r>
            <w:r w:rsidR="00295A9F">
              <w:rPr>
                <w:sz w:val="22"/>
              </w:rPr>
              <w:t>41.9</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42073546" w14:textId="74F7D9DF" w:rsidR="0098139D" w:rsidRPr="00295A9F" w:rsidRDefault="00295A9F" w:rsidP="00154EC2">
            <w:pPr>
              <w:spacing w:before="60" w:after="60" w:line="240" w:lineRule="auto"/>
              <w:jc w:val="center"/>
              <w:rPr>
                <w:sz w:val="22"/>
              </w:rPr>
            </w:pPr>
            <w:r w:rsidRPr="00295A9F">
              <w:rPr>
                <w:sz w:val="22"/>
              </w:rPr>
              <w:t>17</w:t>
            </w:r>
          </w:p>
          <w:p w14:paraId="2993A72E" w14:textId="4A39E8DE" w:rsidR="0098139D" w:rsidRPr="00295A9F" w:rsidRDefault="0098139D" w:rsidP="00154EC2">
            <w:pPr>
              <w:spacing w:before="60" w:after="60" w:line="240" w:lineRule="auto"/>
              <w:jc w:val="center"/>
              <w:rPr>
                <w:sz w:val="22"/>
              </w:rPr>
            </w:pPr>
            <w:r w:rsidRPr="00295A9F">
              <w:rPr>
                <w:sz w:val="22"/>
              </w:rPr>
              <w:t>(</w:t>
            </w:r>
            <w:r w:rsidR="00295A9F">
              <w:rPr>
                <w:sz w:val="22"/>
              </w:rPr>
              <w:t>54.8</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20816701" w14:textId="14EAAF07" w:rsidR="0098139D" w:rsidRPr="00295A9F" w:rsidRDefault="00295A9F" w:rsidP="00154EC2">
            <w:pPr>
              <w:spacing w:before="60" w:after="60" w:line="240" w:lineRule="auto"/>
              <w:jc w:val="center"/>
              <w:rPr>
                <w:sz w:val="22"/>
              </w:rPr>
            </w:pPr>
            <w:r w:rsidRPr="00295A9F">
              <w:rPr>
                <w:sz w:val="22"/>
              </w:rPr>
              <w:t>1</w:t>
            </w:r>
          </w:p>
          <w:p w14:paraId="1F595C4B" w14:textId="013C6F7A" w:rsidR="0098139D" w:rsidRPr="00295A9F" w:rsidRDefault="0098139D" w:rsidP="00154EC2">
            <w:pPr>
              <w:spacing w:before="60" w:after="60" w:line="240" w:lineRule="auto"/>
              <w:jc w:val="center"/>
              <w:rPr>
                <w:sz w:val="22"/>
              </w:rPr>
            </w:pPr>
            <w:r w:rsidRPr="00295A9F">
              <w:rPr>
                <w:sz w:val="22"/>
              </w:rPr>
              <w:t xml:space="preserve"> (</w:t>
            </w:r>
            <w:r w:rsidR="00295A9F">
              <w:rPr>
                <w:sz w:val="22"/>
              </w:rPr>
              <w:t>3.2</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4236754C" w14:textId="73B58E4E" w:rsidR="0098139D" w:rsidRPr="00295A9F" w:rsidRDefault="0098139D" w:rsidP="00154EC2">
            <w:pPr>
              <w:spacing w:before="60" w:after="60" w:line="240" w:lineRule="auto"/>
              <w:jc w:val="center"/>
              <w:rPr>
                <w:sz w:val="22"/>
              </w:rPr>
            </w:pPr>
            <w:r w:rsidRPr="00295A9F">
              <w:rPr>
                <w:sz w:val="22"/>
              </w:rPr>
              <w:t>3</w:t>
            </w:r>
            <w:r w:rsidR="00295A9F" w:rsidRPr="00295A9F">
              <w:rPr>
                <w:sz w:val="22"/>
              </w:rPr>
              <w:t>1</w:t>
            </w:r>
          </w:p>
        </w:tc>
      </w:tr>
      <w:tr w:rsidR="0098139D" w14:paraId="5A055575" w14:textId="77777777" w:rsidTr="00154EC2">
        <w:tc>
          <w:tcPr>
            <w:tcW w:w="4815" w:type="dxa"/>
            <w:tcBorders>
              <w:top w:val="single" w:sz="4" w:space="0" w:color="auto"/>
              <w:left w:val="single" w:sz="4" w:space="0" w:color="auto"/>
              <w:bottom w:val="single" w:sz="4" w:space="0" w:color="auto"/>
              <w:right w:val="single" w:sz="4" w:space="0" w:color="auto"/>
            </w:tcBorders>
          </w:tcPr>
          <w:p w14:paraId="6BEF55B8" w14:textId="35950270" w:rsidR="0098139D" w:rsidRPr="00295A9F" w:rsidRDefault="0098139D" w:rsidP="00154EC2">
            <w:pPr>
              <w:spacing w:before="60" w:after="60" w:line="240" w:lineRule="auto"/>
              <w:rPr>
                <w:sz w:val="22"/>
              </w:rPr>
            </w:pPr>
            <w:r w:rsidRPr="00295A9F">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57B861C3" w14:textId="0A495964" w:rsidR="0098139D" w:rsidRPr="00295A9F" w:rsidRDefault="00295A9F" w:rsidP="00154EC2">
            <w:pPr>
              <w:spacing w:before="60" w:after="60" w:line="240" w:lineRule="auto"/>
              <w:jc w:val="center"/>
              <w:rPr>
                <w:sz w:val="22"/>
              </w:rPr>
            </w:pPr>
            <w:r w:rsidRPr="00295A9F">
              <w:rPr>
                <w:sz w:val="22"/>
              </w:rPr>
              <w:t>1</w:t>
            </w:r>
            <w:r w:rsidR="0098139D" w:rsidRPr="00295A9F">
              <w:rPr>
                <w:sz w:val="22"/>
              </w:rPr>
              <w:t>4</w:t>
            </w:r>
          </w:p>
          <w:p w14:paraId="578B61A9" w14:textId="7FF1ED6B" w:rsidR="0098139D" w:rsidRPr="00295A9F" w:rsidRDefault="0098139D" w:rsidP="00154EC2">
            <w:pPr>
              <w:spacing w:before="60" w:after="60" w:line="240" w:lineRule="auto"/>
              <w:jc w:val="center"/>
              <w:rPr>
                <w:sz w:val="22"/>
              </w:rPr>
            </w:pPr>
            <w:r w:rsidRPr="00295A9F">
              <w:rPr>
                <w:sz w:val="22"/>
              </w:rPr>
              <w:t>(</w:t>
            </w:r>
            <w:r w:rsidR="00295A9F">
              <w:rPr>
                <w:sz w:val="22"/>
              </w:rPr>
              <w:t>45.2</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192E78D9" w14:textId="13ED63F0" w:rsidR="0098139D" w:rsidRPr="00295A9F" w:rsidRDefault="00295A9F" w:rsidP="00154EC2">
            <w:pPr>
              <w:spacing w:before="60" w:after="60" w:line="240" w:lineRule="auto"/>
              <w:jc w:val="center"/>
              <w:rPr>
                <w:sz w:val="22"/>
              </w:rPr>
            </w:pPr>
            <w:r w:rsidRPr="00295A9F">
              <w:rPr>
                <w:sz w:val="22"/>
              </w:rPr>
              <w:t>15</w:t>
            </w:r>
          </w:p>
          <w:p w14:paraId="26DED841" w14:textId="277782B4" w:rsidR="0098139D" w:rsidRPr="00295A9F" w:rsidRDefault="0098139D" w:rsidP="00154EC2">
            <w:pPr>
              <w:spacing w:before="60" w:after="60" w:line="240" w:lineRule="auto"/>
              <w:jc w:val="center"/>
              <w:rPr>
                <w:sz w:val="22"/>
              </w:rPr>
            </w:pPr>
            <w:r w:rsidRPr="00295A9F">
              <w:rPr>
                <w:sz w:val="22"/>
              </w:rPr>
              <w:t>(</w:t>
            </w:r>
            <w:r w:rsidR="00295A9F">
              <w:rPr>
                <w:sz w:val="22"/>
              </w:rPr>
              <w:t>48.4</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4E1AEAA9" w14:textId="788FB3AE" w:rsidR="0098139D" w:rsidRPr="00295A9F" w:rsidRDefault="00295A9F" w:rsidP="00154EC2">
            <w:pPr>
              <w:spacing w:before="60" w:after="60" w:line="240" w:lineRule="auto"/>
              <w:jc w:val="center"/>
              <w:rPr>
                <w:sz w:val="22"/>
              </w:rPr>
            </w:pPr>
            <w:r w:rsidRPr="00295A9F">
              <w:rPr>
                <w:sz w:val="22"/>
              </w:rPr>
              <w:t>2</w:t>
            </w:r>
          </w:p>
          <w:p w14:paraId="79A9464F" w14:textId="0A68817A" w:rsidR="0098139D" w:rsidRPr="00295A9F" w:rsidRDefault="0098139D" w:rsidP="00154EC2">
            <w:pPr>
              <w:spacing w:before="60" w:after="60" w:line="240" w:lineRule="auto"/>
              <w:jc w:val="center"/>
              <w:rPr>
                <w:sz w:val="22"/>
              </w:rPr>
            </w:pPr>
            <w:r w:rsidRPr="00295A9F">
              <w:rPr>
                <w:sz w:val="22"/>
              </w:rPr>
              <w:t>(</w:t>
            </w:r>
            <w:r w:rsidR="00295A9F">
              <w:rPr>
                <w:sz w:val="22"/>
              </w:rPr>
              <w:t>6.5</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6DFB3AA2" w14:textId="7259D0C7" w:rsidR="0098139D" w:rsidRPr="00295A9F" w:rsidRDefault="0098139D" w:rsidP="00154EC2">
            <w:pPr>
              <w:spacing w:before="60" w:after="60" w:line="240" w:lineRule="auto"/>
              <w:jc w:val="center"/>
              <w:rPr>
                <w:sz w:val="22"/>
              </w:rPr>
            </w:pPr>
            <w:r w:rsidRPr="00295A9F">
              <w:rPr>
                <w:sz w:val="22"/>
              </w:rPr>
              <w:t>3</w:t>
            </w:r>
            <w:r w:rsidR="00295A9F" w:rsidRPr="00295A9F">
              <w:rPr>
                <w:sz w:val="22"/>
              </w:rPr>
              <w:t>1</w:t>
            </w:r>
          </w:p>
        </w:tc>
      </w:tr>
    </w:tbl>
    <w:p w14:paraId="19AC460B" w14:textId="4CEF938D" w:rsidR="0098139D" w:rsidRDefault="0098139D" w:rsidP="0098139D"/>
    <w:p w14:paraId="4FC4A8AD" w14:textId="7C3FB7A3" w:rsidR="006D7A0A" w:rsidRDefault="00DE3C2E" w:rsidP="0098139D">
      <w:r>
        <w:t xml:space="preserve">There was a split view from survey respondents regarding appointment type across all 3 indicators, with just over 40% stating changes would need to be made, and a similar proportion said no changes were needed, with the remaining respondents being unsure (Table 10). </w:t>
      </w:r>
      <w:r w:rsidR="00684FA8">
        <w:t xml:space="preserve">A higher proportion of survey respondents reported there would need to be changes to the appointment length for implementing </w:t>
      </w:r>
      <w:r>
        <w:t>i</w:t>
      </w:r>
      <w:r w:rsidR="00684FA8">
        <w:t>ndicator</w:t>
      </w:r>
      <w:r w:rsidR="003F1587">
        <w:t xml:space="preserve"> </w:t>
      </w:r>
      <w:r w:rsidR="00684FA8">
        <w:t>2</w:t>
      </w:r>
      <w:r w:rsidR="003F1587">
        <w:t xml:space="preserve"> (</w:t>
      </w:r>
      <w:r w:rsidR="000C3CD1">
        <w:t xml:space="preserve">60.0%, </w:t>
      </w:r>
      <w:r w:rsidR="003F1587">
        <w:t>18/30)</w:t>
      </w:r>
      <w:r w:rsidR="00684FA8">
        <w:t xml:space="preserve"> and</w:t>
      </w:r>
      <w:r w:rsidR="003F1587">
        <w:t xml:space="preserve"> </w:t>
      </w:r>
      <w:r>
        <w:t>i</w:t>
      </w:r>
      <w:r w:rsidR="003F1587">
        <w:t>ndicator</w:t>
      </w:r>
      <w:r w:rsidR="00684FA8">
        <w:t xml:space="preserve"> 3</w:t>
      </w:r>
      <w:r w:rsidR="003F1587">
        <w:t xml:space="preserve"> (</w:t>
      </w:r>
      <w:r w:rsidR="000C3CD1">
        <w:t xml:space="preserve">63.3%, </w:t>
      </w:r>
      <w:r w:rsidR="003F1587">
        <w:t>19/30)</w:t>
      </w:r>
      <w:r w:rsidR="00684FA8">
        <w:t xml:space="preserve">, when compared with </w:t>
      </w:r>
      <w:r>
        <w:t>i</w:t>
      </w:r>
      <w:r w:rsidR="00684FA8">
        <w:t>ndicator 1 (</w:t>
      </w:r>
      <w:r w:rsidR="000C3CD1">
        <w:t xml:space="preserve">46.7%, </w:t>
      </w:r>
      <w:r w:rsidR="003F1587">
        <w:t>14/30) (</w:t>
      </w:r>
      <w:r w:rsidR="00684FA8">
        <w:t xml:space="preserve">Table </w:t>
      </w:r>
      <w:r w:rsidR="00AD72EF">
        <w:t>10</w:t>
      </w:r>
      <w:r w:rsidR="00684FA8">
        <w:t xml:space="preserve">). </w:t>
      </w:r>
    </w:p>
    <w:p w14:paraId="090251BE" w14:textId="4E3F1D98" w:rsidR="00636E42" w:rsidRDefault="00636E42" w:rsidP="00636E42">
      <w:r>
        <w:t>Indicators 2 and 3 could be incorporated within existing reviews for these patient groups</w:t>
      </w:r>
      <w:r w:rsidR="00E361E8">
        <w:t>, with many of the practices interviewed stating that epilepsy would already be covered in relation to the learning disability review.</w:t>
      </w:r>
      <w:r>
        <w:t xml:space="preserve"> </w:t>
      </w:r>
      <w:r w:rsidR="00E1100C">
        <w:t xml:space="preserve">However, </w:t>
      </w:r>
      <w:r>
        <w:t xml:space="preserve">additional time </w:t>
      </w:r>
      <w:r w:rsidR="00E1100C">
        <w:t>may</w:t>
      </w:r>
      <w:r w:rsidR="00FC197C">
        <w:t xml:space="preserve"> need to be added</w:t>
      </w:r>
      <w:r>
        <w:t xml:space="preserve">.  </w:t>
      </w:r>
    </w:p>
    <w:p w14:paraId="39069CCC" w14:textId="77777777" w:rsidR="00636E42" w:rsidRPr="00105607" w:rsidRDefault="00636E42" w:rsidP="00636E42">
      <w:pPr>
        <w:spacing w:line="276" w:lineRule="auto"/>
        <w:rPr>
          <w:i/>
          <w:iCs/>
        </w:rPr>
      </w:pPr>
      <w:r>
        <w:rPr>
          <w:i/>
          <w:iCs/>
        </w:rPr>
        <w:lastRenderedPageBreak/>
        <w:t>“</w:t>
      </w:r>
      <w:proofErr w:type="gramStart"/>
      <w:r w:rsidRPr="00105607">
        <w:rPr>
          <w:i/>
          <w:iCs/>
        </w:rPr>
        <w:t>So</w:t>
      </w:r>
      <w:proofErr w:type="gramEnd"/>
      <w:r w:rsidRPr="00105607">
        <w:rPr>
          <w:i/>
          <w:iCs/>
        </w:rPr>
        <w:t xml:space="preserve"> for a learning disability review, quite a long time as in possibly an hour or two half hours. For an epilepsy medication review, it's probably likely to be a ten minute.</w:t>
      </w:r>
      <w:r>
        <w:rPr>
          <w:i/>
          <w:iCs/>
        </w:rPr>
        <w:t>” [GP, Interview]</w:t>
      </w:r>
    </w:p>
    <w:p w14:paraId="4DBA0F7B" w14:textId="77777777" w:rsidR="00636E42" w:rsidRPr="00105607" w:rsidRDefault="00636E42" w:rsidP="00636E42">
      <w:pPr>
        <w:spacing w:line="276" w:lineRule="auto"/>
      </w:pPr>
      <w:r>
        <w:rPr>
          <w:i/>
          <w:iCs/>
        </w:rPr>
        <w:t>“</w:t>
      </w:r>
      <w:r w:rsidRPr="00105607">
        <w:rPr>
          <w:i/>
          <w:iCs/>
        </w:rPr>
        <w:t xml:space="preserve">Somebody with epilepsy and with other chronic illness would be done by a nurse in the chronic illness review. We'd have to make a call on what the size of the population with epilepsy and no other chronic illness who currently wouldn't be getting any sort of review. And what we'd do for them, we would probably end up giving them a ten-minute doctor appointment I would have </w:t>
      </w:r>
      <w:r w:rsidRPr="00BC7C8C">
        <w:rPr>
          <w:i/>
          <w:iCs/>
        </w:rPr>
        <w:t>thought.” [GP, Interview]</w:t>
      </w:r>
    </w:p>
    <w:p w14:paraId="65F274AC" w14:textId="3CAF3A32" w:rsidR="00E1100C" w:rsidRDefault="00E1100C" w:rsidP="007570ED">
      <w:pPr>
        <w:spacing w:before="240" w:after="160" w:line="259" w:lineRule="auto"/>
        <w:rPr>
          <w:u w:val="single"/>
        </w:rPr>
      </w:pPr>
      <w:r>
        <w:t>In contrast, so</w:t>
      </w:r>
      <w:r w:rsidR="00793C23">
        <w:t>me interviewees commented that i</w:t>
      </w:r>
      <w:r>
        <w:t>ndicator 1 could be fulfilled in a straightforward review, thereby not needing to extend the appointment time.</w:t>
      </w:r>
    </w:p>
    <w:p w14:paraId="4687E2D8" w14:textId="79F5CE26" w:rsidR="006D7A0A" w:rsidRDefault="006D7A0A" w:rsidP="006D7A0A">
      <w:pPr>
        <w:spacing w:line="276" w:lineRule="auto"/>
        <w:rPr>
          <w:u w:val="single"/>
        </w:rPr>
      </w:pPr>
      <w:r w:rsidRPr="004B4482">
        <w:rPr>
          <w:u w:val="single"/>
        </w:rPr>
        <w:t>Table</w:t>
      </w:r>
      <w:r>
        <w:rPr>
          <w:u w:val="single"/>
        </w:rPr>
        <w:t xml:space="preserve"> 10</w:t>
      </w:r>
      <w:r w:rsidRPr="004B4482">
        <w:rPr>
          <w:u w:val="single"/>
        </w:rPr>
        <w:t xml:space="preserve">: Views on </w:t>
      </w:r>
      <w:r>
        <w:rPr>
          <w:u w:val="single"/>
        </w:rPr>
        <w:t xml:space="preserve">any changes needed to appointment type/length relating to the indicators </w:t>
      </w:r>
      <w:r w:rsidRPr="004B4482">
        <w:rPr>
          <w:u w:val="single"/>
        </w:rPr>
        <w:t>(survey)</w:t>
      </w:r>
    </w:p>
    <w:tbl>
      <w:tblPr>
        <w:tblStyle w:val="TableGrid"/>
        <w:tblW w:w="9209" w:type="dxa"/>
        <w:tblLook w:val="04A0" w:firstRow="1" w:lastRow="0" w:firstColumn="1" w:lastColumn="0" w:noHBand="0" w:noVBand="1"/>
      </w:tblPr>
      <w:tblGrid>
        <w:gridCol w:w="4815"/>
        <w:gridCol w:w="1241"/>
        <w:gridCol w:w="1169"/>
        <w:gridCol w:w="1234"/>
        <w:gridCol w:w="750"/>
      </w:tblGrid>
      <w:tr w:rsidR="006D7A0A" w14:paraId="7F5B09A5"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p w14:paraId="661644D2" w14:textId="77777777" w:rsidR="006D7A0A" w:rsidRPr="00295A9F" w:rsidRDefault="006D7A0A" w:rsidP="00154EC2">
            <w:pPr>
              <w:spacing w:before="60" w:after="60" w:line="240" w:lineRule="auto"/>
              <w:rPr>
                <w:b/>
                <w:sz w:val="22"/>
              </w:rPr>
            </w:pPr>
            <w:r>
              <w:rPr>
                <w:rFonts w:cs="Arial"/>
                <w:b/>
                <w:bCs/>
                <w:color w:val="010205"/>
                <w:sz w:val="22"/>
              </w:rPr>
              <w:t>Do you think there would need to be any changes to appointment TYPE for the following indicators?</w:t>
            </w:r>
          </w:p>
        </w:tc>
      </w:tr>
      <w:tr w:rsidR="006D7A0A" w14:paraId="2B469019" w14:textId="77777777" w:rsidTr="00154EC2">
        <w:tc>
          <w:tcPr>
            <w:tcW w:w="4815" w:type="dxa"/>
            <w:tcBorders>
              <w:top w:val="single" w:sz="4" w:space="0" w:color="auto"/>
              <w:left w:val="single" w:sz="4" w:space="0" w:color="auto"/>
              <w:bottom w:val="single" w:sz="4" w:space="0" w:color="auto"/>
              <w:right w:val="single" w:sz="4" w:space="0" w:color="auto"/>
            </w:tcBorders>
          </w:tcPr>
          <w:p w14:paraId="628E0B94" w14:textId="77777777" w:rsidR="006D7A0A" w:rsidRPr="00295A9F" w:rsidRDefault="006D7A0A"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7E5F2AB7" w14:textId="77777777" w:rsidR="006D7A0A" w:rsidRPr="00295A9F" w:rsidRDefault="006D7A0A" w:rsidP="00154EC2">
            <w:pPr>
              <w:spacing w:before="60" w:after="60" w:line="240" w:lineRule="auto"/>
              <w:jc w:val="center"/>
              <w:rPr>
                <w:sz w:val="22"/>
              </w:rPr>
            </w:pPr>
            <w:r w:rsidRPr="00295A9F">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23F6BBA6" w14:textId="77777777" w:rsidR="006D7A0A" w:rsidRPr="00295A9F" w:rsidRDefault="006D7A0A" w:rsidP="00154EC2">
            <w:pPr>
              <w:spacing w:before="60" w:after="60" w:line="240" w:lineRule="auto"/>
              <w:jc w:val="center"/>
              <w:rPr>
                <w:sz w:val="22"/>
              </w:rPr>
            </w:pPr>
            <w:r w:rsidRPr="00295A9F">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4B898ADF" w14:textId="77777777" w:rsidR="006D7A0A" w:rsidRPr="00295A9F" w:rsidRDefault="006D7A0A" w:rsidP="00154EC2">
            <w:pPr>
              <w:spacing w:before="60" w:after="60" w:line="240" w:lineRule="auto"/>
              <w:jc w:val="center"/>
              <w:rPr>
                <w:sz w:val="22"/>
              </w:rPr>
            </w:pPr>
            <w:r w:rsidRPr="00295A9F">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76A1765C" w14:textId="77777777" w:rsidR="006D7A0A" w:rsidRPr="00295A9F" w:rsidRDefault="006D7A0A" w:rsidP="00154EC2">
            <w:pPr>
              <w:spacing w:before="60" w:after="60" w:line="240" w:lineRule="auto"/>
              <w:jc w:val="center"/>
              <w:rPr>
                <w:sz w:val="22"/>
              </w:rPr>
            </w:pPr>
            <w:r w:rsidRPr="00295A9F">
              <w:rPr>
                <w:sz w:val="22"/>
              </w:rPr>
              <w:t>Total</w:t>
            </w:r>
          </w:p>
        </w:tc>
      </w:tr>
      <w:tr w:rsidR="006D7A0A" w14:paraId="790AF50E" w14:textId="77777777" w:rsidTr="00154EC2">
        <w:trPr>
          <w:trHeight w:val="804"/>
        </w:trPr>
        <w:tc>
          <w:tcPr>
            <w:tcW w:w="4815" w:type="dxa"/>
            <w:tcBorders>
              <w:top w:val="single" w:sz="4" w:space="0" w:color="auto"/>
              <w:left w:val="single" w:sz="4" w:space="0" w:color="auto"/>
              <w:bottom w:val="single" w:sz="4" w:space="0" w:color="auto"/>
              <w:right w:val="single" w:sz="4" w:space="0" w:color="auto"/>
            </w:tcBorders>
            <w:hideMark/>
          </w:tcPr>
          <w:p w14:paraId="4D12DF7B" w14:textId="77777777" w:rsidR="006D7A0A" w:rsidRPr="00295A9F" w:rsidRDefault="006D7A0A" w:rsidP="00154EC2">
            <w:pPr>
              <w:spacing w:before="60" w:after="60" w:line="240" w:lineRule="auto"/>
              <w:rPr>
                <w:sz w:val="22"/>
              </w:rPr>
            </w:pPr>
            <w:r w:rsidRPr="00295A9F">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681447B3" w14:textId="77777777" w:rsidR="006D7A0A" w:rsidRPr="00295A9F" w:rsidRDefault="006D7A0A" w:rsidP="00154EC2">
            <w:pPr>
              <w:spacing w:before="60" w:after="60" w:line="240" w:lineRule="auto"/>
              <w:jc w:val="center"/>
              <w:rPr>
                <w:sz w:val="22"/>
              </w:rPr>
            </w:pPr>
            <w:r w:rsidRPr="00295A9F">
              <w:rPr>
                <w:sz w:val="22"/>
              </w:rPr>
              <w:t>1</w:t>
            </w:r>
            <w:r>
              <w:rPr>
                <w:sz w:val="22"/>
              </w:rPr>
              <w:t>4</w:t>
            </w:r>
          </w:p>
          <w:p w14:paraId="6D0F8BF2" w14:textId="77777777" w:rsidR="006D7A0A" w:rsidRPr="00295A9F" w:rsidRDefault="006D7A0A" w:rsidP="00154EC2">
            <w:pPr>
              <w:spacing w:before="60" w:after="60" w:line="240" w:lineRule="auto"/>
              <w:jc w:val="center"/>
              <w:rPr>
                <w:sz w:val="22"/>
              </w:rPr>
            </w:pPr>
            <w:r w:rsidRPr="00295A9F">
              <w:rPr>
                <w:sz w:val="22"/>
              </w:rPr>
              <w:t>(</w:t>
            </w:r>
            <w:r>
              <w:rPr>
                <w:sz w:val="22"/>
              </w:rPr>
              <w:t>46.7</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0878AEAA" w14:textId="77777777" w:rsidR="006D7A0A" w:rsidRPr="00295A9F" w:rsidRDefault="006D7A0A" w:rsidP="00154EC2">
            <w:pPr>
              <w:spacing w:before="60" w:after="60" w:line="240" w:lineRule="auto"/>
              <w:jc w:val="center"/>
              <w:rPr>
                <w:sz w:val="22"/>
              </w:rPr>
            </w:pPr>
            <w:r w:rsidRPr="00295A9F">
              <w:rPr>
                <w:sz w:val="22"/>
              </w:rPr>
              <w:t>12</w:t>
            </w:r>
          </w:p>
          <w:p w14:paraId="18D16B07" w14:textId="77777777" w:rsidR="006D7A0A" w:rsidRPr="00295A9F" w:rsidRDefault="006D7A0A" w:rsidP="00154EC2">
            <w:pPr>
              <w:spacing w:before="60" w:after="60" w:line="240" w:lineRule="auto"/>
              <w:jc w:val="center"/>
              <w:rPr>
                <w:sz w:val="22"/>
              </w:rPr>
            </w:pPr>
            <w:r w:rsidRPr="00295A9F">
              <w:rPr>
                <w:sz w:val="22"/>
              </w:rPr>
              <w:t>(</w:t>
            </w:r>
            <w:r>
              <w:rPr>
                <w:sz w:val="22"/>
              </w:rPr>
              <w:t>40.0</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3503B905" w14:textId="77777777" w:rsidR="006D7A0A" w:rsidRPr="00295A9F" w:rsidRDefault="006D7A0A" w:rsidP="00154EC2">
            <w:pPr>
              <w:spacing w:before="60" w:after="60" w:line="240" w:lineRule="auto"/>
              <w:jc w:val="center"/>
              <w:rPr>
                <w:sz w:val="22"/>
              </w:rPr>
            </w:pPr>
            <w:r>
              <w:rPr>
                <w:sz w:val="22"/>
              </w:rPr>
              <w:t>4</w:t>
            </w:r>
          </w:p>
          <w:p w14:paraId="6ADDC79C" w14:textId="77777777" w:rsidR="006D7A0A" w:rsidRPr="00295A9F" w:rsidRDefault="006D7A0A" w:rsidP="00154EC2">
            <w:pPr>
              <w:spacing w:before="60" w:after="60" w:line="240" w:lineRule="auto"/>
              <w:jc w:val="center"/>
              <w:rPr>
                <w:sz w:val="22"/>
              </w:rPr>
            </w:pPr>
            <w:r w:rsidRPr="00295A9F">
              <w:rPr>
                <w:sz w:val="22"/>
              </w:rPr>
              <w:t>(</w:t>
            </w:r>
            <w:r>
              <w:rPr>
                <w:sz w:val="22"/>
              </w:rPr>
              <w:t>13.3</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593FA0DC"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r w:rsidR="006D7A0A" w14:paraId="2889A7A8"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346811D3" w14:textId="77777777" w:rsidR="006D7A0A" w:rsidRPr="00295A9F" w:rsidRDefault="006D7A0A" w:rsidP="00154EC2">
            <w:pPr>
              <w:spacing w:before="60" w:after="60" w:line="240" w:lineRule="auto"/>
              <w:rPr>
                <w:sz w:val="22"/>
              </w:rPr>
            </w:pPr>
            <w:r w:rsidRPr="00295A9F">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17808952" w14:textId="77777777" w:rsidR="006D7A0A" w:rsidRPr="00295A9F" w:rsidRDefault="006D7A0A" w:rsidP="00154EC2">
            <w:pPr>
              <w:spacing w:before="60" w:after="60" w:line="240" w:lineRule="auto"/>
              <w:jc w:val="center"/>
              <w:rPr>
                <w:sz w:val="22"/>
              </w:rPr>
            </w:pPr>
            <w:r w:rsidRPr="00295A9F">
              <w:rPr>
                <w:sz w:val="22"/>
              </w:rPr>
              <w:t>1</w:t>
            </w:r>
            <w:r>
              <w:rPr>
                <w:sz w:val="22"/>
              </w:rPr>
              <w:t>1</w:t>
            </w:r>
          </w:p>
          <w:p w14:paraId="3920D513" w14:textId="77777777" w:rsidR="006D7A0A" w:rsidRPr="00295A9F" w:rsidRDefault="006D7A0A" w:rsidP="00154EC2">
            <w:pPr>
              <w:spacing w:before="60" w:after="60" w:line="240" w:lineRule="auto"/>
              <w:jc w:val="center"/>
              <w:rPr>
                <w:sz w:val="22"/>
              </w:rPr>
            </w:pPr>
            <w:r w:rsidRPr="00295A9F">
              <w:rPr>
                <w:sz w:val="22"/>
              </w:rPr>
              <w:t>(</w:t>
            </w:r>
            <w:r>
              <w:rPr>
                <w:sz w:val="22"/>
              </w:rPr>
              <w:t>36.7</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3B9AFBEA" w14:textId="77777777" w:rsidR="006D7A0A" w:rsidRPr="00295A9F" w:rsidRDefault="006D7A0A" w:rsidP="00154EC2">
            <w:pPr>
              <w:spacing w:before="60" w:after="60" w:line="240" w:lineRule="auto"/>
              <w:jc w:val="center"/>
              <w:rPr>
                <w:sz w:val="22"/>
              </w:rPr>
            </w:pPr>
            <w:r w:rsidRPr="00295A9F">
              <w:rPr>
                <w:sz w:val="22"/>
              </w:rPr>
              <w:t>1</w:t>
            </w:r>
            <w:r>
              <w:rPr>
                <w:sz w:val="22"/>
              </w:rPr>
              <w:t>4</w:t>
            </w:r>
          </w:p>
          <w:p w14:paraId="43BF1AD2" w14:textId="77777777" w:rsidR="006D7A0A" w:rsidRPr="00295A9F" w:rsidRDefault="006D7A0A" w:rsidP="00154EC2">
            <w:pPr>
              <w:spacing w:before="60" w:after="60" w:line="240" w:lineRule="auto"/>
              <w:jc w:val="center"/>
              <w:rPr>
                <w:sz w:val="22"/>
              </w:rPr>
            </w:pPr>
            <w:r w:rsidRPr="00295A9F">
              <w:rPr>
                <w:sz w:val="22"/>
              </w:rPr>
              <w:t>(</w:t>
            </w:r>
            <w:r>
              <w:rPr>
                <w:sz w:val="22"/>
              </w:rPr>
              <w:t>46.7</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1574C9D3" w14:textId="77777777" w:rsidR="006D7A0A" w:rsidRPr="00295A9F" w:rsidRDefault="006D7A0A" w:rsidP="00154EC2">
            <w:pPr>
              <w:spacing w:before="60" w:after="60" w:line="240" w:lineRule="auto"/>
              <w:jc w:val="center"/>
              <w:rPr>
                <w:sz w:val="22"/>
              </w:rPr>
            </w:pPr>
            <w:r>
              <w:rPr>
                <w:sz w:val="22"/>
              </w:rPr>
              <w:t>5</w:t>
            </w:r>
          </w:p>
          <w:p w14:paraId="3C6F6DD5" w14:textId="77777777" w:rsidR="006D7A0A" w:rsidRPr="00295A9F" w:rsidRDefault="006D7A0A" w:rsidP="00154EC2">
            <w:pPr>
              <w:spacing w:before="60" w:after="60" w:line="240" w:lineRule="auto"/>
              <w:jc w:val="center"/>
              <w:rPr>
                <w:sz w:val="22"/>
              </w:rPr>
            </w:pPr>
            <w:r w:rsidRPr="00295A9F">
              <w:rPr>
                <w:sz w:val="22"/>
              </w:rPr>
              <w:t xml:space="preserve"> (</w:t>
            </w:r>
            <w:r>
              <w:rPr>
                <w:sz w:val="22"/>
              </w:rPr>
              <w:t>16.7</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19D5577A"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r w:rsidR="006D7A0A" w14:paraId="2EC8D8C1" w14:textId="77777777" w:rsidTr="00154EC2">
        <w:tc>
          <w:tcPr>
            <w:tcW w:w="4815" w:type="dxa"/>
            <w:tcBorders>
              <w:top w:val="single" w:sz="4" w:space="0" w:color="auto"/>
              <w:left w:val="single" w:sz="4" w:space="0" w:color="auto"/>
              <w:bottom w:val="single" w:sz="4" w:space="0" w:color="auto"/>
              <w:right w:val="single" w:sz="4" w:space="0" w:color="auto"/>
            </w:tcBorders>
          </w:tcPr>
          <w:p w14:paraId="43F1A4AF" w14:textId="77777777" w:rsidR="006D7A0A" w:rsidRPr="00295A9F" w:rsidRDefault="006D7A0A" w:rsidP="00154EC2">
            <w:pPr>
              <w:spacing w:before="60" w:after="60" w:line="240" w:lineRule="auto"/>
              <w:rPr>
                <w:sz w:val="22"/>
              </w:rPr>
            </w:pPr>
            <w:r w:rsidRPr="00295A9F">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2847A072" w14:textId="77777777" w:rsidR="006D7A0A" w:rsidRPr="00295A9F" w:rsidRDefault="006D7A0A" w:rsidP="00154EC2">
            <w:pPr>
              <w:spacing w:before="60" w:after="60" w:line="240" w:lineRule="auto"/>
              <w:jc w:val="center"/>
              <w:rPr>
                <w:sz w:val="22"/>
              </w:rPr>
            </w:pPr>
            <w:r w:rsidRPr="00295A9F">
              <w:rPr>
                <w:sz w:val="22"/>
              </w:rPr>
              <w:t>1</w:t>
            </w:r>
            <w:r>
              <w:rPr>
                <w:sz w:val="22"/>
              </w:rPr>
              <w:t>3</w:t>
            </w:r>
          </w:p>
          <w:p w14:paraId="5EE30B35" w14:textId="77777777" w:rsidR="006D7A0A" w:rsidRPr="00295A9F" w:rsidRDefault="006D7A0A" w:rsidP="00154EC2">
            <w:pPr>
              <w:spacing w:before="60" w:after="60" w:line="240" w:lineRule="auto"/>
              <w:jc w:val="center"/>
              <w:rPr>
                <w:sz w:val="22"/>
              </w:rPr>
            </w:pPr>
            <w:r w:rsidRPr="00295A9F">
              <w:rPr>
                <w:sz w:val="22"/>
              </w:rPr>
              <w:t>(</w:t>
            </w:r>
            <w:r>
              <w:rPr>
                <w:sz w:val="22"/>
              </w:rPr>
              <w:t>43.3</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4731C945" w14:textId="77777777" w:rsidR="006D7A0A" w:rsidRPr="00295A9F" w:rsidRDefault="006D7A0A" w:rsidP="00154EC2">
            <w:pPr>
              <w:spacing w:before="60" w:after="60" w:line="240" w:lineRule="auto"/>
              <w:jc w:val="center"/>
              <w:rPr>
                <w:sz w:val="22"/>
              </w:rPr>
            </w:pPr>
            <w:r w:rsidRPr="00295A9F">
              <w:rPr>
                <w:sz w:val="22"/>
              </w:rPr>
              <w:t>1</w:t>
            </w:r>
            <w:r>
              <w:rPr>
                <w:sz w:val="22"/>
              </w:rPr>
              <w:t>3</w:t>
            </w:r>
          </w:p>
          <w:p w14:paraId="5C032DD0" w14:textId="77777777" w:rsidR="006D7A0A" w:rsidRPr="00295A9F" w:rsidRDefault="006D7A0A" w:rsidP="00154EC2">
            <w:pPr>
              <w:spacing w:before="60" w:after="60" w:line="240" w:lineRule="auto"/>
              <w:jc w:val="center"/>
              <w:rPr>
                <w:sz w:val="22"/>
              </w:rPr>
            </w:pPr>
            <w:r w:rsidRPr="00295A9F">
              <w:rPr>
                <w:sz w:val="22"/>
              </w:rPr>
              <w:t>(</w:t>
            </w:r>
            <w:r>
              <w:rPr>
                <w:sz w:val="22"/>
              </w:rPr>
              <w:t>43.3</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010164ED" w14:textId="77777777" w:rsidR="006D7A0A" w:rsidRPr="00295A9F" w:rsidRDefault="006D7A0A" w:rsidP="00154EC2">
            <w:pPr>
              <w:spacing w:before="60" w:after="60" w:line="240" w:lineRule="auto"/>
              <w:jc w:val="center"/>
              <w:rPr>
                <w:sz w:val="22"/>
              </w:rPr>
            </w:pPr>
            <w:r>
              <w:rPr>
                <w:sz w:val="22"/>
              </w:rPr>
              <w:t>4</w:t>
            </w:r>
          </w:p>
          <w:p w14:paraId="2D897BD7" w14:textId="77777777" w:rsidR="006D7A0A" w:rsidRPr="00295A9F" w:rsidRDefault="006D7A0A" w:rsidP="00154EC2">
            <w:pPr>
              <w:spacing w:before="60" w:after="60" w:line="240" w:lineRule="auto"/>
              <w:jc w:val="center"/>
              <w:rPr>
                <w:sz w:val="22"/>
              </w:rPr>
            </w:pPr>
            <w:r w:rsidRPr="00295A9F">
              <w:rPr>
                <w:sz w:val="22"/>
              </w:rPr>
              <w:t>(</w:t>
            </w:r>
            <w:r>
              <w:rPr>
                <w:sz w:val="22"/>
              </w:rPr>
              <w:t>13.3</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0E60B33D"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r w:rsidR="006D7A0A" w14:paraId="57EF3970" w14:textId="77777777" w:rsidTr="00154EC2">
        <w:trPr>
          <w:trHeight w:val="141"/>
        </w:trPr>
        <w:tc>
          <w:tcPr>
            <w:tcW w:w="9209"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A303F09" w14:textId="77777777" w:rsidR="006D7A0A" w:rsidRPr="00A0352C" w:rsidRDefault="006D7A0A" w:rsidP="00154EC2">
            <w:pPr>
              <w:spacing w:before="60" w:after="60" w:line="240" w:lineRule="auto"/>
              <w:jc w:val="center"/>
              <w:rPr>
                <w:sz w:val="12"/>
                <w:szCs w:val="12"/>
              </w:rPr>
            </w:pPr>
          </w:p>
        </w:tc>
      </w:tr>
      <w:tr w:rsidR="006D7A0A" w14:paraId="09750C3F" w14:textId="77777777" w:rsidTr="00154EC2">
        <w:tc>
          <w:tcPr>
            <w:tcW w:w="9209" w:type="dxa"/>
            <w:gridSpan w:val="5"/>
            <w:tcBorders>
              <w:top w:val="single" w:sz="4" w:space="0" w:color="auto"/>
              <w:left w:val="single" w:sz="4" w:space="0" w:color="auto"/>
              <w:bottom w:val="single" w:sz="4" w:space="0" w:color="auto"/>
              <w:right w:val="single" w:sz="4" w:space="0" w:color="auto"/>
            </w:tcBorders>
            <w:hideMark/>
          </w:tcPr>
          <w:p w14:paraId="0F7B54E8" w14:textId="77777777" w:rsidR="006D7A0A" w:rsidRPr="00295A9F" w:rsidRDefault="006D7A0A" w:rsidP="00154EC2">
            <w:pPr>
              <w:spacing w:before="60" w:after="60" w:line="240" w:lineRule="auto"/>
              <w:rPr>
                <w:b/>
                <w:sz w:val="22"/>
              </w:rPr>
            </w:pPr>
            <w:r>
              <w:rPr>
                <w:rFonts w:cs="Arial"/>
                <w:b/>
                <w:bCs/>
                <w:color w:val="010205"/>
                <w:sz w:val="22"/>
              </w:rPr>
              <w:t>Do you think there would need to be any changes to appointment LENGTH for the following indicators?</w:t>
            </w:r>
          </w:p>
        </w:tc>
      </w:tr>
      <w:tr w:rsidR="006D7A0A" w14:paraId="4E6C602C" w14:textId="77777777" w:rsidTr="00154EC2">
        <w:tc>
          <w:tcPr>
            <w:tcW w:w="4815" w:type="dxa"/>
            <w:tcBorders>
              <w:top w:val="single" w:sz="4" w:space="0" w:color="auto"/>
              <w:left w:val="single" w:sz="4" w:space="0" w:color="auto"/>
              <w:bottom w:val="single" w:sz="4" w:space="0" w:color="auto"/>
              <w:right w:val="single" w:sz="4" w:space="0" w:color="auto"/>
            </w:tcBorders>
          </w:tcPr>
          <w:p w14:paraId="6A6376B2" w14:textId="77777777" w:rsidR="006D7A0A" w:rsidRPr="00295A9F" w:rsidRDefault="006D7A0A" w:rsidP="00154EC2">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04CD7225" w14:textId="77777777" w:rsidR="006D7A0A" w:rsidRPr="00295A9F" w:rsidRDefault="006D7A0A" w:rsidP="00154EC2">
            <w:pPr>
              <w:spacing w:before="60" w:after="60" w:line="240" w:lineRule="auto"/>
              <w:jc w:val="center"/>
              <w:rPr>
                <w:sz w:val="22"/>
              </w:rPr>
            </w:pPr>
            <w:r w:rsidRPr="00295A9F">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58A0A2FF" w14:textId="77777777" w:rsidR="006D7A0A" w:rsidRPr="00295A9F" w:rsidRDefault="006D7A0A" w:rsidP="00154EC2">
            <w:pPr>
              <w:spacing w:before="60" w:after="60" w:line="240" w:lineRule="auto"/>
              <w:jc w:val="center"/>
              <w:rPr>
                <w:sz w:val="22"/>
              </w:rPr>
            </w:pPr>
            <w:r w:rsidRPr="00295A9F">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2599FB43" w14:textId="77777777" w:rsidR="006D7A0A" w:rsidRPr="00295A9F" w:rsidRDefault="006D7A0A" w:rsidP="00154EC2">
            <w:pPr>
              <w:spacing w:before="60" w:after="60" w:line="240" w:lineRule="auto"/>
              <w:jc w:val="center"/>
              <w:rPr>
                <w:sz w:val="22"/>
              </w:rPr>
            </w:pPr>
            <w:r w:rsidRPr="00295A9F">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1F48FF07" w14:textId="77777777" w:rsidR="006D7A0A" w:rsidRPr="00295A9F" w:rsidRDefault="006D7A0A" w:rsidP="00154EC2">
            <w:pPr>
              <w:spacing w:before="60" w:after="60" w:line="240" w:lineRule="auto"/>
              <w:jc w:val="center"/>
              <w:rPr>
                <w:sz w:val="22"/>
              </w:rPr>
            </w:pPr>
            <w:r w:rsidRPr="00295A9F">
              <w:rPr>
                <w:sz w:val="22"/>
              </w:rPr>
              <w:t>Total</w:t>
            </w:r>
          </w:p>
        </w:tc>
      </w:tr>
      <w:tr w:rsidR="006D7A0A" w14:paraId="232C4C0E" w14:textId="77777777" w:rsidTr="00154EC2">
        <w:trPr>
          <w:trHeight w:val="804"/>
        </w:trPr>
        <w:tc>
          <w:tcPr>
            <w:tcW w:w="4815" w:type="dxa"/>
            <w:tcBorders>
              <w:top w:val="single" w:sz="4" w:space="0" w:color="auto"/>
              <w:left w:val="single" w:sz="4" w:space="0" w:color="auto"/>
              <w:bottom w:val="single" w:sz="4" w:space="0" w:color="auto"/>
              <w:right w:val="single" w:sz="4" w:space="0" w:color="auto"/>
            </w:tcBorders>
            <w:hideMark/>
          </w:tcPr>
          <w:p w14:paraId="2EB24D67" w14:textId="77777777" w:rsidR="006D7A0A" w:rsidRPr="00295A9F" w:rsidRDefault="006D7A0A" w:rsidP="00154EC2">
            <w:pPr>
              <w:spacing w:before="60" w:after="60" w:line="240" w:lineRule="auto"/>
              <w:rPr>
                <w:sz w:val="22"/>
              </w:rPr>
            </w:pPr>
            <w:r w:rsidRPr="00295A9F">
              <w:rPr>
                <w:sz w:val="22"/>
              </w:rPr>
              <w:t>Indicator 1: Annual review of all adults receiving drug treatment for epilepsy</w:t>
            </w:r>
          </w:p>
        </w:tc>
        <w:tc>
          <w:tcPr>
            <w:tcW w:w="1241" w:type="dxa"/>
            <w:tcBorders>
              <w:top w:val="single" w:sz="4" w:space="0" w:color="auto"/>
              <w:left w:val="single" w:sz="4" w:space="0" w:color="auto"/>
              <w:bottom w:val="single" w:sz="4" w:space="0" w:color="auto"/>
              <w:right w:val="single" w:sz="4" w:space="0" w:color="auto"/>
            </w:tcBorders>
            <w:hideMark/>
          </w:tcPr>
          <w:p w14:paraId="095044F5" w14:textId="77777777" w:rsidR="006D7A0A" w:rsidRPr="00295A9F" w:rsidRDefault="006D7A0A" w:rsidP="00154EC2">
            <w:pPr>
              <w:spacing w:before="60" w:after="60" w:line="240" w:lineRule="auto"/>
              <w:jc w:val="center"/>
              <w:rPr>
                <w:sz w:val="22"/>
              </w:rPr>
            </w:pPr>
            <w:r>
              <w:rPr>
                <w:sz w:val="22"/>
              </w:rPr>
              <w:t>14</w:t>
            </w:r>
          </w:p>
          <w:p w14:paraId="67722AFE" w14:textId="77777777" w:rsidR="006D7A0A" w:rsidRPr="00295A9F" w:rsidRDefault="006D7A0A" w:rsidP="00154EC2">
            <w:pPr>
              <w:spacing w:before="60" w:after="60" w:line="240" w:lineRule="auto"/>
              <w:jc w:val="center"/>
              <w:rPr>
                <w:sz w:val="22"/>
              </w:rPr>
            </w:pPr>
            <w:r w:rsidRPr="00295A9F">
              <w:rPr>
                <w:sz w:val="22"/>
              </w:rPr>
              <w:t>(</w:t>
            </w:r>
            <w:r>
              <w:rPr>
                <w:sz w:val="22"/>
              </w:rPr>
              <w:t>46.7</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21E830C3" w14:textId="77777777" w:rsidR="006D7A0A" w:rsidRPr="00295A9F" w:rsidRDefault="006D7A0A" w:rsidP="00154EC2">
            <w:pPr>
              <w:spacing w:before="60" w:after="60" w:line="240" w:lineRule="auto"/>
              <w:jc w:val="center"/>
              <w:rPr>
                <w:sz w:val="22"/>
              </w:rPr>
            </w:pPr>
            <w:r w:rsidRPr="00295A9F">
              <w:rPr>
                <w:sz w:val="22"/>
              </w:rPr>
              <w:t>1</w:t>
            </w:r>
            <w:r>
              <w:rPr>
                <w:sz w:val="22"/>
              </w:rPr>
              <w:t>3</w:t>
            </w:r>
          </w:p>
          <w:p w14:paraId="63A35E30" w14:textId="77777777" w:rsidR="006D7A0A" w:rsidRPr="00295A9F" w:rsidRDefault="006D7A0A" w:rsidP="00154EC2">
            <w:pPr>
              <w:spacing w:before="60" w:after="60" w:line="240" w:lineRule="auto"/>
              <w:jc w:val="center"/>
              <w:rPr>
                <w:sz w:val="22"/>
              </w:rPr>
            </w:pPr>
            <w:r w:rsidRPr="00295A9F">
              <w:rPr>
                <w:sz w:val="22"/>
              </w:rPr>
              <w:t>(</w:t>
            </w:r>
            <w:r>
              <w:rPr>
                <w:sz w:val="22"/>
              </w:rPr>
              <w:t>43.3</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0D613DDE" w14:textId="77777777" w:rsidR="006D7A0A" w:rsidRPr="00295A9F" w:rsidRDefault="006D7A0A" w:rsidP="00154EC2">
            <w:pPr>
              <w:spacing w:before="60" w:after="60" w:line="240" w:lineRule="auto"/>
              <w:jc w:val="center"/>
              <w:rPr>
                <w:sz w:val="22"/>
              </w:rPr>
            </w:pPr>
            <w:r>
              <w:rPr>
                <w:sz w:val="22"/>
              </w:rPr>
              <w:t>3</w:t>
            </w:r>
          </w:p>
          <w:p w14:paraId="668F2CBC" w14:textId="77777777" w:rsidR="006D7A0A" w:rsidRPr="00295A9F" w:rsidRDefault="006D7A0A" w:rsidP="00154EC2">
            <w:pPr>
              <w:spacing w:before="60" w:after="60" w:line="240" w:lineRule="auto"/>
              <w:jc w:val="center"/>
              <w:rPr>
                <w:sz w:val="22"/>
              </w:rPr>
            </w:pPr>
            <w:r w:rsidRPr="00295A9F">
              <w:rPr>
                <w:sz w:val="22"/>
              </w:rPr>
              <w:t>(</w:t>
            </w:r>
            <w:r>
              <w:rPr>
                <w:sz w:val="22"/>
              </w:rPr>
              <w:t>10.0</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1DB42641"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r w:rsidR="006D7A0A" w14:paraId="781E7975" w14:textId="77777777" w:rsidTr="00154EC2">
        <w:tc>
          <w:tcPr>
            <w:tcW w:w="4815" w:type="dxa"/>
            <w:tcBorders>
              <w:top w:val="single" w:sz="4" w:space="0" w:color="auto"/>
              <w:left w:val="single" w:sz="4" w:space="0" w:color="auto"/>
              <w:bottom w:val="single" w:sz="4" w:space="0" w:color="auto"/>
              <w:right w:val="single" w:sz="4" w:space="0" w:color="auto"/>
            </w:tcBorders>
            <w:hideMark/>
          </w:tcPr>
          <w:p w14:paraId="756E70A7" w14:textId="77777777" w:rsidR="006D7A0A" w:rsidRPr="00295A9F" w:rsidRDefault="006D7A0A" w:rsidP="00154EC2">
            <w:pPr>
              <w:spacing w:before="60" w:after="60" w:line="240" w:lineRule="auto"/>
              <w:rPr>
                <w:sz w:val="22"/>
              </w:rPr>
            </w:pPr>
            <w:r w:rsidRPr="00295A9F">
              <w:rPr>
                <w:sz w:val="22"/>
              </w:rPr>
              <w:t>Indicator 2: Annual review of adults with a learning disability and epilepsy</w:t>
            </w:r>
          </w:p>
        </w:tc>
        <w:tc>
          <w:tcPr>
            <w:tcW w:w="1241" w:type="dxa"/>
            <w:tcBorders>
              <w:top w:val="single" w:sz="4" w:space="0" w:color="auto"/>
              <w:left w:val="single" w:sz="4" w:space="0" w:color="auto"/>
              <w:bottom w:val="single" w:sz="4" w:space="0" w:color="auto"/>
              <w:right w:val="single" w:sz="4" w:space="0" w:color="auto"/>
            </w:tcBorders>
            <w:hideMark/>
          </w:tcPr>
          <w:p w14:paraId="28E4A005" w14:textId="77777777" w:rsidR="006D7A0A" w:rsidRPr="00295A9F" w:rsidRDefault="006D7A0A" w:rsidP="00154EC2">
            <w:pPr>
              <w:spacing w:before="60" w:after="60" w:line="240" w:lineRule="auto"/>
              <w:jc w:val="center"/>
              <w:rPr>
                <w:sz w:val="22"/>
              </w:rPr>
            </w:pPr>
            <w:r w:rsidRPr="00295A9F">
              <w:rPr>
                <w:sz w:val="22"/>
              </w:rPr>
              <w:t>1</w:t>
            </w:r>
            <w:r>
              <w:rPr>
                <w:sz w:val="22"/>
              </w:rPr>
              <w:t>8</w:t>
            </w:r>
          </w:p>
          <w:p w14:paraId="65DBA247" w14:textId="77777777" w:rsidR="006D7A0A" w:rsidRPr="00295A9F" w:rsidRDefault="006D7A0A" w:rsidP="00154EC2">
            <w:pPr>
              <w:spacing w:before="60" w:after="60" w:line="240" w:lineRule="auto"/>
              <w:jc w:val="center"/>
              <w:rPr>
                <w:sz w:val="22"/>
              </w:rPr>
            </w:pPr>
            <w:r w:rsidRPr="00295A9F">
              <w:rPr>
                <w:sz w:val="22"/>
              </w:rPr>
              <w:t>(</w:t>
            </w:r>
            <w:r>
              <w:rPr>
                <w:sz w:val="22"/>
              </w:rPr>
              <w:t>60.0</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35ED5C0E" w14:textId="77777777" w:rsidR="006D7A0A" w:rsidRPr="00295A9F" w:rsidRDefault="006D7A0A" w:rsidP="00154EC2">
            <w:pPr>
              <w:spacing w:before="60" w:after="60" w:line="240" w:lineRule="auto"/>
              <w:jc w:val="center"/>
              <w:rPr>
                <w:sz w:val="22"/>
              </w:rPr>
            </w:pPr>
            <w:r w:rsidRPr="00295A9F">
              <w:rPr>
                <w:sz w:val="22"/>
              </w:rPr>
              <w:t>1</w:t>
            </w:r>
            <w:r>
              <w:rPr>
                <w:sz w:val="22"/>
              </w:rPr>
              <w:t>0</w:t>
            </w:r>
          </w:p>
          <w:p w14:paraId="6DF14BE4" w14:textId="77777777" w:rsidR="006D7A0A" w:rsidRPr="00295A9F" w:rsidRDefault="006D7A0A" w:rsidP="00154EC2">
            <w:pPr>
              <w:spacing w:before="60" w:after="60" w:line="240" w:lineRule="auto"/>
              <w:jc w:val="center"/>
              <w:rPr>
                <w:sz w:val="22"/>
              </w:rPr>
            </w:pPr>
            <w:r w:rsidRPr="00295A9F">
              <w:rPr>
                <w:sz w:val="22"/>
              </w:rPr>
              <w:t>(</w:t>
            </w:r>
            <w:r>
              <w:rPr>
                <w:sz w:val="22"/>
              </w:rPr>
              <w:t>33.3</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5CF95C9E" w14:textId="77777777" w:rsidR="006D7A0A" w:rsidRPr="00295A9F" w:rsidRDefault="006D7A0A" w:rsidP="00154EC2">
            <w:pPr>
              <w:spacing w:before="60" w:after="60" w:line="240" w:lineRule="auto"/>
              <w:jc w:val="center"/>
              <w:rPr>
                <w:sz w:val="22"/>
              </w:rPr>
            </w:pPr>
            <w:r>
              <w:rPr>
                <w:sz w:val="22"/>
              </w:rPr>
              <w:t>2</w:t>
            </w:r>
          </w:p>
          <w:p w14:paraId="6562FDBA" w14:textId="77777777" w:rsidR="006D7A0A" w:rsidRPr="00295A9F" w:rsidRDefault="006D7A0A" w:rsidP="00154EC2">
            <w:pPr>
              <w:spacing w:before="60" w:after="60" w:line="240" w:lineRule="auto"/>
              <w:jc w:val="center"/>
              <w:rPr>
                <w:sz w:val="22"/>
              </w:rPr>
            </w:pPr>
            <w:r w:rsidRPr="00295A9F">
              <w:rPr>
                <w:sz w:val="22"/>
              </w:rPr>
              <w:t xml:space="preserve"> (</w:t>
            </w:r>
            <w:r>
              <w:rPr>
                <w:sz w:val="22"/>
              </w:rPr>
              <w:t>6.7</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21ACAABB"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r w:rsidR="006D7A0A" w14:paraId="073CEA55" w14:textId="77777777" w:rsidTr="00154EC2">
        <w:tc>
          <w:tcPr>
            <w:tcW w:w="4815" w:type="dxa"/>
            <w:tcBorders>
              <w:top w:val="single" w:sz="4" w:space="0" w:color="auto"/>
              <w:left w:val="single" w:sz="4" w:space="0" w:color="auto"/>
              <w:bottom w:val="single" w:sz="4" w:space="0" w:color="auto"/>
              <w:right w:val="single" w:sz="4" w:space="0" w:color="auto"/>
            </w:tcBorders>
          </w:tcPr>
          <w:p w14:paraId="4426802E" w14:textId="77777777" w:rsidR="006D7A0A" w:rsidRPr="00295A9F" w:rsidRDefault="006D7A0A" w:rsidP="00154EC2">
            <w:pPr>
              <w:spacing w:before="60" w:after="60" w:line="240" w:lineRule="auto"/>
              <w:rPr>
                <w:sz w:val="22"/>
              </w:rPr>
            </w:pPr>
            <w:r w:rsidRPr="00295A9F">
              <w:rPr>
                <w:sz w:val="22"/>
              </w:rPr>
              <w:t>Indicator 3: Annual review of adults with a mental health condition and epilepsy</w:t>
            </w:r>
          </w:p>
        </w:tc>
        <w:tc>
          <w:tcPr>
            <w:tcW w:w="1241" w:type="dxa"/>
            <w:tcBorders>
              <w:top w:val="single" w:sz="4" w:space="0" w:color="auto"/>
              <w:left w:val="single" w:sz="4" w:space="0" w:color="auto"/>
              <w:bottom w:val="single" w:sz="4" w:space="0" w:color="auto"/>
              <w:right w:val="single" w:sz="4" w:space="0" w:color="auto"/>
            </w:tcBorders>
            <w:hideMark/>
          </w:tcPr>
          <w:p w14:paraId="14103629" w14:textId="77777777" w:rsidR="006D7A0A" w:rsidRPr="00295A9F" w:rsidRDefault="006D7A0A" w:rsidP="00154EC2">
            <w:pPr>
              <w:spacing w:before="60" w:after="60" w:line="240" w:lineRule="auto"/>
              <w:jc w:val="center"/>
              <w:rPr>
                <w:sz w:val="22"/>
              </w:rPr>
            </w:pPr>
            <w:r>
              <w:rPr>
                <w:sz w:val="22"/>
              </w:rPr>
              <w:t>19</w:t>
            </w:r>
          </w:p>
          <w:p w14:paraId="4CFA8761" w14:textId="77777777" w:rsidR="006D7A0A" w:rsidRPr="00295A9F" w:rsidRDefault="006D7A0A" w:rsidP="00154EC2">
            <w:pPr>
              <w:spacing w:before="60" w:after="60" w:line="240" w:lineRule="auto"/>
              <w:jc w:val="center"/>
              <w:rPr>
                <w:sz w:val="22"/>
              </w:rPr>
            </w:pPr>
            <w:r w:rsidRPr="00295A9F">
              <w:rPr>
                <w:sz w:val="22"/>
              </w:rPr>
              <w:t>(</w:t>
            </w:r>
            <w:r>
              <w:rPr>
                <w:sz w:val="22"/>
              </w:rPr>
              <w:t>63.3</w:t>
            </w:r>
            <w:r w:rsidRPr="00295A9F">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42286ED4" w14:textId="77777777" w:rsidR="006D7A0A" w:rsidRPr="00295A9F" w:rsidRDefault="006D7A0A" w:rsidP="00154EC2">
            <w:pPr>
              <w:spacing w:before="60" w:after="60" w:line="240" w:lineRule="auto"/>
              <w:jc w:val="center"/>
              <w:rPr>
                <w:sz w:val="22"/>
              </w:rPr>
            </w:pPr>
            <w:r>
              <w:rPr>
                <w:sz w:val="22"/>
              </w:rPr>
              <w:t>8</w:t>
            </w:r>
          </w:p>
          <w:p w14:paraId="243085A5" w14:textId="77777777" w:rsidR="006D7A0A" w:rsidRPr="00295A9F" w:rsidRDefault="006D7A0A" w:rsidP="00154EC2">
            <w:pPr>
              <w:spacing w:before="60" w:after="60" w:line="240" w:lineRule="auto"/>
              <w:jc w:val="center"/>
              <w:rPr>
                <w:sz w:val="22"/>
              </w:rPr>
            </w:pPr>
            <w:r w:rsidRPr="00295A9F">
              <w:rPr>
                <w:sz w:val="22"/>
              </w:rPr>
              <w:t>(</w:t>
            </w:r>
            <w:r>
              <w:rPr>
                <w:sz w:val="22"/>
              </w:rPr>
              <w:t>26.7</w:t>
            </w:r>
            <w:r w:rsidRPr="00295A9F">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7483E17B" w14:textId="77777777" w:rsidR="006D7A0A" w:rsidRPr="00295A9F" w:rsidRDefault="006D7A0A" w:rsidP="00154EC2">
            <w:pPr>
              <w:spacing w:before="60" w:after="60" w:line="240" w:lineRule="auto"/>
              <w:jc w:val="center"/>
              <w:rPr>
                <w:sz w:val="22"/>
              </w:rPr>
            </w:pPr>
            <w:r>
              <w:rPr>
                <w:sz w:val="22"/>
              </w:rPr>
              <w:t>3</w:t>
            </w:r>
          </w:p>
          <w:p w14:paraId="026E2406" w14:textId="77777777" w:rsidR="006D7A0A" w:rsidRPr="00295A9F" w:rsidRDefault="006D7A0A" w:rsidP="00154EC2">
            <w:pPr>
              <w:spacing w:before="60" w:after="60" w:line="240" w:lineRule="auto"/>
              <w:jc w:val="center"/>
              <w:rPr>
                <w:sz w:val="22"/>
              </w:rPr>
            </w:pPr>
            <w:r w:rsidRPr="00295A9F">
              <w:rPr>
                <w:sz w:val="22"/>
              </w:rPr>
              <w:t>(</w:t>
            </w:r>
            <w:r>
              <w:rPr>
                <w:sz w:val="22"/>
              </w:rPr>
              <w:t>10.0</w:t>
            </w:r>
            <w:r w:rsidRPr="00295A9F">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5668A2DD" w14:textId="77777777" w:rsidR="006D7A0A" w:rsidRPr="00295A9F" w:rsidRDefault="006D7A0A" w:rsidP="00154EC2">
            <w:pPr>
              <w:spacing w:before="60" w:after="60" w:line="240" w:lineRule="auto"/>
              <w:jc w:val="center"/>
              <w:rPr>
                <w:sz w:val="22"/>
              </w:rPr>
            </w:pPr>
            <w:r w:rsidRPr="00295A9F">
              <w:rPr>
                <w:sz w:val="22"/>
              </w:rPr>
              <w:t>3</w:t>
            </w:r>
            <w:r>
              <w:rPr>
                <w:sz w:val="22"/>
              </w:rPr>
              <w:t>0</w:t>
            </w:r>
          </w:p>
        </w:tc>
      </w:tr>
    </w:tbl>
    <w:p w14:paraId="26957021" w14:textId="77777777" w:rsidR="003662B9" w:rsidRDefault="003662B9" w:rsidP="0098139D"/>
    <w:p w14:paraId="279CCA06" w14:textId="21BF0FD1" w:rsidR="00113CFC" w:rsidRDefault="00113CFC" w:rsidP="00D0579B">
      <w:pPr>
        <w:pStyle w:val="Heading3"/>
      </w:pPr>
      <w:r w:rsidRPr="009939B1">
        <w:t xml:space="preserve">Changes in practice organisation </w:t>
      </w:r>
    </w:p>
    <w:p w14:paraId="3D5A2CE9" w14:textId="6E885725" w:rsidR="00E70B6E" w:rsidRDefault="00A010D0" w:rsidP="00B80347">
      <w:r>
        <w:t>From the interviews, i</w:t>
      </w:r>
      <w:r w:rsidR="00E70B6E">
        <w:t xml:space="preserve">t is difficult to </w:t>
      </w:r>
      <w:r>
        <w:t>identify</w:t>
      </w:r>
      <w:r w:rsidR="00E70B6E">
        <w:t xml:space="preserve"> the </w:t>
      </w:r>
      <w:r w:rsidR="00E86C0B">
        <w:t xml:space="preserve">impact </w:t>
      </w:r>
      <w:r w:rsidR="00EF19C8">
        <w:t xml:space="preserve">on </w:t>
      </w:r>
      <w:r w:rsidR="00E70B6E">
        <w:t>practice organisation if the indicators were introduced</w:t>
      </w:r>
      <w:r w:rsidR="0046040A">
        <w:t>,</w:t>
      </w:r>
      <w:r w:rsidR="00E70B6E">
        <w:t xml:space="preserve"> due to the variability </w:t>
      </w:r>
      <w:r>
        <w:t xml:space="preserve">reported </w:t>
      </w:r>
      <w:r w:rsidR="00EF19C8">
        <w:t xml:space="preserve">between practices </w:t>
      </w:r>
      <w:r w:rsidR="00E70B6E">
        <w:t>in current procedures</w:t>
      </w:r>
      <w:r w:rsidR="00EF19C8">
        <w:t xml:space="preserve"> and views on the perceived content/process </w:t>
      </w:r>
      <w:r w:rsidR="0046040A">
        <w:t xml:space="preserve">of </w:t>
      </w:r>
      <w:r w:rsidR="00EF19C8">
        <w:t xml:space="preserve">an annual review for adults with epilepsy. </w:t>
      </w:r>
      <w:r w:rsidR="00E1100C">
        <w:t xml:space="preserve">However, one practice explicitly stated that indicator 3 would </w:t>
      </w:r>
      <w:r w:rsidR="006F5028">
        <w:lastRenderedPageBreak/>
        <w:t>directly impact the way their practice operates if included as part of the mental health review as</w:t>
      </w:r>
      <w:r w:rsidR="007C659D">
        <w:t xml:space="preserve"> currently</w:t>
      </w:r>
      <w:r w:rsidR="006F5028">
        <w:t xml:space="preserve"> </w:t>
      </w:r>
      <w:r w:rsidR="00DE3C2E">
        <w:t xml:space="preserve">it is </w:t>
      </w:r>
      <w:r w:rsidR="006F5028">
        <w:t>mental health facilitators</w:t>
      </w:r>
      <w:r w:rsidR="00DE3C2E">
        <w:t xml:space="preserve"> who conduct patient reviews</w:t>
      </w:r>
      <w:r w:rsidR="007C659D">
        <w:t xml:space="preserve">, </w:t>
      </w:r>
      <w:r w:rsidR="00DE3C2E">
        <w:t xml:space="preserve">and these facilitators </w:t>
      </w:r>
      <w:r w:rsidR="007C659D">
        <w:t>would not be able to help with the patient’s epilepsy</w:t>
      </w:r>
      <w:r w:rsidR="00DE3C2E">
        <w:t>.</w:t>
      </w:r>
      <w:r w:rsidR="007513CA">
        <w:t xml:space="preserve"> </w:t>
      </w:r>
    </w:p>
    <w:p w14:paraId="33D7A02B" w14:textId="58CD7267" w:rsidR="00BD48F1" w:rsidRDefault="00EE742F" w:rsidP="00D359FB">
      <w:r>
        <w:t xml:space="preserve">The interviews revealed variation between practices in how epilepsy patients are currently </w:t>
      </w:r>
      <w:r w:rsidR="0046040A">
        <w:t xml:space="preserve">managed – whether </w:t>
      </w:r>
      <w:r>
        <w:t>primarily in primary or secondary care</w:t>
      </w:r>
      <w:r w:rsidR="0046040A">
        <w:t xml:space="preserve"> –</w:t>
      </w:r>
      <w:r>
        <w:t xml:space="preserve"> </w:t>
      </w:r>
      <w:proofErr w:type="gramStart"/>
      <w:r>
        <w:t>and also</w:t>
      </w:r>
      <w:proofErr w:type="gramEnd"/>
      <w:r>
        <w:t xml:space="preserve"> in how existing </w:t>
      </w:r>
      <w:r w:rsidR="00E70B6E">
        <w:t xml:space="preserve">annual </w:t>
      </w:r>
      <w:r>
        <w:t>reviews</w:t>
      </w:r>
      <w:r w:rsidR="00E70B6E">
        <w:t>/health checks</w:t>
      </w:r>
      <w:r>
        <w:t xml:space="preserve"> are conducted</w:t>
      </w:r>
      <w:r w:rsidR="00A010D0">
        <w:t>, including by which healthcare professional</w:t>
      </w:r>
      <w:r w:rsidR="006F5028">
        <w:t>.</w:t>
      </w:r>
      <w:r>
        <w:t xml:space="preserve"> </w:t>
      </w:r>
    </w:p>
    <w:p w14:paraId="6A1F246E" w14:textId="77777777" w:rsidR="00636E42" w:rsidRPr="00EB28E9" w:rsidRDefault="00636E42" w:rsidP="00D359FB"/>
    <w:p w14:paraId="280FD25B" w14:textId="1386BF5D" w:rsidR="00FC4D8C" w:rsidRDefault="00FC4D8C" w:rsidP="00FC4D8C">
      <w:pPr>
        <w:pStyle w:val="Heading3"/>
      </w:pPr>
      <w:r w:rsidRPr="009939B1">
        <w:t>Barriers to implementation</w:t>
      </w:r>
    </w:p>
    <w:p w14:paraId="56FFE039" w14:textId="22FDC4B8" w:rsidR="008B3D47" w:rsidRDefault="00905356" w:rsidP="008B3D47">
      <w:pPr>
        <w:spacing w:after="0"/>
      </w:pPr>
      <w:r>
        <w:t xml:space="preserve">Practices were asked in the survey if </w:t>
      </w:r>
      <w:r w:rsidRPr="00905356">
        <w:t xml:space="preserve">there </w:t>
      </w:r>
      <w:r>
        <w:t>were</w:t>
      </w:r>
      <w:r w:rsidRPr="00905356">
        <w:t xml:space="preserve"> issues that would need to be resolved, or barriers that would need to be addressed</w:t>
      </w:r>
      <w:r w:rsidR="005D43F8">
        <w:t xml:space="preserve">, </w:t>
      </w:r>
      <w:r w:rsidRPr="00905356">
        <w:t>to enable the indicators to succeed</w:t>
      </w:r>
      <w:r>
        <w:t xml:space="preserve">. </w:t>
      </w:r>
      <w:r w:rsidRPr="00905356">
        <w:t xml:space="preserve"> </w:t>
      </w:r>
      <w:r w:rsidR="00834F68">
        <w:t xml:space="preserve">Only two respondents </w:t>
      </w:r>
      <w:r w:rsidR="006B442D">
        <w:t xml:space="preserve">wrote a comment in relation to </w:t>
      </w:r>
      <w:r w:rsidR="00834F68">
        <w:t>the epilepsy-related indicators.</w:t>
      </w:r>
      <w:r w:rsidR="006B442D">
        <w:t xml:space="preserve"> </w:t>
      </w:r>
      <w:r w:rsidR="00834F68">
        <w:t xml:space="preserve">A Practice Manager </w:t>
      </w:r>
      <w:r w:rsidR="006B442D">
        <w:t>noted</w:t>
      </w:r>
      <w:r w:rsidR="008B3D47">
        <w:t>:</w:t>
      </w:r>
    </w:p>
    <w:p w14:paraId="1F5048BA" w14:textId="3C5DA37C" w:rsidR="008B3D47" w:rsidRDefault="00834F68" w:rsidP="008B3D47">
      <w:pPr>
        <w:pStyle w:val="ListParagraph"/>
        <w:numPr>
          <w:ilvl w:val="0"/>
          <w:numId w:val="1"/>
        </w:numPr>
      </w:pPr>
      <w:r>
        <w:t xml:space="preserve">there </w:t>
      </w:r>
      <w:r w:rsidR="00FE031F">
        <w:t>i</w:t>
      </w:r>
      <w:r>
        <w:t xml:space="preserve">s too much duplication across the three </w:t>
      </w:r>
      <w:proofErr w:type="gramStart"/>
      <w:r>
        <w:t>indicators</w:t>
      </w:r>
      <w:r w:rsidR="006048C3">
        <w:t>;</w:t>
      </w:r>
      <w:proofErr w:type="gramEnd"/>
      <w:r>
        <w:t xml:space="preserve"> </w:t>
      </w:r>
    </w:p>
    <w:p w14:paraId="11F10B7C" w14:textId="77777777" w:rsidR="008B3D47" w:rsidRDefault="00834F68" w:rsidP="008B3D47">
      <w:pPr>
        <w:pStyle w:val="ListParagraph"/>
        <w:numPr>
          <w:ilvl w:val="0"/>
          <w:numId w:val="1"/>
        </w:numPr>
      </w:pPr>
      <w:r>
        <w:t xml:space="preserve">most patients are managed in secondary care. </w:t>
      </w:r>
    </w:p>
    <w:p w14:paraId="58D40544" w14:textId="40D1CBF4" w:rsidR="008B3D47" w:rsidRDefault="00834F68" w:rsidP="008B3D47">
      <w:pPr>
        <w:spacing w:after="0"/>
      </w:pPr>
      <w:r>
        <w:t xml:space="preserve">A </w:t>
      </w:r>
      <w:r w:rsidR="003E647F">
        <w:t>S</w:t>
      </w:r>
      <w:r>
        <w:t xml:space="preserve">enior </w:t>
      </w:r>
      <w:r w:rsidR="003E647F">
        <w:t>M</w:t>
      </w:r>
      <w:r>
        <w:t>anager from a different practice stated that</w:t>
      </w:r>
      <w:r w:rsidR="008B3D47">
        <w:t>:</w:t>
      </w:r>
    </w:p>
    <w:p w14:paraId="069E5479" w14:textId="6F558EBB" w:rsidR="008B3D47" w:rsidRDefault="00834F68" w:rsidP="008B3D47">
      <w:pPr>
        <w:pStyle w:val="ListParagraph"/>
        <w:numPr>
          <w:ilvl w:val="0"/>
          <w:numId w:val="20"/>
        </w:numPr>
      </w:pPr>
      <w:r>
        <w:t xml:space="preserve">review templates need to be </w:t>
      </w:r>
      <w:proofErr w:type="gramStart"/>
      <w:r>
        <w:t>integrated</w:t>
      </w:r>
      <w:r w:rsidR="006048C3">
        <w:t>;</w:t>
      </w:r>
      <w:proofErr w:type="gramEnd"/>
      <w:r>
        <w:t xml:space="preserve"> </w:t>
      </w:r>
    </w:p>
    <w:p w14:paraId="33680A75" w14:textId="031B4C8D" w:rsidR="00690AB9" w:rsidRDefault="008B3D47" w:rsidP="008B3D47">
      <w:pPr>
        <w:pStyle w:val="ListParagraph"/>
        <w:numPr>
          <w:ilvl w:val="0"/>
          <w:numId w:val="20"/>
        </w:numPr>
      </w:pPr>
      <w:r>
        <w:t xml:space="preserve">they are already struggling to get patients to attend their learning disability reviews. </w:t>
      </w:r>
    </w:p>
    <w:p w14:paraId="31B0872E" w14:textId="08A42D1E" w:rsidR="008B3D47" w:rsidRPr="00690AB9" w:rsidRDefault="005D43F8" w:rsidP="00690AB9">
      <w:r>
        <w:t>From the interviews with practices, other potential barriers to implementation</w:t>
      </w:r>
      <w:r w:rsidR="003E647F">
        <w:t xml:space="preserve"> </w:t>
      </w:r>
      <w:r w:rsidR="007D6F70">
        <w:t>appeared to be</w:t>
      </w:r>
      <w:r w:rsidR="003E647F">
        <w:t>:</w:t>
      </w:r>
    </w:p>
    <w:p w14:paraId="43812D85" w14:textId="069E7B0C" w:rsidR="00B80347" w:rsidRPr="00C05B04" w:rsidRDefault="008C651E" w:rsidP="00B80347">
      <w:pPr>
        <w:pStyle w:val="ListParagraph"/>
        <w:numPr>
          <w:ilvl w:val="0"/>
          <w:numId w:val="19"/>
        </w:numPr>
      </w:pPr>
      <w:r>
        <w:t>s</w:t>
      </w:r>
      <w:r w:rsidR="003E647F">
        <w:t>taff and/or patients n</w:t>
      </w:r>
      <w:r w:rsidR="00B80347">
        <w:t xml:space="preserve">ot recognising the value of </w:t>
      </w:r>
      <w:r w:rsidR="007D6F70">
        <w:t>an annual review</w:t>
      </w:r>
      <w:r w:rsidR="00B80347">
        <w:t xml:space="preserve"> </w:t>
      </w:r>
      <w:r w:rsidR="003E647F">
        <w:t xml:space="preserve">with it </w:t>
      </w:r>
      <w:r w:rsidR="00B80347" w:rsidRPr="00CC1C7B">
        <w:t xml:space="preserve">feeling like a </w:t>
      </w:r>
      <w:r w:rsidR="003E647F" w:rsidRPr="00CC1C7B">
        <w:t>‘</w:t>
      </w:r>
      <w:r w:rsidR="00B80347" w:rsidRPr="00CC1C7B">
        <w:t>tick</w:t>
      </w:r>
      <w:r w:rsidR="002E0140" w:rsidRPr="00CC1C7B">
        <w:t>-</w:t>
      </w:r>
      <w:r w:rsidR="00B80347" w:rsidRPr="00CC1C7B">
        <w:t>box</w:t>
      </w:r>
      <w:r w:rsidR="003E647F" w:rsidRPr="00CC1C7B">
        <w:t>’</w:t>
      </w:r>
      <w:r w:rsidR="00B80347" w:rsidRPr="00CC1C7B">
        <w:t xml:space="preserve"> exercise </w:t>
      </w:r>
      <w:r w:rsidR="00BC704E" w:rsidRPr="00C05B04">
        <w:t>(see p</w:t>
      </w:r>
      <w:r w:rsidR="0092038A" w:rsidRPr="00C05B04">
        <w:t>1</w:t>
      </w:r>
      <w:r w:rsidR="00C05B04" w:rsidRPr="00C05B04">
        <w:t>4</w:t>
      </w:r>
      <w:r w:rsidR="0092038A" w:rsidRPr="00C05B04">
        <w:t>-1</w:t>
      </w:r>
      <w:r w:rsidR="00C379F0" w:rsidRPr="00C05B04">
        <w:t>5</w:t>
      </w:r>
      <w:proofErr w:type="gramStart"/>
      <w:r w:rsidR="00BC704E" w:rsidRPr="00C05B04">
        <w:t>)</w:t>
      </w:r>
      <w:r w:rsidR="00C05B04">
        <w:t>;</w:t>
      </w:r>
      <w:proofErr w:type="gramEnd"/>
    </w:p>
    <w:p w14:paraId="515D335B" w14:textId="6B410A23" w:rsidR="006B442D" w:rsidRPr="00C05B04" w:rsidRDefault="008C651E" w:rsidP="003E647F">
      <w:pPr>
        <w:pStyle w:val="ListParagraph"/>
        <w:numPr>
          <w:ilvl w:val="0"/>
          <w:numId w:val="19"/>
        </w:numPr>
      </w:pPr>
      <w:r w:rsidRPr="00C05B04">
        <w:t>s</w:t>
      </w:r>
      <w:r w:rsidR="00B80347" w:rsidRPr="00C05B04">
        <w:t xml:space="preserve">taff conducting the </w:t>
      </w:r>
      <w:r w:rsidR="006647ED" w:rsidRPr="00C05B04">
        <w:t xml:space="preserve">mental health </w:t>
      </w:r>
      <w:r w:rsidR="00B80347" w:rsidRPr="00C05B04">
        <w:t xml:space="preserve">reviews </w:t>
      </w:r>
      <w:r w:rsidR="006B442D" w:rsidRPr="00C05B04">
        <w:t xml:space="preserve">may </w:t>
      </w:r>
      <w:r w:rsidR="00B80347" w:rsidRPr="00C05B04">
        <w:t>not hav</w:t>
      </w:r>
      <w:r w:rsidR="006B442D" w:rsidRPr="00C05B04">
        <w:t xml:space="preserve">e </w:t>
      </w:r>
      <w:r w:rsidR="00B80347" w:rsidRPr="00C05B04">
        <w:t>the required skills/knowledge</w:t>
      </w:r>
      <w:r w:rsidR="006B442D" w:rsidRPr="00C05B04">
        <w:t xml:space="preserve"> about epilepsy </w:t>
      </w:r>
      <w:r w:rsidR="00BC704E" w:rsidRPr="00C05B04">
        <w:t xml:space="preserve">(see </w:t>
      </w:r>
      <w:r w:rsidR="0092038A" w:rsidRPr="00C05B04">
        <w:t>p18</w:t>
      </w:r>
      <w:proofErr w:type="gramStart"/>
      <w:r w:rsidR="00BC704E" w:rsidRPr="00C05B04">
        <w:t>)</w:t>
      </w:r>
      <w:r w:rsidR="00C05B04">
        <w:t>;</w:t>
      </w:r>
      <w:proofErr w:type="gramEnd"/>
    </w:p>
    <w:p w14:paraId="70ADE3C7" w14:textId="05E4102A" w:rsidR="00350B88" w:rsidRPr="00C05B04" w:rsidRDefault="008C651E" w:rsidP="003E647F">
      <w:pPr>
        <w:pStyle w:val="ListParagraph"/>
        <w:numPr>
          <w:ilvl w:val="0"/>
          <w:numId w:val="19"/>
        </w:numPr>
      </w:pPr>
      <w:r w:rsidRPr="00C05B04">
        <w:t>r</w:t>
      </w:r>
      <w:r w:rsidR="00350B88" w:rsidRPr="00C05B04">
        <w:t>eceiving timely and clear information/notifications from secondary care (see p</w:t>
      </w:r>
      <w:r w:rsidR="00B2497A" w:rsidRPr="00C05B04">
        <w:t>15</w:t>
      </w:r>
      <w:r w:rsidR="00C05B04" w:rsidRPr="00C05B04">
        <w:t>-</w:t>
      </w:r>
      <w:r w:rsidR="0013794C" w:rsidRPr="00C05B04">
        <w:t>16</w:t>
      </w:r>
      <w:r w:rsidR="00350B88" w:rsidRPr="00C05B04">
        <w:t>)</w:t>
      </w:r>
      <w:r w:rsidRPr="00C05B04">
        <w:t>.</w:t>
      </w:r>
    </w:p>
    <w:p w14:paraId="443D8DFB" w14:textId="77777777" w:rsidR="006D7A0A" w:rsidRPr="00B80347" w:rsidRDefault="006D7A0A" w:rsidP="006D7A0A">
      <w:pPr>
        <w:pStyle w:val="ListParagraph"/>
        <w:spacing w:after="0"/>
      </w:pPr>
    </w:p>
    <w:p w14:paraId="718EF455" w14:textId="67A389FD" w:rsidR="00FC4D8C" w:rsidRPr="009939B1" w:rsidRDefault="00FC4D8C" w:rsidP="00FC4D8C">
      <w:pPr>
        <w:pStyle w:val="Heading3"/>
      </w:pPr>
      <w:r w:rsidRPr="009939B1">
        <w:t xml:space="preserve">Assessment of </w:t>
      </w:r>
      <w:r w:rsidR="00F3120C" w:rsidRPr="009939B1">
        <w:t>Personalised Care Adjustment reporting rates</w:t>
      </w:r>
    </w:p>
    <w:p w14:paraId="318272FA" w14:textId="2B706A48" w:rsidR="006D7A0A" w:rsidRDefault="00176132" w:rsidP="006D7A0A">
      <w:r>
        <w:t>No issues were mentioned by practices.</w:t>
      </w:r>
    </w:p>
    <w:p w14:paraId="12AA1404" w14:textId="77777777" w:rsidR="006D7A0A" w:rsidRPr="009939B1" w:rsidRDefault="006D7A0A" w:rsidP="006D7A0A">
      <w:pPr>
        <w:spacing w:after="0"/>
      </w:pPr>
    </w:p>
    <w:p w14:paraId="6F959E2F" w14:textId="3776BF91" w:rsidR="00FC4D8C" w:rsidRDefault="00FD2694" w:rsidP="00FD2694">
      <w:pPr>
        <w:pStyle w:val="Heading3"/>
      </w:pPr>
      <w:r w:rsidRPr="009939B1">
        <w:lastRenderedPageBreak/>
        <w:t>A</w:t>
      </w:r>
      <w:r w:rsidR="00FC4D8C" w:rsidRPr="009939B1">
        <w:t xml:space="preserve">ssessment of overlap with and/or impact </w:t>
      </w:r>
      <w:r w:rsidR="000A7674" w:rsidRPr="009939B1">
        <w:t>on existing QOF indicators</w:t>
      </w:r>
      <w:r w:rsidR="002F4670" w:rsidRPr="009939B1">
        <w:t xml:space="preserve"> or local schemes</w:t>
      </w:r>
      <w:r w:rsidR="000A7674" w:rsidRPr="009939B1">
        <w:t xml:space="preserve"> </w:t>
      </w:r>
    </w:p>
    <w:p w14:paraId="5D5D695A" w14:textId="76C200EB" w:rsidR="0023441F" w:rsidRDefault="00BC704E" w:rsidP="0023441F">
      <w:r>
        <w:t xml:space="preserve">There was general agreement by practices interviewed that </w:t>
      </w:r>
      <w:r w:rsidR="006A0EFB">
        <w:t>the review of patients with epilepsy and a learning disability (</w:t>
      </w:r>
      <w:r w:rsidR="00793C23">
        <w:t>i</w:t>
      </w:r>
      <w:r w:rsidR="006A0EFB">
        <w:t>ndicator 2) could be</w:t>
      </w:r>
      <w:r w:rsidR="007C659D">
        <w:t>/already was</w:t>
      </w:r>
      <w:r w:rsidR="006A0EFB">
        <w:t xml:space="preserve"> incorporated within the existing annual Learning Disability Health Check. </w:t>
      </w:r>
      <w:r w:rsidR="004F6A6F">
        <w:t>Four</w:t>
      </w:r>
      <w:r w:rsidR="0023441F">
        <w:t xml:space="preserve"> practices were specifically asked</w:t>
      </w:r>
      <w:r w:rsidR="004F6A6F">
        <w:t xml:space="preserve"> whether they thought the indicator could be made a PCN indicator as opposed to a general practice indicator or</w:t>
      </w:r>
      <w:r w:rsidR="0023441F">
        <w:t xml:space="preserve"> whether the existing PCN DES Indicator </w:t>
      </w:r>
      <w:r w:rsidR="00FB1AA0">
        <w:t>HI-01</w:t>
      </w:r>
      <w:r w:rsidR="0023441F">
        <w:rPr>
          <w:rStyle w:val="FootnoteReference"/>
        </w:rPr>
        <w:footnoteReference w:id="2"/>
      </w:r>
      <w:r w:rsidR="0023441F">
        <w:t xml:space="preserve"> could be expanded to incorporate a conversation about epilepsy. </w:t>
      </w:r>
      <w:r w:rsidR="004F6A6F">
        <w:t>Three</w:t>
      </w:r>
      <w:r w:rsidR="0023441F">
        <w:t xml:space="preserve"> practices were supportive of this suggestion, but the </w:t>
      </w:r>
      <w:r w:rsidR="004F6A6F">
        <w:t>fourth</w:t>
      </w:r>
      <w:r w:rsidR="0023441F">
        <w:t xml:space="preserve"> practice did not agree</w:t>
      </w:r>
      <w:r w:rsidR="008C651E">
        <w:t>,</w:t>
      </w:r>
      <w:r w:rsidR="0023441F">
        <w:t xml:space="preserve"> noting</w:t>
      </w:r>
      <w:r w:rsidR="008C651E">
        <w:t xml:space="preserve"> that because</w:t>
      </w:r>
      <w:r w:rsidR="0023441F">
        <w:t xml:space="preserve"> their practice reviews every person with a learning disability</w:t>
      </w:r>
      <w:r w:rsidR="004F2CE5">
        <w:t xml:space="preserve"> it did not need to be made a PCN level indicator</w:t>
      </w:r>
      <w:r w:rsidR="0023441F">
        <w:t>.</w:t>
      </w:r>
    </w:p>
    <w:p w14:paraId="512C7E75" w14:textId="5B919C36" w:rsidR="00F65475" w:rsidRPr="00A970B2" w:rsidRDefault="00F65475" w:rsidP="00F65475">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i/>
          <w:sz w:val="24"/>
          <w:szCs w:val="24"/>
        </w:rPr>
      </w:pPr>
      <w:r w:rsidRPr="00A970B2">
        <w:rPr>
          <w:i/>
          <w:sz w:val="24"/>
          <w:szCs w:val="24"/>
        </w:rPr>
        <w:t>Moderator: “…it could be done at, sort of, PCN level because the size of the denominator in some practices could be quite small.”</w:t>
      </w:r>
    </w:p>
    <w:p w14:paraId="2D092BF7" w14:textId="77777777" w:rsidR="00F65475" w:rsidRPr="00F65475" w:rsidRDefault="00F65475" w:rsidP="00F65475">
      <w:pPr>
        <w:pStyle w:val="p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bCs/>
          <w:sz w:val="24"/>
          <w:szCs w:val="24"/>
        </w:rPr>
      </w:pPr>
    </w:p>
    <w:p w14:paraId="639F8BF1" w14:textId="2D2BDBBC" w:rsidR="0023441F" w:rsidRPr="003E3A1F" w:rsidRDefault="00265C87" w:rsidP="0023441F">
      <w:pPr>
        <w:widowControl w:val="0"/>
        <w:autoSpaceDE w:val="0"/>
        <w:autoSpaceDN w:val="0"/>
        <w:adjustRightInd w:val="0"/>
        <w:spacing w:after="0" w:line="240" w:lineRule="auto"/>
        <w:rPr>
          <w:i/>
          <w:iCs/>
        </w:rPr>
      </w:pPr>
      <w:r>
        <w:t>Practice Manager</w:t>
      </w:r>
      <w:r w:rsidR="00F65475" w:rsidRPr="00F65475">
        <w:t>:</w:t>
      </w:r>
      <w:r w:rsidR="00F65475">
        <w:rPr>
          <w:i/>
          <w:iCs/>
        </w:rPr>
        <w:t xml:space="preserve"> </w:t>
      </w:r>
      <w:r w:rsidR="0023441F">
        <w:rPr>
          <w:i/>
          <w:iCs/>
        </w:rPr>
        <w:t>“</w:t>
      </w:r>
      <w:r w:rsidR="0023441F" w:rsidRPr="003E3A1F">
        <w:rPr>
          <w:i/>
          <w:iCs/>
        </w:rPr>
        <w:t>I'm not sure I'd agree with that to be honest, because we are hopefully seeing every person with a learning disability. So, it would just easily be incorporated into that review. So, no, I wouldn't agree with that one.</w:t>
      </w:r>
      <w:r w:rsidR="0023441F">
        <w:rPr>
          <w:i/>
          <w:iCs/>
        </w:rPr>
        <w:t>” [</w:t>
      </w:r>
      <w:r>
        <w:rPr>
          <w:i/>
          <w:iCs/>
        </w:rPr>
        <w:t>Practice Manager</w:t>
      </w:r>
      <w:r w:rsidR="0023441F">
        <w:rPr>
          <w:i/>
          <w:iCs/>
        </w:rPr>
        <w:t>, Interview].</w:t>
      </w:r>
    </w:p>
    <w:p w14:paraId="667F6420" w14:textId="77777777" w:rsidR="00EB28E9" w:rsidRDefault="00EB28E9" w:rsidP="00F8616E">
      <w:pPr>
        <w:spacing w:after="0"/>
      </w:pPr>
    </w:p>
    <w:p w14:paraId="31069FB4" w14:textId="0E841666" w:rsidR="00F8616E" w:rsidRDefault="00305F86" w:rsidP="00F8616E">
      <w:r w:rsidRPr="00305F86">
        <w:t xml:space="preserve">To identify eligible patients for </w:t>
      </w:r>
      <w:r w:rsidR="00793C23">
        <w:t>i</w:t>
      </w:r>
      <w:r w:rsidR="00F8616E" w:rsidRPr="00305F86">
        <w:t>ndicator 3</w:t>
      </w:r>
      <w:r w:rsidRPr="00305F86">
        <w:t xml:space="preserve">, the </w:t>
      </w:r>
      <w:r w:rsidR="00F8616E" w:rsidRPr="00305F86">
        <w:t>QOF indicator MH001</w:t>
      </w:r>
      <w:r>
        <w:rPr>
          <w:rStyle w:val="FootnoteReference"/>
        </w:rPr>
        <w:footnoteReference w:id="3"/>
      </w:r>
      <w:r w:rsidRPr="00305F86">
        <w:t xml:space="preserve"> is of</w:t>
      </w:r>
      <w:r>
        <w:t xml:space="preserve"> relevance. However, a few practices highlighted that some patients with a ‘complex mental health problem’ would not be captured from this register </w:t>
      </w:r>
      <w:r w:rsidR="001C2597">
        <w:t xml:space="preserve">alone </w:t>
      </w:r>
      <w:r>
        <w:t>(</w:t>
      </w:r>
      <w:r w:rsidR="006B4071">
        <w:t>see</w:t>
      </w:r>
      <w:r w:rsidR="00793C23">
        <w:t xml:space="preserve"> sub-section ‘i</w:t>
      </w:r>
      <w:r>
        <w:t xml:space="preserve">ndicator 3’ of </w:t>
      </w:r>
      <w:r w:rsidR="001C2597">
        <w:t>indicator</w:t>
      </w:r>
      <w:r>
        <w:t xml:space="preserve">-level </w:t>
      </w:r>
      <w:r w:rsidRPr="00C05B04">
        <w:t>feedback</w:t>
      </w:r>
      <w:r w:rsidR="00645D6C" w:rsidRPr="00C05B04">
        <w:t xml:space="preserve">, </w:t>
      </w:r>
      <w:r w:rsidR="00954E01">
        <w:t>p19</w:t>
      </w:r>
      <w:r w:rsidRPr="00C05B04">
        <w:t>).</w:t>
      </w:r>
    </w:p>
    <w:p w14:paraId="003708DB" w14:textId="1125974D" w:rsidR="0018012F" w:rsidRDefault="006B3ECD" w:rsidP="0023441F">
      <w:r>
        <w:t>As outlined in a previous section</w:t>
      </w:r>
      <w:r w:rsidR="00305F86">
        <w:t xml:space="preserve">, </w:t>
      </w:r>
      <w:r>
        <w:t xml:space="preserve">practices had differing views on </w:t>
      </w:r>
      <w:r w:rsidR="001C2597">
        <w:t>whether</w:t>
      </w:r>
      <w:r w:rsidR="0099748C">
        <w:t xml:space="preserve"> it would be appropriate for the </w:t>
      </w:r>
      <w:r>
        <w:t>current QOF mental health indicator MH002</w:t>
      </w:r>
      <w:r>
        <w:rPr>
          <w:rStyle w:val="FootnoteReference"/>
        </w:rPr>
        <w:footnoteReference w:id="4"/>
      </w:r>
      <w:r>
        <w:t xml:space="preserve"> </w:t>
      </w:r>
      <w:r w:rsidR="0099748C">
        <w:t>to be</w:t>
      </w:r>
      <w:r>
        <w:t xml:space="preserve"> expanded to include a discussion of epilepsy. </w:t>
      </w:r>
    </w:p>
    <w:p w14:paraId="6A2A29C1" w14:textId="77777777" w:rsidR="006D7A0A" w:rsidRDefault="006D7A0A" w:rsidP="006D7A0A">
      <w:pPr>
        <w:spacing w:line="240" w:lineRule="auto"/>
      </w:pPr>
    </w:p>
    <w:p w14:paraId="5A2A6D97" w14:textId="59F1106A" w:rsidR="00E46F9B" w:rsidRDefault="00FD2694" w:rsidP="00FD2694">
      <w:pPr>
        <w:pStyle w:val="Heading3"/>
      </w:pPr>
      <w:r w:rsidRPr="009939B1">
        <w:lastRenderedPageBreak/>
        <w:t>O</w:t>
      </w:r>
      <w:r w:rsidR="000A7674" w:rsidRPr="009939B1">
        <w:t xml:space="preserve">ther overall views on implementation of the indicators (including unintended </w:t>
      </w:r>
      <w:r w:rsidRPr="009939B1">
        <w:t>consequences)</w:t>
      </w:r>
    </w:p>
    <w:p w14:paraId="38AAD6D5" w14:textId="5DF6B3C9" w:rsidR="006D7A0A" w:rsidRPr="006D7A0A" w:rsidRDefault="00641F79" w:rsidP="006D7A0A">
      <w:r>
        <w:t>Most</w:t>
      </w:r>
      <w:r w:rsidR="00BC704E">
        <w:t xml:space="preserve"> survey</w:t>
      </w:r>
      <w:r>
        <w:t xml:space="preserve"> respondents </w:t>
      </w:r>
      <w:r w:rsidR="00C55A96">
        <w:t xml:space="preserve">were either unsure or </w:t>
      </w:r>
      <w:r>
        <w:t xml:space="preserve">did not </w:t>
      </w:r>
      <w:r w:rsidR="00C55A96">
        <w:t>think there would be</w:t>
      </w:r>
      <w:r>
        <w:t xml:space="preserve"> any unintended</w:t>
      </w:r>
      <w:r w:rsidR="0099102D">
        <w:t xml:space="preserve"> consequences</w:t>
      </w:r>
      <w:r w:rsidR="00C431A2">
        <w:t xml:space="preserve"> </w:t>
      </w:r>
      <w:r w:rsidR="0099102D">
        <w:t>if the epilepsy-related indicators were introduced</w:t>
      </w:r>
      <w:r w:rsidR="00C55A96">
        <w:t xml:space="preserve"> (Table </w:t>
      </w:r>
      <w:r w:rsidR="006D7A0A">
        <w:t>11</w:t>
      </w:r>
      <w:r w:rsidR="00C55A96">
        <w:t>)</w:t>
      </w:r>
      <w:r w:rsidR="0099102D">
        <w:t>. Of th</w:t>
      </w:r>
      <w:r w:rsidR="001C2597">
        <w:t>e minority</w:t>
      </w:r>
      <w:r w:rsidR="0099102D">
        <w:t xml:space="preserve"> who did </w:t>
      </w:r>
      <w:r w:rsidR="0067546D">
        <w:t>report</w:t>
      </w:r>
      <w:r w:rsidR="0099102D">
        <w:t xml:space="preserve"> there could be some unintended consequences</w:t>
      </w:r>
      <w:r w:rsidR="001C2597">
        <w:t xml:space="preserve">, </w:t>
      </w:r>
      <w:r w:rsidR="00C55A96">
        <w:t>most</w:t>
      </w:r>
      <w:r w:rsidR="0099102D">
        <w:t xml:space="preserve"> thought they would be positive</w:t>
      </w:r>
      <w:r w:rsidR="00EB28E9">
        <w:t xml:space="preserve"> </w:t>
      </w:r>
      <w:r w:rsidR="0099102D">
        <w:t xml:space="preserve">(Table </w:t>
      </w:r>
      <w:r w:rsidR="006D7A0A">
        <w:t>11</w:t>
      </w:r>
      <w:r w:rsidR="0099102D">
        <w:t xml:space="preserve">). </w:t>
      </w:r>
    </w:p>
    <w:p w14:paraId="0D0070CA" w14:textId="36BF47B0" w:rsidR="006D7A0A" w:rsidRPr="000774F0" w:rsidRDefault="006D7A0A" w:rsidP="007501A2">
      <w:pPr>
        <w:spacing w:after="160" w:line="259" w:lineRule="auto"/>
        <w:rPr>
          <w:u w:val="single"/>
        </w:rPr>
      </w:pPr>
      <w:r w:rsidRPr="004B4482">
        <w:rPr>
          <w:u w:val="single"/>
        </w:rPr>
        <w:t xml:space="preserve">Table </w:t>
      </w:r>
      <w:r>
        <w:rPr>
          <w:u w:val="single"/>
        </w:rPr>
        <w:t>11</w:t>
      </w:r>
      <w:r w:rsidRPr="004B4482">
        <w:rPr>
          <w:u w:val="single"/>
        </w:rPr>
        <w:t xml:space="preserve">: Views on </w:t>
      </w:r>
      <w:r>
        <w:rPr>
          <w:u w:val="single"/>
        </w:rPr>
        <w:t xml:space="preserve">potential unintended consequences relating to the indicators </w:t>
      </w:r>
      <w:r w:rsidRPr="004B4482">
        <w:rPr>
          <w:u w:val="single"/>
        </w:rPr>
        <w:t>(survey)</w:t>
      </w:r>
    </w:p>
    <w:tbl>
      <w:tblPr>
        <w:tblStyle w:val="TableGrid"/>
        <w:tblW w:w="9634" w:type="dxa"/>
        <w:tblLook w:val="04A0" w:firstRow="1" w:lastRow="0" w:firstColumn="1" w:lastColumn="0" w:noHBand="0" w:noVBand="1"/>
      </w:tblPr>
      <w:tblGrid>
        <w:gridCol w:w="4248"/>
        <w:gridCol w:w="1134"/>
        <w:gridCol w:w="1276"/>
        <w:gridCol w:w="1134"/>
        <w:gridCol w:w="1134"/>
        <w:gridCol w:w="708"/>
      </w:tblGrid>
      <w:tr w:rsidR="006D7A0A" w14:paraId="733A2ABD" w14:textId="77777777" w:rsidTr="00154EC2">
        <w:tc>
          <w:tcPr>
            <w:tcW w:w="9634" w:type="dxa"/>
            <w:gridSpan w:val="6"/>
            <w:tcBorders>
              <w:top w:val="single" w:sz="4" w:space="0" w:color="auto"/>
              <w:left w:val="single" w:sz="4" w:space="0" w:color="auto"/>
              <w:bottom w:val="single" w:sz="4" w:space="0" w:color="auto"/>
              <w:right w:val="single" w:sz="4" w:space="0" w:color="auto"/>
            </w:tcBorders>
          </w:tcPr>
          <w:p w14:paraId="64F3ACD4" w14:textId="77777777" w:rsidR="006D7A0A" w:rsidRPr="00176132" w:rsidRDefault="006D7A0A" w:rsidP="00154EC2">
            <w:pPr>
              <w:spacing w:before="60" w:after="60" w:line="240" w:lineRule="auto"/>
              <w:rPr>
                <w:b/>
                <w:sz w:val="22"/>
              </w:rPr>
            </w:pPr>
            <w:r w:rsidRPr="00176132">
              <w:rPr>
                <w:rFonts w:cs="Arial"/>
                <w:b/>
                <w:bCs/>
                <w:color w:val="010205"/>
                <w:sz w:val="22"/>
              </w:rPr>
              <w:t>Are there any unintended positive or negative consequences that you can think of that could be experienced locally if these indicators were introduced nationally?</w:t>
            </w:r>
          </w:p>
        </w:tc>
      </w:tr>
      <w:tr w:rsidR="006D7A0A" w14:paraId="7645AFE1" w14:textId="77777777" w:rsidTr="00154EC2">
        <w:tc>
          <w:tcPr>
            <w:tcW w:w="4248" w:type="dxa"/>
            <w:tcBorders>
              <w:top w:val="single" w:sz="4" w:space="0" w:color="auto"/>
              <w:left w:val="single" w:sz="4" w:space="0" w:color="auto"/>
              <w:bottom w:val="single" w:sz="4" w:space="0" w:color="auto"/>
              <w:right w:val="single" w:sz="4" w:space="0" w:color="auto"/>
            </w:tcBorders>
          </w:tcPr>
          <w:p w14:paraId="198679D1" w14:textId="77777777" w:rsidR="006D7A0A" w:rsidRPr="00176132" w:rsidRDefault="006D7A0A" w:rsidP="00154EC2">
            <w:pPr>
              <w:spacing w:before="60" w:after="60" w:line="240" w:lineRule="auto"/>
              <w:rPr>
                <w:sz w:val="22"/>
              </w:rPr>
            </w:pPr>
          </w:p>
        </w:tc>
        <w:tc>
          <w:tcPr>
            <w:tcW w:w="1134" w:type="dxa"/>
            <w:tcBorders>
              <w:top w:val="single" w:sz="4" w:space="0" w:color="auto"/>
              <w:left w:val="single" w:sz="4" w:space="0" w:color="auto"/>
              <w:bottom w:val="single" w:sz="4" w:space="0" w:color="auto"/>
              <w:right w:val="single" w:sz="4" w:space="0" w:color="auto"/>
            </w:tcBorders>
            <w:hideMark/>
          </w:tcPr>
          <w:p w14:paraId="56FC02CB" w14:textId="77777777" w:rsidR="006D7A0A" w:rsidRPr="00176132" w:rsidRDefault="006D7A0A" w:rsidP="00154EC2">
            <w:pPr>
              <w:spacing w:before="60" w:after="60" w:line="240" w:lineRule="auto"/>
              <w:jc w:val="center"/>
              <w:rPr>
                <w:sz w:val="22"/>
              </w:rPr>
            </w:pPr>
            <w:r w:rsidRPr="00176132">
              <w:rPr>
                <w:sz w:val="22"/>
              </w:rPr>
              <w:t>Yes, positive</w:t>
            </w:r>
          </w:p>
        </w:tc>
        <w:tc>
          <w:tcPr>
            <w:tcW w:w="1276" w:type="dxa"/>
            <w:tcBorders>
              <w:top w:val="single" w:sz="4" w:space="0" w:color="auto"/>
              <w:left w:val="single" w:sz="4" w:space="0" w:color="auto"/>
              <w:bottom w:val="single" w:sz="4" w:space="0" w:color="auto"/>
              <w:right w:val="single" w:sz="4" w:space="0" w:color="auto"/>
            </w:tcBorders>
            <w:hideMark/>
          </w:tcPr>
          <w:p w14:paraId="1D04049C" w14:textId="77777777" w:rsidR="006D7A0A" w:rsidRPr="00176132" w:rsidRDefault="006D7A0A" w:rsidP="00154EC2">
            <w:pPr>
              <w:spacing w:before="60" w:after="60" w:line="240" w:lineRule="auto"/>
              <w:jc w:val="center"/>
              <w:rPr>
                <w:sz w:val="22"/>
              </w:rPr>
            </w:pPr>
            <w:r w:rsidRPr="00176132">
              <w:rPr>
                <w:sz w:val="22"/>
              </w:rPr>
              <w:t xml:space="preserve">Yes, negative </w:t>
            </w:r>
          </w:p>
        </w:tc>
        <w:tc>
          <w:tcPr>
            <w:tcW w:w="1134" w:type="dxa"/>
            <w:tcBorders>
              <w:top w:val="single" w:sz="4" w:space="0" w:color="auto"/>
              <w:left w:val="single" w:sz="4" w:space="0" w:color="auto"/>
              <w:bottom w:val="single" w:sz="4" w:space="0" w:color="auto"/>
              <w:right w:val="single" w:sz="4" w:space="0" w:color="auto"/>
            </w:tcBorders>
            <w:hideMark/>
          </w:tcPr>
          <w:p w14:paraId="3E318680" w14:textId="77777777" w:rsidR="006D7A0A" w:rsidRPr="00176132" w:rsidRDefault="006D7A0A" w:rsidP="00154EC2">
            <w:pPr>
              <w:spacing w:before="60" w:after="60" w:line="240" w:lineRule="auto"/>
              <w:jc w:val="center"/>
              <w:rPr>
                <w:sz w:val="22"/>
              </w:rPr>
            </w:pPr>
            <w:r w:rsidRPr="00176132">
              <w:rPr>
                <w:sz w:val="22"/>
              </w:rPr>
              <w:t>No</w:t>
            </w:r>
          </w:p>
        </w:tc>
        <w:tc>
          <w:tcPr>
            <w:tcW w:w="1134" w:type="dxa"/>
            <w:tcBorders>
              <w:top w:val="single" w:sz="4" w:space="0" w:color="auto"/>
              <w:left w:val="single" w:sz="4" w:space="0" w:color="auto"/>
              <w:bottom w:val="single" w:sz="4" w:space="0" w:color="auto"/>
              <w:right w:val="single" w:sz="4" w:space="0" w:color="auto"/>
            </w:tcBorders>
          </w:tcPr>
          <w:p w14:paraId="0D01AE53" w14:textId="77777777" w:rsidR="006D7A0A" w:rsidRPr="00176132" w:rsidRDefault="006D7A0A" w:rsidP="00154EC2">
            <w:pPr>
              <w:spacing w:before="60" w:after="60" w:line="240" w:lineRule="auto"/>
              <w:jc w:val="center"/>
              <w:rPr>
                <w:sz w:val="22"/>
              </w:rPr>
            </w:pPr>
            <w:r w:rsidRPr="00176132">
              <w:rPr>
                <w:sz w:val="22"/>
              </w:rPr>
              <w:t>Unsure</w:t>
            </w:r>
          </w:p>
        </w:tc>
        <w:tc>
          <w:tcPr>
            <w:tcW w:w="708" w:type="dxa"/>
            <w:tcBorders>
              <w:top w:val="single" w:sz="4" w:space="0" w:color="auto"/>
              <w:left w:val="single" w:sz="4" w:space="0" w:color="auto"/>
              <w:bottom w:val="single" w:sz="4" w:space="0" w:color="auto"/>
              <w:right w:val="single" w:sz="4" w:space="0" w:color="auto"/>
            </w:tcBorders>
            <w:hideMark/>
          </w:tcPr>
          <w:p w14:paraId="1489671E" w14:textId="77777777" w:rsidR="006D7A0A" w:rsidRPr="00176132" w:rsidRDefault="006D7A0A" w:rsidP="00154EC2">
            <w:pPr>
              <w:spacing w:before="60" w:after="60" w:line="240" w:lineRule="auto"/>
              <w:jc w:val="center"/>
              <w:rPr>
                <w:sz w:val="22"/>
              </w:rPr>
            </w:pPr>
            <w:r w:rsidRPr="00176132">
              <w:rPr>
                <w:sz w:val="22"/>
              </w:rPr>
              <w:t>Total</w:t>
            </w:r>
          </w:p>
        </w:tc>
      </w:tr>
      <w:tr w:rsidR="006D7A0A" w14:paraId="4DDA7438" w14:textId="77777777" w:rsidTr="00154EC2">
        <w:trPr>
          <w:trHeight w:val="804"/>
        </w:trPr>
        <w:tc>
          <w:tcPr>
            <w:tcW w:w="4248" w:type="dxa"/>
            <w:tcBorders>
              <w:top w:val="single" w:sz="4" w:space="0" w:color="auto"/>
              <w:left w:val="single" w:sz="4" w:space="0" w:color="auto"/>
              <w:bottom w:val="single" w:sz="4" w:space="0" w:color="auto"/>
              <w:right w:val="single" w:sz="4" w:space="0" w:color="auto"/>
            </w:tcBorders>
            <w:hideMark/>
          </w:tcPr>
          <w:p w14:paraId="6A793D9A" w14:textId="77777777" w:rsidR="006D7A0A" w:rsidRPr="00176132" w:rsidRDefault="006D7A0A" w:rsidP="00154EC2">
            <w:pPr>
              <w:spacing w:before="60" w:after="60" w:line="240" w:lineRule="auto"/>
              <w:rPr>
                <w:sz w:val="22"/>
              </w:rPr>
            </w:pPr>
            <w:r w:rsidRPr="00176132">
              <w:rPr>
                <w:sz w:val="22"/>
              </w:rPr>
              <w:t>Indicator 1: Annual review of all adults receiving drug treatment for epilepsy</w:t>
            </w:r>
          </w:p>
        </w:tc>
        <w:tc>
          <w:tcPr>
            <w:tcW w:w="1134" w:type="dxa"/>
            <w:tcBorders>
              <w:top w:val="single" w:sz="4" w:space="0" w:color="auto"/>
              <w:left w:val="single" w:sz="4" w:space="0" w:color="auto"/>
              <w:bottom w:val="single" w:sz="4" w:space="0" w:color="auto"/>
              <w:right w:val="single" w:sz="4" w:space="0" w:color="auto"/>
            </w:tcBorders>
            <w:hideMark/>
          </w:tcPr>
          <w:p w14:paraId="483D2851" w14:textId="77777777" w:rsidR="006D7A0A" w:rsidRPr="00176132" w:rsidRDefault="006D7A0A" w:rsidP="00154EC2">
            <w:pPr>
              <w:spacing w:before="60" w:after="60" w:line="240" w:lineRule="auto"/>
              <w:jc w:val="center"/>
              <w:rPr>
                <w:sz w:val="22"/>
              </w:rPr>
            </w:pPr>
            <w:r w:rsidRPr="00176132">
              <w:rPr>
                <w:sz w:val="22"/>
              </w:rPr>
              <w:t>7</w:t>
            </w:r>
          </w:p>
          <w:p w14:paraId="6D40906D" w14:textId="77777777" w:rsidR="006D7A0A" w:rsidRPr="00176132" w:rsidRDefault="006D7A0A" w:rsidP="00154EC2">
            <w:pPr>
              <w:spacing w:before="60" w:after="60" w:line="240" w:lineRule="auto"/>
              <w:jc w:val="center"/>
              <w:rPr>
                <w:sz w:val="22"/>
              </w:rPr>
            </w:pPr>
            <w:r w:rsidRPr="00176132">
              <w:rPr>
                <w:sz w:val="22"/>
              </w:rPr>
              <w:t>(23.3%)</w:t>
            </w:r>
          </w:p>
        </w:tc>
        <w:tc>
          <w:tcPr>
            <w:tcW w:w="1276" w:type="dxa"/>
            <w:tcBorders>
              <w:top w:val="single" w:sz="4" w:space="0" w:color="auto"/>
              <w:left w:val="single" w:sz="4" w:space="0" w:color="auto"/>
              <w:bottom w:val="single" w:sz="4" w:space="0" w:color="auto"/>
              <w:right w:val="single" w:sz="4" w:space="0" w:color="auto"/>
            </w:tcBorders>
            <w:hideMark/>
          </w:tcPr>
          <w:p w14:paraId="60F1A01B" w14:textId="77777777" w:rsidR="006D7A0A" w:rsidRPr="00176132" w:rsidRDefault="006D7A0A" w:rsidP="00154EC2">
            <w:pPr>
              <w:spacing w:before="60" w:after="60" w:line="240" w:lineRule="auto"/>
              <w:jc w:val="center"/>
              <w:rPr>
                <w:sz w:val="22"/>
              </w:rPr>
            </w:pPr>
            <w:r w:rsidRPr="00176132">
              <w:rPr>
                <w:sz w:val="22"/>
              </w:rPr>
              <w:t>2</w:t>
            </w:r>
          </w:p>
          <w:p w14:paraId="3098050D" w14:textId="77777777" w:rsidR="006D7A0A" w:rsidRPr="00176132" w:rsidRDefault="006D7A0A" w:rsidP="00154EC2">
            <w:pPr>
              <w:spacing w:before="60" w:after="60" w:line="240" w:lineRule="auto"/>
              <w:jc w:val="center"/>
              <w:rPr>
                <w:sz w:val="22"/>
              </w:rPr>
            </w:pPr>
            <w:r w:rsidRPr="00176132">
              <w:rPr>
                <w:sz w:val="22"/>
              </w:rPr>
              <w:t>(6.7%)</w:t>
            </w:r>
          </w:p>
        </w:tc>
        <w:tc>
          <w:tcPr>
            <w:tcW w:w="1134" w:type="dxa"/>
            <w:tcBorders>
              <w:top w:val="single" w:sz="4" w:space="0" w:color="auto"/>
              <w:left w:val="single" w:sz="4" w:space="0" w:color="auto"/>
              <w:bottom w:val="single" w:sz="4" w:space="0" w:color="auto"/>
              <w:right w:val="single" w:sz="4" w:space="0" w:color="auto"/>
            </w:tcBorders>
            <w:hideMark/>
          </w:tcPr>
          <w:p w14:paraId="53068403" w14:textId="77777777" w:rsidR="006D7A0A" w:rsidRPr="00176132" w:rsidRDefault="006D7A0A" w:rsidP="00154EC2">
            <w:pPr>
              <w:spacing w:before="60" w:after="60" w:line="240" w:lineRule="auto"/>
              <w:jc w:val="center"/>
              <w:rPr>
                <w:sz w:val="22"/>
              </w:rPr>
            </w:pPr>
            <w:r w:rsidRPr="00176132">
              <w:rPr>
                <w:sz w:val="22"/>
              </w:rPr>
              <w:t>11</w:t>
            </w:r>
          </w:p>
          <w:p w14:paraId="3C033B16" w14:textId="77777777" w:rsidR="006D7A0A" w:rsidRPr="00176132" w:rsidRDefault="006D7A0A" w:rsidP="00154EC2">
            <w:pPr>
              <w:spacing w:before="60" w:after="60" w:line="240" w:lineRule="auto"/>
              <w:jc w:val="center"/>
              <w:rPr>
                <w:sz w:val="22"/>
              </w:rPr>
            </w:pPr>
            <w:r w:rsidRPr="00176132">
              <w:rPr>
                <w:sz w:val="22"/>
              </w:rPr>
              <w:t>(36.7%)</w:t>
            </w:r>
          </w:p>
        </w:tc>
        <w:tc>
          <w:tcPr>
            <w:tcW w:w="1134" w:type="dxa"/>
            <w:tcBorders>
              <w:top w:val="single" w:sz="4" w:space="0" w:color="auto"/>
              <w:left w:val="single" w:sz="4" w:space="0" w:color="auto"/>
              <w:bottom w:val="single" w:sz="4" w:space="0" w:color="auto"/>
              <w:right w:val="single" w:sz="4" w:space="0" w:color="auto"/>
            </w:tcBorders>
          </w:tcPr>
          <w:p w14:paraId="62FE8638" w14:textId="77777777" w:rsidR="006D7A0A" w:rsidRPr="00176132" w:rsidRDefault="006D7A0A" w:rsidP="00154EC2">
            <w:pPr>
              <w:spacing w:before="60" w:after="60" w:line="240" w:lineRule="auto"/>
              <w:jc w:val="center"/>
              <w:rPr>
                <w:sz w:val="22"/>
              </w:rPr>
            </w:pPr>
            <w:r w:rsidRPr="00176132">
              <w:rPr>
                <w:sz w:val="22"/>
              </w:rPr>
              <w:t>10</w:t>
            </w:r>
          </w:p>
          <w:p w14:paraId="596FFA45" w14:textId="77777777" w:rsidR="006D7A0A" w:rsidRPr="00176132" w:rsidRDefault="006D7A0A" w:rsidP="00154EC2">
            <w:pPr>
              <w:spacing w:before="60" w:after="60" w:line="240" w:lineRule="auto"/>
              <w:jc w:val="center"/>
              <w:rPr>
                <w:sz w:val="22"/>
              </w:rPr>
            </w:pPr>
            <w:r w:rsidRPr="00176132">
              <w:rPr>
                <w:sz w:val="22"/>
              </w:rPr>
              <w:t>(33.3%)</w:t>
            </w:r>
          </w:p>
        </w:tc>
        <w:tc>
          <w:tcPr>
            <w:tcW w:w="708" w:type="dxa"/>
            <w:tcBorders>
              <w:top w:val="single" w:sz="4" w:space="0" w:color="auto"/>
              <w:left w:val="single" w:sz="4" w:space="0" w:color="auto"/>
              <w:bottom w:val="single" w:sz="4" w:space="0" w:color="auto"/>
              <w:right w:val="single" w:sz="4" w:space="0" w:color="auto"/>
            </w:tcBorders>
            <w:hideMark/>
          </w:tcPr>
          <w:p w14:paraId="37E1006F" w14:textId="77777777" w:rsidR="006D7A0A" w:rsidRPr="00176132" w:rsidRDefault="006D7A0A" w:rsidP="00154EC2">
            <w:pPr>
              <w:spacing w:before="60" w:after="60" w:line="240" w:lineRule="auto"/>
              <w:jc w:val="center"/>
              <w:rPr>
                <w:sz w:val="22"/>
              </w:rPr>
            </w:pPr>
            <w:r w:rsidRPr="00176132">
              <w:rPr>
                <w:sz w:val="22"/>
              </w:rPr>
              <w:t>30</w:t>
            </w:r>
          </w:p>
        </w:tc>
      </w:tr>
      <w:tr w:rsidR="006D7A0A" w14:paraId="680DD7F1" w14:textId="77777777" w:rsidTr="00154EC2">
        <w:tc>
          <w:tcPr>
            <w:tcW w:w="4248" w:type="dxa"/>
            <w:tcBorders>
              <w:top w:val="single" w:sz="4" w:space="0" w:color="auto"/>
              <w:left w:val="single" w:sz="4" w:space="0" w:color="auto"/>
              <w:bottom w:val="single" w:sz="4" w:space="0" w:color="auto"/>
              <w:right w:val="single" w:sz="4" w:space="0" w:color="auto"/>
            </w:tcBorders>
            <w:hideMark/>
          </w:tcPr>
          <w:p w14:paraId="50A976A3" w14:textId="77777777" w:rsidR="006D7A0A" w:rsidRPr="00176132" w:rsidRDefault="006D7A0A" w:rsidP="00154EC2">
            <w:pPr>
              <w:spacing w:before="60" w:after="60" w:line="240" w:lineRule="auto"/>
              <w:rPr>
                <w:sz w:val="22"/>
              </w:rPr>
            </w:pPr>
            <w:r w:rsidRPr="00176132">
              <w:rPr>
                <w:sz w:val="22"/>
              </w:rPr>
              <w:t>Indicator 2: Annual review of adults with a learning disability and epilepsy</w:t>
            </w:r>
          </w:p>
        </w:tc>
        <w:tc>
          <w:tcPr>
            <w:tcW w:w="1134" w:type="dxa"/>
            <w:tcBorders>
              <w:top w:val="single" w:sz="4" w:space="0" w:color="auto"/>
              <w:left w:val="single" w:sz="4" w:space="0" w:color="auto"/>
              <w:bottom w:val="single" w:sz="4" w:space="0" w:color="auto"/>
              <w:right w:val="single" w:sz="4" w:space="0" w:color="auto"/>
            </w:tcBorders>
            <w:hideMark/>
          </w:tcPr>
          <w:p w14:paraId="10393371" w14:textId="77777777" w:rsidR="006D7A0A" w:rsidRPr="00176132" w:rsidRDefault="006D7A0A" w:rsidP="00154EC2">
            <w:pPr>
              <w:spacing w:before="60" w:after="60" w:line="240" w:lineRule="auto"/>
              <w:jc w:val="center"/>
              <w:rPr>
                <w:sz w:val="22"/>
              </w:rPr>
            </w:pPr>
            <w:r w:rsidRPr="00176132">
              <w:rPr>
                <w:sz w:val="22"/>
              </w:rPr>
              <w:t>8</w:t>
            </w:r>
          </w:p>
          <w:p w14:paraId="7D7742EC" w14:textId="77777777" w:rsidR="006D7A0A" w:rsidRPr="00176132" w:rsidRDefault="006D7A0A" w:rsidP="00154EC2">
            <w:pPr>
              <w:spacing w:before="60" w:after="60" w:line="240" w:lineRule="auto"/>
              <w:jc w:val="center"/>
              <w:rPr>
                <w:sz w:val="22"/>
              </w:rPr>
            </w:pPr>
            <w:r w:rsidRPr="00176132">
              <w:rPr>
                <w:sz w:val="22"/>
              </w:rPr>
              <w:t>(26.7%)</w:t>
            </w:r>
          </w:p>
        </w:tc>
        <w:tc>
          <w:tcPr>
            <w:tcW w:w="1276" w:type="dxa"/>
            <w:tcBorders>
              <w:top w:val="single" w:sz="4" w:space="0" w:color="auto"/>
              <w:left w:val="single" w:sz="4" w:space="0" w:color="auto"/>
              <w:bottom w:val="single" w:sz="4" w:space="0" w:color="auto"/>
              <w:right w:val="single" w:sz="4" w:space="0" w:color="auto"/>
            </w:tcBorders>
            <w:hideMark/>
          </w:tcPr>
          <w:p w14:paraId="634F65DF" w14:textId="77777777" w:rsidR="006D7A0A" w:rsidRPr="00176132" w:rsidRDefault="006D7A0A" w:rsidP="00154EC2">
            <w:pPr>
              <w:spacing w:before="60" w:after="60" w:line="240" w:lineRule="auto"/>
              <w:jc w:val="center"/>
              <w:rPr>
                <w:sz w:val="22"/>
              </w:rPr>
            </w:pPr>
            <w:r w:rsidRPr="00176132">
              <w:rPr>
                <w:sz w:val="22"/>
              </w:rPr>
              <w:t>2</w:t>
            </w:r>
          </w:p>
          <w:p w14:paraId="78040BE0" w14:textId="77777777" w:rsidR="006D7A0A" w:rsidRPr="00176132" w:rsidRDefault="006D7A0A" w:rsidP="00154EC2">
            <w:pPr>
              <w:spacing w:before="60" w:after="60" w:line="240" w:lineRule="auto"/>
              <w:jc w:val="center"/>
              <w:rPr>
                <w:sz w:val="22"/>
              </w:rPr>
            </w:pPr>
            <w:r w:rsidRPr="00176132">
              <w:rPr>
                <w:sz w:val="22"/>
              </w:rPr>
              <w:t>(6.7%)</w:t>
            </w:r>
          </w:p>
        </w:tc>
        <w:tc>
          <w:tcPr>
            <w:tcW w:w="1134" w:type="dxa"/>
            <w:tcBorders>
              <w:top w:val="single" w:sz="4" w:space="0" w:color="auto"/>
              <w:left w:val="single" w:sz="4" w:space="0" w:color="auto"/>
              <w:bottom w:val="single" w:sz="4" w:space="0" w:color="auto"/>
              <w:right w:val="single" w:sz="4" w:space="0" w:color="auto"/>
            </w:tcBorders>
            <w:hideMark/>
          </w:tcPr>
          <w:p w14:paraId="4E4897D8" w14:textId="77777777" w:rsidR="006D7A0A" w:rsidRPr="00176132" w:rsidRDefault="006D7A0A" w:rsidP="00154EC2">
            <w:pPr>
              <w:spacing w:before="60" w:after="60" w:line="240" w:lineRule="auto"/>
              <w:jc w:val="center"/>
              <w:rPr>
                <w:sz w:val="22"/>
              </w:rPr>
            </w:pPr>
            <w:r w:rsidRPr="00176132">
              <w:rPr>
                <w:sz w:val="22"/>
              </w:rPr>
              <w:t>12</w:t>
            </w:r>
          </w:p>
          <w:p w14:paraId="51F622E4" w14:textId="77777777" w:rsidR="006D7A0A" w:rsidRPr="00176132" w:rsidRDefault="006D7A0A" w:rsidP="00154EC2">
            <w:pPr>
              <w:spacing w:before="60" w:after="60" w:line="240" w:lineRule="auto"/>
              <w:jc w:val="center"/>
              <w:rPr>
                <w:sz w:val="22"/>
              </w:rPr>
            </w:pPr>
            <w:r w:rsidRPr="00176132">
              <w:rPr>
                <w:sz w:val="22"/>
              </w:rPr>
              <w:t xml:space="preserve"> (40.0%)</w:t>
            </w:r>
          </w:p>
        </w:tc>
        <w:tc>
          <w:tcPr>
            <w:tcW w:w="1134" w:type="dxa"/>
            <w:tcBorders>
              <w:top w:val="single" w:sz="4" w:space="0" w:color="auto"/>
              <w:left w:val="single" w:sz="4" w:space="0" w:color="auto"/>
              <w:bottom w:val="single" w:sz="4" w:space="0" w:color="auto"/>
              <w:right w:val="single" w:sz="4" w:space="0" w:color="auto"/>
            </w:tcBorders>
          </w:tcPr>
          <w:p w14:paraId="6AA57478" w14:textId="77777777" w:rsidR="006D7A0A" w:rsidRPr="00176132" w:rsidRDefault="006D7A0A" w:rsidP="00154EC2">
            <w:pPr>
              <w:spacing w:before="60" w:after="60" w:line="240" w:lineRule="auto"/>
              <w:jc w:val="center"/>
              <w:rPr>
                <w:sz w:val="22"/>
              </w:rPr>
            </w:pPr>
            <w:r w:rsidRPr="00176132">
              <w:rPr>
                <w:sz w:val="22"/>
              </w:rPr>
              <w:t>8</w:t>
            </w:r>
          </w:p>
          <w:p w14:paraId="68721228" w14:textId="77777777" w:rsidR="006D7A0A" w:rsidRPr="00176132" w:rsidRDefault="006D7A0A" w:rsidP="00154EC2">
            <w:pPr>
              <w:spacing w:before="60" w:after="60" w:line="240" w:lineRule="auto"/>
              <w:jc w:val="center"/>
              <w:rPr>
                <w:sz w:val="22"/>
              </w:rPr>
            </w:pPr>
            <w:r w:rsidRPr="00176132">
              <w:rPr>
                <w:sz w:val="22"/>
              </w:rPr>
              <w:t>(26.7%)</w:t>
            </w:r>
          </w:p>
        </w:tc>
        <w:tc>
          <w:tcPr>
            <w:tcW w:w="708" w:type="dxa"/>
            <w:tcBorders>
              <w:top w:val="single" w:sz="4" w:space="0" w:color="auto"/>
              <w:left w:val="single" w:sz="4" w:space="0" w:color="auto"/>
              <w:bottom w:val="single" w:sz="4" w:space="0" w:color="auto"/>
              <w:right w:val="single" w:sz="4" w:space="0" w:color="auto"/>
            </w:tcBorders>
            <w:hideMark/>
          </w:tcPr>
          <w:p w14:paraId="7B2F7E51" w14:textId="77777777" w:rsidR="006D7A0A" w:rsidRPr="00176132" w:rsidRDefault="006D7A0A" w:rsidP="00154EC2">
            <w:pPr>
              <w:spacing w:before="60" w:after="60" w:line="240" w:lineRule="auto"/>
              <w:jc w:val="center"/>
              <w:rPr>
                <w:sz w:val="22"/>
              </w:rPr>
            </w:pPr>
            <w:r w:rsidRPr="00176132">
              <w:rPr>
                <w:sz w:val="22"/>
              </w:rPr>
              <w:t>30</w:t>
            </w:r>
          </w:p>
        </w:tc>
      </w:tr>
      <w:tr w:rsidR="006D7A0A" w14:paraId="06D7A85A" w14:textId="77777777" w:rsidTr="00154EC2">
        <w:tc>
          <w:tcPr>
            <w:tcW w:w="4248" w:type="dxa"/>
            <w:tcBorders>
              <w:top w:val="single" w:sz="4" w:space="0" w:color="auto"/>
              <w:left w:val="single" w:sz="4" w:space="0" w:color="auto"/>
              <w:bottom w:val="single" w:sz="4" w:space="0" w:color="auto"/>
              <w:right w:val="single" w:sz="4" w:space="0" w:color="auto"/>
            </w:tcBorders>
          </w:tcPr>
          <w:p w14:paraId="762235C1" w14:textId="77777777" w:rsidR="006D7A0A" w:rsidRPr="00176132" w:rsidRDefault="006D7A0A" w:rsidP="00154EC2">
            <w:pPr>
              <w:spacing w:before="60" w:after="60" w:line="240" w:lineRule="auto"/>
              <w:rPr>
                <w:sz w:val="22"/>
              </w:rPr>
            </w:pPr>
            <w:r w:rsidRPr="00176132">
              <w:rPr>
                <w:sz w:val="22"/>
              </w:rPr>
              <w:t>Indicator 3: Annual review of adults with a mental health condition and epilepsy</w:t>
            </w:r>
          </w:p>
        </w:tc>
        <w:tc>
          <w:tcPr>
            <w:tcW w:w="1134" w:type="dxa"/>
            <w:tcBorders>
              <w:top w:val="single" w:sz="4" w:space="0" w:color="auto"/>
              <w:left w:val="single" w:sz="4" w:space="0" w:color="auto"/>
              <w:bottom w:val="single" w:sz="4" w:space="0" w:color="auto"/>
              <w:right w:val="single" w:sz="4" w:space="0" w:color="auto"/>
            </w:tcBorders>
            <w:hideMark/>
          </w:tcPr>
          <w:p w14:paraId="19751AF6" w14:textId="77777777" w:rsidR="006D7A0A" w:rsidRPr="00176132" w:rsidRDefault="006D7A0A" w:rsidP="00154EC2">
            <w:pPr>
              <w:spacing w:before="60" w:after="60" w:line="240" w:lineRule="auto"/>
              <w:jc w:val="center"/>
              <w:rPr>
                <w:sz w:val="22"/>
              </w:rPr>
            </w:pPr>
            <w:r w:rsidRPr="00176132">
              <w:rPr>
                <w:sz w:val="22"/>
              </w:rPr>
              <w:t>7</w:t>
            </w:r>
          </w:p>
          <w:p w14:paraId="3C980DEF" w14:textId="77777777" w:rsidR="006D7A0A" w:rsidRPr="00176132" w:rsidRDefault="006D7A0A" w:rsidP="00154EC2">
            <w:pPr>
              <w:spacing w:before="60" w:after="60" w:line="240" w:lineRule="auto"/>
              <w:jc w:val="center"/>
              <w:rPr>
                <w:sz w:val="22"/>
              </w:rPr>
            </w:pPr>
            <w:r w:rsidRPr="00176132">
              <w:rPr>
                <w:sz w:val="22"/>
              </w:rPr>
              <w:t>(23.3%)</w:t>
            </w:r>
          </w:p>
        </w:tc>
        <w:tc>
          <w:tcPr>
            <w:tcW w:w="1276" w:type="dxa"/>
            <w:tcBorders>
              <w:top w:val="single" w:sz="4" w:space="0" w:color="auto"/>
              <w:left w:val="single" w:sz="4" w:space="0" w:color="auto"/>
              <w:bottom w:val="single" w:sz="4" w:space="0" w:color="auto"/>
              <w:right w:val="single" w:sz="4" w:space="0" w:color="auto"/>
            </w:tcBorders>
            <w:hideMark/>
          </w:tcPr>
          <w:p w14:paraId="305B5700" w14:textId="77777777" w:rsidR="006D7A0A" w:rsidRPr="00176132" w:rsidRDefault="006D7A0A" w:rsidP="00154EC2">
            <w:pPr>
              <w:spacing w:before="60" w:after="60" w:line="240" w:lineRule="auto"/>
              <w:jc w:val="center"/>
              <w:rPr>
                <w:sz w:val="22"/>
              </w:rPr>
            </w:pPr>
            <w:r w:rsidRPr="00176132">
              <w:rPr>
                <w:sz w:val="22"/>
              </w:rPr>
              <w:t>2</w:t>
            </w:r>
          </w:p>
          <w:p w14:paraId="3B257849" w14:textId="77777777" w:rsidR="006D7A0A" w:rsidRPr="00176132" w:rsidRDefault="006D7A0A" w:rsidP="00154EC2">
            <w:pPr>
              <w:spacing w:before="60" w:after="60" w:line="240" w:lineRule="auto"/>
              <w:jc w:val="center"/>
              <w:rPr>
                <w:sz w:val="22"/>
              </w:rPr>
            </w:pPr>
            <w:r w:rsidRPr="00176132">
              <w:rPr>
                <w:sz w:val="22"/>
              </w:rPr>
              <w:t>(6.7%)</w:t>
            </w:r>
          </w:p>
        </w:tc>
        <w:tc>
          <w:tcPr>
            <w:tcW w:w="1134" w:type="dxa"/>
            <w:tcBorders>
              <w:top w:val="single" w:sz="4" w:space="0" w:color="auto"/>
              <w:left w:val="single" w:sz="4" w:space="0" w:color="auto"/>
              <w:bottom w:val="single" w:sz="4" w:space="0" w:color="auto"/>
              <w:right w:val="single" w:sz="4" w:space="0" w:color="auto"/>
            </w:tcBorders>
            <w:hideMark/>
          </w:tcPr>
          <w:p w14:paraId="278467D5" w14:textId="77777777" w:rsidR="006D7A0A" w:rsidRPr="00176132" w:rsidRDefault="006D7A0A" w:rsidP="00154EC2">
            <w:pPr>
              <w:spacing w:before="60" w:after="60" w:line="240" w:lineRule="auto"/>
              <w:jc w:val="center"/>
              <w:rPr>
                <w:sz w:val="22"/>
              </w:rPr>
            </w:pPr>
            <w:r w:rsidRPr="00176132">
              <w:rPr>
                <w:sz w:val="22"/>
              </w:rPr>
              <w:t>12</w:t>
            </w:r>
          </w:p>
          <w:p w14:paraId="1D900BA8" w14:textId="77777777" w:rsidR="006D7A0A" w:rsidRPr="00176132" w:rsidRDefault="006D7A0A" w:rsidP="00154EC2">
            <w:pPr>
              <w:spacing w:before="60" w:after="60" w:line="240" w:lineRule="auto"/>
              <w:jc w:val="center"/>
              <w:rPr>
                <w:sz w:val="22"/>
              </w:rPr>
            </w:pPr>
            <w:r w:rsidRPr="00176132">
              <w:rPr>
                <w:sz w:val="22"/>
              </w:rPr>
              <w:t>(40.0%)</w:t>
            </w:r>
          </w:p>
        </w:tc>
        <w:tc>
          <w:tcPr>
            <w:tcW w:w="1134" w:type="dxa"/>
            <w:tcBorders>
              <w:top w:val="single" w:sz="4" w:space="0" w:color="auto"/>
              <w:left w:val="single" w:sz="4" w:space="0" w:color="auto"/>
              <w:bottom w:val="single" w:sz="4" w:space="0" w:color="auto"/>
              <w:right w:val="single" w:sz="4" w:space="0" w:color="auto"/>
            </w:tcBorders>
          </w:tcPr>
          <w:p w14:paraId="3A1BE521" w14:textId="77777777" w:rsidR="006D7A0A" w:rsidRPr="00176132" w:rsidRDefault="006D7A0A" w:rsidP="00154EC2">
            <w:pPr>
              <w:spacing w:before="60" w:after="60" w:line="240" w:lineRule="auto"/>
              <w:jc w:val="center"/>
              <w:rPr>
                <w:sz w:val="22"/>
              </w:rPr>
            </w:pPr>
            <w:r w:rsidRPr="00176132">
              <w:rPr>
                <w:sz w:val="22"/>
              </w:rPr>
              <w:t>9</w:t>
            </w:r>
          </w:p>
          <w:p w14:paraId="5B31E633" w14:textId="77777777" w:rsidR="006D7A0A" w:rsidRPr="00176132" w:rsidRDefault="006D7A0A" w:rsidP="00154EC2">
            <w:pPr>
              <w:spacing w:before="60" w:after="60" w:line="240" w:lineRule="auto"/>
              <w:jc w:val="center"/>
              <w:rPr>
                <w:sz w:val="22"/>
              </w:rPr>
            </w:pPr>
            <w:r w:rsidRPr="00176132">
              <w:rPr>
                <w:sz w:val="22"/>
              </w:rPr>
              <w:t>(30.0%)</w:t>
            </w:r>
          </w:p>
        </w:tc>
        <w:tc>
          <w:tcPr>
            <w:tcW w:w="708" w:type="dxa"/>
            <w:tcBorders>
              <w:top w:val="single" w:sz="4" w:space="0" w:color="auto"/>
              <w:left w:val="single" w:sz="4" w:space="0" w:color="auto"/>
              <w:bottom w:val="single" w:sz="4" w:space="0" w:color="auto"/>
              <w:right w:val="single" w:sz="4" w:space="0" w:color="auto"/>
            </w:tcBorders>
            <w:hideMark/>
          </w:tcPr>
          <w:p w14:paraId="245909BF" w14:textId="77777777" w:rsidR="006D7A0A" w:rsidRPr="00176132" w:rsidRDefault="006D7A0A" w:rsidP="00154EC2">
            <w:pPr>
              <w:spacing w:before="60" w:after="60" w:line="240" w:lineRule="auto"/>
              <w:jc w:val="center"/>
              <w:rPr>
                <w:sz w:val="22"/>
              </w:rPr>
            </w:pPr>
            <w:r w:rsidRPr="00176132">
              <w:rPr>
                <w:sz w:val="22"/>
              </w:rPr>
              <w:t>30</w:t>
            </w:r>
          </w:p>
        </w:tc>
      </w:tr>
    </w:tbl>
    <w:p w14:paraId="62F4C47A" w14:textId="77777777" w:rsidR="006D7A0A" w:rsidRDefault="006D7A0A" w:rsidP="00EB5E75"/>
    <w:p w14:paraId="469A3048" w14:textId="70036738" w:rsidR="00641F79" w:rsidRPr="00641F79" w:rsidRDefault="0067546D" w:rsidP="00EB5E75">
      <w:r>
        <w:t>Not all respondents provided an explanation for their response, but</w:t>
      </w:r>
      <w:r w:rsidR="004C2B4C">
        <w:t xml:space="preserve"> those who predicted positive consequences referred in free</w:t>
      </w:r>
      <w:r w:rsidR="009965B8">
        <w:t xml:space="preserve"> </w:t>
      </w:r>
      <w:r w:rsidR="004C2B4C">
        <w:t xml:space="preserve">text comments to </w:t>
      </w:r>
      <w:r w:rsidR="008A03CA">
        <w:t xml:space="preserve">indicators </w:t>
      </w:r>
      <w:r w:rsidR="004C2B4C">
        <w:t>improving</w:t>
      </w:r>
      <w:r w:rsidR="008A03CA">
        <w:t xml:space="preserve"> quality of care</w:t>
      </w:r>
      <w:r w:rsidR="004C2B4C">
        <w:t>:</w:t>
      </w:r>
      <w:r w:rsidR="008A03CA">
        <w:t xml:space="preserve">  </w:t>
      </w:r>
    </w:p>
    <w:p w14:paraId="50E8B377" w14:textId="6BE40D8B" w:rsidR="00564C26" w:rsidRPr="00863F68" w:rsidRDefault="00564C26" w:rsidP="00564C26">
      <w:pPr>
        <w:spacing w:line="276" w:lineRule="auto"/>
        <w:rPr>
          <w:i/>
          <w:iCs/>
          <w:color w:val="000000" w:themeColor="text1"/>
        </w:rPr>
      </w:pPr>
      <w:r w:rsidRPr="00863F68">
        <w:rPr>
          <w:i/>
          <w:iCs/>
          <w:color w:val="000000" w:themeColor="text1"/>
        </w:rPr>
        <w:t>“A positive consequence for epilepsy is that it will improve concordance and reduce hospitalisation.” [GP, Survey]</w:t>
      </w:r>
    </w:p>
    <w:p w14:paraId="1BE4349C" w14:textId="5B7B4218" w:rsidR="00645D6C" w:rsidRPr="00863F68" w:rsidRDefault="008A03CA" w:rsidP="0067546D">
      <w:pPr>
        <w:spacing w:line="276" w:lineRule="auto"/>
        <w:rPr>
          <w:i/>
          <w:iCs/>
          <w:color w:val="000000" w:themeColor="text1"/>
        </w:rPr>
      </w:pPr>
      <w:r w:rsidRPr="00863F68">
        <w:rPr>
          <w:i/>
          <w:iCs/>
          <w:color w:val="000000" w:themeColor="text1"/>
        </w:rPr>
        <w:t>“</w:t>
      </w:r>
      <w:r w:rsidR="0067546D" w:rsidRPr="00863F68">
        <w:rPr>
          <w:i/>
          <w:iCs/>
          <w:color w:val="000000" w:themeColor="text1"/>
        </w:rPr>
        <w:t>All indicators are reasonable and feel like they should be already routinely added into current reviews</w:t>
      </w:r>
      <w:r w:rsidR="004C2B4C">
        <w:rPr>
          <w:i/>
          <w:iCs/>
          <w:color w:val="000000" w:themeColor="text1"/>
        </w:rPr>
        <w:t>,</w:t>
      </w:r>
      <w:r w:rsidR="0067546D" w:rsidRPr="00863F68">
        <w:rPr>
          <w:i/>
          <w:iCs/>
          <w:color w:val="000000" w:themeColor="text1"/>
        </w:rPr>
        <w:t xml:space="preserve"> but this structure would help to ensure the work is completed regularly and focused on the targets</w:t>
      </w:r>
      <w:r w:rsidRPr="00863F68">
        <w:rPr>
          <w:i/>
          <w:iCs/>
          <w:color w:val="000000" w:themeColor="text1"/>
        </w:rPr>
        <w:t>.” [Practice Manager, Survey]</w:t>
      </w:r>
    </w:p>
    <w:p w14:paraId="0382BEE0" w14:textId="6FD725FD" w:rsidR="00863F68" w:rsidRDefault="001C2597" w:rsidP="00641F79">
      <w:r>
        <w:t>Only two respondents (2/30, 6.7%) expected there to be negative unintended consequences of introducing each of the three indicators.  These</w:t>
      </w:r>
      <w:r w:rsidR="00EA7326">
        <w:t xml:space="preserve"> related to the </w:t>
      </w:r>
      <w:r w:rsidR="006B194F">
        <w:t xml:space="preserve">perceived </w:t>
      </w:r>
      <w:r w:rsidR="00EA7326">
        <w:t xml:space="preserve">value of the indicators or the potential duplication </w:t>
      </w:r>
      <w:r w:rsidR="00863F68">
        <w:t xml:space="preserve">of financial payment due to the overlap </w:t>
      </w:r>
      <w:r w:rsidR="00EA7326">
        <w:t>between indicators</w:t>
      </w:r>
      <w:r>
        <w:t>:</w:t>
      </w:r>
    </w:p>
    <w:p w14:paraId="0EE4F9DB" w14:textId="45A5F5B4" w:rsidR="00863F68" w:rsidRDefault="00863F68" w:rsidP="00863F68">
      <w:pPr>
        <w:spacing w:line="276" w:lineRule="auto"/>
        <w:rPr>
          <w:i/>
          <w:iCs/>
          <w:color w:val="000000" w:themeColor="text1"/>
        </w:rPr>
      </w:pPr>
      <w:r w:rsidRPr="00863F68">
        <w:rPr>
          <w:i/>
          <w:iCs/>
          <w:color w:val="000000" w:themeColor="text1"/>
        </w:rPr>
        <w:t xml:space="preserve">“I don't feel there is much use for epilepsy reviews as we are powerless to alter the patient's medications. Referring to neurology when there is a problem is additional work for the GP. </w:t>
      </w:r>
      <w:r w:rsidR="00176132" w:rsidRPr="00863F68">
        <w:rPr>
          <w:i/>
          <w:iCs/>
          <w:color w:val="000000" w:themeColor="text1"/>
        </w:rPr>
        <w:t>Therefore,</w:t>
      </w:r>
      <w:r w:rsidRPr="00863F68">
        <w:rPr>
          <w:i/>
          <w:iCs/>
          <w:color w:val="000000" w:themeColor="text1"/>
        </w:rPr>
        <w:t xml:space="preserve"> it is preferable for 2o care or epilepsy nurses to do them.” [GP, Survey]</w:t>
      </w:r>
    </w:p>
    <w:p w14:paraId="01DB7745" w14:textId="28388DFC" w:rsidR="00645D6C" w:rsidRDefault="00863F68" w:rsidP="00B0268F">
      <w:pPr>
        <w:spacing w:line="276" w:lineRule="auto"/>
        <w:rPr>
          <w:i/>
          <w:iCs/>
          <w:color w:val="000000" w:themeColor="text1"/>
        </w:rPr>
      </w:pPr>
      <w:r>
        <w:rPr>
          <w:i/>
          <w:iCs/>
          <w:color w:val="000000" w:themeColor="text1"/>
        </w:rPr>
        <w:lastRenderedPageBreak/>
        <w:t>“</w:t>
      </w:r>
      <w:r w:rsidRPr="00863F68">
        <w:rPr>
          <w:i/>
          <w:iCs/>
          <w:color w:val="000000" w:themeColor="text1"/>
        </w:rPr>
        <w:t>Crossover issues could mean double funding accusations</w:t>
      </w:r>
      <w:r>
        <w:rPr>
          <w:i/>
          <w:iCs/>
          <w:color w:val="000000" w:themeColor="text1"/>
        </w:rPr>
        <w:t>.” [Practice Manager, Survey]</w:t>
      </w:r>
    </w:p>
    <w:p w14:paraId="30DCAEDB" w14:textId="26A43203" w:rsidR="00A25D76" w:rsidRDefault="00B71A51" w:rsidP="00103313">
      <w:pPr>
        <w:spacing w:before="240"/>
      </w:pPr>
      <w:r>
        <w:t>Practic</w:t>
      </w:r>
      <w:r w:rsidR="00863F68">
        <w:t xml:space="preserve">es </w:t>
      </w:r>
      <w:r>
        <w:t xml:space="preserve">interviewed </w:t>
      </w:r>
      <w:r w:rsidR="00863F68">
        <w:t>did not discuss any uni</w:t>
      </w:r>
      <w:r>
        <w:t xml:space="preserve">ntended consequences of the indicators, although it was highlighted by one GP that the indicators could raise dilemmas </w:t>
      </w:r>
      <w:r w:rsidR="00263452">
        <w:t>around</w:t>
      </w:r>
      <w:r>
        <w:t xml:space="preserve"> </w:t>
      </w:r>
      <w:r w:rsidR="00FA4175">
        <w:t xml:space="preserve">the </w:t>
      </w:r>
      <w:r>
        <w:t>management of patients</w:t>
      </w:r>
      <w:r w:rsidR="00263452">
        <w:t xml:space="preserve"> with epilepsy</w:t>
      </w:r>
      <w:r>
        <w:t xml:space="preserve"> between primary and secondary care. It was noted, however, that this </w:t>
      </w:r>
      <w:r w:rsidR="006F0F36">
        <w:t>should not necessarily be seen as a</w:t>
      </w:r>
      <w:r>
        <w:t xml:space="preserve"> negative consequence</w:t>
      </w:r>
      <w:r w:rsidR="00BE1EB8">
        <w:t xml:space="preserve"> and could help align patient treatment with current clinical aims</w:t>
      </w:r>
      <w:r w:rsidR="00FC3559">
        <w:t>:</w:t>
      </w:r>
    </w:p>
    <w:p w14:paraId="02542789" w14:textId="64A1B684" w:rsidR="00FC3559" w:rsidRDefault="00FC3559" w:rsidP="00CD2B54">
      <w:pPr>
        <w:spacing w:line="276" w:lineRule="auto"/>
        <w:rPr>
          <w:i/>
          <w:iCs/>
          <w:color w:val="000000" w:themeColor="text1"/>
        </w:rPr>
      </w:pPr>
      <w:r w:rsidRPr="00CD2B54">
        <w:rPr>
          <w:i/>
          <w:iCs/>
          <w:color w:val="000000" w:themeColor="text1"/>
        </w:rPr>
        <w:t>“If a specialist feels like they've optimised treatment and are accepting periodic, if not quite frequent seizures, you can sort of get into this historical thing where they were reviewed last five years ago and nothing has really changed but they seem to have monthly seizures and you think, 'Well, I would have thought you're aiming for no seizures, but clearly the specialist five years ago didn't think that, and you're not quite sure then when they should be referred back (…) this [indicator] (…) brings up a set of dilemmas about management but it's probably better to have those dilemmas than just not know.” [GP, Interview]</w:t>
      </w:r>
    </w:p>
    <w:p w14:paraId="6165676A" w14:textId="69EF6836" w:rsidR="004F2CE5" w:rsidRPr="006B4071" w:rsidRDefault="004F2CE5" w:rsidP="00AA193B">
      <w:pPr>
        <w:spacing w:before="240"/>
        <w:rPr>
          <w:color w:val="000000" w:themeColor="text1"/>
        </w:rPr>
      </w:pPr>
      <w:r>
        <w:rPr>
          <w:color w:val="000000" w:themeColor="text1"/>
        </w:rPr>
        <w:t>One pr</w:t>
      </w:r>
      <w:r w:rsidR="004B590B">
        <w:rPr>
          <w:color w:val="000000" w:themeColor="text1"/>
        </w:rPr>
        <w:t>actice also mentioned that</w:t>
      </w:r>
      <w:r w:rsidR="006B4071">
        <w:rPr>
          <w:color w:val="000000" w:themeColor="text1"/>
        </w:rPr>
        <w:t>,</w:t>
      </w:r>
      <w:r w:rsidR="004B590B">
        <w:rPr>
          <w:color w:val="000000" w:themeColor="text1"/>
        </w:rPr>
        <w:t xml:space="preserve"> to avoid unintended consequences of indicator 1</w:t>
      </w:r>
      <w:r w:rsidR="006B4071">
        <w:rPr>
          <w:color w:val="000000" w:themeColor="text1"/>
        </w:rPr>
        <w:t>,</w:t>
      </w:r>
      <w:r w:rsidR="004B590B">
        <w:rPr>
          <w:color w:val="000000" w:themeColor="text1"/>
        </w:rPr>
        <w:t xml:space="preserve"> all patients on anti-epileptic medication should be included.</w:t>
      </w:r>
    </w:p>
    <w:sectPr w:rsidR="004F2CE5" w:rsidRPr="006B4071" w:rsidSect="00A12693">
      <w:headerReference w:type="default" r:id="rId8"/>
      <w:footerReference w:type="default" r:id="rId9"/>
      <w:type w:val="continuous"/>
      <w:pgSz w:w="11906" w:h="16838"/>
      <w:pgMar w:top="1134" w:right="1440" w:bottom="1440" w:left="1440"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9100" w14:textId="77777777" w:rsidR="00D90DB0" w:rsidRDefault="00D90DB0" w:rsidP="00461419">
      <w:pPr>
        <w:spacing w:after="0" w:line="240" w:lineRule="auto"/>
      </w:pPr>
      <w:r>
        <w:separator/>
      </w:r>
    </w:p>
    <w:p w14:paraId="0B4680A0" w14:textId="77777777" w:rsidR="00D90DB0" w:rsidRDefault="00D90DB0"/>
  </w:endnote>
  <w:endnote w:type="continuationSeparator" w:id="0">
    <w:p w14:paraId="4E55D1C2" w14:textId="77777777" w:rsidR="00D90DB0" w:rsidRDefault="00D90DB0" w:rsidP="00461419">
      <w:pPr>
        <w:spacing w:after="0" w:line="240" w:lineRule="auto"/>
      </w:pPr>
      <w:r>
        <w:continuationSeparator/>
      </w:r>
    </w:p>
    <w:p w14:paraId="4D5CD4F8" w14:textId="77777777" w:rsidR="00D90DB0" w:rsidRDefault="00D90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502247"/>
      <w:docPartObj>
        <w:docPartGallery w:val="Page Numbers (Bottom of Page)"/>
        <w:docPartUnique/>
      </w:docPartObj>
    </w:sdtPr>
    <w:sdtEndPr/>
    <w:sdtContent>
      <w:p w14:paraId="3A43B108" w14:textId="27FE122D" w:rsidR="00D90DB0" w:rsidRDefault="00D90DB0">
        <w:pPr>
          <w:pStyle w:val="Footer"/>
          <w:jc w:val="right"/>
        </w:pPr>
        <w:r>
          <w:fldChar w:fldCharType="begin"/>
        </w:r>
        <w:r>
          <w:instrText>PAGE   \* MERGEFORMAT</w:instrText>
        </w:r>
        <w:r>
          <w:fldChar w:fldCharType="separate"/>
        </w:r>
        <w:r w:rsidR="00AA193B">
          <w:rPr>
            <w:noProof/>
          </w:rPr>
          <w:t>36</w:t>
        </w:r>
        <w:r>
          <w:fldChar w:fldCharType="end"/>
        </w:r>
      </w:p>
    </w:sdtContent>
  </w:sdt>
  <w:p w14:paraId="26854634" w14:textId="77777777" w:rsidR="00D90DB0" w:rsidRDefault="00D90D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26B0" w14:textId="77777777" w:rsidR="00D90DB0" w:rsidRDefault="00D90DB0" w:rsidP="00461419">
      <w:pPr>
        <w:spacing w:after="0" w:line="240" w:lineRule="auto"/>
      </w:pPr>
      <w:r>
        <w:separator/>
      </w:r>
    </w:p>
    <w:p w14:paraId="2FBA284C" w14:textId="77777777" w:rsidR="00D90DB0" w:rsidRDefault="00D90DB0"/>
  </w:footnote>
  <w:footnote w:type="continuationSeparator" w:id="0">
    <w:p w14:paraId="4A7DF78A" w14:textId="77777777" w:rsidR="00D90DB0" w:rsidRDefault="00D90DB0" w:rsidP="00461419">
      <w:pPr>
        <w:spacing w:after="0" w:line="240" w:lineRule="auto"/>
      </w:pPr>
      <w:r>
        <w:continuationSeparator/>
      </w:r>
    </w:p>
    <w:p w14:paraId="5D8E3C60" w14:textId="77777777" w:rsidR="00D90DB0" w:rsidRDefault="00D90DB0"/>
  </w:footnote>
  <w:footnote w:id="1">
    <w:p w14:paraId="38268108" w14:textId="1D436FCB" w:rsidR="00D90DB0" w:rsidRDefault="00D90DB0">
      <w:pPr>
        <w:pStyle w:val="FootnoteText"/>
      </w:pPr>
      <w:r>
        <w:rPr>
          <w:rStyle w:val="FootnoteReference"/>
        </w:rPr>
        <w:footnoteRef/>
      </w:r>
      <w:r>
        <w:t xml:space="preserve"> The QOF mental health register may also be referred to as the severe mental illness (SMI) register</w:t>
      </w:r>
    </w:p>
  </w:footnote>
  <w:footnote w:id="2">
    <w:p w14:paraId="7AB4467E" w14:textId="77777777" w:rsidR="00D90DB0" w:rsidRPr="006B3ECD" w:rsidRDefault="00D90DB0" w:rsidP="004D4098">
      <w:pPr>
        <w:pStyle w:val="FootnoteText"/>
        <w:spacing w:after="60"/>
        <w:rPr>
          <w:sz w:val="18"/>
          <w:szCs w:val="18"/>
        </w:rPr>
      </w:pPr>
      <w:r>
        <w:rPr>
          <w:rStyle w:val="FootnoteReference"/>
        </w:rPr>
        <w:footnoteRef/>
      </w:r>
      <w:r>
        <w:t xml:space="preserve"> </w:t>
      </w:r>
      <w:r w:rsidRPr="004D4098">
        <w:rPr>
          <w:sz w:val="22"/>
          <w:szCs w:val="23"/>
        </w:rPr>
        <w:t>PCN DES IIF indicator (21/22 onwards): HI-01 Percentage of patients on the QOF Learning Disability register aged 14 or over, who received an annual Learning Disability Health Check and have a completed Health Action Plan.</w:t>
      </w:r>
    </w:p>
  </w:footnote>
  <w:footnote w:id="3">
    <w:p w14:paraId="416F88A0" w14:textId="7C0581BB" w:rsidR="00D90DB0" w:rsidRDefault="00D90DB0" w:rsidP="004D4098">
      <w:pPr>
        <w:pStyle w:val="FootnoteText"/>
        <w:spacing w:after="60"/>
      </w:pPr>
      <w:r>
        <w:rPr>
          <w:rStyle w:val="FootnoteReference"/>
        </w:rPr>
        <w:footnoteRef/>
      </w:r>
      <w:r>
        <w:t xml:space="preserve"> </w:t>
      </w:r>
      <w:r w:rsidRPr="004D4098">
        <w:rPr>
          <w:sz w:val="22"/>
          <w:szCs w:val="23"/>
        </w:rPr>
        <w:t>MH001 The contractor establishes and maintains a register of patients with schizophrenia, bipolar affective disorder and other psychoses and other patients on lithium therapy.</w:t>
      </w:r>
    </w:p>
  </w:footnote>
  <w:footnote w:id="4">
    <w:p w14:paraId="64B2B7DE" w14:textId="41CF67FB" w:rsidR="00D90DB0" w:rsidRDefault="00D90DB0" w:rsidP="004D4098">
      <w:pPr>
        <w:pStyle w:val="FootnoteText"/>
        <w:spacing w:after="60"/>
      </w:pPr>
      <w:r w:rsidRPr="006B3ECD">
        <w:rPr>
          <w:rStyle w:val="FootnoteReference"/>
          <w:sz w:val="18"/>
          <w:szCs w:val="18"/>
        </w:rPr>
        <w:footnoteRef/>
      </w:r>
      <w:r w:rsidRPr="006B3ECD">
        <w:rPr>
          <w:sz w:val="18"/>
          <w:szCs w:val="18"/>
        </w:rPr>
        <w:t xml:space="preserve"> </w:t>
      </w:r>
      <w:r w:rsidRPr="006B3ECD">
        <w:rPr>
          <w:sz w:val="22"/>
          <w:szCs w:val="22"/>
        </w:rPr>
        <w:t>MH002 The percentage of patients with schizophrenia, bipolar affective disorder and other psychoses who have a comprehensive care plan documented in the record, in the preceding 12 months, agreed between individuals, their family and/or carers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75CD" w14:textId="64D44A73" w:rsidR="00D90DB0" w:rsidRDefault="00D90DB0" w:rsidP="00A12693">
    <w:pPr>
      <w:pStyle w:val="Header"/>
      <w:jc w:val="right"/>
    </w:pPr>
    <w:r>
      <w:t xml:space="preserve">Paper </w:t>
    </w:r>
    <w:r w:rsidR="005D7936">
      <w:t>4c</w:t>
    </w:r>
    <w:r>
      <w:t xml:space="preserve">: NCCID </w:t>
    </w:r>
    <w:r w:rsidR="005D7936">
      <w:t xml:space="preserve">epilepsy </w:t>
    </w:r>
    <w:r>
      <w:t xml:space="preserve">piloting </w:t>
    </w:r>
  </w:p>
  <w:p w14:paraId="18B555FD" w14:textId="45E732BB" w:rsidR="00D90DB0" w:rsidRDefault="00D90DB0">
    <w:pPr>
      <w:pStyle w:val="Header"/>
    </w:pPr>
  </w:p>
  <w:p w14:paraId="1DA95AFA" w14:textId="0E5B11CB" w:rsidR="00D90DB0" w:rsidRDefault="00D90DB0" w:rsidP="001B57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415"/>
    <w:multiLevelType w:val="hybridMultilevel"/>
    <w:tmpl w:val="AFC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1AA9"/>
    <w:multiLevelType w:val="hybridMultilevel"/>
    <w:tmpl w:val="274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E4C8E"/>
    <w:multiLevelType w:val="hybridMultilevel"/>
    <w:tmpl w:val="C63C8584"/>
    <w:lvl w:ilvl="0" w:tplc="9FA86A70">
      <w:start w:val="16"/>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12070"/>
    <w:multiLevelType w:val="hybridMultilevel"/>
    <w:tmpl w:val="5B926638"/>
    <w:lvl w:ilvl="0" w:tplc="C8BA2E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D56C2"/>
    <w:multiLevelType w:val="hybridMultilevel"/>
    <w:tmpl w:val="572C9C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F4476"/>
    <w:multiLevelType w:val="hybridMultilevel"/>
    <w:tmpl w:val="4D62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25C0C"/>
    <w:multiLevelType w:val="hybridMultilevel"/>
    <w:tmpl w:val="60C6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E69CE"/>
    <w:multiLevelType w:val="hybridMultilevel"/>
    <w:tmpl w:val="CC56ADFE"/>
    <w:lvl w:ilvl="0" w:tplc="11BA85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96A09"/>
    <w:multiLevelType w:val="hybridMultilevel"/>
    <w:tmpl w:val="30B88A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D9533A"/>
    <w:multiLevelType w:val="hybridMultilevel"/>
    <w:tmpl w:val="18B05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AD110B"/>
    <w:multiLevelType w:val="hybridMultilevel"/>
    <w:tmpl w:val="1C32F9E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F6A15E5"/>
    <w:multiLevelType w:val="hybridMultilevel"/>
    <w:tmpl w:val="408E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26AFA"/>
    <w:multiLevelType w:val="hybridMultilevel"/>
    <w:tmpl w:val="71AE8CB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DE641DE"/>
    <w:multiLevelType w:val="hybridMultilevel"/>
    <w:tmpl w:val="301AD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C393F"/>
    <w:multiLevelType w:val="hybridMultilevel"/>
    <w:tmpl w:val="D59EB5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500657"/>
    <w:multiLevelType w:val="hybridMultilevel"/>
    <w:tmpl w:val="B5BA1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21661"/>
    <w:multiLevelType w:val="hybridMultilevel"/>
    <w:tmpl w:val="C2F6F096"/>
    <w:lvl w:ilvl="0" w:tplc="F6246D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918DB"/>
    <w:multiLevelType w:val="hybridMultilevel"/>
    <w:tmpl w:val="20387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70D4E"/>
    <w:multiLevelType w:val="hybridMultilevel"/>
    <w:tmpl w:val="5CEE8A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6322635"/>
    <w:multiLevelType w:val="hybridMultilevel"/>
    <w:tmpl w:val="0182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06791"/>
    <w:multiLevelType w:val="hybridMultilevel"/>
    <w:tmpl w:val="54B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5743D"/>
    <w:multiLevelType w:val="hybridMultilevel"/>
    <w:tmpl w:val="A064CE7A"/>
    <w:lvl w:ilvl="0" w:tplc="C8BA2E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79686">
    <w:abstractNumId w:val="17"/>
  </w:num>
  <w:num w:numId="2" w16cid:durableId="1573932554">
    <w:abstractNumId w:val="21"/>
  </w:num>
  <w:num w:numId="3" w16cid:durableId="1793864101">
    <w:abstractNumId w:val="20"/>
  </w:num>
  <w:num w:numId="4" w16cid:durableId="644628809">
    <w:abstractNumId w:val="14"/>
  </w:num>
  <w:num w:numId="5" w16cid:durableId="819737621">
    <w:abstractNumId w:val="6"/>
  </w:num>
  <w:num w:numId="6" w16cid:durableId="222646657">
    <w:abstractNumId w:val="19"/>
  </w:num>
  <w:num w:numId="7" w16cid:durableId="718628447">
    <w:abstractNumId w:val="1"/>
  </w:num>
  <w:num w:numId="8" w16cid:durableId="24716900">
    <w:abstractNumId w:val="12"/>
  </w:num>
  <w:num w:numId="9" w16cid:durableId="600987906">
    <w:abstractNumId w:val="13"/>
  </w:num>
  <w:num w:numId="10" w16cid:durableId="2017727233">
    <w:abstractNumId w:val="8"/>
  </w:num>
  <w:num w:numId="11" w16cid:durableId="2023120844">
    <w:abstractNumId w:val="10"/>
  </w:num>
  <w:num w:numId="12" w16cid:durableId="1692609818">
    <w:abstractNumId w:val="9"/>
  </w:num>
  <w:num w:numId="13" w16cid:durableId="1250116822">
    <w:abstractNumId w:val="0"/>
  </w:num>
  <w:num w:numId="14" w16cid:durableId="808321326">
    <w:abstractNumId w:val="15"/>
  </w:num>
  <w:num w:numId="15" w16cid:durableId="1284650723">
    <w:abstractNumId w:val="4"/>
  </w:num>
  <w:num w:numId="16" w16cid:durableId="1497568597">
    <w:abstractNumId w:val="7"/>
  </w:num>
  <w:num w:numId="17" w16cid:durableId="1404791682">
    <w:abstractNumId w:val="2"/>
  </w:num>
  <w:num w:numId="18" w16cid:durableId="631255436">
    <w:abstractNumId w:val="3"/>
  </w:num>
  <w:num w:numId="19" w16cid:durableId="951059975">
    <w:abstractNumId w:val="18"/>
  </w:num>
  <w:num w:numId="20" w16cid:durableId="1031496845">
    <w:abstractNumId w:val="5"/>
  </w:num>
  <w:num w:numId="21" w16cid:durableId="998194591">
    <w:abstractNumId w:val="11"/>
  </w:num>
  <w:num w:numId="22" w16cid:durableId="134663798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0933"/>
    <w:rsid w:val="000010A5"/>
    <w:rsid w:val="000025D6"/>
    <w:rsid w:val="000029D2"/>
    <w:rsid w:val="00002D47"/>
    <w:rsid w:val="00003372"/>
    <w:rsid w:val="0000366B"/>
    <w:rsid w:val="00003717"/>
    <w:rsid w:val="0000574D"/>
    <w:rsid w:val="00006640"/>
    <w:rsid w:val="000068BD"/>
    <w:rsid w:val="000109A2"/>
    <w:rsid w:val="00011DB7"/>
    <w:rsid w:val="0001244B"/>
    <w:rsid w:val="00012D38"/>
    <w:rsid w:val="00013EC8"/>
    <w:rsid w:val="000147DB"/>
    <w:rsid w:val="00014F0F"/>
    <w:rsid w:val="00015CF3"/>
    <w:rsid w:val="00015D18"/>
    <w:rsid w:val="00015DCC"/>
    <w:rsid w:val="0001641B"/>
    <w:rsid w:val="00016660"/>
    <w:rsid w:val="00016CB6"/>
    <w:rsid w:val="00017285"/>
    <w:rsid w:val="0001797B"/>
    <w:rsid w:val="000204F4"/>
    <w:rsid w:val="00020983"/>
    <w:rsid w:val="00021262"/>
    <w:rsid w:val="00021FB7"/>
    <w:rsid w:val="00023692"/>
    <w:rsid w:val="00023E03"/>
    <w:rsid w:val="0002448C"/>
    <w:rsid w:val="00025ED2"/>
    <w:rsid w:val="00026AD5"/>
    <w:rsid w:val="00027265"/>
    <w:rsid w:val="00030696"/>
    <w:rsid w:val="00030949"/>
    <w:rsid w:val="000312B4"/>
    <w:rsid w:val="00031760"/>
    <w:rsid w:val="00032992"/>
    <w:rsid w:val="00034450"/>
    <w:rsid w:val="0003477B"/>
    <w:rsid w:val="00034C0F"/>
    <w:rsid w:val="000352AB"/>
    <w:rsid w:val="00036F96"/>
    <w:rsid w:val="00037AE7"/>
    <w:rsid w:val="00037BE9"/>
    <w:rsid w:val="00037C4E"/>
    <w:rsid w:val="00041089"/>
    <w:rsid w:val="000469B6"/>
    <w:rsid w:val="00046B84"/>
    <w:rsid w:val="0004730F"/>
    <w:rsid w:val="00047DB2"/>
    <w:rsid w:val="00050182"/>
    <w:rsid w:val="00051124"/>
    <w:rsid w:val="0005132A"/>
    <w:rsid w:val="00051DBA"/>
    <w:rsid w:val="000520C5"/>
    <w:rsid w:val="0005228C"/>
    <w:rsid w:val="00053116"/>
    <w:rsid w:val="000537D4"/>
    <w:rsid w:val="00053EF4"/>
    <w:rsid w:val="00053F32"/>
    <w:rsid w:val="00056D8A"/>
    <w:rsid w:val="00057A19"/>
    <w:rsid w:val="00061D34"/>
    <w:rsid w:val="00061D9C"/>
    <w:rsid w:val="0006201D"/>
    <w:rsid w:val="000620CB"/>
    <w:rsid w:val="000625D0"/>
    <w:rsid w:val="000636E3"/>
    <w:rsid w:val="00063C3C"/>
    <w:rsid w:val="00064AF4"/>
    <w:rsid w:val="00066A43"/>
    <w:rsid w:val="00066E2F"/>
    <w:rsid w:val="00066F2B"/>
    <w:rsid w:val="00067507"/>
    <w:rsid w:val="000709F2"/>
    <w:rsid w:val="00070E6B"/>
    <w:rsid w:val="00072928"/>
    <w:rsid w:val="00073672"/>
    <w:rsid w:val="00073E52"/>
    <w:rsid w:val="00073EEB"/>
    <w:rsid w:val="00074D6F"/>
    <w:rsid w:val="0007573C"/>
    <w:rsid w:val="00075D5F"/>
    <w:rsid w:val="000766F5"/>
    <w:rsid w:val="0007672C"/>
    <w:rsid w:val="00076C0C"/>
    <w:rsid w:val="000774F0"/>
    <w:rsid w:val="00077809"/>
    <w:rsid w:val="00077977"/>
    <w:rsid w:val="00077D60"/>
    <w:rsid w:val="00080409"/>
    <w:rsid w:val="00080778"/>
    <w:rsid w:val="00080B41"/>
    <w:rsid w:val="0008166B"/>
    <w:rsid w:val="0008166E"/>
    <w:rsid w:val="00082A32"/>
    <w:rsid w:val="000832DE"/>
    <w:rsid w:val="00083C91"/>
    <w:rsid w:val="00083CFF"/>
    <w:rsid w:val="00084A70"/>
    <w:rsid w:val="000852CB"/>
    <w:rsid w:val="000854E0"/>
    <w:rsid w:val="00085727"/>
    <w:rsid w:val="000862A9"/>
    <w:rsid w:val="00086E1A"/>
    <w:rsid w:val="000878BB"/>
    <w:rsid w:val="00087F0A"/>
    <w:rsid w:val="00090A3C"/>
    <w:rsid w:val="00091CB7"/>
    <w:rsid w:val="00091ECD"/>
    <w:rsid w:val="00091EEF"/>
    <w:rsid w:val="00092224"/>
    <w:rsid w:val="000924AC"/>
    <w:rsid w:val="000928E7"/>
    <w:rsid w:val="00092CEF"/>
    <w:rsid w:val="000939FC"/>
    <w:rsid w:val="00093A01"/>
    <w:rsid w:val="00094923"/>
    <w:rsid w:val="00094948"/>
    <w:rsid w:val="00095753"/>
    <w:rsid w:val="0009602A"/>
    <w:rsid w:val="00097308"/>
    <w:rsid w:val="0009792E"/>
    <w:rsid w:val="000A33D7"/>
    <w:rsid w:val="000A43E9"/>
    <w:rsid w:val="000A4949"/>
    <w:rsid w:val="000A67C7"/>
    <w:rsid w:val="000A6882"/>
    <w:rsid w:val="000A6C07"/>
    <w:rsid w:val="000A71E7"/>
    <w:rsid w:val="000A7674"/>
    <w:rsid w:val="000A769D"/>
    <w:rsid w:val="000B015D"/>
    <w:rsid w:val="000B0ED2"/>
    <w:rsid w:val="000B13C1"/>
    <w:rsid w:val="000B159D"/>
    <w:rsid w:val="000B199E"/>
    <w:rsid w:val="000B1AC1"/>
    <w:rsid w:val="000B2B57"/>
    <w:rsid w:val="000B2C16"/>
    <w:rsid w:val="000B32E8"/>
    <w:rsid w:val="000B3808"/>
    <w:rsid w:val="000B4652"/>
    <w:rsid w:val="000B5743"/>
    <w:rsid w:val="000B5EB9"/>
    <w:rsid w:val="000B67F4"/>
    <w:rsid w:val="000B725E"/>
    <w:rsid w:val="000B74FC"/>
    <w:rsid w:val="000B7C83"/>
    <w:rsid w:val="000C0098"/>
    <w:rsid w:val="000C0D5C"/>
    <w:rsid w:val="000C0E18"/>
    <w:rsid w:val="000C15A6"/>
    <w:rsid w:val="000C16E4"/>
    <w:rsid w:val="000C1E0D"/>
    <w:rsid w:val="000C23F3"/>
    <w:rsid w:val="000C25FE"/>
    <w:rsid w:val="000C2F8A"/>
    <w:rsid w:val="000C3141"/>
    <w:rsid w:val="000C3B01"/>
    <w:rsid w:val="000C3B25"/>
    <w:rsid w:val="000C3CD1"/>
    <w:rsid w:val="000C3E00"/>
    <w:rsid w:val="000C41C6"/>
    <w:rsid w:val="000C4F47"/>
    <w:rsid w:val="000C6226"/>
    <w:rsid w:val="000C7A2E"/>
    <w:rsid w:val="000D0A8A"/>
    <w:rsid w:val="000D0B66"/>
    <w:rsid w:val="000D1B32"/>
    <w:rsid w:val="000D3725"/>
    <w:rsid w:val="000D403C"/>
    <w:rsid w:val="000D6207"/>
    <w:rsid w:val="000D70C7"/>
    <w:rsid w:val="000E2021"/>
    <w:rsid w:val="000E33C3"/>
    <w:rsid w:val="000E3B3A"/>
    <w:rsid w:val="000E42E3"/>
    <w:rsid w:val="000E4A7F"/>
    <w:rsid w:val="000E6612"/>
    <w:rsid w:val="000F03ED"/>
    <w:rsid w:val="000F1312"/>
    <w:rsid w:val="000F1E49"/>
    <w:rsid w:val="000F1EC8"/>
    <w:rsid w:val="000F2A79"/>
    <w:rsid w:val="000F3725"/>
    <w:rsid w:val="000F3E0D"/>
    <w:rsid w:val="000F4667"/>
    <w:rsid w:val="000F55DE"/>
    <w:rsid w:val="000F57D5"/>
    <w:rsid w:val="000F64C7"/>
    <w:rsid w:val="000F6A0D"/>
    <w:rsid w:val="000F71BD"/>
    <w:rsid w:val="0010112C"/>
    <w:rsid w:val="00101AEB"/>
    <w:rsid w:val="00101F57"/>
    <w:rsid w:val="0010282F"/>
    <w:rsid w:val="00102959"/>
    <w:rsid w:val="00103313"/>
    <w:rsid w:val="00104B64"/>
    <w:rsid w:val="00104E08"/>
    <w:rsid w:val="00105607"/>
    <w:rsid w:val="0010640F"/>
    <w:rsid w:val="00107079"/>
    <w:rsid w:val="00110795"/>
    <w:rsid w:val="0011086E"/>
    <w:rsid w:val="001109B2"/>
    <w:rsid w:val="001122E4"/>
    <w:rsid w:val="001122F4"/>
    <w:rsid w:val="00113218"/>
    <w:rsid w:val="001134B4"/>
    <w:rsid w:val="001138E8"/>
    <w:rsid w:val="00113CFC"/>
    <w:rsid w:val="00117C3D"/>
    <w:rsid w:val="00121864"/>
    <w:rsid w:val="00122910"/>
    <w:rsid w:val="001230C6"/>
    <w:rsid w:val="001246F2"/>
    <w:rsid w:val="00127466"/>
    <w:rsid w:val="001300EC"/>
    <w:rsid w:val="00131E43"/>
    <w:rsid w:val="00131EFD"/>
    <w:rsid w:val="00132ADD"/>
    <w:rsid w:val="00132F84"/>
    <w:rsid w:val="0013302B"/>
    <w:rsid w:val="00133070"/>
    <w:rsid w:val="00133E5D"/>
    <w:rsid w:val="00134CDE"/>
    <w:rsid w:val="001377F1"/>
    <w:rsid w:val="0013794C"/>
    <w:rsid w:val="0014107E"/>
    <w:rsid w:val="00141B72"/>
    <w:rsid w:val="001428CD"/>
    <w:rsid w:val="00142A96"/>
    <w:rsid w:val="00143504"/>
    <w:rsid w:val="0014433B"/>
    <w:rsid w:val="001446EC"/>
    <w:rsid w:val="00144F1C"/>
    <w:rsid w:val="00144F6F"/>
    <w:rsid w:val="001457F1"/>
    <w:rsid w:val="00147DCE"/>
    <w:rsid w:val="00150A56"/>
    <w:rsid w:val="0015141F"/>
    <w:rsid w:val="00151F19"/>
    <w:rsid w:val="00152763"/>
    <w:rsid w:val="00154BDF"/>
    <w:rsid w:val="00154EC2"/>
    <w:rsid w:val="00154EEA"/>
    <w:rsid w:val="00154FD1"/>
    <w:rsid w:val="00155595"/>
    <w:rsid w:val="00155DB3"/>
    <w:rsid w:val="001569A5"/>
    <w:rsid w:val="00156D77"/>
    <w:rsid w:val="00156E6B"/>
    <w:rsid w:val="00157BC3"/>
    <w:rsid w:val="0016028E"/>
    <w:rsid w:val="001614E2"/>
    <w:rsid w:val="00161ECD"/>
    <w:rsid w:val="00163DD1"/>
    <w:rsid w:val="00164158"/>
    <w:rsid w:val="00164FE5"/>
    <w:rsid w:val="00165FD1"/>
    <w:rsid w:val="0016665A"/>
    <w:rsid w:val="00166944"/>
    <w:rsid w:val="0017189C"/>
    <w:rsid w:val="00171F6B"/>
    <w:rsid w:val="00172295"/>
    <w:rsid w:val="00172835"/>
    <w:rsid w:val="0017322A"/>
    <w:rsid w:val="00173AE6"/>
    <w:rsid w:val="00173D31"/>
    <w:rsid w:val="00173FF2"/>
    <w:rsid w:val="001741C5"/>
    <w:rsid w:val="00175C28"/>
    <w:rsid w:val="00176132"/>
    <w:rsid w:val="00176408"/>
    <w:rsid w:val="0017650F"/>
    <w:rsid w:val="0017689B"/>
    <w:rsid w:val="001769FD"/>
    <w:rsid w:val="00177483"/>
    <w:rsid w:val="00177C78"/>
    <w:rsid w:val="0018012F"/>
    <w:rsid w:val="00180750"/>
    <w:rsid w:val="00180845"/>
    <w:rsid w:val="00180D19"/>
    <w:rsid w:val="00182128"/>
    <w:rsid w:val="001830A1"/>
    <w:rsid w:val="00184391"/>
    <w:rsid w:val="00184DEC"/>
    <w:rsid w:val="001865DA"/>
    <w:rsid w:val="00186653"/>
    <w:rsid w:val="00190011"/>
    <w:rsid w:val="0019011C"/>
    <w:rsid w:val="001917D3"/>
    <w:rsid w:val="00193526"/>
    <w:rsid w:val="00193AEB"/>
    <w:rsid w:val="00194E10"/>
    <w:rsid w:val="00195414"/>
    <w:rsid w:val="001A097E"/>
    <w:rsid w:val="001A15E0"/>
    <w:rsid w:val="001A30BD"/>
    <w:rsid w:val="001A354A"/>
    <w:rsid w:val="001A3DB7"/>
    <w:rsid w:val="001A4B92"/>
    <w:rsid w:val="001A5443"/>
    <w:rsid w:val="001A5605"/>
    <w:rsid w:val="001A757F"/>
    <w:rsid w:val="001B0D48"/>
    <w:rsid w:val="001B2CD9"/>
    <w:rsid w:val="001B387E"/>
    <w:rsid w:val="001B399A"/>
    <w:rsid w:val="001B42EF"/>
    <w:rsid w:val="001B4DAD"/>
    <w:rsid w:val="001B4F95"/>
    <w:rsid w:val="001B5774"/>
    <w:rsid w:val="001B5A37"/>
    <w:rsid w:val="001B5C61"/>
    <w:rsid w:val="001B68E1"/>
    <w:rsid w:val="001B73A6"/>
    <w:rsid w:val="001B7CAC"/>
    <w:rsid w:val="001C12A8"/>
    <w:rsid w:val="001C1482"/>
    <w:rsid w:val="001C15EC"/>
    <w:rsid w:val="001C2597"/>
    <w:rsid w:val="001C2714"/>
    <w:rsid w:val="001C31B5"/>
    <w:rsid w:val="001C34E9"/>
    <w:rsid w:val="001C3545"/>
    <w:rsid w:val="001C3770"/>
    <w:rsid w:val="001C3CFD"/>
    <w:rsid w:val="001C42A3"/>
    <w:rsid w:val="001C444F"/>
    <w:rsid w:val="001C4484"/>
    <w:rsid w:val="001C466E"/>
    <w:rsid w:val="001C54CE"/>
    <w:rsid w:val="001C76DD"/>
    <w:rsid w:val="001C7BCD"/>
    <w:rsid w:val="001C7CBC"/>
    <w:rsid w:val="001D015C"/>
    <w:rsid w:val="001D06C7"/>
    <w:rsid w:val="001D0C63"/>
    <w:rsid w:val="001D111C"/>
    <w:rsid w:val="001D16EA"/>
    <w:rsid w:val="001D18A8"/>
    <w:rsid w:val="001D3391"/>
    <w:rsid w:val="001D3757"/>
    <w:rsid w:val="001D4183"/>
    <w:rsid w:val="001D429A"/>
    <w:rsid w:val="001D544C"/>
    <w:rsid w:val="001D5B95"/>
    <w:rsid w:val="001D79BB"/>
    <w:rsid w:val="001D7E96"/>
    <w:rsid w:val="001E0883"/>
    <w:rsid w:val="001E0B25"/>
    <w:rsid w:val="001E1EC5"/>
    <w:rsid w:val="001E245A"/>
    <w:rsid w:val="001E2FF7"/>
    <w:rsid w:val="001E38B8"/>
    <w:rsid w:val="001E4773"/>
    <w:rsid w:val="001E4FB1"/>
    <w:rsid w:val="001E52C0"/>
    <w:rsid w:val="001F08F2"/>
    <w:rsid w:val="001F0A28"/>
    <w:rsid w:val="001F1AF1"/>
    <w:rsid w:val="001F23E5"/>
    <w:rsid w:val="001F3C2F"/>
    <w:rsid w:val="001F3F33"/>
    <w:rsid w:val="001F43BE"/>
    <w:rsid w:val="001F4452"/>
    <w:rsid w:val="001F4599"/>
    <w:rsid w:val="001F49FE"/>
    <w:rsid w:val="001F52CF"/>
    <w:rsid w:val="001F53E7"/>
    <w:rsid w:val="001F58BB"/>
    <w:rsid w:val="001F5F2F"/>
    <w:rsid w:val="001F6E95"/>
    <w:rsid w:val="001F6EEC"/>
    <w:rsid w:val="001F7A38"/>
    <w:rsid w:val="00200A46"/>
    <w:rsid w:val="00200F1B"/>
    <w:rsid w:val="002023C5"/>
    <w:rsid w:val="0020272E"/>
    <w:rsid w:val="00205F17"/>
    <w:rsid w:val="00207799"/>
    <w:rsid w:val="00207C3E"/>
    <w:rsid w:val="0021081E"/>
    <w:rsid w:val="00210B69"/>
    <w:rsid w:val="00210D51"/>
    <w:rsid w:val="00210F20"/>
    <w:rsid w:val="00211148"/>
    <w:rsid w:val="002119B6"/>
    <w:rsid w:val="00211F8A"/>
    <w:rsid w:val="00213BE2"/>
    <w:rsid w:val="00215D2B"/>
    <w:rsid w:val="0021665A"/>
    <w:rsid w:val="00217BBE"/>
    <w:rsid w:val="00221338"/>
    <w:rsid w:val="0022170B"/>
    <w:rsid w:val="002217B1"/>
    <w:rsid w:val="0022209E"/>
    <w:rsid w:val="00223963"/>
    <w:rsid w:val="00223993"/>
    <w:rsid w:val="00223CEB"/>
    <w:rsid w:val="00225EA0"/>
    <w:rsid w:val="00226BBC"/>
    <w:rsid w:val="002330FB"/>
    <w:rsid w:val="00233600"/>
    <w:rsid w:val="0023441F"/>
    <w:rsid w:val="002354B2"/>
    <w:rsid w:val="002358DC"/>
    <w:rsid w:val="00235D34"/>
    <w:rsid w:val="00236653"/>
    <w:rsid w:val="00236785"/>
    <w:rsid w:val="00236C30"/>
    <w:rsid w:val="00237E1D"/>
    <w:rsid w:val="00240D04"/>
    <w:rsid w:val="002425E7"/>
    <w:rsid w:val="00243070"/>
    <w:rsid w:val="00244D6E"/>
    <w:rsid w:val="002454B7"/>
    <w:rsid w:val="00245648"/>
    <w:rsid w:val="00245874"/>
    <w:rsid w:val="00246226"/>
    <w:rsid w:val="00246FB6"/>
    <w:rsid w:val="00247209"/>
    <w:rsid w:val="002504AB"/>
    <w:rsid w:val="00250C6B"/>
    <w:rsid w:val="00250EB4"/>
    <w:rsid w:val="002510C8"/>
    <w:rsid w:val="00251EEB"/>
    <w:rsid w:val="00253128"/>
    <w:rsid w:val="00253684"/>
    <w:rsid w:val="00255415"/>
    <w:rsid w:val="00255446"/>
    <w:rsid w:val="002570CB"/>
    <w:rsid w:val="00257898"/>
    <w:rsid w:val="0026000E"/>
    <w:rsid w:val="00261751"/>
    <w:rsid w:val="00261834"/>
    <w:rsid w:val="00263452"/>
    <w:rsid w:val="00263AB3"/>
    <w:rsid w:val="0026415C"/>
    <w:rsid w:val="002650E1"/>
    <w:rsid w:val="00265C87"/>
    <w:rsid w:val="00266F01"/>
    <w:rsid w:val="00267130"/>
    <w:rsid w:val="00267156"/>
    <w:rsid w:val="00267DE6"/>
    <w:rsid w:val="002708B6"/>
    <w:rsid w:val="00274CA1"/>
    <w:rsid w:val="00275361"/>
    <w:rsid w:val="002754E3"/>
    <w:rsid w:val="00275B57"/>
    <w:rsid w:val="00275C91"/>
    <w:rsid w:val="00275CDF"/>
    <w:rsid w:val="002768C5"/>
    <w:rsid w:val="00276A7B"/>
    <w:rsid w:val="00280844"/>
    <w:rsid w:val="00281C8E"/>
    <w:rsid w:val="00282064"/>
    <w:rsid w:val="00282984"/>
    <w:rsid w:val="00283FEA"/>
    <w:rsid w:val="00285743"/>
    <w:rsid w:val="0028615B"/>
    <w:rsid w:val="00286E2B"/>
    <w:rsid w:val="00286ECC"/>
    <w:rsid w:val="002870C9"/>
    <w:rsid w:val="002872BF"/>
    <w:rsid w:val="00287304"/>
    <w:rsid w:val="002922FE"/>
    <w:rsid w:val="00292F2A"/>
    <w:rsid w:val="002931C8"/>
    <w:rsid w:val="002933F6"/>
    <w:rsid w:val="0029375A"/>
    <w:rsid w:val="00294645"/>
    <w:rsid w:val="002950F7"/>
    <w:rsid w:val="0029564D"/>
    <w:rsid w:val="00295A9F"/>
    <w:rsid w:val="0029629D"/>
    <w:rsid w:val="00296499"/>
    <w:rsid w:val="002966C8"/>
    <w:rsid w:val="0029684F"/>
    <w:rsid w:val="002970E8"/>
    <w:rsid w:val="0029744C"/>
    <w:rsid w:val="002A1154"/>
    <w:rsid w:val="002A305D"/>
    <w:rsid w:val="002A39BB"/>
    <w:rsid w:val="002A451A"/>
    <w:rsid w:val="002A5BF8"/>
    <w:rsid w:val="002A64F5"/>
    <w:rsid w:val="002A733E"/>
    <w:rsid w:val="002A74B3"/>
    <w:rsid w:val="002A7889"/>
    <w:rsid w:val="002A7DEA"/>
    <w:rsid w:val="002A7FDE"/>
    <w:rsid w:val="002B0170"/>
    <w:rsid w:val="002B0823"/>
    <w:rsid w:val="002B19B0"/>
    <w:rsid w:val="002B2AD6"/>
    <w:rsid w:val="002B3799"/>
    <w:rsid w:val="002B4300"/>
    <w:rsid w:val="002B4CC7"/>
    <w:rsid w:val="002B5734"/>
    <w:rsid w:val="002B6F9E"/>
    <w:rsid w:val="002B76BC"/>
    <w:rsid w:val="002C1E9D"/>
    <w:rsid w:val="002C3DB1"/>
    <w:rsid w:val="002C4709"/>
    <w:rsid w:val="002C5A2E"/>
    <w:rsid w:val="002C6D43"/>
    <w:rsid w:val="002C6E27"/>
    <w:rsid w:val="002C799D"/>
    <w:rsid w:val="002D22D4"/>
    <w:rsid w:val="002D34B0"/>
    <w:rsid w:val="002D36AD"/>
    <w:rsid w:val="002D3763"/>
    <w:rsid w:val="002D3DAD"/>
    <w:rsid w:val="002D4780"/>
    <w:rsid w:val="002D4BC9"/>
    <w:rsid w:val="002D52C3"/>
    <w:rsid w:val="002D5343"/>
    <w:rsid w:val="002D53FF"/>
    <w:rsid w:val="002D6A1C"/>
    <w:rsid w:val="002D700A"/>
    <w:rsid w:val="002D7939"/>
    <w:rsid w:val="002D7AF3"/>
    <w:rsid w:val="002E0140"/>
    <w:rsid w:val="002E0515"/>
    <w:rsid w:val="002E07B5"/>
    <w:rsid w:val="002E09AB"/>
    <w:rsid w:val="002E0EC0"/>
    <w:rsid w:val="002E0F0C"/>
    <w:rsid w:val="002E19D5"/>
    <w:rsid w:val="002E1D77"/>
    <w:rsid w:val="002E2134"/>
    <w:rsid w:val="002E258E"/>
    <w:rsid w:val="002E4857"/>
    <w:rsid w:val="002E4BA2"/>
    <w:rsid w:val="002E4C17"/>
    <w:rsid w:val="002E4DE3"/>
    <w:rsid w:val="002E4E7B"/>
    <w:rsid w:val="002E65F4"/>
    <w:rsid w:val="002E7281"/>
    <w:rsid w:val="002E733F"/>
    <w:rsid w:val="002E7B49"/>
    <w:rsid w:val="002E7C63"/>
    <w:rsid w:val="002E7EDF"/>
    <w:rsid w:val="002F12A0"/>
    <w:rsid w:val="002F14FD"/>
    <w:rsid w:val="002F460C"/>
    <w:rsid w:val="002F4670"/>
    <w:rsid w:val="002F59C9"/>
    <w:rsid w:val="002F747D"/>
    <w:rsid w:val="00300328"/>
    <w:rsid w:val="00300E01"/>
    <w:rsid w:val="003012E7"/>
    <w:rsid w:val="00301482"/>
    <w:rsid w:val="003021AF"/>
    <w:rsid w:val="00304D77"/>
    <w:rsid w:val="00305375"/>
    <w:rsid w:val="0030580E"/>
    <w:rsid w:val="00305CD3"/>
    <w:rsid w:val="00305F86"/>
    <w:rsid w:val="00307F7E"/>
    <w:rsid w:val="00311236"/>
    <w:rsid w:val="0031177B"/>
    <w:rsid w:val="003122AD"/>
    <w:rsid w:val="0031236D"/>
    <w:rsid w:val="00312E56"/>
    <w:rsid w:val="00313C84"/>
    <w:rsid w:val="00314E6A"/>
    <w:rsid w:val="00315816"/>
    <w:rsid w:val="00316CD1"/>
    <w:rsid w:val="00316D7E"/>
    <w:rsid w:val="003171FB"/>
    <w:rsid w:val="00320F7E"/>
    <w:rsid w:val="00321288"/>
    <w:rsid w:val="0032275D"/>
    <w:rsid w:val="00323BE2"/>
    <w:rsid w:val="00324077"/>
    <w:rsid w:val="00324BD6"/>
    <w:rsid w:val="00324F21"/>
    <w:rsid w:val="00325689"/>
    <w:rsid w:val="0032571B"/>
    <w:rsid w:val="00326236"/>
    <w:rsid w:val="0032723B"/>
    <w:rsid w:val="00327653"/>
    <w:rsid w:val="00330263"/>
    <w:rsid w:val="00330796"/>
    <w:rsid w:val="003312C6"/>
    <w:rsid w:val="003314BA"/>
    <w:rsid w:val="00331A24"/>
    <w:rsid w:val="003349AF"/>
    <w:rsid w:val="00335FB4"/>
    <w:rsid w:val="0033603A"/>
    <w:rsid w:val="00337C88"/>
    <w:rsid w:val="00341197"/>
    <w:rsid w:val="003427F8"/>
    <w:rsid w:val="003436CA"/>
    <w:rsid w:val="003438CC"/>
    <w:rsid w:val="00343D40"/>
    <w:rsid w:val="003459B5"/>
    <w:rsid w:val="003462A0"/>
    <w:rsid w:val="00346E32"/>
    <w:rsid w:val="00350141"/>
    <w:rsid w:val="00350B88"/>
    <w:rsid w:val="003523BF"/>
    <w:rsid w:val="00352A6B"/>
    <w:rsid w:val="00352E14"/>
    <w:rsid w:val="00354365"/>
    <w:rsid w:val="00354C70"/>
    <w:rsid w:val="0035547D"/>
    <w:rsid w:val="00356345"/>
    <w:rsid w:val="0035711A"/>
    <w:rsid w:val="00361826"/>
    <w:rsid w:val="00361EE5"/>
    <w:rsid w:val="00363181"/>
    <w:rsid w:val="00363FF1"/>
    <w:rsid w:val="00364FF6"/>
    <w:rsid w:val="00365018"/>
    <w:rsid w:val="003662B9"/>
    <w:rsid w:val="00366879"/>
    <w:rsid w:val="003669DF"/>
    <w:rsid w:val="00366FB4"/>
    <w:rsid w:val="0036737A"/>
    <w:rsid w:val="00367976"/>
    <w:rsid w:val="00370878"/>
    <w:rsid w:val="003712D5"/>
    <w:rsid w:val="00372B76"/>
    <w:rsid w:val="003736F9"/>
    <w:rsid w:val="0037508A"/>
    <w:rsid w:val="003765FB"/>
    <w:rsid w:val="00376A77"/>
    <w:rsid w:val="00380007"/>
    <w:rsid w:val="003804DA"/>
    <w:rsid w:val="003818CA"/>
    <w:rsid w:val="003833F2"/>
    <w:rsid w:val="00383413"/>
    <w:rsid w:val="00385A61"/>
    <w:rsid w:val="0038668D"/>
    <w:rsid w:val="0038697E"/>
    <w:rsid w:val="00386B09"/>
    <w:rsid w:val="00386B1E"/>
    <w:rsid w:val="00387AEB"/>
    <w:rsid w:val="00391889"/>
    <w:rsid w:val="00391E51"/>
    <w:rsid w:val="003921E2"/>
    <w:rsid w:val="00392868"/>
    <w:rsid w:val="00393ED3"/>
    <w:rsid w:val="00394013"/>
    <w:rsid w:val="00394088"/>
    <w:rsid w:val="00395142"/>
    <w:rsid w:val="00397C25"/>
    <w:rsid w:val="00397D0C"/>
    <w:rsid w:val="00397D2C"/>
    <w:rsid w:val="00397E2C"/>
    <w:rsid w:val="003A042C"/>
    <w:rsid w:val="003A09E5"/>
    <w:rsid w:val="003A5BE1"/>
    <w:rsid w:val="003A66FD"/>
    <w:rsid w:val="003A6998"/>
    <w:rsid w:val="003A77AD"/>
    <w:rsid w:val="003B009A"/>
    <w:rsid w:val="003B2E53"/>
    <w:rsid w:val="003B2F8A"/>
    <w:rsid w:val="003B4EE5"/>
    <w:rsid w:val="003B53A3"/>
    <w:rsid w:val="003B5A18"/>
    <w:rsid w:val="003B5DBF"/>
    <w:rsid w:val="003B65FE"/>
    <w:rsid w:val="003B77AE"/>
    <w:rsid w:val="003B780E"/>
    <w:rsid w:val="003B7F4A"/>
    <w:rsid w:val="003C0174"/>
    <w:rsid w:val="003C04EF"/>
    <w:rsid w:val="003C1060"/>
    <w:rsid w:val="003C1CDE"/>
    <w:rsid w:val="003C2349"/>
    <w:rsid w:val="003C3540"/>
    <w:rsid w:val="003C4621"/>
    <w:rsid w:val="003C505B"/>
    <w:rsid w:val="003C5244"/>
    <w:rsid w:val="003C533D"/>
    <w:rsid w:val="003C5FA1"/>
    <w:rsid w:val="003C637A"/>
    <w:rsid w:val="003C756C"/>
    <w:rsid w:val="003D002A"/>
    <w:rsid w:val="003D10A0"/>
    <w:rsid w:val="003D144E"/>
    <w:rsid w:val="003D1E2A"/>
    <w:rsid w:val="003D216A"/>
    <w:rsid w:val="003D4A98"/>
    <w:rsid w:val="003D53C9"/>
    <w:rsid w:val="003D5963"/>
    <w:rsid w:val="003D7543"/>
    <w:rsid w:val="003E0055"/>
    <w:rsid w:val="003E162E"/>
    <w:rsid w:val="003E2A79"/>
    <w:rsid w:val="003E3A1F"/>
    <w:rsid w:val="003E3F14"/>
    <w:rsid w:val="003E4F4A"/>
    <w:rsid w:val="003E514C"/>
    <w:rsid w:val="003E647F"/>
    <w:rsid w:val="003E6B98"/>
    <w:rsid w:val="003E71B2"/>
    <w:rsid w:val="003E732C"/>
    <w:rsid w:val="003E7CB5"/>
    <w:rsid w:val="003F0FF2"/>
    <w:rsid w:val="003F14B8"/>
    <w:rsid w:val="003F1587"/>
    <w:rsid w:val="003F2A7B"/>
    <w:rsid w:val="003F2F6B"/>
    <w:rsid w:val="003F3263"/>
    <w:rsid w:val="003F3623"/>
    <w:rsid w:val="003F3BD7"/>
    <w:rsid w:val="003F4322"/>
    <w:rsid w:val="003F45CB"/>
    <w:rsid w:val="003F4607"/>
    <w:rsid w:val="003F46E3"/>
    <w:rsid w:val="003F5901"/>
    <w:rsid w:val="003F5940"/>
    <w:rsid w:val="003F6156"/>
    <w:rsid w:val="00401433"/>
    <w:rsid w:val="004021D5"/>
    <w:rsid w:val="00402322"/>
    <w:rsid w:val="00402A09"/>
    <w:rsid w:val="00402E4B"/>
    <w:rsid w:val="004034AD"/>
    <w:rsid w:val="004037AC"/>
    <w:rsid w:val="004037BA"/>
    <w:rsid w:val="00403B5C"/>
    <w:rsid w:val="004044A0"/>
    <w:rsid w:val="00404C0E"/>
    <w:rsid w:val="00407C14"/>
    <w:rsid w:val="00410E5F"/>
    <w:rsid w:val="004126AD"/>
    <w:rsid w:val="004139E8"/>
    <w:rsid w:val="00415552"/>
    <w:rsid w:val="00415BFC"/>
    <w:rsid w:val="00415FED"/>
    <w:rsid w:val="0041604F"/>
    <w:rsid w:val="004163FB"/>
    <w:rsid w:val="00417064"/>
    <w:rsid w:val="004179D1"/>
    <w:rsid w:val="00417F96"/>
    <w:rsid w:val="00420102"/>
    <w:rsid w:val="004204E4"/>
    <w:rsid w:val="0042224C"/>
    <w:rsid w:val="004224B0"/>
    <w:rsid w:val="00422A40"/>
    <w:rsid w:val="00422F80"/>
    <w:rsid w:val="00423322"/>
    <w:rsid w:val="00423D70"/>
    <w:rsid w:val="004251C5"/>
    <w:rsid w:val="00425815"/>
    <w:rsid w:val="00426155"/>
    <w:rsid w:val="00426A71"/>
    <w:rsid w:val="00426D22"/>
    <w:rsid w:val="00430203"/>
    <w:rsid w:val="004309FC"/>
    <w:rsid w:val="00430D98"/>
    <w:rsid w:val="00430FAC"/>
    <w:rsid w:val="004313D1"/>
    <w:rsid w:val="00431D41"/>
    <w:rsid w:val="00431F06"/>
    <w:rsid w:val="004326E4"/>
    <w:rsid w:val="004332BD"/>
    <w:rsid w:val="00433F06"/>
    <w:rsid w:val="00434072"/>
    <w:rsid w:val="00436140"/>
    <w:rsid w:val="00436E25"/>
    <w:rsid w:val="00437F50"/>
    <w:rsid w:val="004411D7"/>
    <w:rsid w:val="004413DA"/>
    <w:rsid w:val="0044226D"/>
    <w:rsid w:val="00442837"/>
    <w:rsid w:val="00442C06"/>
    <w:rsid w:val="00442C52"/>
    <w:rsid w:val="004432B7"/>
    <w:rsid w:val="00443BEB"/>
    <w:rsid w:val="00443F88"/>
    <w:rsid w:val="0044420E"/>
    <w:rsid w:val="0044467E"/>
    <w:rsid w:val="00444A8E"/>
    <w:rsid w:val="0044532A"/>
    <w:rsid w:val="00450E48"/>
    <w:rsid w:val="004514B8"/>
    <w:rsid w:val="00451580"/>
    <w:rsid w:val="00452043"/>
    <w:rsid w:val="00452303"/>
    <w:rsid w:val="00453E05"/>
    <w:rsid w:val="00453EA0"/>
    <w:rsid w:val="00454779"/>
    <w:rsid w:val="0045503D"/>
    <w:rsid w:val="00455BC1"/>
    <w:rsid w:val="004567CD"/>
    <w:rsid w:val="00456C70"/>
    <w:rsid w:val="00457032"/>
    <w:rsid w:val="0045721A"/>
    <w:rsid w:val="0045734E"/>
    <w:rsid w:val="004576B6"/>
    <w:rsid w:val="004601AE"/>
    <w:rsid w:val="0046040A"/>
    <w:rsid w:val="00461419"/>
    <w:rsid w:val="004621AD"/>
    <w:rsid w:val="004621CA"/>
    <w:rsid w:val="0046357F"/>
    <w:rsid w:val="00464ABC"/>
    <w:rsid w:val="00464AE1"/>
    <w:rsid w:val="00464E3C"/>
    <w:rsid w:val="00465342"/>
    <w:rsid w:val="00465C10"/>
    <w:rsid w:val="00467167"/>
    <w:rsid w:val="00467488"/>
    <w:rsid w:val="004700F3"/>
    <w:rsid w:val="00471EB4"/>
    <w:rsid w:val="00471F4E"/>
    <w:rsid w:val="004746AB"/>
    <w:rsid w:val="00477113"/>
    <w:rsid w:val="0048055F"/>
    <w:rsid w:val="004805CC"/>
    <w:rsid w:val="00481868"/>
    <w:rsid w:val="00481A0C"/>
    <w:rsid w:val="00481CF3"/>
    <w:rsid w:val="00481DE8"/>
    <w:rsid w:val="004824F2"/>
    <w:rsid w:val="004825A4"/>
    <w:rsid w:val="00482964"/>
    <w:rsid w:val="00483DFF"/>
    <w:rsid w:val="00485702"/>
    <w:rsid w:val="00486C50"/>
    <w:rsid w:val="00487018"/>
    <w:rsid w:val="00487532"/>
    <w:rsid w:val="00490EA9"/>
    <w:rsid w:val="00491B06"/>
    <w:rsid w:val="00491F02"/>
    <w:rsid w:val="00491F62"/>
    <w:rsid w:val="00492089"/>
    <w:rsid w:val="0049213D"/>
    <w:rsid w:val="00492426"/>
    <w:rsid w:val="00492AD7"/>
    <w:rsid w:val="00493701"/>
    <w:rsid w:val="004964F2"/>
    <w:rsid w:val="00496B6D"/>
    <w:rsid w:val="004A1AD2"/>
    <w:rsid w:val="004A3D9A"/>
    <w:rsid w:val="004A5D36"/>
    <w:rsid w:val="004A5F32"/>
    <w:rsid w:val="004A5F98"/>
    <w:rsid w:val="004A7059"/>
    <w:rsid w:val="004A7684"/>
    <w:rsid w:val="004A7F02"/>
    <w:rsid w:val="004B0525"/>
    <w:rsid w:val="004B198E"/>
    <w:rsid w:val="004B1FF4"/>
    <w:rsid w:val="004B246C"/>
    <w:rsid w:val="004B2C87"/>
    <w:rsid w:val="004B32D5"/>
    <w:rsid w:val="004B4482"/>
    <w:rsid w:val="004B5389"/>
    <w:rsid w:val="004B590B"/>
    <w:rsid w:val="004B59F0"/>
    <w:rsid w:val="004B66EB"/>
    <w:rsid w:val="004B7179"/>
    <w:rsid w:val="004B7A60"/>
    <w:rsid w:val="004C08C2"/>
    <w:rsid w:val="004C19AA"/>
    <w:rsid w:val="004C2B4C"/>
    <w:rsid w:val="004C4BB7"/>
    <w:rsid w:val="004C6FC7"/>
    <w:rsid w:val="004C7BA7"/>
    <w:rsid w:val="004D0435"/>
    <w:rsid w:val="004D0506"/>
    <w:rsid w:val="004D1328"/>
    <w:rsid w:val="004D273B"/>
    <w:rsid w:val="004D299B"/>
    <w:rsid w:val="004D4098"/>
    <w:rsid w:val="004D46FF"/>
    <w:rsid w:val="004D494A"/>
    <w:rsid w:val="004D497E"/>
    <w:rsid w:val="004D7A26"/>
    <w:rsid w:val="004D7D6B"/>
    <w:rsid w:val="004E0181"/>
    <w:rsid w:val="004E0E76"/>
    <w:rsid w:val="004E2134"/>
    <w:rsid w:val="004E424B"/>
    <w:rsid w:val="004E4544"/>
    <w:rsid w:val="004E4750"/>
    <w:rsid w:val="004E553F"/>
    <w:rsid w:val="004E588B"/>
    <w:rsid w:val="004E6187"/>
    <w:rsid w:val="004E67E9"/>
    <w:rsid w:val="004E6969"/>
    <w:rsid w:val="004F0FF5"/>
    <w:rsid w:val="004F19EB"/>
    <w:rsid w:val="004F1F6B"/>
    <w:rsid w:val="004F242F"/>
    <w:rsid w:val="004F2CE5"/>
    <w:rsid w:val="004F3FBB"/>
    <w:rsid w:val="004F4446"/>
    <w:rsid w:val="004F5197"/>
    <w:rsid w:val="004F5B49"/>
    <w:rsid w:val="004F6851"/>
    <w:rsid w:val="004F695D"/>
    <w:rsid w:val="004F6A6F"/>
    <w:rsid w:val="004F6CA9"/>
    <w:rsid w:val="004F79EB"/>
    <w:rsid w:val="004F7D73"/>
    <w:rsid w:val="005013FE"/>
    <w:rsid w:val="00501CEB"/>
    <w:rsid w:val="005020CE"/>
    <w:rsid w:val="00502138"/>
    <w:rsid w:val="0050262B"/>
    <w:rsid w:val="00504E6E"/>
    <w:rsid w:val="00505A63"/>
    <w:rsid w:val="00505F33"/>
    <w:rsid w:val="00505F6C"/>
    <w:rsid w:val="00506DA8"/>
    <w:rsid w:val="00507560"/>
    <w:rsid w:val="0051037F"/>
    <w:rsid w:val="005106F1"/>
    <w:rsid w:val="00511969"/>
    <w:rsid w:val="005119F2"/>
    <w:rsid w:val="005120CF"/>
    <w:rsid w:val="0051252C"/>
    <w:rsid w:val="005129FF"/>
    <w:rsid w:val="005135AC"/>
    <w:rsid w:val="005135FA"/>
    <w:rsid w:val="005136FE"/>
    <w:rsid w:val="00513873"/>
    <w:rsid w:val="00513A83"/>
    <w:rsid w:val="00513F41"/>
    <w:rsid w:val="00514A82"/>
    <w:rsid w:val="00514D11"/>
    <w:rsid w:val="00515286"/>
    <w:rsid w:val="0051623F"/>
    <w:rsid w:val="00520466"/>
    <w:rsid w:val="00520B17"/>
    <w:rsid w:val="00522421"/>
    <w:rsid w:val="005264F7"/>
    <w:rsid w:val="00526CE0"/>
    <w:rsid w:val="00527957"/>
    <w:rsid w:val="00530BDB"/>
    <w:rsid w:val="005312AC"/>
    <w:rsid w:val="00532000"/>
    <w:rsid w:val="0053312A"/>
    <w:rsid w:val="005335C4"/>
    <w:rsid w:val="0053400C"/>
    <w:rsid w:val="00534AB3"/>
    <w:rsid w:val="0053594B"/>
    <w:rsid w:val="005368F8"/>
    <w:rsid w:val="00540E14"/>
    <w:rsid w:val="00544344"/>
    <w:rsid w:val="0054508A"/>
    <w:rsid w:val="0054513B"/>
    <w:rsid w:val="005452E1"/>
    <w:rsid w:val="0054773B"/>
    <w:rsid w:val="00547981"/>
    <w:rsid w:val="00550B4E"/>
    <w:rsid w:val="00550B9E"/>
    <w:rsid w:val="00551C55"/>
    <w:rsid w:val="00552AC4"/>
    <w:rsid w:val="00552E58"/>
    <w:rsid w:val="00553334"/>
    <w:rsid w:val="00553D71"/>
    <w:rsid w:val="00554BB4"/>
    <w:rsid w:val="00554FE9"/>
    <w:rsid w:val="0055526A"/>
    <w:rsid w:val="005553B4"/>
    <w:rsid w:val="0055567F"/>
    <w:rsid w:val="0055726C"/>
    <w:rsid w:val="005572E5"/>
    <w:rsid w:val="00557C84"/>
    <w:rsid w:val="00560AD7"/>
    <w:rsid w:val="00560C8F"/>
    <w:rsid w:val="0056139E"/>
    <w:rsid w:val="005624E5"/>
    <w:rsid w:val="005625A5"/>
    <w:rsid w:val="00562A1C"/>
    <w:rsid w:val="005635F3"/>
    <w:rsid w:val="005643DF"/>
    <w:rsid w:val="00564442"/>
    <w:rsid w:val="00564501"/>
    <w:rsid w:val="00564979"/>
    <w:rsid w:val="00564C26"/>
    <w:rsid w:val="00564E50"/>
    <w:rsid w:val="00566BE3"/>
    <w:rsid w:val="00567814"/>
    <w:rsid w:val="00570089"/>
    <w:rsid w:val="00570A96"/>
    <w:rsid w:val="0057268E"/>
    <w:rsid w:val="005736D4"/>
    <w:rsid w:val="00574768"/>
    <w:rsid w:val="005774B4"/>
    <w:rsid w:val="00580491"/>
    <w:rsid w:val="00581CAC"/>
    <w:rsid w:val="00581EBC"/>
    <w:rsid w:val="00582390"/>
    <w:rsid w:val="00582BB9"/>
    <w:rsid w:val="00583F3A"/>
    <w:rsid w:val="00584674"/>
    <w:rsid w:val="00585863"/>
    <w:rsid w:val="00586CB5"/>
    <w:rsid w:val="00587575"/>
    <w:rsid w:val="00593D54"/>
    <w:rsid w:val="00594FEB"/>
    <w:rsid w:val="00595314"/>
    <w:rsid w:val="0059571E"/>
    <w:rsid w:val="0059573D"/>
    <w:rsid w:val="00596407"/>
    <w:rsid w:val="005A017B"/>
    <w:rsid w:val="005A0773"/>
    <w:rsid w:val="005A1E8D"/>
    <w:rsid w:val="005A24C2"/>
    <w:rsid w:val="005A3DB2"/>
    <w:rsid w:val="005A465D"/>
    <w:rsid w:val="005A5D1E"/>
    <w:rsid w:val="005A689E"/>
    <w:rsid w:val="005B16DB"/>
    <w:rsid w:val="005B269A"/>
    <w:rsid w:val="005B30B5"/>
    <w:rsid w:val="005B345A"/>
    <w:rsid w:val="005B3ABC"/>
    <w:rsid w:val="005B6003"/>
    <w:rsid w:val="005B6258"/>
    <w:rsid w:val="005C090A"/>
    <w:rsid w:val="005C2436"/>
    <w:rsid w:val="005C25A5"/>
    <w:rsid w:val="005C3E98"/>
    <w:rsid w:val="005C3ECF"/>
    <w:rsid w:val="005C5472"/>
    <w:rsid w:val="005C56A0"/>
    <w:rsid w:val="005C748C"/>
    <w:rsid w:val="005C7E72"/>
    <w:rsid w:val="005C7EA2"/>
    <w:rsid w:val="005D1450"/>
    <w:rsid w:val="005D25EA"/>
    <w:rsid w:val="005D277B"/>
    <w:rsid w:val="005D2833"/>
    <w:rsid w:val="005D2B0A"/>
    <w:rsid w:val="005D2DF7"/>
    <w:rsid w:val="005D306E"/>
    <w:rsid w:val="005D3343"/>
    <w:rsid w:val="005D43F8"/>
    <w:rsid w:val="005D5F84"/>
    <w:rsid w:val="005D6671"/>
    <w:rsid w:val="005D7936"/>
    <w:rsid w:val="005D7E82"/>
    <w:rsid w:val="005E15AA"/>
    <w:rsid w:val="005E299E"/>
    <w:rsid w:val="005E3FFC"/>
    <w:rsid w:val="005E493C"/>
    <w:rsid w:val="005E4AA1"/>
    <w:rsid w:val="005E6542"/>
    <w:rsid w:val="005E743B"/>
    <w:rsid w:val="005E7D9F"/>
    <w:rsid w:val="005F011A"/>
    <w:rsid w:val="005F3364"/>
    <w:rsid w:val="005F3810"/>
    <w:rsid w:val="005F3C3D"/>
    <w:rsid w:val="005F4197"/>
    <w:rsid w:val="005F42A1"/>
    <w:rsid w:val="005F4E7A"/>
    <w:rsid w:val="005F5227"/>
    <w:rsid w:val="005F69CE"/>
    <w:rsid w:val="005F73FA"/>
    <w:rsid w:val="006005D7"/>
    <w:rsid w:val="0060186E"/>
    <w:rsid w:val="00602A42"/>
    <w:rsid w:val="00602B20"/>
    <w:rsid w:val="006032DB"/>
    <w:rsid w:val="006035D8"/>
    <w:rsid w:val="0060383A"/>
    <w:rsid w:val="00603EBD"/>
    <w:rsid w:val="00603FF3"/>
    <w:rsid w:val="006048C3"/>
    <w:rsid w:val="006066DA"/>
    <w:rsid w:val="00610DD7"/>
    <w:rsid w:val="006122F7"/>
    <w:rsid w:val="00612456"/>
    <w:rsid w:val="0061322D"/>
    <w:rsid w:val="00613C3A"/>
    <w:rsid w:val="00614749"/>
    <w:rsid w:val="00614C10"/>
    <w:rsid w:val="00614C5C"/>
    <w:rsid w:val="00614D0F"/>
    <w:rsid w:val="0061517B"/>
    <w:rsid w:val="00616EA8"/>
    <w:rsid w:val="00617267"/>
    <w:rsid w:val="006176DA"/>
    <w:rsid w:val="006204FF"/>
    <w:rsid w:val="006216C9"/>
    <w:rsid w:val="006224DC"/>
    <w:rsid w:val="00623641"/>
    <w:rsid w:val="00623FAD"/>
    <w:rsid w:val="0062418D"/>
    <w:rsid w:val="00624530"/>
    <w:rsid w:val="0062482D"/>
    <w:rsid w:val="006254C8"/>
    <w:rsid w:val="00625578"/>
    <w:rsid w:val="00626033"/>
    <w:rsid w:val="006271D2"/>
    <w:rsid w:val="00630424"/>
    <w:rsid w:val="006306E5"/>
    <w:rsid w:val="00632025"/>
    <w:rsid w:val="00632932"/>
    <w:rsid w:val="00632964"/>
    <w:rsid w:val="00632B68"/>
    <w:rsid w:val="00633223"/>
    <w:rsid w:val="0063456A"/>
    <w:rsid w:val="00634BCD"/>
    <w:rsid w:val="00634D93"/>
    <w:rsid w:val="006350B3"/>
    <w:rsid w:val="00635D78"/>
    <w:rsid w:val="00636E42"/>
    <w:rsid w:val="00636F57"/>
    <w:rsid w:val="006375F9"/>
    <w:rsid w:val="0064073B"/>
    <w:rsid w:val="00641ED4"/>
    <w:rsid w:val="00641F79"/>
    <w:rsid w:val="006426F6"/>
    <w:rsid w:val="0064309C"/>
    <w:rsid w:val="00643A52"/>
    <w:rsid w:val="0064427C"/>
    <w:rsid w:val="0064533D"/>
    <w:rsid w:val="00645C79"/>
    <w:rsid w:val="00645D6C"/>
    <w:rsid w:val="00645DDD"/>
    <w:rsid w:val="00645EC1"/>
    <w:rsid w:val="00645EFA"/>
    <w:rsid w:val="0064692A"/>
    <w:rsid w:val="00650275"/>
    <w:rsid w:val="006503E1"/>
    <w:rsid w:val="006506B5"/>
    <w:rsid w:val="00650843"/>
    <w:rsid w:val="00652CE0"/>
    <w:rsid w:val="00652DBF"/>
    <w:rsid w:val="0065379A"/>
    <w:rsid w:val="00654C3E"/>
    <w:rsid w:val="00655F77"/>
    <w:rsid w:val="006578DC"/>
    <w:rsid w:val="0065794C"/>
    <w:rsid w:val="00657C3F"/>
    <w:rsid w:val="00660CD9"/>
    <w:rsid w:val="00662FC2"/>
    <w:rsid w:val="00663841"/>
    <w:rsid w:val="00664384"/>
    <w:rsid w:val="006647ED"/>
    <w:rsid w:val="00665068"/>
    <w:rsid w:val="00665570"/>
    <w:rsid w:val="00665938"/>
    <w:rsid w:val="0066615A"/>
    <w:rsid w:val="00667B74"/>
    <w:rsid w:val="00670453"/>
    <w:rsid w:val="0067088C"/>
    <w:rsid w:val="0067218B"/>
    <w:rsid w:val="00673816"/>
    <w:rsid w:val="00673D68"/>
    <w:rsid w:val="0067546D"/>
    <w:rsid w:val="00680D19"/>
    <w:rsid w:val="00680F2D"/>
    <w:rsid w:val="006816EF"/>
    <w:rsid w:val="00681802"/>
    <w:rsid w:val="00681D96"/>
    <w:rsid w:val="00682699"/>
    <w:rsid w:val="00683BBE"/>
    <w:rsid w:val="00684FA8"/>
    <w:rsid w:val="00685B26"/>
    <w:rsid w:val="00686518"/>
    <w:rsid w:val="0068673B"/>
    <w:rsid w:val="00686F4D"/>
    <w:rsid w:val="00687F32"/>
    <w:rsid w:val="006903CB"/>
    <w:rsid w:val="00690AB9"/>
    <w:rsid w:val="00690D2B"/>
    <w:rsid w:val="006926C5"/>
    <w:rsid w:val="00692BB1"/>
    <w:rsid w:val="00692EB0"/>
    <w:rsid w:val="00693089"/>
    <w:rsid w:val="006935BF"/>
    <w:rsid w:val="00694157"/>
    <w:rsid w:val="0069506D"/>
    <w:rsid w:val="00695362"/>
    <w:rsid w:val="0069553C"/>
    <w:rsid w:val="00695615"/>
    <w:rsid w:val="006956C7"/>
    <w:rsid w:val="00695C77"/>
    <w:rsid w:val="0069622C"/>
    <w:rsid w:val="006965F8"/>
    <w:rsid w:val="006966E8"/>
    <w:rsid w:val="00697EE0"/>
    <w:rsid w:val="006A06A1"/>
    <w:rsid w:val="006A0EFB"/>
    <w:rsid w:val="006A281C"/>
    <w:rsid w:val="006A2D75"/>
    <w:rsid w:val="006A3D49"/>
    <w:rsid w:val="006A6B56"/>
    <w:rsid w:val="006A6D9E"/>
    <w:rsid w:val="006A72E7"/>
    <w:rsid w:val="006A72FE"/>
    <w:rsid w:val="006B0F33"/>
    <w:rsid w:val="006B1042"/>
    <w:rsid w:val="006B1073"/>
    <w:rsid w:val="006B167D"/>
    <w:rsid w:val="006B1857"/>
    <w:rsid w:val="006B194F"/>
    <w:rsid w:val="006B37F0"/>
    <w:rsid w:val="006B391C"/>
    <w:rsid w:val="006B3ECD"/>
    <w:rsid w:val="006B4071"/>
    <w:rsid w:val="006B442D"/>
    <w:rsid w:val="006B4506"/>
    <w:rsid w:val="006B5C73"/>
    <w:rsid w:val="006B6630"/>
    <w:rsid w:val="006B66D9"/>
    <w:rsid w:val="006C003C"/>
    <w:rsid w:val="006C00F3"/>
    <w:rsid w:val="006C0C4C"/>
    <w:rsid w:val="006C0D2F"/>
    <w:rsid w:val="006C0EEE"/>
    <w:rsid w:val="006C1A22"/>
    <w:rsid w:val="006C270F"/>
    <w:rsid w:val="006C2901"/>
    <w:rsid w:val="006C350F"/>
    <w:rsid w:val="006C351F"/>
    <w:rsid w:val="006C4676"/>
    <w:rsid w:val="006C5525"/>
    <w:rsid w:val="006C57F2"/>
    <w:rsid w:val="006C5BC3"/>
    <w:rsid w:val="006C614D"/>
    <w:rsid w:val="006C62E5"/>
    <w:rsid w:val="006C6E59"/>
    <w:rsid w:val="006D0BD7"/>
    <w:rsid w:val="006D188F"/>
    <w:rsid w:val="006D2832"/>
    <w:rsid w:val="006D2A05"/>
    <w:rsid w:val="006D2B6D"/>
    <w:rsid w:val="006D38B4"/>
    <w:rsid w:val="006D4AC2"/>
    <w:rsid w:val="006D6FE1"/>
    <w:rsid w:val="006D74AA"/>
    <w:rsid w:val="006D798B"/>
    <w:rsid w:val="006D7A0A"/>
    <w:rsid w:val="006E0093"/>
    <w:rsid w:val="006E1332"/>
    <w:rsid w:val="006E173B"/>
    <w:rsid w:val="006E21AE"/>
    <w:rsid w:val="006E3421"/>
    <w:rsid w:val="006E4064"/>
    <w:rsid w:val="006E41A4"/>
    <w:rsid w:val="006E46E7"/>
    <w:rsid w:val="006E4F28"/>
    <w:rsid w:val="006E5168"/>
    <w:rsid w:val="006E6756"/>
    <w:rsid w:val="006E682E"/>
    <w:rsid w:val="006E6BA6"/>
    <w:rsid w:val="006E7A9A"/>
    <w:rsid w:val="006E7E30"/>
    <w:rsid w:val="006F033A"/>
    <w:rsid w:val="006F0E3E"/>
    <w:rsid w:val="006F0F36"/>
    <w:rsid w:val="006F29C7"/>
    <w:rsid w:val="006F324F"/>
    <w:rsid w:val="006F4D31"/>
    <w:rsid w:val="006F5028"/>
    <w:rsid w:val="006F521A"/>
    <w:rsid w:val="006F530E"/>
    <w:rsid w:val="006F69AF"/>
    <w:rsid w:val="006F6B19"/>
    <w:rsid w:val="006F7360"/>
    <w:rsid w:val="00700071"/>
    <w:rsid w:val="0070140F"/>
    <w:rsid w:val="007033AC"/>
    <w:rsid w:val="007034B7"/>
    <w:rsid w:val="00703CBB"/>
    <w:rsid w:val="00703D20"/>
    <w:rsid w:val="00703D6B"/>
    <w:rsid w:val="007040D7"/>
    <w:rsid w:val="007048D8"/>
    <w:rsid w:val="00704BB6"/>
    <w:rsid w:val="00705F06"/>
    <w:rsid w:val="00705F76"/>
    <w:rsid w:val="007063FD"/>
    <w:rsid w:val="007074A0"/>
    <w:rsid w:val="007074AD"/>
    <w:rsid w:val="007102A6"/>
    <w:rsid w:val="00710C73"/>
    <w:rsid w:val="0071169C"/>
    <w:rsid w:val="0071178F"/>
    <w:rsid w:val="0071189B"/>
    <w:rsid w:val="00711C0A"/>
    <w:rsid w:val="00711CED"/>
    <w:rsid w:val="007123AE"/>
    <w:rsid w:val="00712F49"/>
    <w:rsid w:val="00713B4D"/>
    <w:rsid w:val="00717064"/>
    <w:rsid w:val="007178B4"/>
    <w:rsid w:val="007214EE"/>
    <w:rsid w:val="007219A3"/>
    <w:rsid w:val="0072269E"/>
    <w:rsid w:val="00723181"/>
    <w:rsid w:val="00724B3B"/>
    <w:rsid w:val="00727396"/>
    <w:rsid w:val="00727F45"/>
    <w:rsid w:val="00730138"/>
    <w:rsid w:val="007311A6"/>
    <w:rsid w:val="007317DC"/>
    <w:rsid w:val="00732C4C"/>
    <w:rsid w:val="00734358"/>
    <w:rsid w:val="00735915"/>
    <w:rsid w:val="00740184"/>
    <w:rsid w:val="00740297"/>
    <w:rsid w:val="0074051A"/>
    <w:rsid w:val="00740EEF"/>
    <w:rsid w:val="007411F9"/>
    <w:rsid w:val="00741223"/>
    <w:rsid w:val="0074264E"/>
    <w:rsid w:val="00742D5B"/>
    <w:rsid w:val="00743154"/>
    <w:rsid w:val="007443AE"/>
    <w:rsid w:val="00744F7D"/>
    <w:rsid w:val="00745B53"/>
    <w:rsid w:val="00746096"/>
    <w:rsid w:val="0074642E"/>
    <w:rsid w:val="007501A2"/>
    <w:rsid w:val="007513CA"/>
    <w:rsid w:val="007518BE"/>
    <w:rsid w:val="00751BC8"/>
    <w:rsid w:val="00752298"/>
    <w:rsid w:val="007524CD"/>
    <w:rsid w:val="00752532"/>
    <w:rsid w:val="0075309D"/>
    <w:rsid w:val="00753329"/>
    <w:rsid w:val="00753BAB"/>
    <w:rsid w:val="007540FD"/>
    <w:rsid w:val="00755FA4"/>
    <w:rsid w:val="00756CA7"/>
    <w:rsid w:val="007570AD"/>
    <w:rsid w:val="007570ED"/>
    <w:rsid w:val="007577DF"/>
    <w:rsid w:val="00757FF5"/>
    <w:rsid w:val="00760AA5"/>
    <w:rsid w:val="00761F7B"/>
    <w:rsid w:val="00762BBE"/>
    <w:rsid w:val="00763366"/>
    <w:rsid w:val="0076448E"/>
    <w:rsid w:val="0076463B"/>
    <w:rsid w:val="0076562E"/>
    <w:rsid w:val="007657B3"/>
    <w:rsid w:val="00765CC6"/>
    <w:rsid w:val="00766332"/>
    <w:rsid w:val="007665E8"/>
    <w:rsid w:val="00766783"/>
    <w:rsid w:val="007672D9"/>
    <w:rsid w:val="0076756B"/>
    <w:rsid w:val="00770DCA"/>
    <w:rsid w:val="00771C26"/>
    <w:rsid w:val="00771E95"/>
    <w:rsid w:val="00772337"/>
    <w:rsid w:val="0077383E"/>
    <w:rsid w:val="00773BE8"/>
    <w:rsid w:val="00773F3E"/>
    <w:rsid w:val="00775788"/>
    <w:rsid w:val="00776E98"/>
    <w:rsid w:val="007776A3"/>
    <w:rsid w:val="00777D8E"/>
    <w:rsid w:val="0078238A"/>
    <w:rsid w:val="00782B03"/>
    <w:rsid w:val="00782B71"/>
    <w:rsid w:val="007830DA"/>
    <w:rsid w:val="00783278"/>
    <w:rsid w:val="00783899"/>
    <w:rsid w:val="00783B71"/>
    <w:rsid w:val="0078462B"/>
    <w:rsid w:val="007847BD"/>
    <w:rsid w:val="00784FAD"/>
    <w:rsid w:val="00785316"/>
    <w:rsid w:val="00785760"/>
    <w:rsid w:val="00786A9F"/>
    <w:rsid w:val="0079309F"/>
    <w:rsid w:val="007932D4"/>
    <w:rsid w:val="007939D2"/>
    <w:rsid w:val="00793C23"/>
    <w:rsid w:val="0079455A"/>
    <w:rsid w:val="00795D64"/>
    <w:rsid w:val="00795F4C"/>
    <w:rsid w:val="0079607A"/>
    <w:rsid w:val="00796B9B"/>
    <w:rsid w:val="007973A8"/>
    <w:rsid w:val="007A0A5A"/>
    <w:rsid w:val="007A1A1C"/>
    <w:rsid w:val="007A23D1"/>
    <w:rsid w:val="007A2A5E"/>
    <w:rsid w:val="007A3639"/>
    <w:rsid w:val="007A5232"/>
    <w:rsid w:val="007A557C"/>
    <w:rsid w:val="007A56C7"/>
    <w:rsid w:val="007A6092"/>
    <w:rsid w:val="007A6443"/>
    <w:rsid w:val="007A64CD"/>
    <w:rsid w:val="007A681D"/>
    <w:rsid w:val="007A7BA3"/>
    <w:rsid w:val="007A7C43"/>
    <w:rsid w:val="007B001B"/>
    <w:rsid w:val="007B0706"/>
    <w:rsid w:val="007B0BFE"/>
    <w:rsid w:val="007B1267"/>
    <w:rsid w:val="007B1E4D"/>
    <w:rsid w:val="007B285E"/>
    <w:rsid w:val="007B363A"/>
    <w:rsid w:val="007B47CE"/>
    <w:rsid w:val="007B5136"/>
    <w:rsid w:val="007B582C"/>
    <w:rsid w:val="007B640E"/>
    <w:rsid w:val="007B6943"/>
    <w:rsid w:val="007B6CA3"/>
    <w:rsid w:val="007B7CE3"/>
    <w:rsid w:val="007B7E7C"/>
    <w:rsid w:val="007C03A0"/>
    <w:rsid w:val="007C0C24"/>
    <w:rsid w:val="007C1A82"/>
    <w:rsid w:val="007C1AE5"/>
    <w:rsid w:val="007C22AC"/>
    <w:rsid w:val="007C245A"/>
    <w:rsid w:val="007C2A22"/>
    <w:rsid w:val="007C30CE"/>
    <w:rsid w:val="007C36DD"/>
    <w:rsid w:val="007C36FD"/>
    <w:rsid w:val="007C3A9A"/>
    <w:rsid w:val="007C3AEE"/>
    <w:rsid w:val="007C4E40"/>
    <w:rsid w:val="007C6021"/>
    <w:rsid w:val="007C636B"/>
    <w:rsid w:val="007C659D"/>
    <w:rsid w:val="007C6BC8"/>
    <w:rsid w:val="007C720C"/>
    <w:rsid w:val="007C797C"/>
    <w:rsid w:val="007C7C7B"/>
    <w:rsid w:val="007D132A"/>
    <w:rsid w:val="007D2515"/>
    <w:rsid w:val="007D342A"/>
    <w:rsid w:val="007D34E4"/>
    <w:rsid w:val="007D3803"/>
    <w:rsid w:val="007D39D3"/>
    <w:rsid w:val="007D3E8D"/>
    <w:rsid w:val="007D44A2"/>
    <w:rsid w:val="007D48AC"/>
    <w:rsid w:val="007D5AFB"/>
    <w:rsid w:val="007D6F70"/>
    <w:rsid w:val="007D7838"/>
    <w:rsid w:val="007D7D42"/>
    <w:rsid w:val="007D7D94"/>
    <w:rsid w:val="007E0423"/>
    <w:rsid w:val="007E13B4"/>
    <w:rsid w:val="007E1B31"/>
    <w:rsid w:val="007E4B25"/>
    <w:rsid w:val="007E603A"/>
    <w:rsid w:val="007E6174"/>
    <w:rsid w:val="007E67CC"/>
    <w:rsid w:val="007E7497"/>
    <w:rsid w:val="007E7CA1"/>
    <w:rsid w:val="007F060F"/>
    <w:rsid w:val="007F240E"/>
    <w:rsid w:val="007F2863"/>
    <w:rsid w:val="007F2BA2"/>
    <w:rsid w:val="007F3033"/>
    <w:rsid w:val="007F3837"/>
    <w:rsid w:val="007F4AD4"/>
    <w:rsid w:val="007F4D70"/>
    <w:rsid w:val="007F5810"/>
    <w:rsid w:val="007F5CC7"/>
    <w:rsid w:val="007F66E0"/>
    <w:rsid w:val="007F6C81"/>
    <w:rsid w:val="007F72AC"/>
    <w:rsid w:val="007F752D"/>
    <w:rsid w:val="007F7578"/>
    <w:rsid w:val="007F7F9D"/>
    <w:rsid w:val="00800810"/>
    <w:rsid w:val="008034D1"/>
    <w:rsid w:val="00803A5E"/>
    <w:rsid w:val="00803D4E"/>
    <w:rsid w:val="00805D51"/>
    <w:rsid w:val="008067C2"/>
    <w:rsid w:val="00806A50"/>
    <w:rsid w:val="0080772E"/>
    <w:rsid w:val="00807FB0"/>
    <w:rsid w:val="0081037B"/>
    <w:rsid w:val="00810427"/>
    <w:rsid w:val="00810769"/>
    <w:rsid w:val="00810B8C"/>
    <w:rsid w:val="00810CC2"/>
    <w:rsid w:val="00811369"/>
    <w:rsid w:val="008121DD"/>
    <w:rsid w:val="008130E5"/>
    <w:rsid w:val="00813A19"/>
    <w:rsid w:val="00814837"/>
    <w:rsid w:val="00816ABD"/>
    <w:rsid w:val="00816E54"/>
    <w:rsid w:val="00817748"/>
    <w:rsid w:val="0082076E"/>
    <w:rsid w:val="008209BF"/>
    <w:rsid w:val="00821523"/>
    <w:rsid w:val="00821A5B"/>
    <w:rsid w:val="00822F97"/>
    <w:rsid w:val="00823326"/>
    <w:rsid w:val="00823D25"/>
    <w:rsid w:val="008242CC"/>
    <w:rsid w:val="00824573"/>
    <w:rsid w:val="00824C06"/>
    <w:rsid w:val="00824D7C"/>
    <w:rsid w:val="008260D1"/>
    <w:rsid w:val="0083062E"/>
    <w:rsid w:val="008323E1"/>
    <w:rsid w:val="00833372"/>
    <w:rsid w:val="00833868"/>
    <w:rsid w:val="00834DAC"/>
    <w:rsid w:val="00834F68"/>
    <w:rsid w:val="00836B41"/>
    <w:rsid w:val="00837822"/>
    <w:rsid w:val="00837893"/>
    <w:rsid w:val="00840DF4"/>
    <w:rsid w:val="0084187A"/>
    <w:rsid w:val="00841F24"/>
    <w:rsid w:val="0084330A"/>
    <w:rsid w:val="00843ACB"/>
    <w:rsid w:val="008447A1"/>
    <w:rsid w:val="008459F7"/>
    <w:rsid w:val="00846A7B"/>
    <w:rsid w:val="00846AA0"/>
    <w:rsid w:val="008474A0"/>
    <w:rsid w:val="008476EE"/>
    <w:rsid w:val="00847B19"/>
    <w:rsid w:val="00847D3C"/>
    <w:rsid w:val="00850B2B"/>
    <w:rsid w:val="00850B90"/>
    <w:rsid w:val="00851260"/>
    <w:rsid w:val="008519F9"/>
    <w:rsid w:val="0085253C"/>
    <w:rsid w:val="00854325"/>
    <w:rsid w:val="00854A91"/>
    <w:rsid w:val="00856C9B"/>
    <w:rsid w:val="0085731B"/>
    <w:rsid w:val="00860314"/>
    <w:rsid w:val="0086057D"/>
    <w:rsid w:val="00861156"/>
    <w:rsid w:val="0086340F"/>
    <w:rsid w:val="00863D29"/>
    <w:rsid w:val="00863ED0"/>
    <w:rsid w:val="00863F68"/>
    <w:rsid w:val="008642CD"/>
    <w:rsid w:val="008648F8"/>
    <w:rsid w:val="00864DDC"/>
    <w:rsid w:val="00865033"/>
    <w:rsid w:val="008652F3"/>
    <w:rsid w:val="008660DD"/>
    <w:rsid w:val="00866102"/>
    <w:rsid w:val="0086662F"/>
    <w:rsid w:val="00866B7A"/>
    <w:rsid w:val="00867741"/>
    <w:rsid w:val="00867883"/>
    <w:rsid w:val="008726C8"/>
    <w:rsid w:val="00872A6E"/>
    <w:rsid w:val="0087370E"/>
    <w:rsid w:val="00873FFE"/>
    <w:rsid w:val="00874457"/>
    <w:rsid w:val="00876EA6"/>
    <w:rsid w:val="008777E1"/>
    <w:rsid w:val="008779A4"/>
    <w:rsid w:val="00877ADE"/>
    <w:rsid w:val="00877B4B"/>
    <w:rsid w:val="0088089E"/>
    <w:rsid w:val="00880FAB"/>
    <w:rsid w:val="00881653"/>
    <w:rsid w:val="008816B7"/>
    <w:rsid w:val="00881704"/>
    <w:rsid w:val="0088172A"/>
    <w:rsid w:val="00882FA0"/>
    <w:rsid w:val="00883744"/>
    <w:rsid w:val="008852DF"/>
    <w:rsid w:val="00890912"/>
    <w:rsid w:val="008909C7"/>
    <w:rsid w:val="00890F4D"/>
    <w:rsid w:val="00892962"/>
    <w:rsid w:val="008939D7"/>
    <w:rsid w:val="00893FE2"/>
    <w:rsid w:val="00894D76"/>
    <w:rsid w:val="008971EF"/>
    <w:rsid w:val="00897795"/>
    <w:rsid w:val="008A03CA"/>
    <w:rsid w:val="008A06B3"/>
    <w:rsid w:val="008A11BA"/>
    <w:rsid w:val="008A136F"/>
    <w:rsid w:val="008A19A0"/>
    <w:rsid w:val="008A1AD9"/>
    <w:rsid w:val="008A326E"/>
    <w:rsid w:val="008A5E00"/>
    <w:rsid w:val="008A5EEB"/>
    <w:rsid w:val="008A651E"/>
    <w:rsid w:val="008A6B31"/>
    <w:rsid w:val="008A70B4"/>
    <w:rsid w:val="008B2E0C"/>
    <w:rsid w:val="008B3D47"/>
    <w:rsid w:val="008B40CB"/>
    <w:rsid w:val="008B4372"/>
    <w:rsid w:val="008B4579"/>
    <w:rsid w:val="008B489E"/>
    <w:rsid w:val="008B5E8A"/>
    <w:rsid w:val="008B77A9"/>
    <w:rsid w:val="008C100A"/>
    <w:rsid w:val="008C117F"/>
    <w:rsid w:val="008C19C3"/>
    <w:rsid w:val="008C1C18"/>
    <w:rsid w:val="008C4E91"/>
    <w:rsid w:val="008C5BC6"/>
    <w:rsid w:val="008C651E"/>
    <w:rsid w:val="008C6D2C"/>
    <w:rsid w:val="008C7270"/>
    <w:rsid w:val="008D0830"/>
    <w:rsid w:val="008D19DE"/>
    <w:rsid w:val="008D1A6E"/>
    <w:rsid w:val="008D211E"/>
    <w:rsid w:val="008D2635"/>
    <w:rsid w:val="008D340F"/>
    <w:rsid w:val="008D425B"/>
    <w:rsid w:val="008D48ED"/>
    <w:rsid w:val="008D5B71"/>
    <w:rsid w:val="008E018F"/>
    <w:rsid w:val="008E108C"/>
    <w:rsid w:val="008E1143"/>
    <w:rsid w:val="008E186C"/>
    <w:rsid w:val="008E225D"/>
    <w:rsid w:val="008E3389"/>
    <w:rsid w:val="008E3B4B"/>
    <w:rsid w:val="008E3DD1"/>
    <w:rsid w:val="008E4248"/>
    <w:rsid w:val="008E42DA"/>
    <w:rsid w:val="008E473A"/>
    <w:rsid w:val="008E4B09"/>
    <w:rsid w:val="008E610E"/>
    <w:rsid w:val="008F03F1"/>
    <w:rsid w:val="008F10E2"/>
    <w:rsid w:val="008F124D"/>
    <w:rsid w:val="008F2A8F"/>
    <w:rsid w:val="008F31CD"/>
    <w:rsid w:val="008F50E8"/>
    <w:rsid w:val="008F55F5"/>
    <w:rsid w:val="008F620F"/>
    <w:rsid w:val="008F65FB"/>
    <w:rsid w:val="008F7BB0"/>
    <w:rsid w:val="008F7BBA"/>
    <w:rsid w:val="008F7CE3"/>
    <w:rsid w:val="00900AEE"/>
    <w:rsid w:val="00900D21"/>
    <w:rsid w:val="0090231B"/>
    <w:rsid w:val="00902A83"/>
    <w:rsid w:val="00902AD6"/>
    <w:rsid w:val="00904F7C"/>
    <w:rsid w:val="00905356"/>
    <w:rsid w:val="009063A1"/>
    <w:rsid w:val="00906712"/>
    <w:rsid w:val="00906FA8"/>
    <w:rsid w:val="0090719A"/>
    <w:rsid w:val="009109E7"/>
    <w:rsid w:val="009111FD"/>
    <w:rsid w:val="00912B53"/>
    <w:rsid w:val="00912C6D"/>
    <w:rsid w:val="0091422B"/>
    <w:rsid w:val="00916AE0"/>
    <w:rsid w:val="00917911"/>
    <w:rsid w:val="0092038A"/>
    <w:rsid w:val="009203A4"/>
    <w:rsid w:val="00920BA8"/>
    <w:rsid w:val="00921A97"/>
    <w:rsid w:val="009223E0"/>
    <w:rsid w:val="00923256"/>
    <w:rsid w:val="009235D7"/>
    <w:rsid w:val="009252B9"/>
    <w:rsid w:val="00925921"/>
    <w:rsid w:val="00925C4F"/>
    <w:rsid w:val="00926696"/>
    <w:rsid w:val="0092687F"/>
    <w:rsid w:val="00927461"/>
    <w:rsid w:val="00930E8B"/>
    <w:rsid w:val="00932E9E"/>
    <w:rsid w:val="00932F1D"/>
    <w:rsid w:val="00934923"/>
    <w:rsid w:val="009353C4"/>
    <w:rsid w:val="009358D5"/>
    <w:rsid w:val="009361B2"/>
    <w:rsid w:val="009366E8"/>
    <w:rsid w:val="00936B61"/>
    <w:rsid w:val="00937BE6"/>
    <w:rsid w:val="009401F4"/>
    <w:rsid w:val="0094051D"/>
    <w:rsid w:val="009420B0"/>
    <w:rsid w:val="00943F93"/>
    <w:rsid w:val="00945686"/>
    <w:rsid w:val="0095042C"/>
    <w:rsid w:val="00950B08"/>
    <w:rsid w:val="00950E77"/>
    <w:rsid w:val="00950FEC"/>
    <w:rsid w:val="00952C3E"/>
    <w:rsid w:val="00953A06"/>
    <w:rsid w:val="00953F05"/>
    <w:rsid w:val="00954E01"/>
    <w:rsid w:val="00954F0C"/>
    <w:rsid w:val="00954F74"/>
    <w:rsid w:val="0095525B"/>
    <w:rsid w:val="00956015"/>
    <w:rsid w:val="00956171"/>
    <w:rsid w:val="00956301"/>
    <w:rsid w:val="0095647E"/>
    <w:rsid w:val="00957629"/>
    <w:rsid w:val="009615A4"/>
    <w:rsid w:val="00961CBE"/>
    <w:rsid w:val="00962B2A"/>
    <w:rsid w:val="00962D45"/>
    <w:rsid w:val="00963A8D"/>
    <w:rsid w:val="0096440D"/>
    <w:rsid w:val="009657D1"/>
    <w:rsid w:val="009658FE"/>
    <w:rsid w:val="00965DC0"/>
    <w:rsid w:val="009672DF"/>
    <w:rsid w:val="00967CC3"/>
    <w:rsid w:val="0097008E"/>
    <w:rsid w:val="009704F1"/>
    <w:rsid w:val="00970574"/>
    <w:rsid w:val="0097280E"/>
    <w:rsid w:val="00972C0B"/>
    <w:rsid w:val="00972F82"/>
    <w:rsid w:val="009742C6"/>
    <w:rsid w:val="00974371"/>
    <w:rsid w:val="0097458A"/>
    <w:rsid w:val="009753A1"/>
    <w:rsid w:val="00975D05"/>
    <w:rsid w:val="009766FF"/>
    <w:rsid w:val="00980462"/>
    <w:rsid w:val="0098101A"/>
    <w:rsid w:val="00981357"/>
    <w:rsid w:val="0098139D"/>
    <w:rsid w:val="00981F64"/>
    <w:rsid w:val="0098234E"/>
    <w:rsid w:val="0098243D"/>
    <w:rsid w:val="0098266F"/>
    <w:rsid w:val="00984D73"/>
    <w:rsid w:val="00985176"/>
    <w:rsid w:val="009855C1"/>
    <w:rsid w:val="00985F0C"/>
    <w:rsid w:val="0098608D"/>
    <w:rsid w:val="009860A6"/>
    <w:rsid w:val="00986EC6"/>
    <w:rsid w:val="00987149"/>
    <w:rsid w:val="00987F9D"/>
    <w:rsid w:val="00990197"/>
    <w:rsid w:val="00990CA7"/>
    <w:rsid w:val="0099102D"/>
    <w:rsid w:val="00991C7B"/>
    <w:rsid w:val="00991DFD"/>
    <w:rsid w:val="0099287C"/>
    <w:rsid w:val="009939B1"/>
    <w:rsid w:val="0099473A"/>
    <w:rsid w:val="0099478C"/>
    <w:rsid w:val="00994812"/>
    <w:rsid w:val="009948F0"/>
    <w:rsid w:val="00994DD7"/>
    <w:rsid w:val="00995196"/>
    <w:rsid w:val="009965B8"/>
    <w:rsid w:val="009966D6"/>
    <w:rsid w:val="00996716"/>
    <w:rsid w:val="0099708B"/>
    <w:rsid w:val="0099748C"/>
    <w:rsid w:val="009A0D98"/>
    <w:rsid w:val="009A15BD"/>
    <w:rsid w:val="009A16ED"/>
    <w:rsid w:val="009A1B62"/>
    <w:rsid w:val="009A2C12"/>
    <w:rsid w:val="009A629F"/>
    <w:rsid w:val="009A6793"/>
    <w:rsid w:val="009A7E10"/>
    <w:rsid w:val="009B038F"/>
    <w:rsid w:val="009B1519"/>
    <w:rsid w:val="009B171D"/>
    <w:rsid w:val="009B2295"/>
    <w:rsid w:val="009B2436"/>
    <w:rsid w:val="009B2895"/>
    <w:rsid w:val="009B299F"/>
    <w:rsid w:val="009B361D"/>
    <w:rsid w:val="009B421F"/>
    <w:rsid w:val="009B50F6"/>
    <w:rsid w:val="009B52CA"/>
    <w:rsid w:val="009B55FB"/>
    <w:rsid w:val="009B714E"/>
    <w:rsid w:val="009B7C6C"/>
    <w:rsid w:val="009B7CF2"/>
    <w:rsid w:val="009B7D74"/>
    <w:rsid w:val="009B7FC4"/>
    <w:rsid w:val="009C0030"/>
    <w:rsid w:val="009C0155"/>
    <w:rsid w:val="009C1561"/>
    <w:rsid w:val="009C1AA2"/>
    <w:rsid w:val="009C250F"/>
    <w:rsid w:val="009C2C33"/>
    <w:rsid w:val="009C2E5F"/>
    <w:rsid w:val="009C304E"/>
    <w:rsid w:val="009C4AB8"/>
    <w:rsid w:val="009C7417"/>
    <w:rsid w:val="009D18E8"/>
    <w:rsid w:val="009D2014"/>
    <w:rsid w:val="009D231F"/>
    <w:rsid w:val="009D2951"/>
    <w:rsid w:val="009D5B09"/>
    <w:rsid w:val="009E0218"/>
    <w:rsid w:val="009E0CDF"/>
    <w:rsid w:val="009E2C6D"/>
    <w:rsid w:val="009E3330"/>
    <w:rsid w:val="009E419E"/>
    <w:rsid w:val="009E4305"/>
    <w:rsid w:val="009E4381"/>
    <w:rsid w:val="009E49BB"/>
    <w:rsid w:val="009E52B7"/>
    <w:rsid w:val="009E5FFB"/>
    <w:rsid w:val="009F10B6"/>
    <w:rsid w:val="009F4AC5"/>
    <w:rsid w:val="009F5077"/>
    <w:rsid w:val="009F57BD"/>
    <w:rsid w:val="009F5955"/>
    <w:rsid w:val="009F6C3B"/>
    <w:rsid w:val="009F77EA"/>
    <w:rsid w:val="00A0103D"/>
    <w:rsid w:val="00A010D0"/>
    <w:rsid w:val="00A01AA9"/>
    <w:rsid w:val="00A027FE"/>
    <w:rsid w:val="00A029C7"/>
    <w:rsid w:val="00A0352C"/>
    <w:rsid w:val="00A05649"/>
    <w:rsid w:val="00A05E49"/>
    <w:rsid w:val="00A06635"/>
    <w:rsid w:val="00A068C7"/>
    <w:rsid w:val="00A07B5F"/>
    <w:rsid w:val="00A10899"/>
    <w:rsid w:val="00A1173E"/>
    <w:rsid w:val="00A12693"/>
    <w:rsid w:val="00A13217"/>
    <w:rsid w:val="00A1460A"/>
    <w:rsid w:val="00A15B6E"/>
    <w:rsid w:val="00A166CA"/>
    <w:rsid w:val="00A16726"/>
    <w:rsid w:val="00A20230"/>
    <w:rsid w:val="00A224EB"/>
    <w:rsid w:val="00A23218"/>
    <w:rsid w:val="00A23461"/>
    <w:rsid w:val="00A249C4"/>
    <w:rsid w:val="00A24DD8"/>
    <w:rsid w:val="00A259AF"/>
    <w:rsid w:val="00A259B8"/>
    <w:rsid w:val="00A25D76"/>
    <w:rsid w:val="00A25FDE"/>
    <w:rsid w:val="00A26216"/>
    <w:rsid w:val="00A275D6"/>
    <w:rsid w:val="00A27E09"/>
    <w:rsid w:val="00A31004"/>
    <w:rsid w:val="00A31535"/>
    <w:rsid w:val="00A3190D"/>
    <w:rsid w:val="00A3227B"/>
    <w:rsid w:val="00A33AEF"/>
    <w:rsid w:val="00A34AF8"/>
    <w:rsid w:val="00A34FAA"/>
    <w:rsid w:val="00A3546B"/>
    <w:rsid w:val="00A358DB"/>
    <w:rsid w:val="00A35CC7"/>
    <w:rsid w:val="00A3767C"/>
    <w:rsid w:val="00A378B9"/>
    <w:rsid w:val="00A40087"/>
    <w:rsid w:val="00A40ADD"/>
    <w:rsid w:val="00A40CCA"/>
    <w:rsid w:val="00A40E5E"/>
    <w:rsid w:val="00A40F0E"/>
    <w:rsid w:val="00A41050"/>
    <w:rsid w:val="00A421AA"/>
    <w:rsid w:val="00A4220B"/>
    <w:rsid w:val="00A422C9"/>
    <w:rsid w:val="00A424CA"/>
    <w:rsid w:val="00A42AA4"/>
    <w:rsid w:val="00A43322"/>
    <w:rsid w:val="00A434D4"/>
    <w:rsid w:val="00A436DD"/>
    <w:rsid w:val="00A44098"/>
    <w:rsid w:val="00A44E07"/>
    <w:rsid w:val="00A4562D"/>
    <w:rsid w:val="00A45FF2"/>
    <w:rsid w:val="00A464D3"/>
    <w:rsid w:val="00A466FF"/>
    <w:rsid w:val="00A47FBB"/>
    <w:rsid w:val="00A504AC"/>
    <w:rsid w:val="00A50770"/>
    <w:rsid w:val="00A50C2D"/>
    <w:rsid w:val="00A51000"/>
    <w:rsid w:val="00A519BA"/>
    <w:rsid w:val="00A51F0F"/>
    <w:rsid w:val="00A522BE"/>
    <w:rsid w:val="00A527A8"/>
    <w:rsid w:val="00A52D45"/>
    <w:rsid w:val="00A549FA"/>
    <w:rsid w:val="00A55855"/>
    <w:rsid w:val="00A55C52"/>
    <w:rsid w:val="00A56FEA"/>
    <w:rsid w:val="00A5796F"/>
    <w:rsid w:val="00A60152"/>
    <w:rsid w:val="00A60484"/>
    <w:rsid w:val="00A60EC9"/>
    <w:rsid w:val="00A60F95"/>
    <w:rsid w:val="00A617FA"/>
    <w:rsid w:val="00A61B8F"/>
    <w:rsid w:val="00A6252E"/>
    <w:rsid w:val="00A62B9F"/>
    <w:rsid w:val="00A62F44"/>
    <w:rsid w:val="00A643E4"/>
    <w:rsid w:val="00A6557E"/>
    <w:rsid w:val="00A6572F"/>
    <w:rsid w:val="00A65730"/>
    <w:rsid w:val="00A65E51"/>
    <w:rsid w:val="00A66061"/>
    <w:rsid w:val="00A7055A"/>
    <w:rsid w:val="00A7096C"/>
    <w:rsid w:val="00A71761"/>
    <w:rsid w:val="00A721E9"/>
    <w:rsid w:val="00A73A9C"/>
    <w:rsid w:val="00A75A20"/>
    <w:rsid w:val="00A7621C"/>
    <w:rsid w:val="00A8041A"/>
    <w:rsid w:val="00A80FFE"/>
    <w:rsid w:val="00A81D29"/>
    <w:rsid w:val="00A83209"/>
    <w:rsid w:val="00A83A0E"/>
    <w:rsid w:val="00A84113"/>
    <w:rsid w:val="00A84DD8"/>
    <w:rsid w:val="00A84E63"/>
    <w:rsid w:val="00A85352"/>
    <w:rsid w:val="00A856C2"/>
    <w:rsid w:val="00A85B21"/>
    <w:rsid w:val="00A8600D"/>
    <w:rsid w:val="00A86C49"/>
    <w:rsid w:val="00A87654"/>
    <w:rsid w:val="00A90EB7"/>
    <w:rsid w:val="00A91C62"/>
    <w:rsid w:val="00A9265F"/>
    <w:rsid w:val="00A928A9"/>
    <w:rsid w:val="00A95169"/>
    <w:rsid w:val="00A95B9D"/>
    <w:rsid w:val="00A96319"/>
    <w:rsid w:val="00A970B2"/>
    <w:rsid w:val="00A97188"/>
    <w:rsid w:val="00A971AF"/>
    <w:rsid w:val="00A97322"/>
    <w:rsid w:val="00AA13C4"/>
    <w:rsid w:val="00AA1662"/>
    <w:rsid w:val="00AA193B"/>
    <w:rsid w:val="00AA3975"/>
    <w:rsid w:val="00AA4E08"/>
    <w:rsid w:val="00AA6058"/>
    <w:rsid w:val="00AA6671"/>
    <w:rsid w:val="00AA6A3C"/>
    <w:rsid w:val="00AA7396"/>
    <w:rsid w:val="00AB0CF5"/>
    <w:rsid w:val="00AB1C74"/>
    <w:rsid w:val="00AB2895"/>
    <w:rsid w:val="00AB320C"/>
    <w:rsid w:val="00AB3798"/>
    <w:rsid w:val="00AB417D"/>
    <w:rsid w:val="00AB5EB8"/>
    <w:rsid w:val="00AB6634"/>
    <w:rsid w:val="00AB7743"/>
    <w:rsid w:val="00AC0002"/>
    <w:rsid w:val="00AC0047"/>
    <w:rsid w:val="00AC1BA8"/>
    <w:rsid w:val="00AC1FE7"/>
    <w:rsid w:val="00AC45F8"/>
    <w:rsid w:val="00AC4951"/>
    <w:rsid w:val="00AC56F2"/>
    <w:rsid w:val="00AC5AEE"/>
    <w:rsid w:val="00AC7C7D"/>
    <w:rsid w:val="00AD0A5C"/>
    <w:rsid w:val="00AD33D6"/>
    <w:rsid w:val="00AD370C"/>
    <w:rsid w:val="00AD3A4B"/>
    <w:rsid w:val="00AD3FEE"/>
    <w:rsid w:val="00AD4796"/>
    <w:rsid w:val="00AD47C3"/>
    <w:rsid w:val="00AD4915"/>
    <w:rsid w:val="00AD4FC8"/>
    <w:rsid w:val="00AD58B2"/>
    <w:rsid w:val="00AD5B4D"/>
    <w:rsid w:val="00AD63E1"/>
    <w:rsid w:val="00AD6AFC"/>
    <w:rsid w:val="00AD72EF"/>
    <w:rsid w:val="00AD7AB6"/>
    <w:rsid w:val="00AE25B8"/>
    <w:rsid w:val="00AE29CE"/>
    <w:rsid w:val="00AE520A"/>
    <w:rsid w:val="00AE58B0"/>
    <w:rsid w:val="00AE5A10"/>
    <w:rsid w:val="00AE628E"/>
    <w:rsid w:val="00AE7959"/>
    <w:rsid w:val="00AE7AB8"/>
    <w:rsid w:val="00AE7C73"/>
    <w:rsid w:val="00AF13B0"/>
    <w:rsid w:val="00AF15BC"/>
    <w:rsid w:val="00AF1637"/>
    <w:rsid w:val="00AF2B93"/>
    <w:rsid w:val="00AF392C"/>
    <w:rsid w:val="00AF3DB1"/>
    <w:rsid w:val="00AF4520"/>
    <w:rsid w:val="00AF4DA9"/>
    <w:rsid w:val="00AF5758"/>
    <w:rsid w:val="00AF6208"/>
    <w:rsid w:val="00AF6FC7"/>
    <w:rsid w:val="00AF708D"/>
    <w:rsid w:val="00AF7E2D"/>
    <w:rsid w:val="00B010DB"/>
    <w:rsid w:val="00B0268F"/>
    <w:rsid w:val="00B02A81"/>
    <w:rsid w:val="00B032E3"/>
    <w:rsid w:val="00B035B4"/>
    <w:rsid w:val="00B0399F"/>
    <w:rsid w:val="00B043DF"/>
    <w:rsid w:val="00B04A5C"/>
    <w:rsid w:val="00B05059"/>
    <w:rsid w:val="00B05B21"/>
    <w:rsid w:val="00B06474"/>
    <w:rsid w:val="00B100F7"/>
    <w:rsid w:val="00B1144B"/>
    <w:rsid w:val="00B117DC"/>
    <w:rsid w:val="00B12A7A"/>
    <w:rsid w:val="00B13907"/>
    <w:rsid w:val="00B171A2"/>
    <w:rsid w:val="00B17756"/>
    <w:rsid w:val="00B20B5D"/>
    <w:rsid w:val="00B20BA9"/>
    <w:rsid w:val="00B20C79"/>
    <w:rsid w:val="00B21F6A"/>
    <w:rsid w:val="00B2315B"/>
    <w:rsid w:val="00B2405E"/>
    <w:rsid w:val="00B2497A"/>
    <w:rsid w:val="00B24F07"/>
    <w:rsid w:val="00B2542D"/>
    <w:rsid w:val="00B25BA6"/>
    <w:rsid w:val="00B25D91"/>
    <w:rsid w:val="00B2716D"/>
    <w:rsid w:val="00B30170"/>
    <w:rsid w:val="00B308BB"/>
    <w:rsid w:val="00B33162"/>
    <w:rsid w:val="00B345DE"/>
    <w:rsid w:val="00B34801"/>
    <w:rsid w:val="00B34C8F"/>
    <w:rsid w:val="00B353E2"/>
    <w:rsid w:val="00B35ECA"/>
    <w:rsid w:val="00B37C28"/>
    <w:rsid w:val="00B40051"/>
    <w:rsid w:val="00B41B74"/>
    <w:rsid w:val="00B41EB5"/>
    <w:rsid w:val="00B42D83"/>
    <w:rsid w:val="00B446CD"/>
    <w:rsid w:val="00B44884"/>
    <w:rsid w:val="00B44D76"/>
    <w:rsid w:val="00B44FC0"/>
    <w:rsid w:val="00B45EE6"/>
    <w:rsid w:val="00B45F57"/>
    <w:rsid w:val="00B47ACB"/>
    <w:rsid w:val="00B50AB6"/>
    <w:rsid w:val="00B50F08"/>
    <w:rsid w:val="00B5197A"/>
    <w:rsid w:val="00B52622"/>
    <w:rsid w:val="00B52E9F"/>
    <w:rsid w:val="00B53111"/>
    <w:rsid w:val="00B533AC"/>
    <w:rsid w:val="00B54D5A"/>
    <w:rsid w:val="00B5559E"/>
    <w:rsid w:val="00B55B68"/>
    <w:rsid w:val="00B564B1"/>
    <w:rsid w:val="00B56566"/>
    <w:rsid w:val="00B5726F"/>
    <w:rsid w:val="00B6065B"/>
    <w:rsid w:val="00B60848"/>
    <w:rsid w:val="00B60915"/>
    <w:rsid w:val="00B60DCB"/>
    <w:rsid w:val="00B61A54"/>
    <w:rsid w:val="00B61B63"/>
    <w:rsid w:val="00B61D23"/>
    <w:rsid w:val="00B62E9D"/>
    <w:rsid w:val="00B6324D"/>
    <w:rsid w:val="00B63DC7"/>
    <w:rsid w:val="00B65E63"/>
    <w:rsid w:val="00B663FD"/>
    <w:rsid w:val="00B66500"/>
    <w:rsid w:val="00B670C5"/>
    <w:rsid w:val="00B67923"/>
    <w:rsid w:val="00B70F67"/>
    <w:rsid w:val="00B71A51"/>
    <w:rsid w:val="00B74193"/>
    <w:rsid w:val="00B74F46"/>
    <w:rsid w:val="00B76523"/>
    <w:rsid w:val="00B77D70"/>
    <w:rsid w:val="00B80347"/>
    <w:rsid w:val="00B8067D"/>
    <w:rsid w:val="00B819AA"/>
    <w:rsid w:val="00B8223C"/>
    <w:rsid w:val="00B82E71"/>
    <w:rsid w:val="00B82EB3"/>
    <w:rsid w:val="00B83A30"/>
    <w:rsid w:val="00B84463"/>
    <w:rsid w:val="00B8476F"/>
    <w:rsid w:val="00B84A2E"/>
    <w:rsid w:val="00B8582B"/>
    <w:rsid w:val="00B85999"/>
    <w:rsid w:val="00B85CBB"/>
    <w:rsid w:val="00B863C2"/>
    <w:rsid w:val="00B86D8B"/>
    <w:rsid w:val="00B86F83"/>
    <w:rsid w:val="00B902C6"/>
    <w:rsid w:val="00B903CB"/>
    <w:rsid w:val="00B92CB6"/>
    <w:rsid w:val="00B93680"/>
    <w:rsid w:val="00B93755"/>
    <w:rsid w:val="00B957E3"/>
    <w:rsid w:val="00B95AD0"/>
    <w:rsid w:val="00B96084"/>
    <w:rsid w:val="00B96582"/>
    <w:rsid w:val="00BA0072"/>
    <w:rsid w:val="00BA069E"/>
    <w:rsid w:val="00BA0755"/>
    <w:rsid w:val="00BA14F8"/>
    <w:rsid w:val="00BA1FC6"/>
    <w:rsid w:val="00BA2699"/>
    <w:rsid w:val="00BA28C0"/>
    <w:rsid w:val="00BA383B"/>
    <w:rsid w:val="00BA3859"/>
    <w:rsid w:val="00BA3898"/>
    <w:rsid w:val="00BA6176"/>
    <w:rsid w:val="00BA64B3"/>
    <w:rsid w:val="00BB17B1"/>
    <w:rsid w:val="00BB19E5"/>
    <w:rsid w:val="00BB35BE"/>
    <w:rsid w:val="00BB43D3"/>
    <w:rsid w:val="00BB44D5"/>
    <w:rsid w:val="00BB4AA7"/>
    <w:rsid w:val="00BB7201"/>
    <w:rsid w:val="00BB7D8F"/>
    <w:rsid w:val="00BC000D"/>
    <w:rsid w:val="00BC2DC0"/>
    <w:rsid w:val="00BC45C3"/>
    <w:rsid w:val="00BC4863"/>
    <w:rsid w:val="00BC54CF"/>
    <w:rsid w:val="00BC596B"/>
    <w:rsid w:val="00BC5F87"/>
    <w:rsid w:val="00BC63FB"/>
    <w:rsid w:val="00BC704E"/>
    <w:rsid w:val="00BC71A2"/>
    <w:rsid w:val="00BC74C7"/>
    <w:rsid w:val="00BC7541"/>
    <w:rsid w:val="00BC76A9"/>
    <w:rsid w:val="00BC7C8C"/>
    <w:rsid w:val="00BD48F1"/>
    <w:rsid w:val="00BD4F18"/>
    <w:rsid w:val="00BD5604"/>
    <w:rsid w:val="00BD5D57"/>
    <w:rsid w:val="00BD5E89"/>
    <w:rsid w:val="00BD5F62"/>
    <w:rsid w:val="00BD7CCD"/>
    <w:rsid w:val="00BE0492"/>
    <w:rsid w:val="00BE0EEC"/>
    <w:rsid w:val="00BE1320"/>
    <w:rsid w:val="00BE14FB"/>
    <w:rsid w:val="00BE1EB8"/>
    <w:rsid w:val="00BE2512"/>
    <w:rsid w:val="00BE581D"/>
    <w:rsid w:val="00BE58BD"/>
    <w:rsid w:val="00BE7C1C"/>
    <w:rsid w:val="00BF0A1E"/>
    <w:rsid w:val="00BF0A95"/>
    <w:rsid w:val="00BF0D4B"/>
    <w:rsid w:val="00BF120F"/>
    <w:rsid w:val="00BF1981"/>
    <w:rsid w:val="00BF1F71"/>
    <w:rsid w:val="00BF2438"/>
    <w:rsid w:val="00BF2A35"/>
    <w:rsid w:val="00BF2B14"/>
    <w:rsid w:val="00BF2D0C"/>
    <w:rsid w:val="00BF4ED4"/>
    <w:rsid w:val="00BF523B"/>
    <w:rsid w:val="00C0162D"/>
    <w:rsid w:val="00C029E0"/>
    <w:rsid w:val="00C02BCE"/>
    <w:rsid w:val="00C03C03"/>
    <w:rsid w:val="00C04FF5"/>
    <w:rsid w:val="00C05B04"/>
    <w:rsid w:val="00C07E17"/>
    <w:rsid w:val="00C1039F"/>
    <w:rsid w:val="00C108A7"/>
    <w:rsid w:val="00C1091F"/>
    <w:rsid w:val="00C11BA8"/>
    <w:rsid w:val="00C12151"/>
    <w:rsid w:val="00C12450"/>
    <w:rsid w:val="00C12CD1"/>
    <w:rsid w:val="00C12DFD"/>
    <w:rsid w:val="00C13D84"/>
    <w:rsid w:val="00C140A1"/>
    <w:rsid w:val="00C1486A"/>
    <w:rsid w:val="00C15F63"/>
    <w:rsid w:val="00C16B67"/>
    <w:rsid w:val="00C17B5F"/>
    <w:rsid w:val="00C17C2E"/>
    <w:rsid w:val="00C17DBA"/>
    <w:rsid w:val="00C20117"/>
    <w:rsid w:val="00C203A3"/>
    <w:rsid w:val="00C204E8"/>
    <w:rsid w:val="00C20AE5"/>
    <w:rsid w:val="00C21E51"/>
    <w:rsid w:val="00C22970"/>
    <w:rsid w:val="00C2389D"/>
    <w:rsid w:val="00C239FF"/>
    <w:rsid w:val="00C25277"/>
    <w:rsid w:val="00C25E5B"/>
    <w:rsid w:val="00C279BF"/>
    <w:rsid w:val="00C27E59"/>
    <w:rsid w:val="00C30171"/>
    <w:rsid w:val="00C30212"/>
    <w:rsid w:val="00C31B40"/>
    <w:rsid w:val="00C32E0C"/>
    <w:rsid w:val="00C33454"/>
    <w:rsid w:val="00C3359A"/>
    <w:rsid w:val="00C34708"/>
    <w:rsid w:val="00C354F0"/>
    <w:rsid w:val="00C35B20"/>
    <w:rsid w:val="00C35C27"/>
    <w:rsid w:val="00C35D03"/>
    <w:rsid w:val="00C368C4"/>
    <w:rsid w:val="00C3739E"/>
    <w:rsid w:val="00C37698"/>
    <w:rsid w:val="00C379F0"/>
    <w:rsid w:val="00C405B7"/>
    <w:rsid w:val="00C41AD4"/>
    <w:rsid w:val="00C41C00"/>
    <w:rsid w:val="00C42410"/>
    <w:rsid w:val="00C4274E"/>
    <w:rsid w:val="00C42CBD"/>
    <w:rsid w:val="00C42F90"/>
    <w:rsid w:val="00C431A2"/>
    <w:rsid w:val="00C4393F"/>
    <w:rsid w:val="00C43E3E"/>
    <w:rsid w:val="00C44172"/>
    <w:rsid w:val="00C44B59"/>
    <w:rsid w:val="00C4518F"/>
    <w:rsid w:val="00C45677"/>
    <w:rsid w:val="00C47DEE"/>
    <w:rsid w:val="00C50149"/>
    <w:rsid w:val="00C50640"/>
    <w:rsid w:val="00C50979"/>
    <w:rsid w:val="00C512EE"/>
    <w:rsid w:val="00C5154F"/>
    <w:rsid w:val="00C528A3"/>
    <w:rsid w:val="00C5465F"/>
    <w:rsid w:val="00C54972"/>
    <w:rsid w:val="00C55418"/>
    <w:rsid w:val="00C5543C"/>
    <w:rsid w:val="00C55A96"/>
    <w:rsid w:val="00C562E8"/>
    <w:rsid w:val="00C56FD0"/>
    <w:rsid w:val="00C57ADC"/>
    <w:rsid w:val="00C600E7"/>
    <w:rsid w:val="00C60B2E"/>
    <w:rsid w:val="00C614AD"/>
    <w:rsid w:val="00C61DED"/>
    <w:rsid w:val="00C626F0"/>
    <w:rsid w:val="00C62F8C"/>
    <w:rsid w:val="00C63313"/>
    <w:rsid w:val="00C63EC1"/>
    <w:rsid w:val="00C6430C"/>
    <w:rsid w:val="00C675A3"/>
    <w:rsid w:val="00C707A7"/>
    <w:rsid w:val="00C70A8F"/>
    <w:rsid w:val="00C712FB"/>
    <w:rsid w:val="00C716BB"/>
    <w:rsid w:val="00C72268"/>
    <w:rsid w:val="00C72ED1"/>
    <w:rsid w:val="00C7531E"/>
    <w:rsid w:val="00C7563F"/>
    <w:rsid w:val="00C76D04"/>
    <w:rsid w:val="00C8002A"/>
    <w:rsid w:val="00C805AE"/>
    <w:rsid w:val="00C83393"/>
    <w:rsid w:val="00C83735"/>
    <w:rsid w:val="00C83AF3"/>
    <w:rsid w:val="00C86213"/>
    <w:rsid w:val="00C91A9F"/>
    <w:rsid w:val="00C91E2C"/>
    <w:rsid w:val="00C93A39"/>
    <w:rsid w:val="00C93F0E"/>
    <w:rsid w:val="00C93FD9"/>
    <w:rsid w:val="00C94112"/>
    <w:rsid w:val="00C94DAE"/>
    <w:rsid w:val="00C95152"/>
    <w:rsid w:val="00C96809"/>
    <w:rsid w:val="00C96834"/>
    <w:rsid w:val="00C96AE3"/>
    <w:rsid w:val="00C9774B"/>
    <w:rsid w:val="00C978CD"/>
    <w:rsid w:val="00CA0DAB"/>
    <w:rsid w:val="00CA0DFC"/>
    <w:rsid w:val="00CA1884"/>
    <w:rsid w:val="00CA18AE"/>
    <w:rsid w:val="00CA1B0B"/>
    <w:rsid w:val="00CA20A4"/>
    <w:rsid w:val="00CA20FA"/>
    <w:rsid w:val="00CA2E7E"/>
    <w:rsid w:val="00CA34D3"/>
    <w:rsid w:val="00CA3A98"/>
    <w:rsid w:val="00CA6497"/>
    <w:rsid w:val="00CA6854"/>
    <w:rsid w:val="00CA6E5D"/>
    <w:rsid w:val="00CA787C"/>
    <w:rsid w:val="00CA7D12"/>
    <w:rsid w:val="00CB0043"/>
    <w:rsid w:val="00CB062E"/>
    <w:rsid w:val="00CB1FF6"/>
    <w:rsid w:val="00CB3294"/>
    <w:rsid w:val="00CB4523"/>
    <w:rsid w:val="00CB4CB9"/>
    <w:rsid w:val="00CB4DDC"/>
    <w:rsid w:val="00CB540B"/>
    <w:rsid w:val="00CB5667"/>
    <w:rsid w:val="00CB74C9"/>
    <w:rsid w:val="00CB7B3A"/>
    <w:rsid w:val="00CC0719"/>
    <w:rsid w:val="00CC0AE1"/>
    <w:rsid w:val="00CC0DF7"/>
    <w:rsid w:val="00CC1975"/>
    <w:rsid w:val="00CC1C7B"/>
    <w:rsid w:val="00CC1CAE"/>
    <w:rsid w:val="00CC283A"/>
    <w:rsid w:val="00CC2C95"/>
    <w:rsid w:val="00CC2D21"/>
    <w:rsid w:val="00CC30F5"/>
    <w:rsid w:val="00CC35BB"/>
    <w:rsid w:val="00CC3A1E"/>
    <w:rsid w:val="00CC3BD0"/>
    <w:rsid w:val="00CC4105"/>
    <w:rsid w:val="00CC4424"/>
    <w:rsid w:val="00CC4822"/>
    <w:rsid w:val="00CC4C0C"/>
    <w:rsid w:val="00CC56A6"/>
    <w:rsid w:val="00CC6CDE"/>
    <w:rsid w:val="00CC6D5E"/>
    <w:rsid w:val="00CC7BE3"/>
    <w:rsid w:val="00CD0338"/>
    <w:rsid w:val="00CD1325"/>
    <w:rsid w:val="00CD1824"/>
    <w:rsid w:val="00CD2313"/>
    <w:rsid w:val="00CD2334"/>
    <w:rsid w:val="00CD29E7"/>
    <w:rsid w:val="00CD2B54"/>
    <w:rsid w:val="00CD7C33"/>
    <w:rsid w:val="00CE0563"/>
    <w:rsid w:val="00CE0C76"/>
    <w:rsid w:val="00CE152B"/>
    <w:rsid w:val="00CE158B"/>
    <w:rsid w:val="00CE1FF5"/>
    <w:rsid w:val="00CE2CF7"/>
    <w:rsid w:val="00CE33E8"/>
    <w:rsid w:val="00CE4820"/>
    <w:rsid w:val="00CE54C0"/>
    <w:rsid w:val="00CE65A6"/>
    <w:rsid w:val="00CF3361"/>
    <w:rsid w:val="00CF437E"/>
    <w:rsid w:val="00CF43DF"/>
    <w:rsid w:val="00CF46EC"/>
    <w:rsid w:val="00CF4ACB"/>
    <w:rsid w:val="00CF5E20"/>
    <w:rsid w:val="00CF5E4E"/>
    <w:rsid w:val="00CF5FE8"/>
    <w:rsid w:val="00CF76DB"/>
    <w:rsid w:val="00CF7CFB"/>
    <w:rsid w:val="00CF7ED0"/>
    <w:rsid w:val="00D002D5"/>
    <w:rsid w:val="00D01F21"/>
    <w:rsid w:val="00D03841"/>
    <w:rsid w:val="00D05293"/>
    <w:rsid w:val="00D0579B"/>
    <w:rsid w:val="00D0582D"/>
    <w:rsid w:val="00D06527"/>
    <w:rsid w:val="00D07B5E"/>
    <w:rsid w:val="00D10897"/>
    <w:rsid w:val="00D10AD2"/>
    <w:rsid w:val="00D11FBB"/>
    <w:rsid w:val="00D12A32"/>
    <w:rsid w:val="00D138DF"/>
    <w:rsid w:val="00D14F5B"/>
    <w:rsid w:val="00D151FE"/>
    <w:rsid w:val="00D154A1"/>
    <w:rsid w:val="00D15AAD"/>
    <w:rsid w:val="00D20F10"/>
    <w:rsid w:val="00D20F37"/>
    <w:rsid w:val="00D210F6"/>
    <w:rsid w:val="00D226A5"/>
    <w:rsid w:val="00D227E4"/>
    <w:rsid w:val="00D2386B"/>
    <w:rsid w:val="00D238D1"/>
    <w:rsid w:val="00D23C5C"/>
    <w:rsid w:val="00D23FAB"/>
    <w:rsid w:val="00D2426B"/>
    <w:rsid w:val="00D242AB"/>
    <w:rsid w:val="00D25107"/>
    <w:rsid w:val="00D25624"/>
    <w:rsid w:val="00D26F05"/>
    <w:rsid w:val="00D3058E"/>
    <w:rsid w:val="00D3093B"/>
    <w:rsid w:val="00D3205D"/>
    <w:rsid w:val="00D3263F"/>
    <w:rsid w:val="00D32E12"/>
    <w:rsid w:val="00D3319A"/>
    <w:rsid w:val="00D3329E"/>
    <w:rsid w:val="00D34328"/>
    <w:rsid w:val="00D359FB"/>
    <w:rsid w:val="00D35E80"/>
    <w:rsid w:val="00D36819"/>
    <w:rsid w:val="00D3708A"/>
    <w:rsid w:val="00D3791B"/>
    <w:rsid w:val="00D406BD"/>
    <w:rsid w:val="00D40701"/>
    <w:rsid w:val="00D40BA9"/>
    <w:rsid w:val="00D42A76"/>
    <w:rsid w:val="00D43B93"/>
    <w:rsid w:val="00D4520D"/>
    <w:rsid w:val="00D4538F"/>
    <w:rsid w:val="00D45B21"/>
    <w:rsid w:val="00D464C0"/>
    <w:rsid w:val="00D46E67"/>
    <w:rsid w:val="00D470B5"/>
    <w:rsid w:val="00D47AED"/>
    <w:rsid w:val="00D50AE6"/>
    <w:rsid w:val="00D51598"/>
    <w:rsid w:val="00D5166E"/>
    <w:rsid w:val="00D51F4C"/>
    <w:rsid w:val="00D52A33"/>
    <w:rsid w:val="00D54043"/>
    <w:rsid w:val="00D54A3E"/>
    <w:rsid w:val="00D54B98"/>
    <w:rsid w:val="00D54EBE"/>
    <w:rsid w:val="00D55B72"/>
    <w:rsid w:val="00D57AE5"/>
    <w:rsid w:val="00D60290"/>
    <w:rsid w:val="00D61223"/>
    <w:rsid w:val="00D619D6"/>
    <w:rsid w:val="00D62618"/>
    <w:rsid w:val="00D6508F"/>
    <w:rsid w:val="00D65AC0"/>
    <w:rsid w:val="00D66273"/>
    <w:rsid w:val="00D66A1B"/>
    <w:rsid w:val="00D67326"/>
    <w:rsid w:val="00D67A40"/>
    <w:rsid w:val="00D70342"/>
    <w:rsid w:val="00D706EA"/>
    <w:rsid w:val="00D70906"/>
    <w:rsid w:val="00D70DB5"/>
    <w:rsid w:val="00D70F96"/>
    <w:rsid w:val="00D716F6"/>
    <w:rsid w:val="00D719EF"/>
    <w:rsid w:val="00D71BA1"/>
    <w:rsid w:val="00D71D4D"/>
    <w:rsid w:val="00D71F2D"/>
    <w:rsid w:val="00D74673"/>
    <w:rsid w:val="00D7494E"/>
    <w:rsid w:val="00D75C2C"/>
    <w:rsid w:val="00D76E4E"/>
    <w:rsid w:val="00D817E9"/>
    <w:rsid w:val="00D82410"/>
    <w:rsid w:val="00D84185"/>
    <w:rsid w:val="00D84AE9"/>
    <w:rsid w:val="00D851C2"/>
    <w:rsid w:val="00D8568F"/>
    <w:rsid w:val="00D85856"/>
    <w:rsid w:val="00D8634D"/>
    <w:rsid w:val="00D86699"/>
    <w:rsid w:val="00D87769"/>
    <w:rsid w:val="00D87CC2"/>
    <w:rsid w:val="00D87F54"/>
    <w:rsid w:val="00D90DB0"/>
    <w:rsid w:val="00D920F9"/>
    <w:rsid w:val="00D947D7"/>
    <w:rsid w:val="00D95EB6"/>
    <w:rsid w:val="00D963E7"/>
    <w:rsid w:val="00D97857"/>
    <w:rsid w:val="00D97E0C"/>
    <w:rsid w:val="00DA047E"/>
    <w:rsid w:val="00DA04C6"/>
    <w:rsid w:val="00DA11EB"/>
    <w:rsid w:val="00DA127E"/>
    <w:rsid w:val="00DA3280"/>
    <w:rsid w:val="00DA5FDB"/>
    <w:rsid w:val="00DA703A"/>
    <w:rsid w:val="00DA7B3E"/>
    <w:rsid w:val="00DA7E61"/>
    <w:rsid w:val="00DB1D62"/>
    <w:rsid w:val="00DB2335"/>
    <w:rsid w:val="00DB3F46"/>
    <w:rsid w:val="00DB496D"/>
    <w:rsid w:val="00DB5150"/>
    <w:rsid w:val="00DB515F"/>
    <w:rsid w:val="00DB5467"/>
    <w:rsid w:val="00DB7120"/>
    <w:rsid w:val="00DB77E5"/>
    <w:rsid w:val="00DC11C8"/>
    <w:rsid w:val="00DC170F"/>
    <w:rsid w:val="00DC1FA8"/>
    <w:rsid w:val="00DC2087"/>
    <w:rsid w:val="00DC2570"/>
    <w:rsid w:val="00DC5669"/>
    <w:rsid w:val="00DC5B4C"/>
    <w:rsid w:val="00DC691A"/>
    <w:rsid w:val="00DC7144"/>
    <w:rsid w:val="00DD043F"/>
    <w:rsid w:val="00DD0D59"/>
    <w:rsid w:val="00DD1904"/>
    <w:rsid w:val="00DD1CF9"/>
    <w:rsid w:val="00DD201A"/>
    <w:rsid w:val="00DD3334"/>
    <w:rsid w:val="00DD33EE"/>
    <w:rsid w:val="00DD50CB"/>
    <w:rsid w:val="00DD5560"/>
    <w:rsid w:val="00DD5D68"/>
    <w:rsid w:val="00DD7088"/>
    <w:rsid w:val="00DD7EC5"/>
    <w:rsid w:val="00DE1A80"/>
    <w:rsid w:val="00DE2672"/>
    <w:rsid w:val="00DE3C2E"/>
    <w:rsid w:val="00DE5125"/>
    <w:rsid w:val="00DE5ED6"/>
    <w:rsid w:val="00DE6151"/>
    <w:rsid w:val="00DE69C7"/>
    <w:rsid w:val="00DE6A8B"/>
    <w:rsid w:val="00DE7878"/>
    <w:rsid w:val="00DE7A43"/>
    <w:rsid w:val="00DE7FEE"/>
    <w:rsid w:val="00DF0F3C"/>
    <w:rsid w:val="00DF1FB6"/>
    <w:rsid w:val="00DF249A"/>
    <w:rsid w:val="00DF29C3"/>
    <w:rsid w:val="00DF2B93"/>
    <w:rsid w:val="00DF3051"/>
    <w:rsid w:val="00DF3706"/>
    <w:rsid w:val="00DF4C28"/>
    <w:rsid w:val="00DF5244"/>
    <w:rsid w:val="00E0201C"/>
    <w:rsid w:val="00E0228C"/>
    <w:rsid w:val="00E0306A"/>
    <w:rsid w:val="00E05831"/>
    <w:rsid w:val="00E05888"/>
    <w:rsid w:val="00E06058"/>
    <w:rsid w:val="00E0627B"/>
    <w:rsid w:val="00E0637A"/>
    <w:rsid w:val="00E066E8"/>
    <w:rsid w:val="00E07FE4"/>
    <w:rsid w:val="00E1089F"/>
    <w:rsid w:val="00E10CD1"/>
    <w:rsid w:val="00E1100C"/>
    <w:rsid w:val="00E115EE"/>
    <w:rsid w:val="00E11979"/>
    <w:rsid w:val="00E12CC0"/>
    <w:rsid w:val="00E13099"/>
    <w:rsid w:val="00E13F20"/>
    <w:rsid w:val="00E152F4"/>
    <w:rsid w:val="00E15EB2"/>
    <w:rsid w:val="00E16D93"/>
    <w:rsid w:val="00E172C5"/>
    <w:rsid w:val="00E17677"/>
    <w:rsid w:val="00E20383"/>
    <w:rsid w:val="00E221AD"/>
    <w:rsid w:val="00E23830"/>
    <w:rsid w:val="00E23FB0"/>
    <w:rsid w:val="00E242FD"/>
    <w:rsid w:val="00E24CEB"/>
    <w:rsid w:val="00E25707"/>
    <w:rsid w:val="00E25B44"/>
    <w:rsid w:val="00E2627D"/>
    <w:rsid w:val="00E279F9"/>
    <w:rsid w:val="00E301E2"/>
    <w:rsid w:val="00E302E8"/>
    <w:rsid w:val="00E30F2D"/>
    <w:rsid w:val="00E30FBB"/>
    <w:rsid w:val="00E315A9"/>
    <w:rsid w:val="00E32283"/>
    <w:rsid w:val="00E33566"/>
    <w:rsid w:val="00E339B0"/>
    <w:rsid w:val="00E33E1B"/>
    <w:rsid w:val="00E34BFA"/>
    <w:rsid w:val="00E361E8"/>
    <w:rsid w:val="00E37B51"/>
    <w:rsid w:val="00E40419"/>
    <w:rsid w:val="00E414FD"/>
    <w:rsid w:val="00E41A6E"/>
    <w:rsid w:val="00E423CF"/>
    <w:rsid w:val="00E427A4"/>
    <w:rsid w:val="00E42999"/>
    <w:rsid w:val="00E42FEB"/>
    <w:rsid w:val="00E43A92"/>
    <w:rsid w:val="00E44060"/>
    <w:rsid w:val="00E44118"/>
    <w:rsid w:val="00E4418F"/>
    <w:rsid w:val="00E4501A"/>
    <w:rsid w:val="00E45239"/>
    <w:rsid w:val="00E465B2"/>
    <w:rsid w:val="00E46647"/>
    <w:rsid w:val="00E46C27"/>
    <w:rsid w:val="00E46F9B"/>
    <w:rsid w:val="00E47D18"/>
    <w:rsid w:val="00E503DC"/>
    <w:rsid w:val="00E52178"/>
    <w:rsid w:val="00E5247E"/>
    <w:rsid w:val="00E525A1"/>
    <w:rsid w:val="00E52837"/>
    <w:rsid w:val="00E54CCE"/>
    <w:rsid w:val="00E5546D"/>
    <w:rsid w:val="00E55C38"/>
    <w:rsid w:val="00E56422"/>
    <w:rsid w:val="00E56777"/>
    <w:rsid w:val="00E576D2"/>
    <w:rsid w:val="00E606BD"/>
    <w:rsid w:val="00E61593"/>
    <w:rsid w:val="00E61C0E"/>
    <w:rsid w:val="00E61D13"/>
    <w:rsid w:val="00E61D2E"/>
    <w:rsid w:val="00E61E2A"/>
    <w:rsid w:val="00E62103"/>
    <w:rsid w:val="00E63AB3"/>
    <w:rsid w:val="00E64CA2"/>
    <w:rsid w:val="00E65418"/>
    <w:rsid w:val="00E65733"/>
    <w:rsid w:val="00E6704C"/>
    <w:rsid w:val="00E7038A"/>
    <w:rsid w:val="00E70B6E"/>
    <w:rsid w:val="00E71C1E"/>
    <w:rsid w:val="00E7349A"/>
    <w:rsid w:val="00E7374E"/>
    <w:rsid w:val="00E73FAD"/>
    <w:rsid w:val="00E74247"/>
    <w:rsid w:val="00E74513"/>
    <w:rsid w:val="00E745DC"/>
    <w:rsid w:val="00E74F28"/>
    <w:rsid w:val="00E751A0"/>
    <w:rsid w:val="00E7549B"/>
    <w:rsid w:val="00E7553B"/>
    <w:rsid w:val="00E75BBF"/>
    <w:rsid w:val="00E76E0D"/>
    <w:rsid w:val="00E76E38"/>
    <w:rsid w:val="00E77AAC"/>
    <w:rsid w:val="00E77FD8"/>
    <w:rsid w:val="00E802E9"/>
    <w:rsid w:val="00E80896"/>
    <w:rsid w:val="00E80D6D"/>
    <w:rsid w:val="00E8128F"/>
    <w:rsid w:val="00E816C4"/>
    <w:rsid w:val="00E81829"/>
    <w:rsid w:val="00E820AA"/>
    <w:rsid w:val="00E82EE0"/>
    <w:rsid w:val="00E83C89"/>
    <w:rsid w:val="00E841CF"/>
    <w:rsid w:val="00E850D8"/>
    <w:rsid w:val="00E85530"/>
    <w:rsid w:val="00E8627D"/>
    <w:rsid w:val="00E868AF"/>
    <w:rsid w:val="00E86C0B"/>
    <w:rsid w:val="00E91135"/>
    <w:rsid w:val="00E913BC"/>
    <w:rsid w:val="00E92899"/>
    <w:rsid w:val="00E9386A"/>
    <w:rsid w:val="00E949CB"/>
    <w:rsid w:val="00EA0DFA"/>
    <w:rsid w:val="00EA1D60"/>
    <w:rsid w:val="00EA28A6"/>
    <w:rsid w:val="00EA51C4"/>
    <w:rsid w:val="00EA6E62"/>
    <w:rsid w:val="00EA7326"/>
    <w:rsid w:val="00EB05B5"/>
    <w:rsid w:val="00EB073A"/>
    <w:rsid w:val="00EB1F09"/>
    <w:rsid w:val="00EB28E9"/>
    <w:rsid w:val="00EB3037"/>
    <w:rsid w:val="00EB5E75"/>
    <w:rsid w:val="00EB7ED9"/>
    <w:rsid w:val="00EC066C"/>
    <w:rsid w:val="00EC17D6"/>
    <w:rsid w:val="00EC2162"/>
    <w:rsid w:val="00EC31A1"/>
    <w:rsid w:val="00EC3DB5"/>
    <w:rsid w:val="00EC3F41"/>
    <w:rsid w:val="00EC5358"/>
    <w:rsid w:val="00EC5731"/>
    <w:rsid w:val="00EC6441"/>
    <w:rsid w:val="00ED024B"/>
    <w:rsid w:val="00ED0D48"/>
    <w:rsid w:val="00ED144D"/>
    <w:rsid w:val="00ED164F"/>
    <w:rsid w:val="00ED2196"/>
    <w:rsid w:val="00ED4E82"/>
    <w:rsid w:val="00ED5496"/>
    <w:rsid w:val="00ED56AD"/>
    <w:rsid w:val="00ED5E43"/>
    <w:rsid w:val="00ED7F9C"/>
    <w:rsid w:val="00EE0D40"/>
    <w:rsid w:val="00EE14E1"/>
    <w:rsid w:val="00EE26B0"/>
    <w:rsid w:val="00EE26CC"/>
    <w:rsid w:val="00EE3DCC"/>
    <w:rsid w:val="00EE4469"/>
    <w:rsid w:val="00EE4C6B"/>
    <w:rsid w:val="00EE53E7"/>
    <w:rsid w:val="00EE742F"/>
    <w:rsid w:val="00EE7508"/>
    <w:rsid w:val="00EE7602"/>
    <w:rsid w:val="00EF0A33"/>
    <w:rsid w:val="00EF10AF"/>
    <w:rsid w:val="00EF19C8"/>
    <w:rsid w:val="00EF509E"/>
    <w:rsid w:val="00EF5144"/>
    <w:rsid w:val="00EF6183"/>
    <w:rsid w:val="00EF648D"/>
    <w:rsid w:val="00EF6EF8"/>
    <w:rsid w:val="00EF7598"/>
    <w:rsid w:val="00EF7E21"/>
    <w:rsid w:val="00F0121B"/>
    <w:rsid w:val="00F030D0"/>
    <w:rsid w:val="00F03238"/>
    <w:rsid w:val="00F03294"/>
    <w:rsid w:val="00F043D1"/>
    <w:rsid w:val="00F04CDD"/>
    <w:rsid w:val="00F04E06"/>
    <w:rsid w:val="00F056F2"/>
    <w:rsid w:val="00F05743"/>
    <w:rsid w:val="00F062D2"/>
    <w:rsid w:val="00F06727"/>
    <w:rsid w:val="00F075D3"/>
    <w:rsid w:val="00F07DE0"/>
    <w:rsid w:val="00F11298"/>
    <w:rsid w:val="00F130FB"/>
    <w:rsid w:val="00F13149"/>
    <w:rsid w:val="00F14556"/>
    <w:rsid w:val="00F148F2"/>
    <w:rsid w:val="00F21E08"/>
    <w:rsid w:val="00F21FF3"/>
    <w:rsid w:val="00F22084"/>
    <w:rsid w:val="00F2267A"/>
    <w:rsid w:val="00F25834"/>
    <w:rsid w:val="00F25AC7"/>
    <w:rsid w:val="00F26C78"/>
    <w:rsid w:val="00F274DB"/>
    <w:rsid w:val="00F2766B"/>
    <w:rsid w:val="00F310A5"/>
    <w:rsid w:val="00F31127"/>
    <w:rsid w:val="00F3120C"/>
    <w:rsid w:val="00F31A16"/>
    <w:rsid w:val="00F3232A"/>
    <w:rsid w:val="00F32A73"/>
    <w:rsid w:val="00F32F72"/>
    <w:rsid w:val="00F33FEA"/>
    <w:rsid w:val="00F34596"/>
    <w:rsid w:val="00F3531D"/>
    <w:rsid w:val="00F357BE"/>
    <w:rsid w:val="00F35B74"/>
    <w:rsid w:val="00F36EA6"/>
    <w:rsid w:val="00F37059"/>
    <w:rsid w:val="00F41885"/>
    <w:rsid w:val="00F4308C"/>
    <w:rsid w:val="00F436B6"/>
    <w:rsid w:val="00F4536A"/>
    <w:rsid w:val="00F45414"/>
    <w:rsid w:val="00F47711"/>
    <w:rsid w:val="00F47B30"/>
    <w:rsid w:val="00F52A6F"/>
    <w:rsid w:val="00F54DA2"/>
    <w:rsid w:val="00F550FB"/>
    <w:rsid w:val="00F56A59"/>
    <w:rsid w:val="00F576F2"/>
    <w:rsid w:val="00F60852"/>
    <w:rsid w:val="00F60EA6"/>
    <w:rsid w:val="00F6167B"/>
    <w:rsid w:val="00F61C49"/>
    <w:rsid w:val="00F61D1B"/>
    <w:rsid w:val="00F62080"/>
    <w:rsid w:val="00F63ED4"/>
    <w:rsid w:val="00F648C2"/>
    <w:rsid w:val="00F64945"/>
    <w:rsid w:val="00F64B17"/>
    <w:rsid w:val="00F65475"/>
    <w:rsid w:val="00F65EAE"/>
    <w:rsid w:val="00F66319"/>
    <w:rsid w:val="00F667E2"/>
    <w:rsid w:val="00F66A50"/>
    <w:rsid w:val="00F66ABB"/>
    <w:rsid w:val="00F67501"/>
    <w:rsid w:val="00F67664"/>
    <w:rsid w:val="00F72AD2"/>
    <w:rsid w:val="00F73065"/>
    <w:rsid w:val="00F731CC"/>
    <w:rsid w:val="00F74AF7"/>
    <w:rsid w:val="00F74D12"/>
    <w:rsid w:val="00F75688"/>
    <w:rsid w:val="00F7721D"/>
    <w:rsid w:val="00F77A38"/>
    <w:rsid w:val="00F80466"/>
    <w:rsid w:val="00F8117A"/>
    <w:rsid w:val="00F8373F"/>
    <w:rsid w:val="00F83FB0"/>
    <w:rsid w:val="00F8616E"/>
    <w:rsid w:val="00F8651F"/>
    <w:rsid w:val="00F86FDA"/>
    <w:rsid w:val="00F8783A"/>
    <w:rsid w:val="00F902C8"/>
    <w:rsid w:val="00F905EA"/>
    <w:rsid w:val="00F906EF"/>
    <w:rsid w:val="00F91769"/>
    <w:rsid w:val="00F92E36"/>
    <w:rsid w:val="00F93749"/>
    <w:rsid w:val="00F937BC"/>
    <w:rsid w:val="00F93DC3"/>
    <w:rsid w:val="00F94279"/>
    <w:rsid w:val="00F9464B"/>
    <w:rsid w:val="00F950B1"/>
    <w:rsid w:val="00F95796"/>
    <w:rsid w:val="00F96044"/>
    <w:rsid w:val="00F97814"/>
    <w:rsid w:val="00FA23EA"/>
    <w:rsid w:val="00FA3901"/>
    <w:rsid w:val="00FA4175"/>
    <w:rsid w:val="00FA439D"/>
    <w:rsid w:val="00FA454F"/>
    <w:rsid w:val="00FA45EC"/>
    <w:rsid w:val="00FA5725"/>
    <w:rsid w:val="00FA5F7C"/>
    <w:rsid w:val="00FA62F3"/>
    <w:rsid w:val="00FA7506"/>
    <w:rsid w:val="00FB09D1"/>
    <w:rsid w:val="00FB1AA0"/>
    <w:rsid w:val="00FB2376"/>
    <w:rsid w:val="00FB2CCD"/>
    <w:rsid w:val="00FB2E7F"/>
    <w:rsid w:val="00FB382C"/>
    <w:rsid w:val="00FB43E9"/>
    <w:rsid w:val="00FB466C"/>
    <w:rsid w:val="00FB5E5E"/>
    <w:rsid w:val="00FB6635"/>
    <w:rsid w:val="00FB6DF5"/>
    <w:rsid w:val="00FB78F8"/>
    <w:rsid w:val="00FB7DAC"/>
    <w:rsid w:val="00FC127A"/>
    <w:rsid w:val="00FC197C"/>
    <w:rsid w:val="00FC2941"/>
    <w:rsid w:val="00FC2C1C"/>
    <w:rsid w:val="00FC3559"/>
    <w:rsid w:val="00FC3A9F"/>
    <w:rsid w:val="00FC4924"/>
    <w:rsid w:val="00FC4D8C"/>
    <w:rsid w:val="00FC5F09"/>
    <w:rsid w:val="00FD07A8"/>
    <w:rsid w:val="00FD0CB9"/>
    <w:rsid w:val="00FD1221"/>
    <w:rsid w:val="00FD1A8A"/>
    <w:rsid w:val="00FD217D"/>
    <w:rsid w:val="00FD2694"/>
    <w:rsid w:val="00FD31C1"/>
    <w:rsid w:val="00FD344A"/>
    <w:rsid w:val="00FD391C"/>
    <w:rsid w:val="00FD52E0"/>
    <w:rsid w:val="00FD57C8"/>
    <w:rsid w:val="00FD5F8B"/>
    <w:rsid w:val="00FD6C5C"/>
    <w:rsid w:val="00FD7718"/>
    <w:rsid w:val="00FD7EE2"/>
    <w:rsid w:val="00FD7F46"/>
    <w:rsid w:val="00FE031F"/>
    <w:rsid w:val="00FE0C17"/>
    <w:rsid w:val="00FE196E"/>
    <w:rsid w:val="00FE1AD6"/>
    <w:rsid w:val="00FE2446"/>
    <w:rsid w:val="00FE28EB"/>
    <w:rsid w:val="00FE3593"/>
    <w:rsid w:val="00FE3C88"/>
    <w:rsid w:val="00FE4627"/>
    <w:rsid w:val="00FE518E"/>
    <w:rsid w:val="00FE6B21"/>
    <w:rsid w:val="00FE705C"/>
    <w:rsid w:val="00FE795C"/>
    <w:rsid w:val="00FF0E0F"/>
    <w:rsid w:val="00FF1654"/>
    <w:rsid w:val="00FF1AAA"/>
    <w:rsid w:val="00FF25F9"/>
    <w:rsid w:val="00FF279C"/>
    <w:rsid w:val="00FF2E87"/>
    <w:rsid w:val="00FF4239"/>
    <w:rsid w:val="00FF4E74"/>
    <w:rsid w:val="00FF538A"/>
    <w:rsid w:val="00FF5D26"/>
    <w:rsid w:val="00FF5FD8"/>
    <w:rsid w:val="00FF67A4"/>
    <w:rsid w:val="00FF6925"/>
    <w:rsid w:val="00FF6A54"/>
    <w:rsid w:val="00FF6BE4"/>
    <w:rsid w:val="00FF6FA5"/>
    <w:rsid w:val="00FF775F"/>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99"/>
    <w:pPr>
      <w:spacing w:after="120" w:line="360" w:lineRule="auto"/>
    </w:pPr>
    <w:rPr>
      <w:rFonts w:ascii="Arial" w:hAnsi="Arial"/>
      <w:sz w:val="24"/>
    </w:rPr>
  </w:style>
  <w:style w:type="paragraph" w:styleId="Heading1">
    <w:name w:val="heading 1"/>
    <w:basedOn w:val="Normal"/>
    <w:next w:val="Normal"/>
    <w:link w:val="Heading1Char"/>
    <w:uiPriority w:val="9"/>
    <w:qFormat/>
    <w:rsid w:val="00765CC6"/>
    <w:pPr>
      <w:keepNext/>
      <w:keepLines/>
      <w:spacing w:before="24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09C"/>
    <w:pPr>
      <w:keepNext/>
      <w:keepLines/>
      <w:spacing w:before="2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85176"/>
    <w:pPr>
      <w:keepNext/>
      <w:keepLines/>
      <w:spacing w:before="12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FC4D8C"/>
    <w:pPr>
      <w:keepNext/>
      <w:keepLines/>
      <w:spacing w:before="40" w:after="0"/>
      <w:outlineLvl w:val="4"/>
    </w:pPr>
    <w:rPr>
      <w:rFonts w:eastAsiaTheme="majorEastAsia" w:cstheme="majorBidi"/>
      <w:b/>
      <w:sz w:val="22"/>
    </w:rPr>
  </w:style>
  <w:style w:type="paragraph" w:styleId="Heading6">
    <w:name w:val="heading 6"/>
    <w:basedOn w:val="Normal"/>
    <w:next w:val="Normal"/>
    <w:link w:val="Heading6Char"/>
    <w:uiPriority w:val="9"/>
    <w:unhideWhenUsed/>
    <w:qFormat/>
    <w:rsid w:val="00D238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C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09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85176"/>
    <w:rPr>
      <w:rFonts w:ascii="Arial" w:eastAsiaTheme="majorEastAsia" w:hAnsi="Arial" w:cstheme="majorBidi"/>
      <w:b/>
      <w:sz w:val="24"/>
      <w:szCs w:val="24"/>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iPriority w:val="99"/>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FC4D8C"/>
    <w:rPr>
      <w:rFonts w:ascii="Arial" w:eastAsiaTheme="majorEastAsia" w:hAnsi="Arial" w:cstheme="majorBidi"/>
      <w:b/>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FE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6D6FE1"/>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6D6FE1"/>
    <w:pPr>
      <w:spacing w:after="0"/>
      <w:ind w:left="240"/>
    </w:pPr>
    <w:rPr>
      <w:rFonts w:asciiTheme="minorHAnsi" w:hAnsiTheme="minorHAnsi" w:cstheme="minorHAnsi"/>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650843"/>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650843"/>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650843"/>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650843"/>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650843"/>
    <w:pPr>
      <w:spacing w:after="0"/>
      <w:ind w:left="1680"/>
    </w:pPr>
    <w:rPr>
      <w:rFonts w:asciiTheme="minorHAnsi" w:hAnsiTheme="minorHAnsi" w:cstheme="minorHAnsi"/>
      <w:sz w:val="20"/>
      <w:szCs w:val="20"/>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D238D1"/>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F8783A"/>
    <w:pPr>
      <w:autoSpaceDE w:val="0"/>
      <w:autoSpaceDN w:val="0"/>
      <w:adjustRightInd w:val="0"/>
      <w:spacing w:after="0" w:line="276" w:lineRule="auto"/>
      <w:jc w:val="both"/>
    </w:pPr>
    <w:rPr>
      <w:rFonts w:cs="Arial"/>
      <w:sz w:val="20"/>
      <w:szCs w:val="20"/>
    </w:rPr>
  </w:style>
  <w:style w:type="paragraph" w:customStyle="1" w:styleId="Normal0">
    <w:name w:val="[Normal]"/>
    <w:uiPriority w:val="99"/>
    <w:rsid w:val="00327653"/>
    <w:pPr>
      <w:widowControl w:val="0"/>
      <w:autoSpaceDE w:val="0"/>
      <w:autoSpaceDN w:val="0"/>
      <w:adjustRightInd w:val="0"/>
      <w:spacing w:after="0" w:line="240" w:lineRule="auto"/>
    </w:pPr>
    <w:rPr>
      <w:rFonts w:ascii="Arial" w:hAnsi="Arial" w:cs="Arial"/>
      <w:sz w:val="24"/>
      <w:szCs w:val="24"/>
    </w:rPr>
  </w:style>
  <w:style w:type="character" w:customStyle="1" w:styleId="cf01">
    <w:name w:val="cf01"/>
    <w:basedOn w:val="DefaultParagraphFont"/>
    <w:rsid w:val="00C83AF3"/>
    <w:rPr>
      <w:rFonts w:ascii="Segoe UI" w:hAnsi="Segoe UI" w:cs="Segoe UI" w:hint="default"/>
      <w:sz w:val="18"/>
      <w:szCs w:val="18"/>
    </w:rPr>
  </w:style>
  <w:style w:type="paragraph" w:customStyle="1" w:styleId="pf0">
    <w:name w:val="pf0"/>
    <w:basedOn w:val="Normal"/>
    <w:rsid w:val="002E728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11">
    <w:name w:val="cf11"/>
    <w:basedOn w:val="DefaultParagraphFont"/>
    <w:rsid w:val="002E728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977">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40537638">
      <w:bodyDiv w:val="1"/>
      <w:marLeft w:val="0"/>
      <w:marRight w:val="0"/>
      <w:marTop w:val="0"/>
      <w:marBottom w:val="0"/>
      <w:divBdr>
        <w:top w:val="none" w:sz="0" w:space="0" w:color="auto"/>
        <w:left w:val="none" w:sz="0" w:space="0" w:color="auto"/>
        <w:bottom w:val="none" w:sz="0" w:space="0" w:color="auto"/>
        <w:right w:val="none" w:sz="0" w:space="0" w:color="auto"/>
      </w:divBdr>
    </w:div>
    <w:div w:id="147328393">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360403811">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925842043">
      <w:bodyDiv w:val="1"/>
      <w:marLeft w:val="0"/>
      <w:marRight w:val="0"/>
      <w:marTop w:val="0"/>
      <w:marBottom w:val="0"/>
      <w:divBdr>
        <w:top w:val="none" w:sz="0" w:space="0" w:color="auto"/>
        <w:left w:val="none" w:sz="0" w:space="0" w:color="auto"/>
        <w:bottom w:val="none" w:sz="0" w:space="0" w:color="auto"/>
        <w:right w:val="none" w:sz="0" w:space="0" w:color="auto"/>
      </w:divBdr>
    </w:div>
    <w:div w:id="1021011118">
      <w:bodyDiv w:val="1"/>
      <w:marLeft w:val="0"/>
      <w:marRight w:val="0"/>
      <w:marTop w:val="0"/>
      <w:marBottom w:val="0"/>
      <w:divBdr>
        <w:top w:val="none" w:sz="0" w:space="0" w:color="auto"/>
        <w:left w:val="none" w:sz="0" w:space="0" w:color="auto"/>
        <w:bottom w:val="none" w:sz="0" w:space="0" w:color="auto"/>
        <w:right w:val="none" w:sz="0" w:space="0" w:color="auto"/>
      </w:divBdr>
    </w:div>
    <w:div w:id="1041594934">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95966742">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750C-04C4-4B45-8AF6-FC65162D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11584</Words>
  <Characters>66034</Characters>
  <Application>Microsoft Office Word</Application>
  <DocSecurity>0</DocSecurity>
  <Lines>550</Lines>
  <Paragraphs>154</Paragraphs>
  <ScaleCrop>false</ScaleCrop>
  <Company/>
  <LinksUpToDate>false</LinksUpToDate>
  <CharactersWithSpaces>77464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2022-08-23T10:43:00Z</dcterms:created>
  <dcterms:modified xsi:type="dcterms:W3CDTF">2022-08-23T10:43:00Z</dcterms:modified>
</cp:coreProperties>
</file>