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77777777" w:rsidR="00482C01" w:rsidRDefault="00482C01" w:rsidP="00FE12CE">
      <w:pPr>
        <w:pStyle w:val="Title"/>
      </w:pPr>
      <w:bookmarkStart w:id="0" w:name="_Toc383595130"/>
      <w:bookmarkStart w:id="1" w:name="_Toc103171266"/>
      <w:r w:rsidRPr="00861C2E">
        <w:t>NATIONAL INSTITUTE FOR HEALTH AND CARE EXCELLENCE</w:t>
      </w:r>
      <w:bookmarkEnd w:id="0"/>
      <w:bookmarkEnd w:id="1"/>
    </w:p>
    <w:p w14:paraId="513A8F55" w14:textId="77777777" w:rsidR="008C183F" w:rsidRPr="00861C2E" w:rsidRDefault="008C183F" w:rsidP="00FE12CE">
      <w:pPr>
        <w:pStyle w:val="Title"/>
      </w:pPr>
    </w:p>
    <w:p w14:paraId="4E99922F" w14:textId="77777777" w:rsidR="00482C01" w:rsidRPr="00861C2E" w:rsidRDefault="00482C01" w:rsidP="00FE12CE">
      <w:pPr>
        <w:pStyle w:val="Title"/>
      </w:pPr>
      <w:bookmarkStart w:id="2" w:name="_Toc383595131"/>
      <w:bookmarkStart w:id="3" w:name="_Toc103171267"/>
      <w:r w:rsidRPr="00861C2E">
        <w:t>INDICATOR DEVELOPMENT PROGRAMME</w:t>
      </w:r>
      <w:bookmarkEnd w:id="2"/>
      <w:bookmarkEnd w:id="3"/>
    </w:p>
    <w:p w14:paraId="7489FAE6" w14:textId="77777777" w:rsidR="00482C01" w:rsidRDefault="00482C01" w:rsidP="00FE12CE">
      <w:pPr>
        <w:pStyle w:val="Title"/>
        <w:rPr>
          <w:rFonts w:cs="Arial"/>
        </w:rPr>
      </w:pPr>
      <w:bookmarkStart w:id="4" w:name="_Toc383595132"/>
      <w:r>
        <w:rPr>
          <w:rFonts w:cs="Arial"/>
        </w:rPr>
        <w:tab/>
      </w:r>
    </w:p>
    <w:p w14:paraId="6C6B43FC" w14:textId="1F50B72D" w:rsidR="00482C01" w:rsidRDefault="00482C01" w:rsidP="00FE12CE">
      <w:pPr>
        <w:pStyle w:val="Title"/>
        <w:rPr>
          <w:rFonts w:cs="Arial"/>
        </w:rPr>
      </w:pPr>
      <w:bookmarkStart w:id="5" w:name="_Toc103171268"/>
      <w:r w:rsidRPr="00861C2E">
        <w:rPr>
          <w:rFonts w:cs="Arial"/>
        </w:rPr>
        <w:t>C</w:t>
      </w:r>
      <w:r w:rsidR="00DB5AE0">
        <w:rPr>
          <w:rFonts w:cs="Arial"/>
        </w:rPr>
        <w:t>onsultation report</w:t>
      </w:r>
      <w:bookmarkEnd w:id="5"/>
      <w:r w:rsidR="00DB5AE0">
        <w:rPr>
          <w:rFonts w:cs="Arial"/>
        </w:rPr>
        <w:t xml:space="preserve"> </w:t>
      </w:r>
      <w:bookmarkEnd w:id="4"/>
    </w:p>
    <w:p w14:paraId="496B6A1B" w14:textId="02D17617" w:rsidR="00FE12CE" w:rsidRPr="00FE12CE" w:rsidRDefault="00FE12CE" w:rsidP="00FE12CE">
      <w:pPr>
        <w:pStyle w:val="Paragraph"/>
      </w:pPr>
      <w:r w:rsidRPr="00FE12CE">
        <w:t xml:space="preserve">Indicator area: </w:t>
      </w:r>
      <w:r w:rsidR="00A966A6">
        <w:t>Epilepsy</w:t>
      </w:r>
    </w:p>
    <w:p w14:paraId="38D25E82" w14:textId="404F4BF2" w:rsidR="00FE12CE" w:rsidRPr="00FE12CE" w:rsidRDefault="00FE12CE" w:rsidP="00FE12CE">
      <w:pPr>
        <w:pStyle w:val="Paragraph"/>
      </w:pPr>
      <w:r w:rsidRPr="00FE12CE">
        <w:t xml:space="preserve">Consultation period: </w:t>
      </w:r>
      <w:r w:rsidR="00A966A6">
        <w:t>22 March</w:t>
      </w:r>
      <w:r w:rsidRPr="00FE12CE">
        <w:t xml:space="preserve"> – </w:t>
      </w:r>
      <w:r w:rsidR="00A966A6">
        <w:t>21 April</w:t>
      </w:r>
      <w:r w:rsidRPr="00FE12CE">
        <w:t xml:space="preserve"> 20</w:t>
      </w:r>
      <w:r w:rsidR="00A966A6">
        <w:t>22</w:t>
      </w:r>
    </w:p>
    <w:p w14:paraId="6A1C1341" w14:textId="45B1E342" w:rsidR="00482C01" w:rsidRDefault="00FE12CE" w:rsidP="00FE12CE">
      <w:pPr>
        <w:pStyle w:val="Paragraph"/>
      </w:pPr>
      <w:r w:rsidRPr="00FE12CE">
        <w:t xml:space="preserve">Date of Indicator Advisory Committee meeting: </w:t>
      </w:r>
      <w:r w:rsidR="00A966A6">
        <w:t>14 June</w:t>
      </w:r>
      <w:r w:rsidRPr="00FE12CE">
        <w:t xml:space="preserve"> 20</w:t>
      </w:r>
      <w:r w:rsidR="00A966A6">
        <w:t>22</w:t>
      </w:r>
    </w:p>
    <w:p w14:paraId="629E4D4E" w14:textId="77777777" w:rsidR="00FE12CE" w:rsidRDefault="00FE12CE" w:rsidP="00482C01">
      <w:pPr>
        <w:jc w:val="center"/>
        <w:rPr>
          <w:rFonts w:ascii="Arial" w:hAnsi="Arial" w:cs="Arial"/>
          <w:b/>
          <w:sz w:val="32"/>
          <w:szCs w:val="32"/>
        </w:rPr>
      </w:pPr>
    </w:p>
    <w:p w14:paraId="6A346D7A" w14:textId="77777777" w:rsidR="007F14A6" w:rsidRPr="007F14A6" w:rsidRDefault="007F14A6" w:rsidP="007F14A6"/>
    <w:p w14:paraId="7858D874" w14:textId="77777777" w:rsidR="00482C01" w:rsidRPr="00802740" w:rsidRDefault="00482C01" w:rsidP="00FE12CE">
      <w:pPr>
        <w:pStyle w:val="Heading1"/>
      </w:pPr>
      <w:bookmarkStart w:id="6" w:name="_Toc103171269"/>
      <w:bookmarkStart w:id="7" w:name="_Toc104460272"/>
      <w:r>
        <w:t>Contents</w:t>
      </w:r>
      <w:bookmarkEnd w:id="6"/>
      <w:bookmarkEnd w:id="7"/>
    </w:p>
    <w:p w14:paraId="1E9FDE98" w14:textId="32B04E35" w:rsidR="0070285F" w:rsidRDefault="004F15E4">
      <w:pPr>
        <w:pStyle w:val="TOC1"/>
        <w:rPr>
          <w:rFonts w:asciiTheme="minorHAnsi" w:eastAsiaTheme="minorEastAsia" w:hAnsiTheme="minorHAnsi" w:cstheme="minorBidi"/>
          <w:noProof/>
          <w:sz w:val="22"/>
          <w:szCs w:val="22"/>
          <w:lang w:eastAsia="en-GB"/>
        </w:rPr>
      </w:pPr>
      <w:r>
        <w:rPr>
          <w:rStyle w:val="Hyperlink"/>
          <w:b/>
          <w:bCs/>
          <w:noProof/>
        </w:rPr>
        <w:fldChar w:fldCharType="begin"/>
      </w:r>
      <w:r>
        <w:rPr>
          <w:rStyle w:val="Hyperlink"/>
          <w:b/>
          <w:bCs/>
          <w:noProof/>
        </w:rPr>
        <w:instrText xml:space="preserve"> TOC \h \z \t "Heading 1,1,Numbered heading 1,1" </w:instrText>
      </w:r>
      <w:r>
        <w:rPr>
          <w:rStyle w:val="Hyperlink"/>
          <w:b/>
          <w:bCs/>
          <w:noProof/>
        </w:rPr>
        <w:fldChar w:fldCharType="separate"/>
      </w:r>
    </w:p>
    <w:p w14:paraId="762B3FDD" w14:textId="7C883FF3" w:rsidR="0070285F" w:rsidRDefault="00835F0D">
      <w:pPr>
        <w:pStyle w:val="TOC1"/>
        <w:rPr>
          <w:rFonts w:asciiTheme="minorHAnsi" w:eastAsiaTheme="minorEastAsia" w:hAnsiTheme="minorHAnsi" w:cstheme="minorBidi"/>
          <w:noProof/>
          <w:sz w:val="22"/>
          <w:szCs w:val="22"/>
          <w:lang w:eastAsia="en-GB"/>
        </w:rPr>
      </w:pPr>
      <w:hyperlink w:anchor="_Toc104460273" w:history="1">
        <w:r w:rsidR="0070285F" w:rsidRPr="00A07F38">
          <w:rPr>
            <w:rStyle w:val="Hyperlink"/>
            <w:noProof/>
          </w:rPr>
          <w:t>Summary of indicators included in the consultation</w:t>
        </w:r>
        <w:r w:rsidR="0070285F">
          <w:rPr>
            <w:noProof/>
            <w:webHidden/>
          </w:rPr>
          <w:tab/>
        </w:r>
        <w:r w:rsidR="0070285F">
          <w:rPr>
            <w:noProof/>
            <w:webHidden/>
          </w:rPr>
          <w:fldChar w:fldCharType="begin"/>
        </w:r>
        <w:r w:rsidR="0070285F">
          <w:rPr>
            <w:noProof/>
            <w:webHidden/>
          </w:rPr>
          <w:instrText xml:space="preserve"> PAGEREF _Toc104460273 \h </w:instrText>
        </w:r>
        <w:r w:rsidR="0070285F">
          <w:rPr>
            <w:noProof/>
            <w:webHidden/>
          </w:rPr>
        </w:r>
        <w:r w:rsidR="0070285F">
          <w:rPr>
            <w:noProof/>
            <w:webHidden/>
          </w:rPr>
          <w:fldChar w:fldCharType="separate"/>
        </w:r>
        <w:r w:rsidR="0070285F">
          <w:rPr>
            <w:noProof/>
            <w:webHidden/>
          </w:rPr>
          <w:t>2</w:t>
        </w:r>
        <w:r w:rsidR="0070285F">
          <w:rPr>
            <w:noProof/>
            <w:webHidden/>
          </w:rPr>
          <w:fldChar w:fldCharType="end"/>
        </w:r>
      </w:hyperlink>
    </w:p>
    <w:p w14:paraId="743DE889" w14:textId="73F65556" w:rsidR="0070285F" w:rsidRDefault="00835F0D">
      <w:pPr>
        <w:pStyle w:val="TOC1"/>
        <w:rPr>
          <w:rFonts w:asciiTheme="minorHAnsi" w:eastAsiaTheme="minorEastAsia" w:hAnsiTheme="minorHAnsi" w:cstheme="minorBidi"/>
          <w:noProof/>
          <w:sz w:val="22"/>
          <w:szCs w:val="22"/>
          <w:lang w:eastAsia="en-GB"/>
        </w:rPr>
      </w:pPr>
      <w:hyperlink w:anchor="_Toc104460274" w:history="1">
        <w:r w:rsidR="0070285F" w:rsidRPr="00A07F38">
          <w:rPr>
            <w:rStyle w:val="Hyperlink"/>
            <w:noProof/>
          </w:rPr>
          <w:t>General comments</w:t>
        </w:r>
        <w:r w:rsidR="0070285F">
          <w:rPr>
            <w:noProof/>
            <w:webHidden/>
          </w:rPr>
          <w:tab/>
        </w:r>
        <w:r w:rsidR="0070285F">
          <w:rPr>
            <w:noProof/>
            <w:webHidden/>
          </w:rPr>
          <w:fldChar w:fldCharType="begin"/>
        </w:r>
        <w:r w:rsidR="0070285F">
          <w:rPr>
            <w:noProof/>
            <w:webHidden/>
          </w:rPr>
          <w:instrText xml:space="preserve"> PAGEREF _Toc104460274 \h </w:instrText>
        </w:r>
        <w:r w:rsidR="0070285F">
          <w:rPr>
            <w:noProof/>
            <w:webHidden/>
          </w:rPr>
        </w:r>
        <w:r w:rsidR="0070285F">
          <w:rPr>
            <w:noProof/>
            <w:webHidden/>
          </w:rPr>
          <w:fldChar w:fldCharType="separate"/>
        </w:r>
        <w:r w:rsidR="0070285F">
          <w:rPr>
            <w:noProof/>
            <w:webHidden/>
          </w:rPr>
          <w:t>3</w:t>
        </w:r>
        <w:r w:rsidR="0070285F">
          <w:rPr>
            <w:noProof/>
            <w:webHidden/>
          </w:rPr>
          <w:fldChar w:fldCharType="end"/>
        </w:r>
      </w:hyperlink>
    </w:p>
    <w:p w14:paraId="060EB54D" w14:textId="5CF9C1CD" w:rsidR="0070285F" w:rsidRDefault="00835F0D">
      <w:pPr>
        <w:pStyle w:val="TOC1"/>
        <w:rPr>
          <w:rFonts w:asciiTheme="minorHAnsi" w:eastAsiaTheme="minorEastAsia" w:hAnsiTheme="minorHAnsi" w:cstheme="minorBidi"/>
          <w:noProof/>
          <w:sz w:val="22"/>
          <w:szCs w:val="22"/>
          <w:lang w:eastAsia="en-GB"/>
        </w:rPr>
      </w:pPr>
      <w:hyperlink w:anchor="_Toc104460275" w:history="1">
        <w:r w:rsidR="0070285F" w:rsidRPr="00A07F38">
          <w:rPr>
            <w:rStyle w:val="Hyperlink"/>
            <w:noProof/>
          </w:rPr>
          <w:t>IND 2021-111 Epilepsy: annual review for all people receiving drug treatment</w:t>
        </w:r>
        <w:r w:rsidR="0070285F">
          <w:rPr>
            <w:noProof/>
            <w:webHidden/>
          </w:rPr>
          <w:tab/>
        </w:r>
        <w:r w:rsidR="0070285F">
          <w:rPr>
            <w:noProof/>
            <w:webHidden/>
          </w:rPr>
          <w:fldChar w:fldCharType="begin"/>
        </w:r>
        <w:r w:rsidR="0070285F">
          <w:rPr>
            <w:noProof/>
            <w:webHidden/>
          </w:rPr>
          <w:instrText xml:space="preserve"> PAGEREF _Toc104460275 \h </w:instrText>
        </w:r>
        <w:r w:rsidR="0070285F">
          <w:rPr>
            <w:noProof/>
            <w:webHidden/>
          </w:rPr>
        </w:r>
        <w:r w:rsidR="0070285F">
          <w:rPr>
            <w:noProof/>
            <w:webHidden/>
          </w:rPr>
          <w:fldChar w:fldCharType="separate"/>
        </w:r>
        <w:r w:rsidR="0070285F">
          <w:rPr>
            <w:noProof/>
            <w:webHidden/>
          </w:rPr>
          <w:t>4</w:t>
        </w:r>
        <w:r w:rsidR="0070285F">
          <w:rPr>
            <w:noProof/>
            <w:webHidden/>
          </w:rPr>
          <w:fldChar w:fldCharType="end"/>
        </w:r>
      </w:hyperlink>
    </w:p>
    <w:p w14:paraId="7D4E033E" w14:textId="4762BF6B" w:rsidR="0070285F" w:rsidRDefault="00835F0D">
      <w:pPr>
        <w:pStyle w:val="TOC1"/>
        <w:rPr>
          <w:rFonts w:asciiTheme="minorHAnsi" w:eastAsiaTheme="minorEastAsia" w:hAnsiTheme="minorHAnsi" w:cstheme="minorBidi"/>
          <w:noProof/>
          <w:sz w:val="22"/>
          <w:szCs w:val="22"/>
          <w:lang w:eastAsia="en-GB"/>
        </w:rPr>
      </w:pPr>
      <w:hyperlink w:anchor="_Toc104460276" w:history="1">
        <w:r w:rsidR="0070285F" w:rsidRPr="00A07F38">
          <w:rPr>
            <w:rStyle w:val="Hyperlink"/>
            <w:noProof/>
          </w:rPr>
          <w:t>IND 2021-112 Epilepsy: annual review for people with a learning disability</w:t>
        </w:r>
        <w:r w:rsidR="0070285F">
          <w:rPr>
            <w:noProof/>
            <w:webHidden/>
          </w:rPr>
          <w:tab/>
        </w:r>
        <w:r w:rsidR="0070285F">
          <w:rPr>
            <w:noProof/>
            <w:webHidden/>
          </w:rPr>
          <w:fldChar w:fldCharType="begin"/>
        </w:r>
        <w:r w:rsidR="0070285F">
          <w:rPr>
            <w:noProof/>
            <w:webHidden/>
          </w:rPr>
          <w:instrText xml:space="preserve"> PAGEREF _Toc104460276 \h </w:instrText>
        </w:r>
        <w:r w:rsidR="0070285F">
          <w:rPr>
            <w:noProof/>
            <w:webHidden/>
          </w:rPr>
        </w:r>
        <w:r w:rsidR="0070285F">
          <w:rPr>
            <w:noProof/>
            <w:webHidden/>
          </w:rPr>
          <w:fldChar w:fldCharType="separate"/>
        </w:r>
        <w:r w:rsidR="0070285F">
          <w:rPr>
            <w:noProof/>
            <w:webHidden/>
          </w:rPr>
          <w:t>6</w:t>
        </w:r>
        <w:r w:rsidR="0070285F">
          <w:rPr>
            <w:noProof/>
            <w:webHidden/>
          </w:rPr>
          <w:fldChar w:fldCharType="end"/>
        </w:r>
      </w:hyperlink>
    </w:p>
    <w:p w14:paraId="34DF4B2C" w14:textId="55A581BF" w:rsidR="0070285F" w:rsidRDefault="00835F0D">
      <w:pPr>
        <w:pStyle w:val="TOC1"/>
        <w:rPr>
          <w:rFonts w:asciiTheme="minorHAnsi" w:eastAsiaTheme="minorEastAsia" w:hAnsiTheme="minorHAnsi" w:cstheme="minorBidi"/>
          <w:noProof/>
          <w:sz w:val="22"/>
          <w:szCs w:val="22"/>
          <w:lang w:eastAsia="en-GB"/>
        </w:rPr>
      </w:pPr>
      <w:hyperlink w:anchor="_Toc104460277" w:history="1">
        <w:r w:rsidR="0070285F" w:rsidRPr="00A07F38">
          <w:rPr>
            <w:rStyle w:val="Hyperlink"/>
            <w:noProof/>
          </w:rPr>
          <w:t>IND 2021-113 Epilepsy: annual review for people with a mental health condition</w:t>
        </w:r>
        <w:r w:rsidR="0070285F">
          <w:rPr>
            <w:noProof/>
            <w:webHidden/>
          </w:rPr>
          <w:tab/>
        </w:r>
        <w:r w:rsidR="0070285F">
          <w:rPr>
            <w:noProof/>
            <w:webHidden/>
          </w:rPr>
          <w:fldChar w:fldCharType="begin"/>
        </w:r>
        <w:r w:rsidR="0070285F">
          <w:rPr>
            <w:noProof/>
            <w:webHidden/>
          </w:rPr>
          <w:instrText xml:space="preserve"> PAGEREF _Toc104460277 \h </w:instrText>
        </w:r>
        <w:r w:rsidR="0070285F">
          <w:rPr>
            <w:noProof/>
            <w:webHidden/>
          </w:rPr>
        </w:r>
        <w:r w:rsidR="0070285F">
          <w:rPr>
            <w:noProof/>
            <w:webHidden/>
          </w:rPr>
          <w:fldChar w:fldCharType="separate"/>
        </w:r>
        <w:r w:rsidR="0070285F">
          <w:rPr>
            <w:noProof/>
            <w:webHidden/>
          </w:rPr>
          <w:t>7</w:t>
        </w:r>
        <w:r w:rsidR="0070285F">
          <w:rPr>
            <w:noProof/>
            <w:webHidden/>
          </w:rPr>
          <w:fldChar w:fldCharType="end"/>
        </w:r>
      </w:hyperlink>
    </w:p>
    <w:p w14:paraId="7553B551" w14:textId="7D851682" w:rsidR="0070285F" w:rsidRDefault="00835F0D">
      <w:pPr>
        <w:pStyle w:val="TOC1"/>
        <w:rPr>
          <w:rFonts w:asciiTheme="minorHAnsi" w:eastAsiaTheme="minorEastAsia" w:hAnsiTheme="minorHAnsi" w:cstheme="minorBidi"/>
          <w:noProof/>
          <w:sz w:val="22"/>
          <w:szCs w:val="22"/>
          <w:lang w:eastAsia="en-GB"/>
        </w:rPr>
      </w:pPr>
      <w:hyperlink w:anchor="_Toc104460278" w:history="1">
        <w:r w:rsidR="0070285F" w:rsidRPr="00A07F38">
          <w:rPr>
            <w:rStyle w:val="Hyperlink"/>
            <w:noProof/>
          </w:rPr>
          <w:t>Appendix A: Consultation comments</w:t>
        </w:r>
        <w:r w:rsidR="0070285F">
          <w:rPr>
            <w:noProof/>
            <w:webHidden/>
          </w:rPr>
          <w:tab/>
        </w:r>
        <w:r w:rsidR="0070285F">
          <w:rPr>
            <w:noProof/>
            <w:webHidden/>
          </w:rPr>
          <w:fldChar w:fldCharType="begin"/>
        </w:r>
        <w:r w:rsidR="0070285F">
          <w:rPr>
            <w:noProof/>
            <w:webHidden/>
          </w:rPr>
          <w:instrText xml:space="preserve"> PAGEREF _Toc104460278 \h </w:instrText>
        </w:r>
        <w:r w:rsidR="0070285F">
          <w:rPr>
            <w:noProof/>
            <w:webHidden/>
          </w:rPr>
        </w:r>
        <w:r w:rsidR="0070285F">
          <w:rPr>
            <w:noProof/>
            <w:webHidden/>
          </w:rPr>
          <w:fldChar w:fldCharType="separate"/>
        </w:r>
        <w:r w:rsidR="0070285F">
          <w:rPr>
            <w:noProof/>
            <w:webHidden/>
          </w:rPr>
          <w:t>9</w:t>
        </w:r>
        <w:r w:rsidR="0070285F">
          <w:rPr>
            <w:noProof/>
            <w:webHidden/>
          </w:rPr>
          <w:fldChar w:fldCharType="end"/>
        </w:r>
      </w:hyperlink>
    </w:p>
    <w:p w14:paraId="275FD891" w14:textId="0A7F95C4" w:rsidR="0070285F" w:rsidRDefault="00835F0D">
      <w:pPr>
        <w:pStyle w:val="TOC1"/>
        <w:rPr>
          <w:rFonts w:asciiTheme="minorHAnsi" w:eastAsiaTheme="minorEastAsia" w:hAnsiTheme="minorHAnsi" w:cstheme="minorBidi"/>
          <w:noProof/>
          <w:sz w:val="22"/>
          <w:szCs w:val="22"/>
          <w:lang w:eastAsia="en-GB"/>
        </w:rPr>
      </w:pPr>
      <w:hyperlink w:anchor="_Toc104460279" w:history="1">
        <w:r w:rsidR="0070285F" w:rsidRPr="00A07F38">
          <w:rPr>
            <w:rStyle w:val="Hyperlink"/>
            <w:noProof/>
            <w:lang w:eastAsia="en-GB"/>
          </w:rPr>
          <w:t>Appendix B: Existing NICE indicators</w:t>
        </w:r>
        <w:r w:rsidR="0070285F">
          <w:rPr>
            <w:noProof/>
            <w:webHidden/>
          </w:rPr>
          <w:tab/>
        </w:r>
        <w:r w:rsidR="0070285F">
          <w:rPr>
            <w:noProof/>
            <w:webHidden/>
          </w:rPr>
          <w:fldChar w:fldCharType="begin"/>
        </w:r>
        <w:r w:rsidR="0070285F">
          <w:rPr>
            <w:noProof/>
            <w:webHidden/>
          </w:rPr>
          <w:instrText xml:space="preserve"> PAGEREF _Toc104460279 \h </w:instrText>
        </w:r>
        <w:r w:rsidR="0070285F">
          <w:rPr>
            <w:noProof/>
            <w:webHidden/>
          </w:rPr>
        </w:r>
        <w:r w:rsidR="0070285F">
          <w:rPr>
            <w:noProof/>
            <w:webHidden/>
          </w:rPr>
          <w:fldChar w:fldCharType="separate"/>
        </w:r>
        <w:r w:rsidR="0070285F">
          <w:rPr>
            <w:noProof/>
            <w:webHidden/>
          </w:rPr>
          <w:t>22</w:t>
        </w:r>
        <w:r w:rsidR="0070285F">
          <w:rPr>
            <w:noProof/>
            <w:webHidden/>
          </w:rPr>
          <w:fldChar w:fldCharType="end"/>
        </w:r>
      </w:hyperlink>
    </w:p>
    <w:p w14:paraId="43A0535F" w14:textId="2303FB22" w:rsidR="009C3C0C" w:rsidRDefault="004F15E4" w:rsidP="00482C01">
      <w:pPr>
        <w:pStyle w:val="Heading1"/>
        <w:rPr>
          <w:rStyle w:val="Hyperlink"/>
          <w:noProof/>
        </w:rPr>
      </w:pPr>
      <w:r>
        <w:rPr>
          <w:rStyle w:val="Hyperlink"/>
          <w:b w:val="0"/>
          <w:bCs w:val="0"/>
          <w:noProof/>
          <w:kern w:val="0"/>
          <w:sz w:val="24"/>
          <w:szCs w:val="24"/>
        </w:rPr>
        <w:fldChar w:fldCharType="end"/>
      </w:r>
    </w:p>
    <w:p w14:paraId="78AB4105" w14:textId="77777777" w:rsidR="009C3C0C" w:rsidRDefault="009C3C0C">
      <w:pPr>
        <w:rPr>
          <w:rStyle w:val="Hyperlink"/>
          <w:rFonts w:ascii="Arial" w:hAnsi="Arial"/>
          <w:b/>
          <w:bCs/>
          <w:noProof/>
          <w:kern w:val="32"/>
          <w:sz w:val="28"/>
          <w:szCs w:val="32"/>
        </w:rPr>
      </w:pPr>
      <w:r>
        <w:rPr>
          <w:rStyle w:val="Hyperlink"/>
          <w:noProof/>
        </w:rPr>
        <w:br w:type="page"/>
      </w:r>
    </w:p>
    <w:p w14:paraId="5CEA5107" w14:textId="2AFD13BE" w:rsidR="006814B9" w:rsidRDefault="00D47082" w:rsidP="006814B9">
      <w:pPr>
        <w:pStyle w:val="Heading1"/>
      </w:pPr>
      <w:bookmarkStart w:id="8" w:name="_Toc104460273"/>
      <w:r>
        <w:lastRenderedPageBreak/>
        <w:t>Summary of i</w:t>
      </w:r>
      <w:r w:rsidR="006814B9">
        <w:t>ndicators</w:t>
      </w:r>
      <w:r w:rsidR="006814B9" w:rsidRPr="006814B9">
        <w:t xml:space="preserve"> </w:t>
      </w:r>
      <w:r w:rsidR="00657C65">
        <w:t xml:space="preserve">included in the </w:t>
      </w:r>
      <w:r w:rsidR="006814B9" w:rsidRPr="00205FBE">
        <w:t>consultation</w:t>
      </w:r>
      <w:bookmarkEnd w:id="8"/>
    </w:p>
    <w:tbl>
      <w:tblPr>
        <w:tblStyle w:val="TableGrid"/>
        <w:tblW w:w="9044" w:type="dxa"/>
        <w:tblInd w:w="165" w:type="dxa"/>
        <w:tblLayout w:type="fixed"/>
        <w:tblLook w:val="01E0" w:firstRow="1" w:lastRow="1" w:firstColumn="1" w:lastColumn="1" w:noHBand="0" w:noVBand="0"/>
      </w:tblPr>
      <w:tblGrid>
        <w:gridCol w:w="936"/>
        <w:gridCol w:w="3005"/>
        <w:gridCol w:w="2410"/>
        <w:gridCol w:w="2693"/>
      </w:tblGrid>
      <w:tr w:rsidR="00B24344" w:rsidRPr="001036A1" w14:paraId="40FCF7F2" w14:textId="4E4EBF44" w:rsidTr="005E57B2">
        <w:trPr>
          <w:trHeight w:val="263"/>
        </w:trPr>
        <w:tc>
          <w:tcPr>
            <w:tcW w:w="936" w:type="dxa"/>
          </w:tcPr>
          <w:p w14:paraId="24336F42" w14:textId="77777777" w:rsidR="00B24344" w:rsidRPr="001036A1" w:rsidRDefault="00B24344" w:rsidP="00B24344">
            <w:pPr>
              <w:pStyle w:val="Tabletext"/>
              <w:rPr>
                <w:b/>
                <w:szCs w:val="22"/>
                <w:lang w:val="en-GB"/>
              </w:rPr>
            </w:pPr>
            <w:r w:rsidRPr="001036A1">
              <w:rPr>
                <w:b/>
                <w:szCs w:val="22"/>
                <w:lang w:val="en-GB"/>
              </w:rPr>
              <w:t>ID</w:t>
            </w:r>
          </w:p>
        </w:tc>
        <w:tc>
          <w:tcPr>
            <w:tcW w:w="3005" w:type="dxa"/>
          </w:tcPr>
          <w:p w14:paraId="643FF82A" w14:textId="77777777" w:rsidR="00B24344" w:rsidRPr="001036A1" w:rsidRDefault="00B24344" w:rsidP="00B24344">
            <w:pPr>
              <w:pStyle w:val="Tabletext"/>
              <w:rPr>
                <w:b/>
                <w:szCs w:val="22"/>
                <w:lang w:val="en-GB"/>
              </w:rPr>
            </w:pPr>
            <w:r w:rsidRPr="001036A1">
              <w:rPr>
                <w:b/>
                <w:szCs w:val="22"/>
                <w:lang w:val="en-GB"/>
              </w:rPr>
              <w:t>Indicator</w:t>
            </w:r>
          </w:p>
        </w:tc>
        <w:tc>
          <w:tcPr>
            <w:tcW w:w="2410" w:type="dxa"/>
          </w:tcPr>
          <w:p w14:paraId="05203E26" w14:textId="12D4C31E" w:rsidR="00B24344" w:rsidRPr="001036A1" w:rsidRDefault="00B24344" w:rsidP="00B24344">
            <w:pPr>
              <w:pStyle w:val="Tabletext"/>
              <w:rPr>
                <w:b/>
                <w:szCs w:val="22"/>
                <w:lang w:val="en-GB"/>
              </w:rPr>
            </w:pPr>
            <w:r>
              <w:rPr>
                <w:b/>
                <w:szCs w:val="22"/>
                <w:lang w:val="en-GB"/>
              </w:rPr>
              <w:t>Type</w:t>
            </w:r>
            <w:r w:rsidR="008F09BF">
              <w:rPr>
                <w:b/>
                <w:szCs w:val="22"/>
                <w:lang w:val="en-GB"/>
              </w:rPr>
              <w:t xml:space="preserve"> of indicator</w:t>
            </w:r>
          </w:p>
        </w:tc>
        <w:tc>
          <w:tcPr>
            <w:tcW w:w="2693" w:type="dxa"/>
          </w:tcPr>
          <w:p w14:paraId="0360CA7B" w14:textId="2F633FD2" w:rsidR="00B24344" w:rsidRPr="001036A1" w:rsidRDefault="00B24344" w:rsidP="00B24344">
            <w:pPr>
              <w:pStyle w:val="Tabletext"/>
              <w:rPr>
                <w:b/>
                <w:szCs w:val="22"/>
                <w:lang w:val="en-GB"/>
              </w:rPr>
            </w:pPr>
            <w:r w:rsidRPr="001036A1">
              <w:rPr>
                <w:b/>
                <w:szCs w:val="22"/>
                <w:lang w:val="en-GB"/>
              </w:rPr>
              <w:t>Evidence source</w:t>
            </w:r>
          </w:p>
        </w:tc>
      </w:tr>
      <w:tr w:rsidR="00B24344" w:rsidRPr="001036A1" w14:paraId="5B81F32D" w14:textId="013FF7BA" w:rsidTr="005E57B2">
        <w:trPr>
          <w:trHeight w:val="263"/>
        </w:trPr>
        <w:tc>
          <w:tcPr>
            <w:tcW w:w="936" w:type="dxa"/>
          </w:tcPr>
          <w:p w14:paraId="555157ED" w14:textId="5D99FEEA" w:rsidR="00B24344" w:rsidRPr="001036A1" w:rsidRDefault="00B24344" w:rsidP="00B24344">
            <w:pPr>
              <w:pStyle w:val="Tabletext"/>
              <w:rPr>
                <w:szCs w:val="22"/>
                <w:lang w:val="en-GB"/>
              </w:rPr>
            </w:pPr>
            <w:r w:rsidRPr="000B7667">
              <w:t>IND 2021-111</w:t>
            </w:r>
          </w:p>
        </w:tc>
        <w:tc>
          <w:tcPr>
            <w:tcW w:w="3005" w:type="dxa"/>
          </w:tcPr>
          <w:p w14:paraId="2CA70647" w14:textId="69C4DC96" w:rsidR="00B24344" w:rsidRDefault="00B24344" w:rsidP="00B24344">
            <w:pPr>
              <w:pStyle w:val="Tabletext"/>
            </w:pPr>
            <w:r w:rsidRPr="000B7667">
              <w:t>The percentage of adults receiving drug treatment for epilepsy who had a structured review in the preceding 12 months</w:t>
            </w:r>
          </w:p>
          <w:p w14:paraId="1EA889D7" w14:textId="77D52E72" w:rsidR="00B24344" w:rsidRPr="001036A1" w:rsidRDefault="00B24344" w:rsidP="00B24344">
            <w:pPr>
              <w:pStyle w:val="Tabletext"/>
              <w:rPr>
                <w:szCs w:val="22"/>
                <w:lang w:val="en-GB"/>
              </w:rPr>
            </w:pPr>
          </w:p>
        </w:tc>
        <w:tc>
          <w:tcPr>
            <w:tcW w:w="2410" w:type="dxa"/>
          </w:tcPr>
          <w:p w14:paraId="7AFC5D10" w14:textId="77777777" w:rsidR="00B24344" w:rsidRDefault="000F07CE" w:rsidP="00B24344">
            <w:pPr>
              <w:pStyle w:val="Tabletext"/>
              <w:rPr>
                <w:szCs w:val="22"/>
                <w:lang w:val="en-GB"/>
              </w:rPr>
            </w:pPr>
            <w:r w:rsidRPr="000F07CE">
              <w:rPr>
                <w:szCs w:val="22"/>
                <w:lang w:val="en-GB"/>
              </w:rPr>
              <w:t xml:space="preserve">General practice indicator suitable for use </w:t>
            </w:r>
            <w:r w:rsidRPr="005E57B2">
              <w:rPr>
                <w:b/>
                <w:bCs/>
                <w:szCs w:val="22"/>
                <w:lang w:val="en-GB"/>
              </w:rPr>
              <w:t>in</w:t>
            </w:r>
            <w:r w:rsidRPr="000F07CE">
              <w:rPr>
                <w:szCs w:val="22"/>
                <w:lang w:val="en-GB"/>
              </w:rPr>
              <w:t xml:space="preserve"> the QOF</w:t>
            </w:r>
          </w:p>
          <w:p w14:paraId="7BCE4740" w14:textId="77777777" w:rsidR="000F07CE" w:rsidRDefault="000F07CE" w:rsidP="00B24344">
            <w:pPr>
              <w:pStyle w:val="Tabletext"/>
              <w:rPr>
                <w:szCs w:val="22"/>
                <w:lang w:val="en-GB"/>
              </w:rPr>
            </w:pPr>
          </w:p>
          <w:p w14:paraId="4CFB308A" w14:textId="3E8B29C5" w:rsidR="000F07CE" w:rsidRPr="007D6FEE" w:rsidRDefault="000F07CE" w:rsidP="00B24344">
            <w:pPr>
              <w:pStyle w:val="Tabletext"/>
              <w:rPr>
                <w:szCs w:val="22"/>
                <w:lang w:val="en-GB"/>
              </w:rPr>
            </w:pPr>
          </w:p>
        </w:tc>
        <w:tc>
          <w:tcPr>
            <w:tcW w:w="2693" w:type="dxa"/>
          </w:tcPr>
          <w:p w14:paraId="6478429E" w14:textId="0D942D1D" w:rsidR="00B24344" w:rsidRDefault="00835F0D" w:rsidP="00B24344">
            <w:pPr>
              <w:pStyle w:val="Tabletext"/>
            </w:pPr>
            <w:hyperlink r:id="rId8" w:history="1">
              <w:r w:rsidR="00B24344" w:rsidRPr="00FA7D13">
                <w:rPr>
                  <w:rStyle w:val="Hyperlink"/>
                </w:rPr>
                <w:t xml:space="preserve">Epilepsies in children, young </w:t>
              </w:r>
              <w:proofErr w:type="gramStart"/>
              <w:r w:rsidR="00B24344" w:rsidRPr="00FA7D13">
                <w:rPr>
                  <w:rStyle w:val="Hyperlink"/>
                </w:rPr>
                <w:t>people</w:t>
              </w:r>
              <w:proofErr w:type="gramEnd"/>
              <w:r w:rsidR="00B24344">
                <w:rPr>
                  <w:rStyle w:val="Hyperlink"/>
                </w:rPr>
                <w:t xml:space="preserve"> </w:t>
              </w:r>
              <w:r w:rsidR="00B24344" w:rsidRPr="00FA7D13">
                <w:rPr>
                  <w:rStyle w:val="Hyperlink"/>
                </w:rPr>
                <w:t>and adults</w:t>
              </w:r>
            </w:hyperlink>
            <w:r w:rsidR="00B24344">
              <w:t xml:space="preserve"> (2022) NICE guideline NG217 recommendations 4.5.1, 4.5.2, and 4.5.4</w:t>
            </w:r>
          </w:p>
        </w:tc>
      </w:tr>
      <w:tr w:rsidR="00B24344" w:rsidRPr="001036A1" w14:paraId="4B9F185E" w14:textId="7D7C8528" w:rsidTr="005E57B2">
        <w:trPr>
          <w:trHeight w:val="263"/>
        </w:trPr>
        <w:tc>
          <w:tcPr>
            <w:tcW w:w="936" w:type="dxa"/>
          </w:tcPr>
          <w:p w14:paraId="235AE568" w14:textId="6AD68F19" w:rsidR="00B24344" w:rsidRPr="00B341DA" w:rsidRDefault="00B24344" w:rsidP="00B24344">
            <w:pPr>
              <w:rPr>
                <w:rFonts w:ascii="Arial" w:hAnsi="Arial" w:cs="Arial"/>
                <w:sz w:val="22"/>
                <w:szCs w:val="22"/>
              </w:rPr>
            </w:pPr>
            <w:r w:rsidRPr="002B365D">
              <w:rPr>
                <w:rFonts w:ascii="Arial" w:hAnsi="Arial" w:cs="Arial"/>
                <w:sz w:val="22"/>
                <w:szCs w:val="22"/>
              </w:rPr>
              <w:t>IND 2021-112</w:t>
            </w:r>
          </w:p>
        </w:tc>
        <w:tc>
          <w:tcPr>
            <w:tcW w:w="3005" w:type="dxa"/>
          </w:tcPr>
          <w:p w14:paraId="711F9B5F" w14:textId="0361CC5B" w:rsidR="00B24344" w:rsidRPr="001036A1" w:rsidRDefault="00B24344" w:rsidP="00B24344">
            <w:pPr>
              <w:pStyle w:val="Tabletext"/>
              <w:rPr>
                <w:szCs w:val="22"/>
                <w:lang w:val="en-GB"/>
              </w:rPr>
            </w:pPr>
            <w:r w:rsidRPr="002B365D">
              <w:t>The percentage of adults with epilepsy and a learning disability who had a structured review in the preceding 12 months</w:t>
            </w:r>
          </w:p>
        </w:tc>
        <w:tc>
          <w:tcPr>
            <w:tcW w:w="2410" w:type="dxa"/>
          </w:tcPr>
          <w:p w14:paraId="7112C727" w14:textId="77777777" w:rsidR="00B24344" w:rsidRDefault="000F07CE" w:rsidP="00B24344">
            <w:pPr>
              <w:rPr>
                <w:rFonts w:ascii="Arial" w:hAnsi="Arial" w:cs="Arial"/>
                <w:sz w:val="22"/>
                <w:szCs w:val="22"/>
              </w:rPr>
            </w:pPr>
            <w:r w:rsidRPr="000F07CE">
              <w:rPr>
                <w:rFonts w:ascii="Arial" w:hAnsi="Arial" w:cs="Arial"/>
                <w:sz w:val="22"/>
                <w:szCs w:val="22"/>
              </w:rPr>
              <w:t xml:space="preserve">General practice indicator suitable for use </w:t>
            </w:r>
            <w:r w:rsidRPr="00C8596F">
              <w:rPr>
                <w:rFonts w:ascii="Arial" w:hAnsi="Arial" w:cs="Arial"/>
                <w:b/>
                <w:bCs/>
                <w:sz w:val="22"/>
                <w:szCs w:val="22"/>
              </w:rPr>
              <w:t>outside</w:t>
            </w:r>
            <w:r w:rsidRPr="000F07CE">
              <w:rPr>
                <w:rFonts w:ascii="Arial" w:hAnsi="Arial" w:cs="Arial"/>
                <w:sz w:val="22"/>
                <w:szCs w:val="22"/>
              </w:rPr>
              <w:t xml:space="preserve"> the QOF</w:t>
            </w:r>
          </w:p>
          <w:p w14:paraId="58D55A77" w14:textId="77777777" w:rsidR="000F07CE" w:rsidRDefault="000F07CE" w:rsidP="00B24344">
            <w:pPr>
              <w:rPr>
                <w:rFonts w:ascii="Arial" w:hAnsi="Arial" w:cs="Arial"/>
                <w:sz w:val="22"/>
                <w:szCs w:val="22"/>
              </w:rPr>
            </w:pPr>
          </w:p>
          <w:p w14:paraId="64988E7C" w14:textId="6B9BCEE6" w:rsidR="000F07CE" w:rsidRPr="00B341DA" w:rsidRDefault="008F09BF" w:rsidP="00B24344">
            <w:pPr>
              <w:rPr>
                <w:rFonts w:ascii="Arial" w:hAnsi="Arial" w:cs="Arial"/>
                <w:sz w:val="22"/>
                <w:szCs w:val="22"/>
              </w:rPr>
            </w:pPr>
            <w:r>
              <w:rPr>
                <w:rFonts w:ascii="Arial" w:hAnsi="Arial" w:cs="Arial"/>
                <w:sz w:val="22"/>
                <w:szCs w:val="22"/>
              </w:rPr>
              <w:t xml:space="preserve">NB: </w:t>
            </w:r>
            <w:r w:rsidR="00DE6A25" w:rsidRPr="00DE6A25">
              <w:rPr>
                <w:rFonts w:ascii="Arial" w:hAnsi="Arial" w:cs="Arial"/>
                <w:sz w:val="22"/>
                <w:szCs w:val="22"/>
              </w:rPr>
              <w:t>People with a learning disability are defined as those included on the learning disability register (LD003)</w:t>
            </w:r>
          </w:p>
        </w:tc>
        <w:tc>
          <w:tcPr>
            <w:tcW w:w="2693" w:type="dxa"/>
          </w:tcPr>
          <w:p w14:paraId="521C92B0" w14:textId="08937280" w:rsidR="00B24344" w:rsidRDefault="00835F0D" w:rsidP="00B24344">
            <w:hyperlink r:id="rId9" w:history="1">
              <w:r w:rsidR="00B24344" w:rsidRPr="002B365D">
                <w:rPr>
                  <w:rStyle w:val="Hyperlink"/>
                  <w:rFonts w:ascii="Arial" w:hAnsi="Arial" w:cs="Arial"/>
                  <w:sz w:val="22"/>
                  <w:szCs w:val="22"/>
                </w:rPr>
                <w:t xml:space="preserve">Epilepsies in children, young </w:t>
              </w:r>
              <w:proofErr w:type="gramStart"/>
              <w:r w:rsidR="00B24344" w:rsidRPr="002B365D">
                <w:rPr>
                  <w:rStyle w:val="Hyperlink"/>
                  <w:rFonts w:ascii="Arial" w:hAnsi="Arial" w:cs="Arial"/>
                  <w:sz w:val="22"/>
                  <w:szCs w:val="22"/>
                </w:rPr>
                <w:t>people</w:t>
              </w:r>
              <w:proofErr w:type="gramEnd"/>
              <w:r w:rsidR="00B24344" w:rsidRPr="002B365D">
                <w:rPr>
                  <w:rStyle w:val="Hyperlink"/>
                  <w:rFonts w:ascii="Arial" w:hAnsi="Arial" w:cs="Arial"/>
                  <w:sz w:val="22"/>
                  <w:szCs w:val="22"/>
                </w:rPr>
                <w:t xml:space="preserve"> and adults</w:t>
              </w:r>
            </w:hyperlink>
            <w:r w:rsidR="00B24344" w:rsidRPr="002B365D">
              <w:rPr>
                <w:rFonts w:ascii="Arial" w:hAnsi="Arial" w:cs="Arial"/>
                <w:sz w:val="22"/>
                <w:szCs w:val="22"/>
              </w:rPr>
              <w:t xml:space="preserve"> (2022) NICE guideline NG217 recommendations 4.5.1</w:t>
            </w:r>
            <w:r w:rsidR="00B24344">
              <w:rPr>
                <w:rFonts w:ascii="Arial" w:hAnsi="Arial" w:cs="Arial"/>
                <w:sz w:val="22"/>
                <w:szCs w:val="22"/>
              </w:rPr>
              <w:t xml:space="preserve">, </w:t>
            </w:r>
            <w:r w:rsidR="00B24344" w:rsidRPr="002B365D">
              <w:rPr>
                <w:rFonts w:ascii="Arial" w:hAnsi="Arial" w:cs="Arial"/>
                <w:sz w:val="22"/>
                <w:szCs w:val="22"/>
              </w:rPr>
              <w:t>4.5.2</w:t>
            </w:r>
            <w:r w:rsidR="00B24344">
              <w:rPr>
                <w:rFonts w:ascii="Arial" w:hAnsi="Arial" w:cs="Arial"/>
                <w:sz w:val="22"/>
                <w:szCs w:val="22"/>
              </w:rPr>
              <w:t xml:space="preserve"> and 4.5.3</w:t>
            </w:r>
          </w:p>
        </w:tc>
      </w:tr>
      <w:tr w:rsidR="00B24344" w:rsidRPr="001036A1" w14:paraId="69595CF5" w14:textId="72586556" w:rsidTr="005E57B2">
        <w:trPr>
          <w:trHeight w:val="263"/>
        </w:trPr>
        <w:tc>
          <w:tcPr>
            <w:tcW w:w="936" w:type="dxa"/>
          </w:tcPr>
          <w:p w14:paraId="3176A883" w14:textId="160FEFA6" w:rsidR="00B24344" w:rsidRPr="00B341DA" w:rsidRDefault="00B24344" w:rsidP="00B24344">
            <w:pPr>
              <w:rPr>
                <w:rFonts w:ascii="Arial" w:hAnsi="Arial" w:cs="Arial"/>
                <w:sz w:val="22"/>
                <w:szCs w:val="22"/>
              </w:rPr>
            </w:pPr>
            <w:r w:rsidRPr="002B365D">
              <w:rPr>
                <w:rFonts w:ascii="Arial" w:hAnsi="Arial" w:cs="Arial"/>
                <w:sz w:val="22"/>
                <w:szCs w:val="22"/>
              </w:rPr>
              <w:t>IND 2021-113</w:t>
            </w:r>
          </w:p>
        </w:tc>
        <w:tc>
          <w:tcPr>
            <w:tcW w:w="3005" w:type="dxa"/>
          </w:tcPr>
          <w:p w14:paraId="302B85AE" w14:textId="3727DF7C" w:rsidR="00B24344" w:rsidRPr="007831FB" w:rsidRDefault="00B24344" w:rsidP="00B24344">
            <w:pPr>
              <w:pStyle w:val="Tabletext"/>
            </w:pPr>
            <w:r w:rsidRPr="002B365D">
              <w:t>The percentage of adults with epilepsy and a mental health condition who had a structured review in the preceding 12 months</w:t>
            </w:r>
          </w:p>
        </w:tc>
        <w:tc>
          <w:tcPr>
            <w:tcW w:w="2410" w:type="dxa"/>
          </w:tcPr>
          <w:p w14:paraId="70C5C747" w14:textId="77777777" w:rsidR="00B24344" w:rsidRDefault="00DE6A25" w:rsidP="00B24344">
            <w:pPr>
              <w:rPr>
                <w:rFonts w:ascii="Arial" w:hAnsi="Arial" w:cs="Arial"/>
                <w:sz w:val="22"/>
                <w:szCs w:val="22"/>
              </w:rPr>
            </w:pPr>
            <w:r w:rsidRPr="00DE6A25">
              <w:rPr>
                <w:rFonts w:ascii="Arial" w:hAnsi="Arial" w:cs="Arial"/>
                <w:sz w:val="22"/>
                <w:szCs w:val="22"/>
              </w:rPr>
              <w:t xml:space="preserve">General practice indicator suitable for use </w:t>
            </w:r>
            <w:r w:rsidRPr="00C8596F">
              <w:rPr>
                <w:rFonts w:ascii="Arial" w:hAnsi="Arial" w:cs="Arial"/>
                <w:b/>
                <w:bCs/>
                <w:sz w:val="22"/>
                <w:szCs w:val="22"/>
              </w:rPr>
              <w:t xml:space="preserve">outside </w:t>
            </w:r>
            <w:r w:rsidRPr="00DE6A25">
              <w:rPr>
                <w:rFonts w:ascii="Arial" w:hAnsi="Arial" w:cs="Arial"/>
                <w:sz w:val="22"/>
                <w:szCs w:val="22"/>
              </w:rPr>
              <w:t>the QOF</w:t>
            </w:r>
          </w:p>
          <w:p w14:paraId="79022E7D" w14:textId="77777777" w:rsidR="008F09BF" w:rsidRDefault="008F09BF" w:rsidP="00B24344">
            <w:pPr>
              <w:rPr>
                <w:rFonts w:ascii="Arial" w:hAnsi="Arial" w:cs="Arial"/>
                <w:sz w:val="22"/>
                <w:szCs w:val="22"/>
              </w:rPr>
            </w:pPr>
          </w:p>
          <w:p w14:paraId="10B420C2" w14:textId="262E1EA2" w:rsidR="008F09BF" w:rsidRPr="00B341DA" w:rsidRDefault="008F09BF" w:rsidP="00B24344">
            <w:pPr>
              <w:rPr>
                <w:rFonts w:ascii="Arial" w:hAnsi="Arial" w:cs="Arial"/>
                <w:sz w:val="22"/>
                <w:szCs w:val="22"/>
              </w:rPr>
            </w:pPr>
            <w:r>
              <w:rPr>
                <w:rFonts w:ascii="Arial" w:hAnsi="Arial" w:cs="Arial"/>
                <w:sz w:val="22"/>
                <w:szCs w:val="22"/>
              </w:rPr>
              <w:t xml:space="preserve">NB: </w:t>
            </w:r>
            <w:r w:rsidRPr="008F09BF">
              <w:rPr>
                <w:rFonts w:ascii="Arial" w:hAnsi="Arial" w:cs="Arial"/>
                <w:sz w:val="22"/>
                <w:szCs w:val="22"/>
              </w:rPr>
              <w:t xml:space="preserve">Mental health condition is defined as schizophrenia, bipolar affective </w:t>
            </w:r>
            <w:proofErr w:type="gramStart"/>
            <w:r w:rsidRPr="008F09BF">
              <w:rPr>
                <w:rFonts w:ascii="Arial" w:hAnsi="Arial" w:cs="Arial"/>
                <w:sz w:val="22"/>
                <w:szCs w:val="22"/>
              </w:rPr>
              <w:t>disorder</w:t>
            </w:r>
            <w:proofErr w:type="gramEnd"/>
            <w:r w:rsidRPr="008F09BF">
              <w:rPr>
                <w:rFonts w:ascii="Arial" w:hAnsi="Arial" w:cs="Arial"/>
                <w:sz w:val="22"/>
                <w:szCs w:val="22"/>
              </w:rPr>
              <w:t xml:space="preserve"> and other psychoses (MH001 register)</w:t>
            </w:r>
          </w:p>
        </w:tc>
        <w:tc>
          <w:tcPr>
            <w:tcW w:w="2693" w:type="dxa"/>
          </w:tcPr>
          <w:p w14:paraId="1B9C5E7C" w14:textId="77777777" w:rsidR="00B24344" w:rsidRDefault="00835F0D" w:rsidP="00B24344">
            <w:pPr>
              <w:rPr>
                <w:rFonts w:ascii="Arial" w:hAnsi="Arial" w:cs="Arial"/>
                <w:sz w:val="22"/>
                <w:szCs w:val="22"/>
              </w:rPr>
            </w:pPr>
            <w:hyperlink r:id="rId10" w:history="1">
              <w:r w:rsidR="00B24344" w:rsidRPr="002B365D">
                <w:rPr>
                  <w:rStyle w:val="Hyperlink"/>
                  <w:rFonts w:ascii="Arial" w:hAnsi="Arial" w:cs="Arial"/>
                  <w:sz w:val="22"/>
                  <w:szCs w:val="22"/>
                </w:rPr>
                <w:t xml:space="preserve">Epilepsies in children, young </w:t>
              </w:r>
              <w:proofErr w:type="gramStart"/>
              <w:r w:rsidR="00B24344" w:rsidRPr="002B365D">
                <w:rPr>
                  <w:rStyle w:val="Hyperlink"/>
                  <w:rFonts w:ascii="Arial" w:hAnsi="Arial" w:cs="Arial"/>
                  <w:sz w:val="22"/>
                  <w:szCs w:val="22"/>
                </w:rPr>
                <w:t>people</w:t>
              </w:r>
              <w:proofErr w:type="gramEnd"/>
              <w:r w:rsidR="00B24344" w:rsidRPr="002B365D">
                <w:rPr>
                  <w:rStyle w:val="Hyperlink"/>
                  <w:rFonts w:ascii="Arial" w:hAnsi="Arial" w:cs="Arial"/>
                  <w:sz w:val="22"/>
                  <w:szCs w:val="22"/>
                </w:rPr>
                <w:t xml:space="preserve"> and adults</w:t>
              </w:r>
            </w:hyperlink>
            <w:r w:rsidR="00B24344" w:rsidRPr="002B365D">
              <w:rPr>
                <w:rFonts w:ascii="Arial" w:hAnsi="Arial" w:cs="Arial"/>
                <w:sz w:val="22"/>
                <w:szCs w:val="22"/>
              </w:rPr>
              <w:t xml:space="preserve"> (2022) NICE guideline NG217 recommendations 4.5.1</w:t>
            </w:r>
            <w:r w:rsidR="00B24344">
              <w:rPr>
                <w:rFonts w:ascii="Arial" w:hAnsi="Arial" w:cs="Arial"/>
                <w:sz w:val="22"/>
                <w:szCs w:val="22"/>
              </w:rPr>
              <w:t xml:space="preserve">, </w:t>
            </w:r>
            <w:r w:rsidR="00B24344" w:rsidRPr="002B365D">
              <w:rPr>
                <w:rFonts w:ascii="Arial" w:hAnsi="Arial" w:cs="Arial"/>
                <w:sz w:val="22"/>
                <w:szCs w:val="22"/>
              </w:rPr>
              <w:t>4.5.2</w:t>
            </w:r>
            <w:r w:rsidR="00B24344">
              <w:rPr>
                <w:rFonts w:ascii="Arial" w:hAnsi="Arial" w:cs="Arial"/>
                <w:sz w:val="22"/>
                <w:szCs w:val="22"/>
              </w:rPr>
              <w:t xml:space="preserve"> and 4.5.3</w:t>
            </w:r>
          </w:p>
          <w:p w14:paraId="58E1878C" w14:textId="77777777" w:rsidR="00B24344" w:rsidRDefault="00B24344" w:rsidP="00B24344">
            <w:pPr>
              <w:rPr>
                <w:rFonts w:ascii="Arial" w:hAnsi="Arial" w:cs="Arial"/>
                <w:sz w:val="22"/>
                <w:szCs w:val="22"/>
              </w:rPr>
            </w:pPr>
          </w:p>
          <w:p w14:paraId="5F19F128" w14:textId="77777777" w:rsidR="00B24344" w:rsidRDefault="00835F0D" w:rsidP="00B24344">
            <w:pPr>
              <w:rPr>
                <w:rFonts w:ascii="Arial" w:hAnsi="Arial" w:cs="Arial"/>
                <w:sz w:val="22"/>
                <w:szCs w:val="22"/>
              </w:rPr>
            </w:pPr>
            <w:hyperlink r:id="rId11" w:history="1">
              <w:r w:rsidR="00B24344" w:rsidRPr="00C06774">
                <w:rPr>
                  <w:rStyle w:val="Hyperlink"/>
                  <w:rFonts w:ascii="Arial" w:hAnsi="Arial" w:cs="Arial"/>
                  <w:sz w:val="22"/>
                  <w:szCs w:val="22"/>
                </w:rPr>
                <w:t>Psychosis and schizophrenia in adults: prevention and management</w:t>
              </w:r>
            </w:hyperlink>
            <w:r w:rsidR="00B24344">
              <w:rPr>
                <w:rFonts w:ascii="Arial" w:hAnsi="Arial" w:cs="Arial"/>
                <w:sz w:val="22"/>
                <w:szCs w:val="22"/>
              </w:rPr>
              <w:t xml:space="preserve"> (2014) NICE guideline CG178 recommendations 1.5.3.1 and 1.5.3.2</w:t>
            </w:r>
          </w:p>
          <w:p w14:paraId="01456992" w14:textId="77777777" w:rsidR="00B24344" w:rsidRDefault="00B24344" w:rsidP="00B24344">
            <w:pPr>
              <w:rPr>
                <w:rFonts w:ascii="Arial" w:hAnsi="Arial" w:cs="Arial"/>
                <w:sz w:val="22"/>
                <w:szCs w:val="22"/>
              </w:rPr>
            </w:pPr>
          </w:p>
          <w:p w14:paraId="476F8E1B" w14:textId="5EEFB7F1" w:rsidR="00B24344" w:rsidRDefault="00835F0D" w:rsidP="00B24344">
            <w:hyperlink r:id="rId12" w:history="1">
              <w:r w:rsidR="00B24344" w:rsidRPr="00C06774">
                <w:rPr>
                  <w:rStyle w:val="Hyperlink"/>
                  <w:rFonts w:ascii="Arial" w:hAnsi="Arial" w:cs="Arial"/>
                  <w:sz w:val="22"/>
                  <w:szCs w:val="22"/>
                </w:rPr>
                <w:t>Bipolar disorder: assessment and management</w:t>
              </w:r>
            </w:hyperlink>
            <w:r w:rsidR="00B24344">
              <w:rPr>
                <w:rFonts w:ascii="Arial" w:hAnsi="Arial" w:cs="Arial"/>
                <w:sz w:val="22"/>
                <w:szCs w:val="22"/>
              </w:rPr>
              <w:t xml:space="preserve"> (2014, updated 2020) NICE guideline CG185 recommendations 1.2.10 and 1.2.11</w:t>
            </w:r>
          </w:p>
        </w:tc>
      </w:tr>
    </w:tbl>
    <w:p w14:paraId="10C223D8" w14:textId="77777777" w:rsidR="00BF24FE" w:rsidRDefault="00BF24FE">
      <w:pPr>
        <w:rPr>
          <w:rFonts w:ascii="Arial" w:hAnsi="Arial" w:cs="Arial"/>
          <w:b/>
          <w:bCs/>
          <w:kern w:val="32"/>
          <w:sz w:val="28"/>
          <w:szCs w:val="28"/>
        </w:rPr>
      </w:pPr>
      <w:r>
        <w:rPr>
          <w:rFonts w:cs="Arial"/>
          <w:szCs w:val="28"/>
        </w:rPr>
        <w:br w:type="page"/>
      </w:r>
    </w:p>
    <w:p w14:paraId="37A22415" w14:textId="457E07BD" w:rsidR="00FE12CE" w:rsidRDefault="00FE12CE" w:rsidP="00FE12CE">
      <w:pPr>
        <w:pStyle w:val="Heading1"/>
      </w:pPr>
      <w:bookmarkStart w:id="9" w:name="_Toc104460274"/>
      <w:bookmarkStart w:id="10" w:name="_Toc418246137"/>
      <w:r>
        <w:lastRenderedPageBreak/>
        <w:t>General comments</w:t>
      </w:r>
      <w:bookmarkEnd w:id="9"/>
      <w:r>
        <w:t xml:space="preserve"> </w:t>
      </w:r>
    </w:p>
    <w:p w14:paraId="0EFBC630" w14:textId="614D94C8" w:rsidR="00FE12CE" w:rsidRDefault="00697BA3" w:rsidP="00EC364C">
      <w:pPr>
        <w:pStyle w:val="Bullets"/>
      </w:pPr>
      <w:r>
        <w:t>Medication reviews do not have to be carried out in general practice if the person’s care is managed in secondary care</w:t>
      </w:r>
    </w:p>
    <w:p w14:paraId="6B93D78C" w14:textId="6EC7C3A2" w:rsidR="008A50A5" w:rsidRDefault="008A50A5" w:rsidP="008A50A5">
      <w:pPr>
        <w:pStyle w:val="Bullets"/>
      </w:pPr>
      <w:r>
        <w:t>Combining health checks into the same appointment is an important resource consideration</w:t>
      </w:r>
    </w:p>
    <w:p w14:paraId="3E3276B8" w14:textId="00A900B0" w:rsidR="008A50A5" w:rsidRDefault="008A50A5" w:rsidP="008A50A5">
      <w:pPr>
        <w:pStyle w:val="Bullets"/>
      </w:pPr>
      <w:r>
        <w:t>The needs of people with a learning disability were highlighted as was the importance of ensuring they are not excluded</w:t>
      </w:r>
    </w:p>
    <w:p w14:paraId="60E95576" w14:textId="6E8C0387" w:rsidR="009611C3" w:rsidRDefault="003246F7" w:rsidP="008A50A5">
      <w:pPr>
        <w:pStyle w:val="Bullets"/>
      </w:pPr>
      <w:r>
        <w:t xml:space="preserve">Concern that </w:t>
      </w:r>
      <w:r w:rsidR="00FC3D9C">
        <w:t>the current QOF incentivises check-ups based on an artificial calendar rather than the needs of the person</w:t>
      </w:r>
      <w:r w:rsidR="007C64DC">
        <w:t xml:space="preserve">. </w:t>
      </w:r>
      <w:r>
        <w:t>S</w:t>
      </w:r>
      <w:r w:rsidR="007C64DC">
        <w:t xml:space="preserve">uggested that </w:t>
      </w:r>
      <w:r>
        <w:t xml:space="preserve">it </w:t>
      </w:r>
      <w:r w:rsidR="00051FF0">
        <w:t>should</w:t>
      </w:r>
      <w:r w:rsidR="007C64DC">
        <w:t xml:space="preserve"> be reviewed to focus on health inequalities</w:t>
      </w:r>
      <w:r w:rsidR="00D13781">
        <w:t>, quality improvement</w:t>
      </w:r>
      <w:r w:rsidR="007C64DC">
        <w:t xml:space="preserve"> and </w:t>
      </w:r>
      <w:r w:rsidR="00D13781">
        <w:t xml:space="preserve">to </w:t>
      </w:r>
      <w:r w:rsidR="007C64DC">
        <w:t>prioritise workload</w:t>
      </w:r>
    </w:p>
    <w:p w14:paraId="5E782D77" w14:textId="0C70369A" w:rsidR="000450C7" w:rsidRPr="008F09BF" w:rsidRDefault="007323B9" w:rsidP="00F875C1">
      <w:pPr>
        <w:pStyle w:val="Bullets"/>
      </w:pPr>
      <w:r w:rsidRPr="008F09BF">
        <w:t xml:space="preserve">The current QOF indicator for a register of adults receiving drug treatment for epilepsy (EP001) should be expanded to include children and young people. This </w:t>
      </w:r>
      <w:r w:rsidR="00AD0DD4" w:rsidRPr="008F09BF">
        <w:t>would</w:t>
      </w:r>
      <w:r w:rsidRPr="008F09BF">
        <w:t xml:space="preserve"> ensure that epilepsy prevalence can inform </w:t>
      </w:r>
      <w:r w:rsidR="00FA7EA2" w:rsidRPr="008F09BF">
        <w:t xml:space="preserve">service </w:t>
      </w:r>
      <w:r w:rsidRPr="008F09BF">
        <w:t>planning including the role of primary care in prescribing for people with epilepsy of all ages</w:t>
      </w:r>
    </w:p>
    <w:p w14:paraId="740A7BC6" w14:textId="14670B2D" w:rsidR="00FE12CE" w:rsidRPr="00D948CA" w:rsidRDefault="00FE12CE" w:rsidP="00FE12CE">
      <w:pPr>
        <w:pStyle w:val="Heading2"/>
      </w:pPr>
      <w:bookmarkStart w:id="11" w:name="_Toc103171272"/>
      <w:r w:rsidRPr="00D948CA">
        <w:t>Considerations for the advisory committee</w:t>
      </w:r>
      <w:bookmarkEnd w:id="11"/>
      <w:r w:rsidRPr="00D948CA">
        <w:t xml:space="preserve"> </w:t>
      </w:r>
    </w:p>
    <w:p w14:paraId="00212ACF" w14:textId="5522CF9F" w:rsidR="00CD34DC" w:rsidRDefault="00CD34DC" w:rsidP="00FE12CE">
      <w:pPr>
        <w:pStyle w:val="Bullets"/>
      </w:pPr>
      <w:r>
        <w:t>Are there concerns about overlap between primary and secondary care?</w:t>
      </w:r>
    </w:p>
    <w:p w14:paraId="51874C27" w14:textId="5085DE59" w:rsidR="00FE12CE" w:rsidRDefault="00D948CA" w:rsidP="00FE12CE">
      <w:pPr>
        <w:pStyle w:val="Bullets"/>
      </w:pPr>
      <w:r>
        <w:t>Do these indicators reflect current system priorities?</w:t>
      </w:r>
    </w:p>
    <w:p w14:paraId="1F16E25A" w14:textId="455631F3" w:rsidR="000D47F7" w:rsidRPr="00C52C0B" w:rsidRDefault="000D47F7" w:rsidP="00C52C0B">
      <w:pPr>
        <w:pStyle w:val="Bullets"/>
      </w:pPr>
      <w:r w:rsidRPr="00C52C0B">
        <w:t>Is there value in considering additional/amended epilepsy indicators</w:t>
      </w:r>
      <w:r w:rsidR="00C52C0B" w:rsidRPr="00C52C0B">
        <w:t xml:space="preserve"> to include </w:t>
      </w:r>
      <w:r w:rsidRPr="00C52C0B">
        <w:t>children and young people with epilepsy</w:t>
      </w:r>
      <w:r w:rsidR="00C52C0B" w:rsidRPr="00C52C0B">
        <w:t>?</w:t>
      </w:r>
    </w:p>
    <w:p w14:paraId="7DE496E7" w14:textId="77777777" w:rsidR="00FE12CE" w:rsidRDefault="00FE12CE">
      <w:pPr>
        <w:rPr>
          <w:rFonts w:ascii="Arial" w:hAnsi="Arial"/>
          <w:b/>
          <w:bCs/>
          <w:sz w:val="28"/>
          <w:szCs w:val="28"/>
        </w:rPr>
      </w:pPr>
      <w:r>
        <w:rPr>
          <w:sz w:val="28"/>
          <w:szCs w:val="28"/>
        </w:rPr>
        <w:br w:type="page"/>
      </w:r>
    </w:p>
    <w:p w14:paraId="02E5DF0D" w14:textId="1B0E819E" w:rsidR="00F87E9D" w:rsidRPr="00E8632C" w:rsidRDefault="009E31E9" w:rsidP="00FE12CE">
      <w:pPr>
        <w:pStyle w:val="Heading1"/>
      </w:pPr>
      <w:bookmarkStart w:id="12" w:name="_Toc104460275"/>
      <w:r w:rsidRPr="009E31E9">
        <w:lastRenderedPageBreak/>
        <w:t>IND 2021-11</w:t>
      </w:r>
      <w:r>
        <w:t>1</w:t>
      </w:r>
      <w:r w:rsidR="005143BA">
        <w:t xml:space="preserve"> </w:t>
      </w:r>
      <w:bookmarkEnd w:id="10"/>
      <w:r w:rsidRPr="009E31E9">
        <w:t>Epilepsy: annual review for all people receiving drug treatment</w:t>
      </w:r>
      <w:bookmarkEnd w:id="12"/>
    </w:p>
    <w:p w14:paraId="55429D1A" w14:textId="6F837CE4" w:rsidR="00154516" w:rsidRDefault="009E31E9" w:rsidP="00C74D07">
      <w:pPr>
        <w:pStyle w:val="Paragraph"/>
        <w:rPr>
          <w:i/>
        </w:rPr>
      </w:pPr>
      <w:r w:rsidRPr="009E31E9">
        <w:rPr>
          <w:i/>
        </w:rPr>
        <w:t xml:space="preserve">The percentage of adults receiving drug treatment for epilepsy who had a structured review in the preceding 12 months </w:t>
      </w:r>
    </w:p>
    <w:p w14:paraId="7B4C02A0" w14:textId="3EAC1615" w:rsidR="00907DF5" w:rsidRPr="003D5D5A" w:rsidRDefault="00C0570D" w:rsidP="00FE12CE">
      <w:pPr>
        <w:pStyle w:val="Heading2"/>
      </w:pPr>
      <w:bookmarkStart w:id="13" w:name="_Toc103171274"/>
      <w:r w:rsidRPr="00FE12CE">
        <w:t>Rationale</w:t>
      </w:r>
      <w:bookmarkEnd w:id="13"/>
    </w:p>
    <w:p w14:paraId="09D90D3F" w14:textId="4C947FA3" w:rsidR="00736448" w:rsidRDefault="009E31E9" w:rsidP="004E4C4B">
      <w:pPr>
        <w:pStyle w:val="Paragraph"/>
      </w:pPr>
      <w:r w:rsidRPr="009E31E9">
        <w:rPr>
          <w:rFonts w:cs="Arial"/>
        </w:rPr>
        <w:t>Epilepsy is a common neurological disorder characterised by recurring seizures. Regular reviews are important to support treatment monitoring and personalised care. Treatment should be reviewed at regular intervals to ensure that adults with epilepsy are not maintained for long periods on treatment that is ineffective or poorly tolerated. Optimal management improves health and wellbeing outcomes and can also help to minimise impacts on social, educational and employment activity.</w:t>
      </w:r>
    </w:p>
    <w:p w14:paraId="33578256" w14:textId="4EDB58CB" w:rsidR="003D5D5A" w:rsidRPr="00AF5D31" w:rsidRDefault="00C0570D" w:rsidP="00FE12CE">
      <w:pPr>
        <w:pStyle w:val="Heading2"/>
      </w:pPr>
      <w:bookmarkStart w:id="14" w:name="_Toc103171275"/>
      <w:r>
        <w:t>Summary of consultation comments</w:t>
      </w:r>
      <w:bookmarkEnd w:id="14"/>
    </w:p>
    <w:p w14:paraId="264C2B98" w14:textId="50CF508D" w:rsidR="00CB5743" w:rsidRDefault="00CB5743" w:rsidP="004F1B4F">
      <w:pPr>
        <w:pStyle w:val="Bullets"/>
      </w:pPr>
      <w:r>
        <w:t>Some support for the indicator to replace the epilepsy review indicator that was removed from QOF in 2013</w:t>
      </w:r>
    </w:p>
    <w:p w14:paraId="33170FDB" w14:textId="785D171A" w:rsidR="006142DA" w:rsidRDefault="00960337" w:rsidP="004F1B4F">
      <w:pPr>
        <w:pStyle w:val="Bullets"/>
      </w:pPr>
      <w:r>
        <w:t>Concern that</w:t>
      </w:r>
      <w:r w:rsidR="00676FF1">
        <w:t xml:space="preserve"> the indicator may not be implemented unless it is mandated and incentivised due to pressure on appointments in primary care</w:t>
      </w:r>
    </w:p>
    <w:p w14:paraId="2EF368E9" w14:textId="1FBA093B" w:rsidR="00B022D7" w:rsidRDefault="00B022D7" w:rsidP="004F1B4F">
      <w:pPr>
        <w:pStyle w:val="Bullets"/>
      </w:pPr>
      <w:r>
        <w:t xml:space="preserve">If </w:t>
      </w:r>
      <w:r w:rsidR="00571209">
        <w:t xml:space="preserve">this </w:t>
      </w:r>
      <w:r>
        <w:t>is more than a structured medication review it may be difficult to accommodate given the current pressures in primary care</w:t>
      </w:r>
    </w:p>
    <w:p w14:paraId="71BEE89F" w14:textId="77777777" w:rsidR="00EA4D2E" w:rsidRDefault="00EA4D2E" w:rsidP="00EA4D2E">
      <w:pPr>
        <w:pStyle w:val="Bullets"/>
      </w:pPr>
      <w:r>
        <w:t>The review should include mental health screening and referral as mental health conditions are under diagnosed in people with epilepsy and have a significant impact on health-related quality of life. Mental health conditions can impact on drug concordance, engagement with services and suicide risk</w:t>
      </w:r>
    </w:p>
    <w:p w14:paraId="209BCB6A" w14:textId="38F486FF" w:rsidR="002B50BC" w:rsidRPr="002B50BC" w:rsidRDefault="002B50BC" w:rsidP="002B50BC">
      <w:pPr>
        <w:pStyle w:val="Bullets"/>
      </w:pPr>
      <w:r w:rsidRPr="002B50BC">
        <w:t>The denominator should be extended to include children and young people or as a minimum under 18’s who have transitioned to adult services (1 in 3 young people transition to adult services at</w:t>
      </w:r>
      <w:r w:rsidR="00FE748F">
        <w:t xml:space="preserve"> age </w:t>
      </w:r>
      <w:r w:rsidRPr="002B50BC">
        <w:t xml:space="preserve">16) </w:t>
      </w:r>
    </w:p>
    <w:p w14:paraId="39C2C129" w14:textId="4D115A28" w:rsidR="005C566C" w:rsidRDefault="00EA4D2E" w:rsidP="00990BA8">
      <w:pPr>
        <w:pStyle w:val="Bullets"/>
      </w:pPr>
      <w:r>
        <w:t xml:space="preserve">There is </w:t>
      </w:r>
      <w:r w:rsidR="005C566C">
        <w:t xml:space="preserve">potential to reduce health inequalities if </w:t>
      </w:r>
      <w:r>
        <w:t>the indicator</w:t>
      </w:r>
      <w:r w:rsidR="005C566C">
        <w:t xml:space="preserve"> can improve access for groups that are less likely to attend and are at a higher risk of mortality and morbidity from epilepsy</w:t>
      </w:r>
      <w:r w:rsidR="00F50D35">
        <w:t xml:space="preserve">. </w:t>
      </w:r>
      <w:r>
        <w:t>I</w:t>
      </w:r>
      <w:r w:rsidR="005C566C">
        <w:t xml:space="preserve">nvitations and appointments </w:t>
      </w:r>
      <w:r>
        <w:t xml:space="preserve">should be </w:t>
      </w:r>
      <w:r w:rsidR="0008156B">
        <w:t xml:space="preserve">widely </w:t>
      </w:r>
      <w:r w:rsidR="005C566C">
        <w:t>accessible</w:t>
      </w:r>
    </w:p>
    <w:p w14:paraId="322FA56B" w14:textId="3D7F8F54" w:rsidR="001B5300" w:rsidRDefault="00501679" w:rsidP="003A57A5">
      <w:pPr>
        <w:pStyle w:val="Bullets"/>
      </w:pPr>
      <w:r>
        <w:t xml:space="preserve">A positive impact on pregnancy and maternity outcomes is likely as </w:t>
      </w:r>
      <w:r w:rsidR="0053191C">
        <w:t>information and advice can be given and there can be</w:t>
      </w:r>
      <w:r>
        <w:t xml:space="preserve"> timely referral for preconceptual counselling and active management during pregnancy</w:t>
      </w:r>
    </w:p>
    <w:p w14:paraId="4733E64C" w14:textId="53C4215A" w:rsidR="00844032" w:rsidRDefault="00844032" w:rsidP="00FE12CE">
      <w:pPr>
        <w:pStyle w:val="Heading2"/>
      </w:pPr>
      <w:bookmarkStart w:id="15" w:name="_Toc103171276"/>
      <w:r w:rsidRPr="00E8632C">
        <w:t xml:space="preserve">Specific </w:t>
      </w:r>
      <w:r w:rsidR="00762D25">
        <w:t>question/s</w:t>
      </w:r>
      <w:r w:rsidRPr="00E8632C">
        <w:t xml:space="preserve"> </w:t>
      </w:r>
      <w:r w:rsidR="00BF1474">
        <w:t>included at</w:t>
      </w:r>
      <w:r w:rsidRPr="00E8632C">
        <w:t xml:space="preserve"> consultation</w:t>
      </w:r>
      <w:bookmarkEnd w:id="15"/>
    </w:p>
    <w:p w14:paraId="2D16D797" w14:textId="0F7B4967" w:rsidR="00844032" w:rsidRPr="00844032" w:rsidRDefault="00560D68" w:rsidP="000730AC">
      <w:pPr>
        <w:pStyle w:val="ListParagraph"/>
        <w:numPr>
          <w:ilvl w:val="0"/>
          <w:numId w:val="23"/>
        </w:numPr>
        <w:spacing w:before="240" w:after="240" w:line="276" w:lineRule="auto"/>
        <w:ind w:left="357" w:hanging="357"/>
        <w:rPr>
          <w:rFonts w:ascii="Arial" w:hAnsi="Arial"/>
        </w:rPr>
      </w:pPr>
      <w:r w:rsidRPr="00560D68">
        <w:rPr>
          <w:rFonts w:ascii="Arial" w:hAnsi="Arial" w:cs="Arial"/>
        </w:rPr>
        <w:t xml:space="preserve">The NICE epilepsy guideline is currently being updated and the draft recommendations indicate that annual reviews are a priority for those taking antiseizure medications associated with long-term side effects or drug interactions. This indicator has been developed as a pragmatic approach that </w:t>
      </w:r>
      <w:r w:rsidRPr="00560D68">
        <w:rPr>
          <w:rFonts w:ascii="Arial" w:hAnsi="Arial" w:cs="Arial"/>
        </w:rPr>
        <w:lastRenderedPageBreak/>
        <w:t>could use the existing register currently within QOF (EP001).  Would an indicator on annual review for all adults receiving drug treatment for epilepsy be a pragmatic and acceptable approach for quality improvement purposes? Please explain your answer.</w:t>
      </w:r>
      <w:r w:rsidR="005A576F">
        <w:rPr>
          <w:rFonts w:ascii="Arial" w:hAnsi="Arial" w:cs="Arial"/>
        </w:rPr>
        <w:t xml:space="preserve"> </w:t>
      </w:r>
    </w:p>
    <w:p w14:paraId="4875E413" w14:textId="0313A401" w:rsidR="005A576F" w:rsidRDefault="0023581C" w:rsidP="0008156B">
      <w:pPr>
        <w:pStyle w:val="Bullets"/>
      </w:pPr>
      <w:proofErr w:type="gramStart"/>
      <w:r>
        <w:t>The majority of</w:t>
      </w:r>
      <w:proofErr w:type="gramEnd"/>
      <w:r>
        <w:t xml:space="preserve"> stakeholders felt that th</w:t>
      </w:r>
      <w:r w:rsidR="00FF3F10">
        <w:t xml:space="preserve">e approach </w:t>
      </w:r>
      <w:r>
        <w:t xml:space="preserve">was </w:t>
      </w:r>
      <w:r w:rsidR="00FF3F10">
        <w:t xml:space="preserve">acceptable providing the content of the review </w:t>
      </w:r>
      <w:r w:rsidR="008D65BD">
        <w:t>is meaningful</w:t>
      </w:r>
      <w:r w:rsidR="00957F58">
        <w:t xml:space="preserve"> and supports improved outcomes</w:t>
      </w:r>
      <w:r w:rsidR="00084921">
        <w:t xml:space="preserve"> including mitigating </w:t>
      </w:r>
      <w:r w:rsidR="00F715C1">
        <w:t xml:space="preserve">epilepsy </w:t>
      </w:r>
      <w:r w:rsidR="00084921">
        <w:t>risk and reducing avoidable deaths</w:t>
      </w:r>
    </w:p>
    <w:p w14:paraId="24B72CA1" w14:textId="17EBB4BD" w:rsidR="00036B85" w:rsidRDefault="0023581C" w:rsidP="0008156B">
      <w:pPr>
        <w:pStyle w:val="Bullets"/>
      </w:pPr>
      <w:r>
        <w:t>However, some felt that g</w:t>
      </w:r>
      <w:r w:rsidR="00F715C1">
        <w:t>iven the pressures in primary care, t</w:t>
      </w:r>
      <w:r w:rsidR="004D24AC">
        <w:t xml:space="preserve">he indicator is acceptable </w:t>
      </w:r>
      <w:r>
        <w:t xml:space="preserve">only </w:t>
      </w:r>
      <w:r w:rsidR="004D24AC">
        <w:t xml:space="preserve">if it refers to a medication review </w:t>
      </w:r>
      <w:r w:rsidR="00F715C1">
        <w:t xml:space="preserve">as these are </w:t>
      </w:r>
      <w:r w:rsidR="004D24AC">
        <w:t xml:space="preserve">already in place for people </w:t>
      </w:r>
      <w:r w:rsidR="00084921">
        <w:t xml:space="preserve">taking </w:t>
      </w:r>
      <w:r w:rsidR="004D24AC">
        <w:t>long</w:t>
      </w:r>
      <w:r w:rsidR="00EA4D2E">
        <w:t>-</w:t>
      </w:r>
      <w:r w:rsidR="004D24AC">
        <w:t>term medication</w:t>
      </w:r>
    </w:p>
    <w:p w14:paraId="24BF1951" w14:textId="27209C3F" w:rsidR="002C7316" w:rsidRDefault="002D2FD2" w:rsidP="00FE12CE">
      <w:pPr>
        <w:pStyle w:val="Heading2"/>
      </w:pPr>
      <w:bookmarkStart w:id="16" w:name="_Toc103171277"/>
      <w:r w:rsidRPr="002D2FD2">
        <w:t xml:space="preserve">Considerations for the </w:t>
      </w:r>
      <w:r w:rsidR="0002231A">
        <w:t>a</w:t>
      </w:r>
      <w:r w:rsidRPr="002D2FD2">
        <w:t xml:space="preserve">dvisory </w:t>
      </w:r>
      <w:r w:rsidR="0002231A">
        <w:t>c</w:t>
      </w:r>
      <w:r w:rsidRPr="002D2FD2">
        <w:t>ommittee</w:t>
      </w:r>
      <w:bookmarkEnd w:id="16"/>
    </w:p>
    <w:p w14:paraId="51A3F6D0" w14:textId="77777777" w:rsidR="007067D1" w:rsidRPr="00241410" w:rsidRDefault="007067D1" w:rsidP="007067D1">
      <w:pPr>
        <w:pStyle w:val="Paragraphnonumbers"/>
      </w:pPr>
      <w:r>
        <w:t>The c</w:t>
      </w:r>
      <w:r w:rsidRPr="00241410">
        <w:t>ommittee is asked to consider:</w:t>
      </w:r>
    </w:p>
    <w:p w14:paraId="3A02C862" w14:textId="6A2C033E" w:rsidR="00883721" w:rsidRDefault="00450808" w:rsidP="00FC373B">
      <w:pPr>
        <w:pStyle w:val="ListParagraph"/>
        <w:numPr>
          <w:ilvl w:val="0"/>
          <w:numId w:val="23"/>
        </w:numPr>
        <w:spacing w:line="276" w:lineRule="auto"/>
        <w:rPr>
          <w:rFonts w:ascii="Arial" w:hAnsi="Arial"/>
        </w:rPr>
      </w:pPr>
      <w:r>
        <w:rPr>
          <w:rFonts w:ascii="Arial" w:hAnsi="Arial"/>
        </w:rPr>
        <w:t xml:space="preserve">Mixed views among stakeholders on whether this should be a </w:t>
      </w:r>
      <w:r w:rsidR="004D478B">
        <w:rPr>
          <w:rFonts w:ascii="Arial" w:hAnsi="Arial"/>
        </w:rPr>
        <w:t xml:space="preserve">medication review </w:t>
      </w:r>
      <w:r>
        <w:rPr>
          <w:rFonts w:ascii="Arial" w:hAnsi="Arial"/>
        </w:rPr>
        <w:t xml:space="preserve">or </w:t>
      </w:r>
      <w:r w:rsidR="004D478B">
        <w:rPr>
          <w:rFonts w:ascii="Arial" w:hAnsi="Arial"/>
        </w:rPr>
        <w:t>a wider structured review</w:t>
      </w:r>
    </w:p>
    <w:p w14:paraId="10F462B1" w14:textId="4A696A2A" w:rsidR="00FE573C" w:rsidRDefault="00F91CB8" w:rsidP="00FC373B">
      <w:pPr>
        <w:pStyle w:val="ListParagraph"/>
        <w:numPr>
          <w:ilvl w:val="0"/>
          <w:numId w:val="23"/>
        </w:numPr>
        <w:spacing w:line="276" w:lineRule="auto"/>
        <w:rPr>
          <w:rFonts w:ascii="Arial" w:hAnsi="Arial"/>
        </w:rPr>
      </w:pPr>
      <w:r>
        <w:rPr>
          <w:rFonts w:ascii="Arial" w:hAnsi="Arial"/>
        </w:rPr>
        <w:t>Is this feasible given pressure on workload?</w:t>
      </w:r>
    </w:p>
    <w:p w14:paraId="491AA453" w14:textId="459BE6CE" w:rsidR="00F91CB8" w:rsidRDefault="004D478B" w:rsidP="00FC373B">
      <w:pPr>
        <w:pStyle w:val="ListParagraph"/>
        <w:numPr>
          <w:ilvl w:val="0"/>
          <w:numId w:val="23"/>
        </w:numPr>
        <w:spacing w:line="276" w:lineRule="auto"/>
        <w:rPr>
          <w:rFonts w:ascii="Arial" w:hAnsi="Arial"/>
        </w:rPr>
      </w:pPr>
      <w:r>
        <w:rPr>
          <w:rFonts w:ascii="Arial" w:hAnsi="Arial"/>
        </w:rPr>
        <w:t xml:space="preserve">The indicator could be expanded to include children </w:t>
      </w:r>
      <w:r w:rsidR="002D61DB">
        <w:rPr>
          <w:rFonts w:ascii="Arial" w:hAnsi="Arial"/>
        </w:rPr>
        <w:t xml:space="preserve">and young people </w:t>
      </w:r>
      <w:r>
        <w:rPr>
          <w:rFonts w:ascii="Arial" w:hAnsi="Arial"/>
        </w:rPr>
        <w:t xml:space="preserve">receiving medication, but it is unlikely </w:t>
      </w:r>
      <w:r w:rsidR="00DC3CB8">
        <w:rPr>
          <w:rFonts w:ascii="Arial" w:hAnsi="Arial"/>
        </w:rPr>
        <w:t xml:space="preserve">that </w:t>
      </w:r>
      <w:r>
        <w:rPr>
          <w:rFonts w:ascii="Arial" w:hAnsi="Arial"/>
        </w:rPr>
        <w:t xml:space="preserve">it could identify only </w:t>
      </w:r>
      <w:r w:rsidR="00DC3CB8">
        <w:rPr>
          <w:rFonts w:ascii="Arial" w:hAnsi="Arial"/>
        </w:rPr>
        <w:t>young people</w:t>
      </w:r>
      <w:r>
        <w:rPr>
          <w:rFonts w:ascii="Arial" w:hAnsi="Arial"/>
        </w:rPr>
        <w:t xml:space="preserve"> between 16 and 18 who have transferred to adult services</w:t>
      </w:r>
    </w:p>
    <w:p w14:paraId="521FF9A0" w14:textId="587F0614" w:rsidR="000730AC" w:rsidRPr="00FE573C" w:rsidRDefault="000730AC" w:rsidP="00FC373B">
      <w:pPr>
        <w:pStyle w:val="ListParagraph"/>
        <w:numPr>
          <w:ilvl w:val="0"/>
          <w:numId w:val="23"/>
        </w:numPr>
        <w:spacing w:line="276" w:lineRule="auto"/>
        <w:rPr>
          <w:rFonts w:ascii="Arial" w:hAnsi="Arial"/>
        </w:rPr>
      </w:pPr>
      <w:r>
        <w:rPr>
          <w:rFonts w:ascii="Arial" w:hAnsi="Arial"/>
        </w:rPr>
        <w:t xml:space="preserve">Is this a pragmatic and acceptable approach given the updated </w:t>
      </w:r>
      <w:r w:rsidR="00FE748F">
        <w:rPr>
          <w:rFonts w:ascii="Arial" w:hAnsi="Arial"/>
        </w:rPr>
        <w:t xml:space="preserve">guideline </w:t>
      </w:r>
      <w:r w:rsidR="005A27AA">
        <w:rPr>
          <w:rFonts w:ascii="Arial" w:hAnsi="Arial"/>
        </w:rPr>
        <w:t>r</w:t>
      </w:r>
      <w:r>
        <w:rPr>
          <w:rFonts w:ascii="Arial" w:hAnsi="Arial"/>
        </w:rPr>
        <w:t>ecommendations?</w:t>
      </w:r>
    </w:p>
    <w:p w14:paraId="17CE2B00" w14:textId="77777777" w:rsidR="00F63D66" w:rsidRPr="00FE573C" w:rsidRDefault="00F63D66" w:rsidP="00FC373B">
      <w:pPr>
        <w:pStyle w:val="ListParagraph"/>
        <w:spacing w:line="276" w:lineRule="auto"/>
        <w:ind w:left="360"/>
        <w:rPr>
          <w:rFonts w:ascii="Arial" w:hAnsi="Arial"/>
        </w:rPr>
      </w:pPr>
    </w:p>
    <w:p w14:paraId="108301E1" w14:textId="77777777" w:rsidR="00F63D66" w:rsidRPr="00220661" w:rsidRDefault="00F63D66" w:rsidP="00FC373B">
      <w:pPr>
        <w:spacing w:line="276" w:lineRule="auto"/>
        <w:rPr>
          <w:rFonts w:ascii="Arial" w:hAnsi="Arial"/>
          <w:highlight w:val="cyan"/>
        </w:rPr>
      </w:pPr>
    </w:p>
    <w:p w14:paraId="7A076CF3" w14:textId="77777777" w:rsidR="003D5D5A" w:rsidRDefault="003D5D5A" w:rsidP="00FD40F7">
      <w:pPr>
        <w:pStyle w:val="Paragraph"/>
        <w:rPr>
          <w:bCs/>
          <w:kern w:val="32"/>
        </w:rPr>
      </w:pPr>
    </w:p>
    <w:p w14:paraId="09EB9493" w14:textId="77777777" w:rsidR="008F2FAE" w:rsidRDefault="008F2FAE">
      <w:pPr>
        <w:rPr>
          <w:rFonts w:ascii="Arial" w:hAnsi="Arial"/>
          <w:b/>
          <w:bCs/>
          <w:sz w:val="28"/>
          <w:szCs w:val="28"/>
        </w:rPr>
      </w:pPr>
      <w:bookmarkStart w:id="17" w:name="_Toc418246138"/>
      <w:r>
        <w:rPr>
          <w:sz w:val="28"/>
          <w:szCs w:val="28"/>
        </w:rPr>
        <w:br w:type="page"/>
      </w:r>
    </w:p>
    <w:p w14:paraId="2DAF8D44" w14:textId="168F563B" w:rsidR="00F87E9D" w:rsidRPr="00E8632C" w:rsidRDefault="00560D68" w:rsidP="00FE12CE">
      <w:pPr>
        <w:pStyle w:val="Heading1"/>
      </w:pPr>
      <w:bookmarkStart w:id="18" w:name="_Toc104460276"/>
      <w:r w:rsidRPr="00560D68">
        <w:lastRenderedPageBreak/>
        <w:t>IND 2021-112</w:t>
      </w:r>
      <w:r w:rsidR="005143BA">
        <w:t xml:space="preserve"> </w:t>
      </w:r>
      <w:r w:rsidRPr="00560D68">
        <w:t>Epilepsy: annual review for people with a learning disability</w:t>
      </w:r>
      <w:bookmarkEnd w:id="18"/>
      <w:r w:rsidR="001B06E1">
        <w:t xml:space="preserve"> </w:t>
      </w:r>
      <w:bookmarkEnd w:id="17"/>
    </w:p>
    <w:p w14:paraId="715A9491" w14:textId="47E875F9" w:rsidR="001B06E1" w:rsidRDefault="00560D68" w:rsidP="00560D68">
      <w:pPr>
        <w:pStyle w:val="Paragraph"/>
        <w:rPr>
          <w:i/>
        </w:rPr>
      </w:pPr>
      <w:r w:rsidRPr="00560D68">
        <w:rPr>
          <w:i/>
        </w:rPr>
        <w:t>The percentage of adults with epilepsy and a learning disability who had a structured review in the preceding 12 months</w:t>
      </w:r>
    </w:p>
    <w:p w14:paraId="08F9B38C" w14:textId="6362A428" w:rsidR="004E0E78" w:rsidRPr="003D5D5A" w:rsidRDefault="002C292E" w:rsidP="00FE12CE">
      <w:pPr>
        <w:pStyle w:val="Heading2"/>
      </w:pPr>
      <w:bookmarkStart w:id="19" w:name="_Toc103171279"/>
      <w:r>
        <w:t>Rationale</w:t>
      </w:r>
      <w:bookmarkEnd w:id="19"/>
    </w:p>
    <w:p w14:paraId="7F83E053" w14:textId="7CF27A15" w:rsidR="001B06E1" w:rsidRDefault="00560D68" w:rsidP="002C7316">
      <w:pPr>
        <w:pStyle w:val="Paragraph"/>
        <w:rPr>
          <w:rFonts w:cs="Arial"/>
        </w:rPr>
      </w:pPr>
      <w:r w:rsidRPr="00560D68">
        <w:rPr>
          <w:rFonts w:cs="Arial"/>
        </w:rPr>
        <w:t>Regular reviews are important to support treatment monitoring and personalised care. Adults with epilepsy and a learning disability are at higher risk of mortality and may be more vulnerable to serious consequences from loss of contact with services</w:t>
      </w:r>
      <w:r>
        <w:rPr>
          <w:rFonts w:cs="Arial"/>
        </w:rPr>
        <w:t>.</w:t>
      </w:r>
    </w:p>
    <w:p w14:paraId="75051FFD" w14:textId="08805DDB" w:rsidR="004E0E78" w:rsidRPr="00780214" w:rsidRDefault="002C292E" w:rsidP="00FE12CE">
      <w:pPr>
        <w:pStyle w:val="Heading2"/>
      </w:pPr>
      <w:bookmarkStart w:id="20" w:name="_Toc103171280"/>
      <w:r>
        <w:t>Summary of consultation c</w:t>
      </w:r>
      <w:r w:rsidR="004E0E78" w:rsidRPr="00780214">
        <w:t>omments</w:t>
      </w:r>
      <w:bookmarkEnd w:id="20"/>
    </w:p>
    <w:p w14:paraId="39D3DD9D" w14:textId="1E896A00" w:rsidR="005470BE" w:rsidRDefault="005470BE" w:rsidP="0080454B">
      <w:pPr>
        <w:pStyle w:val="Bullets"/>
      </w:pPr>
      <w:bookmarkStart w:id="21" w:name="_Hlk102638968"/>
      <w:r>
        <w:t>Some support for this indicator</w:t>
      </w:r>
      <w:r w:rsidR="00D3064E">
        <w:t xml:space="preserve"> providing </w:t>
      </w:r>
      <w:r w:rsidR="00303C54">
        <w:t>it</w:t>
      </w:r>
      <w:r w:rsidR="00D3064E">
        <w:t xml:space="preserve"> </w:t>
      </w:r>
      <w:r w:rsidR="00410DC1">
        <w:t xml:space="preserve">includes a comprehensive </w:t>
      </w:r>
      <w:r w:rsidR="00303C54">
        <w:t xml:space="preserve">review and </w:t>
      </w:r>
      <w:r w:rsidR="00410DC1">
        <w:t>risk assessment rather than just a medication review</w:t>
      </w:r>
    </w:p>
    <w:p w14:paraId="065BD698" w14:textId="7BAA4324" w:rsidR="008822C7" w:rsidRDefault="00037BDB" w:rsidP="00037BDB">
      <w:pPr>
        <w:pStyle w:val="Bullets"/>
      </w:pPr>
      <w:r>
        <w:t xml:space="preserve">Some stakeholders did not see value in this indicator given existing requirement on general practice to review all people with a learning disability and </w:t>
      </w:r>
      <w:r w:rsidR="00051FF0">
        <w:t>IND 2021-111</w:t>
      </w:r>
      <w:r>
        <w:t xml:space="preserve"> </w:t>
      </w:r>
    </w:p>
    <w:p w14:paraId="71A1DCD9" w14:textId="77777777" w:rsidR="00DC3CB8" w:rsidRDefault="003D0FFD" w:rsidP="00920F9D">
      <w:pPr>
        <w:pStyle w:val="Bullets"/>
      </w:pPr>
      <w:r>
        <w:t>Learning disability registers may not be comprehensive in all areas</w:t>
      </w:r>
    </w:p>
    <w:p w14:paraId="06935A12" w14:textId="3DF16AFA" w:rsidR="000A3542" w:rsidRDefault="005470BE" w:rsidP="00920F9D">
      <w:pPr>
        <w:pStyle w:val="Bullets"/>
      </w:pPr>
      <w:r>
        <w:t>Estimated that 75% of people with a learning disability are not included on a GP learning disability register</w:t>
      </w:r>
    </w:p>
    <w:p w14:paraId="1214D97B" w14:textId="130F0C43" w:rsidR="00410DC1" w:rsidRDefault="00303C54" w:rsidP="00920F9D">
      <w:pPr>
        <w:pStyle w:val="Bullets"/>
      </w:pPr>
      <w:r>
        <w:t>R</w:t>
      </w:r>
      <w:r w:rsidR="00824D44">
        <w:t xml:space="preserve">esearch has suggested that 40% of children with epilepsy could have a learning disability, </w:t>
      </w:r>
      <w:r>
        <w:t xml:space="preserve">so </w:t>
      </w:r>
      <w:r w:rsidR="00824D44">
        <w:t xml:space="preserve">it </w:t>
      </w:r>
      <w:r>
        <w:t xml:space="preserve">may </w:t>
      </w:r>
      <w:r w:rsidR="00824D44">
        <w:t xml:space="preserve">be that more than 1 in 5 </w:t>
      </w:r>
      <w:r w:rsidR="00992C21">
        <w:t>adults with epilepsy</w:t>
      </w:r>
      <w:r w:rsidR="00824D44">
        <w:t xml:space="preserve"> have a </w:t>
      </w:r>
      <w:r w:rsidR="00992C21">
        <w:t>learning disability</w:t>
      </w:r>
    </w:p>
    <w:p w14:paraId="524DC44E" w14:textId="7465A484" w:rsidR="00D3064E" w:rsidRDefault="00D3064E" w:rsidP="00920F9D">
      <w:pPr>
        <w:pStyle w:val="Bullets"/>
      </w:pPr>
      <w:r>
        <w:t>Some GP practices with a small list size may have no patients with epilepsy and a learning disability</w:t>
      </w:r>
    </w:p>
    <w:p w14:paraId="1216C4B2" w14:textId="19E3999F" w:rsidR="005470BE" w:rsidRPr="005470BE" w:rsidRDefault="00303C54" w:rsidP="005470BE">
      <w:pPr>
        <w:pStyle w:val="Bullets"/>
      </w:pPr>
      <w:r>
        <w:t>The denominator</w:t>
      </w:r>
      <w:r w:rsidR="005470BE" w:rsidRPr="005470BE">
        <w:t xml:space="preserve"> should be extended to include </w:t>
      </w:r>
      <w:r w:rsidR="005470BE">
        <w:t>children and young people or</w:t>
      </w:r>
      <w:r w:rsidR="00AB229F">
        <w:t>,</w:t>
      </w:r>
      <w:r w:rsidR="005470BE">
        <w:t xml:space="preserve"> as a minimum</w:t>
      </w:r>
      <w:r w:rsidR="00AB229F">
        <w:t>,</w:t>
      </w:r>
      <w:r w:rsidR="005470BE">
        <w:t xml:space="preserve"> </w:t>
      </w:r>
      <w:r w:rsidR="005470BE" w:rsidRPr="005470BE">
        <w:t xml:space="preserve">under 18’s who have transitioned to adult services (1 in 3 young people transition to adult services at </w:t>
      </w:r>
      <w:r w:rsidR="00AB229F">
        <w:t xml:space="preserve">age </w:t>
      </w:r>
      <w:r w:rsidR="005470BE" w:rsidRPr="005470BE">
        <w:t xml:space="preserve">16) </w:t>
      </w:r>
    </w:p>
    <w:p w14:paraId="16578D2E" w14:textId="061F693A" w:rsidR="000A3542" w:rsidRDefault="007736D6" w:rsidP="00920F9D">
      <w:pPr>
        <w:pStyle w:val="Bullets"/>
      </w:pPr>
      <w:r>
        <w:t xml:space="preserve">Important to ensure that people </w:t>
      </w:r>
      <w:r w:rsidR="000501B7">
        <w:t>in inpatient settings are not excluded from epilepsy review</w:t>
      </w:r>
    </w:p>
    <w:p w14:paraId="6AA0B079" w14:textId="635CD188" w:rsidR="0006231E" w:rsidRPr="00AB09A9" w:rsidRDefault="0006231E" w:rsidP="00FE12CE">
      <w:pPr>
        <w:pStyle w:val="Heading2"/>
      </w:pPr>
      <w:bookmarkStart w:id="22" w:name="_Toc103171281"/>
      <w:bookmarkEnd w:id="21"/>
      <w:r w:rsidRPr="00565745">
        <w:t xml:space="preserve">Considerations for the </w:t>
      </w:r>
      <w:r w:rsidR="003C3023">
        <w:t>a</w:t>
      </w:r>
      <w:r w:rsidRPr="00565745">
        <w:t xml:space="preserve">dvisory </w:t>
      </w:r>
      <w:r w:rsidR="003C3023">
        <w:t>c</w:t>
      </w:r>
      <w:r w:rsidRPr="00565745">
        <w:t>ommittee</w:t>
      </w:r>
      <w:bookmarkEnd w:id="22"/>
    </w:p>
    <w:p w14:paraId="765B66A2" w14:textId="124DC821" w:rsidR="005243EC" w:rsidRDefault="002C292E" w:rsidP="005243EC">
      <w:pPr>
        <w:pStyle w:val="Paragraphnonumbers"/>
      </w:pPr>
      <w:r>
        <w:t>The c</w:t>
      </w:r>
      <w:r w:rsidRPr="00241410">
        <w:t>ommittee is asked to consider:</w:t>
      </w:r>
    </w:p>
    <w:p w14:paraId="3ABE9E8B" w14:textId="2172B82E" w:rsidR="00A13473" w:rsidRDefault="00037BDB" w:rsidP="00DC65FF">
      <w:pPr>
        <w:pStyle w:val="Bullets"/>
      </w:pPr>
      <w:r>
        <w:t xml:space="preserve">Is the indicator needed given existing requirements on general practice in relation to people with a learning disability? </w:t>
      </w:r>
    </w:p>
    <w:p w14:paraId="0000FF3F" w14:textId="489D1357" w:rsidR="00C23BD4" w:rsidRPr="00303C54" w:rsidRDefault="00037BDB" w:rsidP="00303C54">
      <w:pPr>
        <w:pStyle w:val="Bullets"/>
      </w:pPr>
      <w:r>
        <w:t>Should the indicator include children</w:t>
      </w:r>
      <w:r w:rsidR="00DC3CB8">
        <w:t xml:space="preserve"> and young people</w:t>
      </w:r>
      <w:r w:rsidR="00C23BD4">
        <w:t>?</w:t>
      </w:r>
    </w:p>
    <w:p w14:paraId="68853950" w14:textId="77777777" w:rsidR="00FE3AFF" w:rsidRDefault="00FE3AFF">
      <w:pPr>
        <w:rPr>
          <w:rFonts w:ascii="Arial" w:hAnsi="Arial"/>
          <w:b/>
          <w:bCs/>
          <w:sz w:val="28"/>
          <w:szCs w:val="28"/>
        </w:rPr>
      </w:pPr>
      <w:r>
        <w:rPr>
          <w:sz w:val="28"/>
          <w:szCs w:val="28"/>
        </w:rPr>
        <w:br w:type="page"/>
      </w:r>
    </w:p>
    <w:p w14:paraId="51345DE6" w14:textId="07CC9F5B" w:rsidR="005243EC" w:rsidRPr="00E8632C" w:rsidRDefault="00915151" w:rsidP="00FE12CE">
      <w:pPr>
        <w:pStyle w:val="Heading1"/>
      </w:pPr>
      <w:bookmarkStart w:id="23" w:name="_Toc104460277"/>
      <w:r w:rsidRPr="00915151">
        <w:lastRenderedPageBreak/>
        <w:t>IND 2021-113</w:t>
      </w:r>
      <w:r w:rsidR="005143BA">
        <w:t xml:space="preserve"> </w:t>
      </w:r>
      <w:r w:rsidRPr="00915151">
        <w:t>Epilepsy: annual review for people with a mental health condition</w:t>
      </w:r>
      <w:bookmarkEnd w:id="23"/>
      <w:r w:rsidR="005243EC">
        <w:t xml:space="preserve"> </w:t>
      </w:r>
    </w:p>
    <w:p w14:paraId="6103100D" w14:textId="476F3464" w:rsidR="005243EC" w:rsidRDefault="00915151" w:rsidP="00915151">
      <w:pPr>
        <w:pStyle w:val="Paragraph"/>
        <w:rPr>
          <w:i/>
        </w:rPr>
      </w:pPr>
      <w:r w:rsidRPr="00915151">
        <w:rPr>
          <w:i/>
        </w:rPr>
        <w:t>The percentage of adults with epilepsy and a mental health condition who had a structured review in the preceding 12 months</w:t>
      </w:r>
    </w:p>
    <w:p w14:paraId="28C90240" w14:textId="77777777" w:rsidR="00C50FF0" w:rsidRPr="003D5D5A" w:rsidRDefault="00C50FF0" w:rsidP="00FE12CE">
      <w:pPr>
        <w:pStyle w:val="Heading2"/>
      </w:pPr>
      <w:bookmarkStart w:id="24" w:name="_Toc103171283"/>
      <w:r>
        <w:t>Rationale</w:t>
      </w:r>
      <w:bookmarkEnd w:id="24"/>
    </w:p>
    <w:p w14:paraId="69953804" w14:textId="25BB7270" w:rsidR="00915151" w:rsidRDefault="00915151" w:rsidP="00C50FF0">
      <w:pPr>
        <w:pStyle w:val="Paragraph"/>
        <w:rPr>
          <w:rFonts w:cs="Arial"/>
        </w:rPr>
      </w:pPr>
      <w:r w:rsidRPr="00915151">
        <w:rPr>
          <w:rFonts w:cs="Arial"/>
        </w:rPr>
        <w:t>Regular reviews are important to support treatment monitoring and personalised care. Adults with epilepsy and a mental health condition have complex needs and may be more vulnerable to serious consequences from loss of contact with services.</w:t>
      </w:r>
    </w:p>
    <w:p w14:paraId="2E6CE402" w14:textId="77777777" w:rsidR="00C50FF0" w:rsidRPr="00780214" w:rsidRDefault="00C50FF0" w:rsidP="00FE12CE">
      <w:pPr>
        <w:pStyle w:val="Heading2"/>
      </w:pPr>
      <w:bookmarkStart w:id="25" w:name="_Toc103171284"/>
      <w:r>
        <w:t>Summary of consultation c</w:t>
      </w:r>
      <w:r w:rsidRPr="00780214">
        <w:t>omments</w:t>
      </w:r>
      <w:bookmarkEnd w:id="25"/>
    </w:p>
    <w:p w14:paraId="2D8A318F" w14:textId="6DB2E1BA" w:rsidR="00BB1772" w:rsidRDefault="00037BDB" w:rsidP="00037BDB">
      <w:pPr>
        <w:pStyle w:val="Bullets"/>
      </w:pPr>
      <w:r w:rsidRPr="00037BDB">
        <w:t xml:space="preserve">Some stakeholders did not see value in this indicator given existing requirement on general practice to review all people with a </w:t>
      </w:r>
      <w:r>
        <w:t>mental health condition</w:t>
      </w:r>
      <w:r w:rsidRPr="00037BDB">
        <w:t xml:space="preserve"> and IND 2021-111</w:t>
      </w:r>
    </w:p>
    <w:p w14:paraId="50A70673" w14:textId="7401CD32" w:rsidR="00BE17CE" w:rsidRDefault="00E6605C" w:rsidP="00757643">
      <w:pPr>
        <w:pStyle w:val="Bullets"/>
      </w:pPr>
      <w:r>
        <w:t>T</w:t>
      </w:r>
      <w:r w:rsidR="00BE17CE">
        <w:t>his should be a</w:t>
      </w:r>
      <w:r w:rsidR="00BB1772">
        <w:t xml:space="preserve">n additional </w:t>
      </w:r>
      <w:r w:rsidR="00BE17CE">
        <w:t xml:space="preserve">follow-on review from IND 2021-111 </w:t>
      </w:r>
      <w:r>
        <w:t xml:space="preserve">and IND 2021-112 </w:t>
      </w:r>
      <w:r w:rsidR="00BE17CE">
        <w:t xml:space="preserve">to support a coordinated approach for </w:t>
      </w:r>
      <w:r>
        <w:t>adults with a mental health condition</w:t>
      </w:r>
    </w:p>
    <w:p w14:paraId="6EC22EAE" w14:textId="5CF7A6A5" w:rsidR="0018264E" w:rsidRDefault="0018264E" w:rsidP="00C93A28">
      <w:pPr>
        <w:pStyle w:val="Bullets"/>
      </w:pPr>
      <w:r>
        <w:t>Suggestions that t</w:t>
      </w:r>
      <w:r w:rsidRPr="005470BE">
        <w:t xml:space="preserve">he indicator should be extended to include </w:t>
      </w:r>
      <w:r>
        <w:t xml:space="preserve">children and young people or as a minimum </w:t>
      </w:r>
      <w:r w:rsidRPr="005470BE">
        <w:t>under 18’s who have transitioned to adult services (1 in 3 young people transition to adult services at</w:t>
      </w:r>
      <w:r w:rsidR="00087DCC">
        <w:t xml:space="preserve"> age </w:t>
      </w:r>
      <w:r w:rsidRPr="005470BE">
        <w:t xml:space="preserve">16) </w:t>
      </w:r>
    </w:p>
    <w:p w14:paraId="02132B3E" w14:textId="387116C2" w:rsidR="00A71179" w:rsidRDefault="00441B9F" w:rsidP="00ED5E98">
      <w:pPr>
        <w:pStyle w:val="Bullets"/>
      </w:pPr>
      <w:r>
        <w:t>T</w:t>
      </w:r>
      <w:r w:rsidR="00A71179">
        <w:t xml:space="preserve">his population is ‘harder to reach’ </w:t>
      </w:r>
      <w:r>
        <w:t>and it may be more difficult to encourage them to attend for annual review</w:t>
      </w:r>
      <w:r w:rsidR="00F47428">
        <w:t xml:space="preserve"> </w:t>
      </w:r>
    </w:p>
    <w:p w14:paraId="1E401903" w14:textId="4EDE3055" w:rsidR="00441B9F" w:rsidRDefault="003B1DA5" w:rsidP="00ED5E98">
      <w:pPr>
        <w:pStyle w:val="Bullets"/>
      </w:pPr>
      <w:r w:rsidRPr="003B1DA5">
        <w:t xml:space="preserve">Some GP practices with a small list size may have no patients with epilepsy and </w:t>
      </w:r>
      <w:r>
        <w:t>an SMI</w:t>
      </w:r>
    </w:p>
    <w:p w14:paraId="52D12758" w14:textId="2FC5545A" w:rsidR="00C50FF0" w:rsidRPr="00E8632C" w:rsidRDefault="00C50FF0" w:rsidP="00FE12CE">
      <w:pPr>
        <w:pStyle w:val="Heading2"/>
      </w:pPr>
      <w:bookmarkStart w:id="26" w:name="_Toc103171285"/>
      <w:r w:rsidRPr="00E8632C">
        <w:t xml:space="preserve">Specific </w:t>
      </w:r>
      <w:r>
        <w:t>question/s</w:t>
      </w:r>
      <w:r w:rsidRPr="00E8632C">
        <w:t xml:space="preserve"> </w:t>
      </w:r>
      <w:r w:rsidR="00AB09A9">
        <w:t>included at</w:t>
      </w:r>
      <w:r w:rsidRPr="00E8632C">
        <w:t xml:space="preserve"> consultation</w:t>
      </w:r>
      <w:bookmarkEnd w:id="26"/>
    </w:p>
    <w:p w14:paraId="5A361827" w14:textId="1CEA98CD" w:rsidR="00C50FF0" w:rsidRDefault="00954BF7" w:rsidP="00C50FF0">
      <w:pPr>
        <w:pStyle w:val="Paragraph"/>
        <w:numPr>
          <w:ilvl w:val="0"/>
          <w:numId w:val="23"/>
        </w:numPr>
        <w:rPr>
          <w:rFonts w:cs="Arial"/>
        </w:rPr>
      </w:pPr>
      <w:r w:rsidRPr="00954BF7">
        <w:rPr>
          <w:rFonts w:cs="Arial"/>
        </w:rPr>
        <w:t>Should the population for this indicator be extended to include other mental health conditions? If so, please say which populations should be included and why?</w:t>
      </w:r>
    </w:p>
    <w:p w14:paraId="1C89E2E3" w14:textId="65392E2E" w:rsidR="0018264E" w:rsidRDefault="00037BDB" w:rsidP="00DC3CB8">
      <w:pPr>
        <w:pStyle w:val="Bullets"/>
      </w:pPr>
      <w:r>
        <w:t>There was some s</w:t>
      </w:r>
      <w:r w:rsidR="000730AC">
        <w:t>upport for extending the indicator to include</w:t>
      </w:r>
      <w:r w:rsidR="00441B9F">
        <w:t xml:space="preserve"> anxiety</w:t>
      </w:r>
      <w:r w:rsidR="002B50BC">
        <w:t xml:space="preserve">, </w:t>
      </w:r>
      <w:r w:rsidR="00441B9F">
        <w:t>depression</w:t>
      </w:r>
      <w:r w:rsidR="002B50BC">
        <w:t xml:space="preserve">, </w:t>
      </w:r>
      <w:r w:rsidR="00F47428">
        <w:t>dementia</w:t>
      </w:r>
      <w:r w:rsidR="002B50BC">
        <w:t xml:space="preserve">, </w:t>
      </w:r>
      <w:r w:rsidR="000730AC">
        <w:t>p</w:t>
      </w:r>
      <w:r w:rsidR="003B1DA5">
        <w:t xml:space="preserve">ersonality disorders </w:t>
      </w:r>
      <w:r w:rsidR="002B50BC">
        <w:t xml:space="preserve">or </w:t>
      </w:r>
      <w:r w:rsidR="0018264E">
        <w:t>all mental health conditions</w:t>
      </w:r>
      <w:r w:rsidR="00435570">
        <w:t xml:space="preserve"> </w:t>
      </w:r>
    </w:p>
    <w:p w14:paraId="702F9141" w14:textId="680015F9" w:rsidR="004E0A9F" w:rsidRDefault="00037BDB" w:rsidP="00441B9F">
      <w:pPr>
        <w:pStyle w:val="Bullets"/>
      </w:pPr>
      <w:r>
        <w:t>Howe</w:t>
      </w:r>
      <w:r w:rsidR="002B50BC">
        <w:t>ver, some stakeholders did not feel the denominator sh</w:t>
      </w:r>
      <w:r w:rsidR="004E0A9F">
        <w:t xml:space="preserve">ould be extended to </w:t>
      </w:r>
      <w:r w:rsidR="009B3D55">
        <w:t xml:space="preserve">include other </w:t>
      </w:r>
      <w:r w:rsidR="00CC3774">
        <w:t>mental health conditions</w:t>
      </w:r>
    </w:p>
    <w:p w14:paraId="67AA8FE6" w14:textId="5AE60558" w:rsidR="00C50FF0" w:rsidRPr="00565745" w:rsidRDefault="00C50FF0" w:rsidP="00FE12CE">
      <w:pPr>
        <w:pStyle w:val="Heading2"/>
      </w:pPr>
      <w:bookmarkStart w:id="27" w:name="_Toc103171286"/>
      <w:r w:rsidRPr="00565745">
        <w:t xml:space="preserve">Considerations for the </w:t>
      </w:r>
      <w:r w:rsidR="003C3023">
        <w:t>a</w:t>
      </w:r>
      <w:r w:rsidRPr="00565745">
        <w:t xml:space="preserve">dvisory </w:t>
      </w:r>
      <w:r w:rsidR="003C3023">
        <w:t>c</w:t>
      </w:r>
      <w:r w:rsidRPr="00565745">
        <w:t>ommittee</w:t>
      </w:r>
      <w:bookmarkEnd w:id="27"/>
    </w:p>
    <w:p w14:paraId="155F5F72" w14:textId="77777777" w:rsidR="00C50FF0" w:rsidRDefault="00C50FF0" w:rsidP="00C50FF0">
      <w:pPr>
        <w:pStyle w:val="Paragraphnonumbers"/>
      </w:pPr>
      <w:r>
        <w:t>The c</w:t>
      </w:r>
      <w:r w:rsidRPr="00241410">
        <w:t>ommittee is asked to consider:</w:t>
      </w:r>
    </w:p>
    <w:p w14:paraId="3820DFE8" w14:textId="4E907D4A" w:rsidR="002B50BC" w:rsidRPr="002B50BC" w:rsidRDefault="002B50BC" w:rsidP="002B50BC">
      <w:pPr>
        <w:pStyle w:val="Bullets"/>
      </w:pPr>
      <w:r w:rsidRPr="002B50BC">
        <w:t xml:space="preserve">Is the indicator needed given existing requirements on general practice in relation to people with a </w:t>
      </w:r>
      <w:r>
        <w:t>mental health condition</w:t>
      </w:r>
      <w:r w:rsidRPr="002B50BC">
        <w:t xml:space="preserve">? </w:t>
      </w:r>
    </w:p>
    <w:p w14:paraId="63394EA3" w14:textId="6BEC3946" w:rsidR="002B50BC" w:rsidRPr="002B50BC" w:rsidRDefault="002B50BC" w:rsidP="002B50BC">
      <w:pPr>
        <w:pStyle w:val="Bullets"/>
      </w:pPr>
      <w:r w:rsidRPr="002B50BC">
        <w:t>Should the indicator include children</w:t>
      </w:r>
      <w:r w:rsidR="00DC3CB8">
        <w:t xml:space="preserve"> and young people</w:t>
      </w:r>
      <w:r w:rsidRPr="002B50BC">
        <w:t>?</w:t>
      </w:r>
    </w:p>
    <w:p w14:paraId="77A2B7B3" w14:textId="2C12A95D" w:rsidR="0033612D" w:rsidRPr="0033612D" w:rsidRDefault="0033612D" w:rsidP="008406C8">
      <w:pPr>
        <w:pStyle w:val="Bullets"/>
      </w:pPr>
      <w:r>
        <w:lastRenderedPageBreak/>
        <w:t>Should the population be extended to other mental health conditions? If so, which?</w:t>
      </w:r>
    </w:p>
    <w:p w14:paraId="3479388A" w14:textId="77777777" w:rsidR="005243EC" w:rsidRDefault="005243EC" w:rsidP="005243EC">
      <w:pPr>
        <w:rPr>
          <w:rFonts w:ascii="Arial" w:hAnsi="Arial"/>
          <w:b/>
          <w:bCs/>
          <w:sz w:val="28"/>
          <w:szCs w:val="28"/>
        </w:rPr>
      </w:pPr>
      <w:r>
        <w:rPr>
          <w:sz w:val="28"/>
          <w:szCs w:val="28"/>
        </w:rPr>
        <w:br w:type="page"/>
      </w:r>
    </w:p>
    <w:p w14:paraId="166E5755" w14:textId="77777777" w:rsidR="008E56A4" w:rsidRDefault="008E56A4" w:rsidP="00C130C8">
      <w:pPr>
        <w:pStyle w:val="Heading1"/>
        <w:sectPr w:rsidR="008E56A4" w:rsidSect="009F1902">
          <w:headerReference w:type="default" r:id="rId13"/>
          <w:footerReference w:type="default" r:id="rId14"/>
          <w:pgSz w:w="11907" w:h="16840" w:code="9"/>
          <w:pgMar w:top="1440" w:right="1440" w:bottom="1440" w:left="1440" w:header="709" w:footer="709" w:gutter="0"/>
          <w:pgNumType w:chapStyle="1"/>
          <w:cols w:space="708"/>
          <w:docGrid w:linePitch="360"/>
        </w:sectPr>
      </w:pPr>
    </w:p>
    <w:p w14:paraId="6FD71D8E" w14:textId="00F8C42C" w:rsidR="00C130C8" w:rsidRDefault="00C130C8" w:rsidP="00C130C8">
      <w:pPr>
        <w:pStyle w:val="Heading1"/>
      </w:pPr>
      <w:bookmarkStart w:id="29" w:name="_Toc104460278"/>
      <w:r>
        <w:lastRenderedPageBreak/>
        <w:t>Appendix A</w:t>
      </w:r>
      <w:r w:rsidR="00BB716A">
        <w:t>: C</w:t>
      </w:r>
      <w:r>
        <w:t>onsultation comments</w:t>
      </w:r>
      <w:bookmarkEnd w:id="29"/>
      <w:r>
        <w:t xml:space="preserve"> </w:t>
      </w:r>
    </w:p>
    <w:p w14:paraId="628A8FCB" w14:textId="1D569CD5" w:rsidR="00AC4E8B" w:rsidRDefault="001F4846" w:rsidP="00AC4E8B">
      <w:pPr>
        <w:pStyle w:val="Paragraph"/>
      </w:pPr>
      <w:r>
        <w:t>General comments</w:t>
      </w:r>
    </w:p>
    <w:tbl>
      <w:tblPr>
        <w:tblStyle w:val="TableGrid"/>
        <w:tblW w:w="0" w:type="auto"/>
        <w:tblLook w:val="04A0" w:firstRow="1" w:lastRow="0" w:firstColumn="1" w:lastColumn="0" w:noHBand="0" w:noVBand="1"/>
      </w:tblPr>
      <w:tblGrid>
        <w:gridCol w:w="561"/>
        <w:gridCol w:w="1134"/>
        <w:gridCol w:w="1617"/>
        <w:gridCol w:w="7045"/>
        <w:gridCol w:w="3593"/>
      </w:tblGrid>
      <w:tr w:rsidR="008E71E8" w:rsidRPr="008E71E8" w14:paraId="4679FFD9" w14:textId="77777777" w:rsidTr="008E71E8">
        <w:trPr>
          <w:tblHeader/>
        </w:trPr>
        <w:tc>
          <w:tcPr>
            <w:tcW w:w="561" w:type="dxa"/>
          </w:tcPr>
          <w:p w14:paraId="4E1497DE" w14:textId="097DF628" w:rsidR="008E71E8" w:rsidRPr="008E71E8" w:rsidRDefault="008E71E8" w:rsidP="008E71E8">
            <w:pPr>
              <w:pStyle w:val="Paragraph"/>
              <w:spacing w:before="0" w:after="0" w:line="240" w:lineRule="auto"/>
              <w:rPr>
                <w:rFonts w:cs="Arial"/>
                <w:b/>
                <w:bCs/>
                <w:sz w:val="20"/>
                <w:szCs w:val="20"/>
              </w:rPr>
            </w:pPr>
            <w:bookmarkStart w:id="30" w:name="_Hlk111461345"/>
            <w:r w:rsidRPr="008E71E8">
              <w:rPr>
                <w:rFonts w:cs="Arial"/>
                <w:b/>
                <w:bCs/>
                <w:sz w:val="20"/>
                <w:szCs w:val="20"/>
              </w:rPr>
              <w:t>ID</w:t>
            </w:r>
          </w:p>
        </w:tc>
        <w:tc>
          <w:tcPr>
            <w:tcW w:w="1134" w:type="dxa"/>
          </w:tcPr>
          <w:p w14:paraId="0712EE2D" w14:textId="40591A6C" w:rsidR="008E71E8" w:rsidRPr="008E71E8" w:rsidRDefault="008E71E8" w:rsidP="008E71E8">
            <w:pPr>
              <w:pStyle w:val="Paragraph"/>
              <w:spacing w:before="0" w:after="0" w:line="240" w:lineRule="auto"/>
              <w:rPr>
                <w:rFonts w:cs="Arial"/>
                <w:b/>
                <w:bCs/>
                <w:sz w:val="20"/>
                <w:szCs w:val="20"/>
              </w:rPr>
            </w:pPr>
            <w:r w:rsidRPr="008E71E8">
              <w:rPr>
                <w:rFonts w:cs="Arial"/>
                <w:b/>
                <w:bCs/>
                <w:sz w:val="20"/>
                <w:szCs w:val="20"/>
              </w:rPr>
              <w:t>Indicator</w:t>
            </w:r>
          </w:p>
        </w:tc>
        <w:tc>
          <w:tcPr>
            <w:tcW w:w="1617" w:type="dxa"/>
          </w:tcPr>
          <w:p w14:paraId="7C47F59B" w14:textId="35577C6C" w:rsidR="008E71E8" w:rsidRPr="008E71E8" w:rsidRDefault="008E71E8" w:rsidP="008E71E8">
            <w:pPr>
              <w:pStyle w:val="Paragraph"/>
              <w:spacing w:before="0" w:after="0" w:line="240" w:lineRule="auto"/>
              <w:rPr>
                <w:rFonts w:cs="Arial"/>
                <w:b/>
                <w:bCs/>
                <w:sz w:val="20"/>
                <w:szCs w:val="20"/>
              </w:rPr>
            </w:pPr>
            <w:r w:rsidRPr="008E71E8">
              <w:rPr>
                <w:rFonts w:cs="Arial"/>
                <w:b/>
                <w:bCs/>
                <w:sz w:val="20"/>
                <w:szCs w:val="20"/>
              </w:rPr>
              <w:t>Organisation name</w:t>
            </w:r>
          </w:p>
        </w:tc>
        <w:tc>
          <w:tcPr>
            <w:tcW w:w="7045" w:type="dxa"/>
          </w:tcPr>
          <w:p w14:paraId="6FA64387" w14:textId="784D173E" w:rsidR="008E71E8" w:rsidRPr="008E71E8" w:rsidRDefault="008E71E8" w:rsidP="008E71E8">
            <w:pPr>
              <w:pStyle w:val="Paragraph"/>
              <w:spacing w:before="0" w:after="0" w:line="240" w:lineRule="auto"/>
              <w:rPr>
                <w:rFonts w:cs="Arial"/>
                <w:b/>
                <w:bCs/>
                <w:sz w:val="20"/>
                <w:szCs w:val="20"/>
              </w:rPr>
            </w:pPr>
            <w:r w:rsidRPr="008E71E8">
              <w:rPr>
                <w:rFonts w:cs="Arial"/>
                <w:b/>
                <w:bCs/>
                <w:sz w:val="20"/>
                <w:szCs w:val="20"/>
              </w:rPr>
              <w:t>Comments</w:t>
            </w:r>
          </w:p>
        </w:tc>
        <w:tc>
          <w:tcPr>
            <w:tcW w:w="3593" w:type="dxa"/>
          </w:tcPr>
          <w:p w14:paraId="58797493" w14:textId="4081A7D3" w:rsidR="008E71E8" w:rsidRPr="008E71E8" w:rsidRDefault="008E71E8" w:rsidP="008E71E8">
            <w:pPr>
              <w:pStyle w:val="Paragraph"/>
              <w:spacing w:before="0" w:after="0" w:line="240" w:lineRule="auto"/>
              <w:rPr>
                <w:rFonts w:cs="Arial"/>
                <w:b/>
                <w:bCs/>
                <w:sz w:val="20"/>
                <w:szCs w:val="20"/>
              </w:rPr>
            </w:pPr>
            <w:r w:rsidRPr="008E71E8">
              <w:rPr>
                <w:rFonts w:cs="Arial"/>
                <w:b/>
                <w:bCs/>
                <w:sz w:val="20"/>
                <w:szCs w:val="20"/>
              </w:rPr>
              <w:t>NICE response</w:t>
            </w:r>
          </w:p>
        </w:tc>
      </w:tr>
      <w:tr w:rsidR="008E71E8" w:rsidRPr="008E71E8" w14:paraId="355FE055" w14:textId="77777777" w:rsidTr="008E71E8">
        <w:tc>
          <w:tcPr>
            <w:tcW w:w="561" w:type="dxa"/>
          </w:tcPr>
          <w:p w14:paraId="5158F682" w14:textId="1EA91FCA" w:rsidR="008E71E8" w:rsidRPr="008E71E8" w:rsidRDefault="008E71E8" w:rsidP="008E71E8">
            <w:pPr>
              <w:pStyle w:val="Paragraph"/>
              <w:spacing w:before="0" w:after="0" w:line="240" w:lineRule="auto"/>
              <w:rPr>
                <w:rFonts w:cs="Arial"/>
                <w:sz w:val="20"/>
                <w:szCs w:val="20"/>
              </w:rPr>
            </w:pPr>
            <w:r w:rsidRPr="008E71E8">
              <w:rPr>
                <w:rFonts w:cs="Arial"/>
                <w:sz w:val="20"/>
                <w:szCs w:val="20"/>
              </w:rPr>
              <w:t>1</w:t>
            </w:r>
          </w:p>
        </w:tc>
        <w:tc>
          <w:tcPr>
            <w:tcW w:w="1134" w:type="dxa"/>
          </w:tcPr>
          <w:p w14:paraId="5CF5A86D" w14:textId="593541DA" w:rsidR="008E71E8" w:rsidRPr="008E71E8" w:rsidRDefault="008E71E8" w:rsidP="008E71E8">
            <w:pPr>
              <w:pStyle w:val="Paragraph"/>
              <w:spacing w:before="0" w:after="0" w:line="240" w:lineRule="auto"/>
              <w:rPr>
                <w:rFonts w:cs="Arial"/>
                <w:sz w:val="20"/>
                <w:szCs w:val="20"/>
              </w:rPr>
            </w:pPr>
            <w:r w:rsidRPr="008E71E8">
              <w:rPr>
                <w:rFonts w:cs="Arial"/>
                <w:sz w:val="20"/>
                <w:szCs w:val="20"/>
              </w:rPr>
              <w:t>General</w:t>
            </w:r>
          </w:p>
        </w:tc>
        <w:tc>
          <w:tcPr>
            <w:tcW w:w="1617" w:type="dxa"/>
          </w:tcPr>
          <w:p w14:paraId="574B3736" w14:textId="6B2C2E3F" w:rsidR="008E71E8" w:rsidRPr="008E71E8" w:rsidRDefault="008E71E8" w:rsidP="008E71E8">
            <w:pPr>
              <w:pStyle w:val="Paragraph"/>
              <w:spacing w:before="0" w:after="0" w:line="240" w:lineRule="auto"/>
              <w:rPr>
                <w:rFonts w:cs="Arial"/>
                <w:b/>
                <w:bCs/>
                <w:sz w:val="20"/>
                <w:szCs w:val="20"/>
              </w:rPr>
            </w:pPr>
            <w:r w:rsidRPr="008E71E8">
              <w:rPr>
                <w:rFonts w:cs="Arial"/>
                <w:b/>
                <w:bCs/>
                <w:sz w:val="20"/>
                <w:szCs w:val="20"/>
              </w:rPr>
              <w:t>British Medical Association</w:t>
            </w:r>
          </w:p>
        </w:tc>
        <w:tc>
          <w:tcPr>
            <w:tcW w:w="7045" w:type="dxa"/>
          </w:tcPr>
          <w:p w14:paraId="7B91F5BE" w14:textId="18F70FDD" w:rsidR="008E71E8" w:rsidRPr="008E71E8" w:rsidRDefault="008E71E8" w:rsidP="008E71E8">
            <w:pPr>
              <w:pStyle w:val="Paragraph"/>
              <w:spacing w:before="0" w:after="0" w:line="240" w:lineRule="auto"/>
              <w:rPr>
                <w:rFonts w:cs="Arial"/>
                <w:sz w:val="20"/>
                <w:szCs w:val="20"/>
              </w:rPr>
            </w:pPr>
            <w:r w:rsidRPr="008E71E8">
              <w:rPr>
                <w:rFonts w:cs="Arial"/>
                <w:sz w:val="20"/>
                <w:szCs w:val="20"/>
              </w:rPr>
              <w:t>We are unclear of the necessity of having separate indicators for those with learning disabilities and mental health conditions, as there are other contractual targets requiring both sets of patients to have review, so having epilepsy review in QOF would be duplication. In addition, medication reviews do not have to be done in general practice (e.g.by a GP or clinical pharmacist) if undertaken in secondary care</w:t>
            </w:r>
          </w:p>
        </w:tc>
        <w:tc>
          <w:tcPr>
            <w:tcW w:w="3593" w:type="dxa"/>
          </w:tcPr>
          <w:p w14:paraId="298D8624" w14:textId="59285731" w:rsidR="008E71E8" w:rsidRPr="008E71E8" w:rsidRDefault="008E71E8" w:rsidP="008E71E8">
            <w:pPr>
              <w:pStyle w:val="Paragraph"/>
              <w:spacing w:before="0" w:after="0" w:line="240" w:lineRule="auto"/>
              <w:rPr>
                <w:rFonts w:cs="Arial"/>
                <w:sz w:val="20"/>
                <w:szCs w:val="20"/>
              </w:rPr>
            </w:pPr>
            <w:r w:rsidRPr="008E71E8">
              <w:rPr>
                <w:rFonts w:cs="Arial"/>
                <w:sz w:val="20"/>
                <w:szCs w:val="20"/>
              </w:rPr>
              <w:t>Thank you for your comment. The indicator advisory committee noted these concerns and agreed not to progress the separate indicators for people with learning disabilities and mental health conditions. We have also specified that those already reviewed in secondary care should count in the indicator and primary care will not have to re-review them.</w:t>
            </w:r>
          </w:p>
        </w:tc>
      </w:tr>
      <w:tr w:rsidR="008E71E8" w:rsidRPr="008E71E8" w14:paraId="672BE11D" w14:textId="77777777" w:rsidTr="008E71E8">
        <w:tc>
          <w:tcPr>
            <w:tcW w:w="561" w:type="dxa"/>
          </w:tcPr>
          <w:p w14:paraId="3A2DDAC5" w14:textId="7BA5DEB2" w:rsidR="008E71E8" w:rsidRPr="008E71E8" w:rsidRDefault="008E71E8" w:rsidP="008E71E8">
            <w:pPr>
              <w:pStyle w:val="Paragraph"/>
              <w:spacing w:before="0" w:after="0" w:line="240" w:lineRule="auto"/>
              <w:rPr>
                <w:rFonts w:cs="Arial"/>
                <w:sz w:val="20"/>
                <w:szCs w:val="20"/>
              </w:rPr>
            </w:pPr>
            <w:r w:rsidRPr="008E71E8">
              <w:rPr>
                <w:rFonts w:cs="Arial"/>
                <w:sz w:val="20"/>
                <w:szCs w:val="20"/>
              </w:rPr>
              <w:t>2</w:t>
            </w:r>
          </w:p>
        </w:tc>
        <w:tc>
          <w:tcPr>
            <w:tcW w:w="1134" w:type="dxa"/>
          </w:tcPr>
          <w:p w14:paraId="0C2E92C2" w14:textId="255D4216" w:rsidR="008E71E8" w:rsidRPr="008E71E8" w:rsidRDefault="008E71E8" w:rsidP="008E71E8">
            <w:pPr>
              <w:pStyle w:val="Paragraph"/>
              <w:spacing w:before="0" w:after="0" w:line="240" w:lineRule="auto"/>
              <w:rPr>
                <w:rFonts w:cs="Arial"/>
                <w:sz w:val="20"/>
                <w:szCs w:val="20"/>
              </w:rPr>
            </w:pPr>
            <w:r w:rsidRPr="008E71E8">
              <w:rPr>
                <w:rFonts w:cs="Arial"/>
                <w:sz w:val="20"/>
                <w:szCs w:val="20"/>
              </w:rPr>
              <w:t>General</w:t>
            </w:r>
          </w:p>
        </w:tc>
        <w:tc>
          <w:tcPr>
            <w:tcW w:w="1617" w:type="dxa"/>
          </w:tcPr>
          <w:p w14:paraId="71C0D21F" w14:textId="05BCFD5E" w:rsidR="008E71E8" w:rsidRPr="008E71E8" w:rsidRDefault="008E71E8" w:rsidP="008E71E8">
            <w:pPr>
              <w:pStyle w:val="Paragraph"/>
              <w:spacing w:before="0" w:after="0" w:line="240" w:lineRule="auto"/>
              <w:rPr>
                <w:rFonts w:cs="Arial"/>
                <w:b/>
                <w:bCs/>
                <w:sz w:val="20"/>
                <w:szCs w:val="20"/>
              </w:rPr>
            </w:pPr>
            <w:r w:rsidRPr="008E71E8">
              <w:rPr>
                <w:rFonts w:cs="Arial"/>
                <w:b/>
                <w:bCs/>
                <w:sz w:val="20"/>
                <w:szCs w:val="20"/>
              </w:rPr>
              <w:t>NHS England and NHS Improvement</w:t>
            </w:r>
          </w:p>
        </w:tc>
        <w:tc>
          <w:tcPr>
            <w:tcW w:w="7045" w:type="dxa"/>
          </w:tcPr>
          <w:p w14:paraId="0D49F191" w14:textId="3E50BB8B" w:rsidR="008E71E8" w:rsidRPr="008E71E8" w:rsidRDefault="008E71E8" w:rsidP="008E71E8">
            <w:pPr>
              <w:pStyle w:val="Paragraph"/>
              <w:spacing w:before="0" w:after="0" w:line="240" w:lineRule="auto"/>
              <w:rPr>
                <w:rFonts w:cs="Arial"/>
                <w:sz w:val="20"/>
                <w:szCs w:val="20"/>
              </w:rPr>
            </w:pPr>
            <w:r w:rsidRPr="008E71E8">
              <w:rPr>
                <w:rFonts w:cs="Arial"/>
                <w:sz w:val="20"/>
                <w:szCs w:val="20"/>
              </w:rPr>
              <w:t>For people with a learning disability, the importance of understanding the context of their general health, how it is progressing, the importance of a holistic annual health check. In relation to all the indicators (and not just for people with a learning disability): important that the checks are done together rather than in multiple health appointments.</w:t>
            </w:r>
          </w:p>
        </w:tc>
        <w:tc>
          <w:tcPr>
            <w:tcW w:w="3593" w:type="dxa"/>
          </w:tcPr>
          <w:p w14:paraId="68C4F65B" w14:textId="3A378668" w:rsidR="008E71E8" w:rsidRPr="008E71E8" w:rsidRDefault="008E71E8" w:rsidP="008E71E8">
            <w:pPr>
              <w:pStyle w:val="Paragraph"/>
              <w:spacing w:before="0" w:after="0" w:line="240" w:lineRule="auto"/>
              <w:rPr>
                <w:rFonts w:cs="Arial"/>
                <w:sz w:val="20"/>
                <w:szCs w:val="20"/>
              </w:rPr>
            </w:pPr>
            <w:r w:rsidRPr="008E71E8">
              <w:rPr>
                <w:rFonts w:cs="Arial"/>
                <w:sz w:val="20"/>
                <w:szCs w:val="20"/>
              </w:rPr>
              <w:t>Thank you for your comment. The indicator advisory committee agreed not to progress a separate indicator for people with a learning disability and epilepsy due to overlap with the existing requirement for an annual health check for this population.</w:t>
            </w:r>
          </w:p>
        </w:tc>
      </w:tr>
      <w:tr w:rsidR="008E71E8" w:rsidRPr="008E71E8" w14:paraId="4A2E9587" w14:textId="77777777" w:rsidTr="008E71E8">
        <w:tc>
          <w:tcPr>
            <w:tcW w:w="561" w:type="dxa"/>
          </w:tcPr>
          <w:p w14:paraId="1968107F" w14:textId="7F2C257C" w:rsidR="008E71E8" w:rsidRPr="008E71E8" w:rsidRDefault="008E71E8" w:rsidP="008E71E8">
            <w:pPr>
              <w:pStyle w:val="Paragraph"/>
              <w:spacing w:before="0" w:after="0" w:line="240" w:lineRule="auto"/>
              <w:rPr>
                <w:rFonts w:cs="Arial"/>
                <w:sz w:val="20"/>
                <w:szCs w:val="20"/>
              </w:rPr>
            </w:pPr>
            <w:r w:rsidRPr="008E71E8">
              <w:rPr>
                <w:rFonts w:cs="Arial"/>
                <w:sz w:val="20"/>
                <w:szCs w:val="20"/>
              </w:rPr>
              <w:t>3</w:t>
            </w:r>
          </w:p>
        </w:tc>
        <w:tc>
          <w:tcPr>
            <w:tcW w:w="1134" w:type="dxa"/>
          </w:tcPr>
          <w:p w14:paraId="484D8E62" w14:textId="5BA700DA" w:rsidR="008E71E8" w:rsidRPr="008E71E8" w:rsidRDefault="008E71E8" w:rsidP="008E71E8">
            <w:pPr>
              <w:pStyle w:val="Paragraph"/>
              <w:spacing w:before="0" w:after="0" w:line="240" w:lineRule="auto"/>
              <w:rPr>
                <w:rFonts w:cs="Arial"/>
                <w:sz w:val="20"/>
                <w:szCs w:val="20"/>
              </w:rPr>
            </w:pPr>
            <w:r w:rsidRPr="008E71E8">
              <w:rPr>
                <w:rFonts w:cs="Arial"/>
                <w:sz w:val="20"/>
                <w:szCs w:val="20"/>
              </w:rPr>
              <w:t>General</w:t>
            </w:r>
          </w:p>
        </w:tc>
        <w:tc>
          <w:tcPr>
            <w:tcW w:w="1617" w:type="dxa"/>
          </w:tcPr>
          <w:p w14:paraId="625C32EC" w14:textId="30D8A04F" w:rsidR="008E71E8" w:rsidRPr="008E71E8" w:rsidRDefault="008E71E8" w:rsidP="008E71E8">
            <w:pPr>
              <w:pStyle w:val="Paragraph"/>
              <w:spacing w:before="0" w:after="0" w:line="240" w:lineRule="auto"/>
              <w:rPr>
                <w:rFonts w:cs="Arial"/>
                <w:b/>
                <w:bCs/>
                <w:sz w:val="20"/>
                <w:szCs w:val="20"/>
              </w:rPr>
            </w:pPr>
            <w:r w:rsidRPr="008E71E8">
              <w:rPr>
                <w:rFonts w:cs="Arial"/>
                <w:b/>
                <w:bCs/>
                <w:sz w:val="20"/>
                <w:szCs w:val="20"/>
              </w:rPr>
              <w:t>NHS England and NHS Improvement</w:t>
            </w:r>
          </w:p>
        </w:tc>
        <w:tc>
          <w:tcPr>
            <w:tcW w:w="7045" w:type="dxa"/>
          </w:tcPr>
          <w:p w14:paraId="061A621A" w14:textId="018ACCDF" w:rsidR="008E71E8" w:rsidRPr="008E71E8" w:rsidRDefault="008E71E8" w:rsidP="008E71E8">
            <w:pPr>
              <w:pStyle w:val="Paragraph"/>
              <w:spacing w:before="0" w:after="0" w:line="240" w:lineRule="auto"/>
              <w:rPr>
                <w:rFonts w:cs="Arial"/>
                <w:sz w:val="20"/>
                <w:szCs w:val="20"/>
              </w:rPr>
            </w:pPr>
            <w:r w:rsidRPr="008E71E8">
              <w:rPr>
                <w:rFonts w:cs="Arial"/>
                <w:sz w:val="20"/>
                <w:szCs w:val="20"/>
              </w:rPr>
              <w:t xml:space="preserve">It might be practically more difficult to ensure that people with a learning disability and autistic people are included and so a risk that they are left out of the denominator: which would in turn create an appearance that care of whole patient group is being given.  Very important that all the denominators do not inadvertently exclude people.   </w:t>
            </w:r>
          </w:p>
        </w:tc>
        <w:tc>
          <w:tcPr>
            <w:tcW w:w="3593" w:type="dxa"/>
          </w:tcPr>
          <w:p w14:paraId="3D32352B" w14:textId="44E23624" w:rsidR="008E71E8" w:rsidRPr="008E71E8" w:rsidRDefault="008E71E8" w:rsidP="008E71E8">
            <w:pPr>
              <w:pStyle w:val="Paragraph"/>
              <w:spacing w:before="0" w:after="0" w:line="240" w:lineRule="auto"/>
              <w:rPr>
                <w:rFonts w:cs="Arial"/>
                <w:sz w:val="20"/>
                <w:szCs w:val="20"/>
              </w:rPr>
            </w:pPr>
            <w:r w:rsidRPr="008E71E8">
              <w:rPr>
                <w:rFonts w:cs="Arial"/>
                <w:sz w:val="20"/>
                <w:szCs w:val="20"/>
              </w:rPr>
              <w:t>Thank you for your comment. The indicator advisory committee agreed to progress the indicator for all people receiving drug treatment for epilepsy. No population groups are excluded from the denominator.</w:t>
            </w:r>
          </w:p>
        </w:tc>
      </w:tr>
      <w:tr w:rsidR="008E71E8" w:rsidRPr="008E71E8" w14:paraId="713429DD" w14:textId="77777777" w:rsidTr="008E71E8">
        <w:tc>
          <w:tcPr>
            <w:tcW w:w="561" w:type="dxa"/>
          </w:tcPr>
          <w:p w14:paraId="782B2CE3" w14:textId="3543E696" w:rsidR="008E71E8" w:rsidRPr="008E71E8" w:rsidRDefault="008E71E8" w:rsidP="008E71E8">
            <w:pPr>
              <w:pStyle w:val="Paragraph"/>
              <w:spacing w:before="0" w:after="0" w:line="240" w:lineRule="auto"/>
              <w:rPr>
                <w:rFonts w:cs="Arial"/>
                <w:sz w:val="20"/>
                <w:szCs w:val="20"/>
              </w:rPr>
            </w:pPr>
            <w:r w:rsidRPr="008E71E8">
              <w:rPr>
                <w:rFonts w:cs="Arial"/>
                <w:sz w:val="20"/>
                <w:szCs w:val="20"/>
              </w:rPr>
              <w:t>4</w:t>
            </w:r>
          </w:p>
        </w:tc>
        <w:tc>
          <w:tcPr>
            <w:tcW w:w="1134" w:type="dxa"/>
          </w:tcPr>
          <w:p w14:paraId="2B66004B" w14:textId="08F1CFD4" w:rsidR="008E71E8" w:rsidRPr="008E71E8" w:rsidRDefault="008E71E8" w:rsidP="008E71E8">
            <w:pPr>
              <w:pStyle w:val="Paragraph"/>
              <w:spacing w:before="0" w:after="0" w:line="240" w:lineRule="auto"/>
              <w:rPr>
                <w:rFonts w:cs="Arial"/>
                <w:sz w:val="20"/>
                <w:szCs w:val="20"/>
              </w:rPr>
            </w:pPr>
            <w:r w:rsidRPr="008E71E8">
              <w:rPr>
                <w:rFonts w:cs="Arial"/>
                <w:sz w:val="20"/>
                <w:szCs w:val="20"/>
              </w:rPr>
              <w:t>General</w:t>
            </w:r>
          </w:p>
        </w:tc>
        <w:tc>
          <w:tcPr>
            <w:tcW w:w="1617" w:type="dxa"/>
          </w:tcPr>
          <w:p w14:paraId="03261298" w14:textId="3FBEA87F" w:rsidR="008E71E8" w:rsidRPr="008E71E8" w:rsidRDefault="008E71E8" w:rsidP="008E71E8">
            <w:pPr>
              <w:pStyle w:val="Paragraph"/>
              <w:spacing w:before="0" w:after="0" w:line="240" w:lineRule="auto"/>
              <w:rPr>
                <w:rFonts w:cs="Arial"/>
                <w:b/>
                <w:bCs/>
                <w:sz w:val="20"/>
                <w:szCs w:val="20"/>
              </w:rPr>
            </w:pPr>
            <w:r w:rsidRPr="008E71E8">
              <w:rPr>
                <w:rFonts w:cs="Arial"/>
                <w:b/>
                <w:bCs/>
                <w:sz w:val="20"/>
                <w:szCs w:val="20"/>
              </w:rPr>
              <w:t>NHS England and NHS Improvement</w:t>
            </w:r>
          </w:p>
        </w:tc>
        <w:tc>
          <w:tcPr>
            <w:tcW w:w="7045" w:type="dxa"/>
          </w:tcPr>
          <w:p w14:paraId="66A4006C" w14:textId="1052D79F" w:rsidR="008E71E8" w:rsidRPr="008E71E8" w:rsidRDefault="008E71E8" w:rsidP="008E71E8">
            <w:pPr>
              <w:pStyle w:val="Paragraph"/>
              <w:spacing w:before="0" w:after="0" w:line="240" w:lineRule="auto"/>
              <w:rPr>
                <w:rFonts w:cs="Arial"/>
                <w:sz w:val="20"/>
                <w:szCs w:val="20"/>
              </w:rPr>
            </w:pPr>
            <w:r w:rsidRPr="008E71E8">
              <w:rPr>
                <w:rFonts w:cs="Arial"/>
                <w:sz w:val="20"/>
                <w:szCs w:val="20"/>
              </w:rPr>
              <w:t xml:space="preserve">Cross reference to NICE guidance on learning disability and autism to make sure the indicator is inclusive. This applies to </w:t>
            </w:r>
            <w:proofErr w:type="gramStart"/>
            <w:r w:rsidRPr="008E71E8">
              <w:rPr>
                <w:rFonts w:cs="Arial"/>
                <w:sz w:val="20"/>
                <w:szCs w:val="20"/>
              </w:rPr>
              <w:t>all of</w:t>
            </w:r>
            <w:proofErr w:type="gramEnd"/>
            <w:r w:rsidRPr="008E71E8">
              <w:rPr>
                <w:rFonts w:cs="Arial"/>
                <w:sz w:val="20"/>
                <w:szCs w:val="20"/>
              </w:rPr>
              <w:t xml:space="preserve"> the proposed indicators.  There needs to be accessible appointment letters.</w:t>
            </w:r>
          </w:p>
        </w:tc>
        <w:tc>
          <w:tcPr>
            <w:tcW w:w="3593" w:type="dxa"/>
          </w:tcPr>
          <w:p w14:paraId="3CB119B6" w14:textId="5526AD2D" w:rsidR="008E71E8" w:rsidRPr="008E71E8" w:rsidRDefault="008E71E8" w:rsidP="008E71E8">
            <w:pPr>
              <w:pStyle w:val="Paragraph"/>
              <w:spacing w:before="0" w:after="0" w:line="240" w:lineRule="auto"/>
              <w:rPr>
                <w:rFonts w:cs="Arial"/>
                <w:sz w:val="20"/>
                <w:szCs w:val="20"/>
              </w:rPr>
            </w:pPr>
            <w:r w:rsidRPr="008E71E8">
              <w:rPr>
                <w:rFonts w:cs="Arial"/>
                <w:sz w:val="20"/>
                <w:szCs w:val="20"/>
              </w:rPr>
              <w:t>Thank you for your comment. The importance of accessible communication is highlighted in the equality impact assessment.</w:t>
            </w:r>
          </w:p>
        </w:tc>
      </w:tr>
      <w:tr w:rsidR="008E71E8" w:rsidRPr="008E71E8" w14:paraId="4CCB2C41" w14:textId="77777777" w:rsidTr="008E71E8">
        <w:tc>
          <w:tcPr>
            <w:tcW w:w="561" w:type="dxa"/>
          </w:tcPr>
          <w:p w14:paraId="7936FFD0" w14:textId="47CE7CF3" w:rsidR="008E71E8" w:rsidRPr="008E71E8" w:rsidRDefault="008E71E8" w:rsidP="008E71E8">
            <w:pPr>
              <w:pStyle w:val="Paragraph"/>
              <w:spacing w:before="0" w:after="0" w:line="240" w:lineRule="auto"/>
              <w:rPr>
                <w:rFonts w:cs="Arial"/>
                <w:sz w:val="20"/>
                <w:szCs w:val="20"/>
              </w:rPr>
            </w:pPr>
            <w:r w:rsidRPr="008E71E8">
              <w:rPr>
                <w:rFonts w:cs="Arial"/>
                <w:sz w:val="20"/>
                <w:szCs w:val="20"/>
              </w:rPr>
              <w:t>5</w:t>
            </w:r>
          </w:p>
        </w:tc>
        <w:tc>
          <w:tcPr>
            <w:tcW w:w="1134" w:type="dxa"/>
          </w:tcPr>
          <w:p w14:paraId="4E00CA91" w14:textId="579C5BCE" w:rsidR="008E71E8" w:rsidRPr="008E71E8" w:rsidRDefault="008E71E8" w:rsidP="008E71E8">
            <w:pPr>
              <w:pStyle w:val="Paragraph"/>
              <w:spacing w:before="0" w:after="0" w:line="240" w:lineRule="auto"/>
              <w:rPr>
                <w:rFonts w:cs="Arial"/>
                <w:sz w:val="20"/>
                <w:szCs w:val="20"/>
              </w:rPr>
            </w:pPr>
            <w:r w:rsidRPr="008E71E8">
              <w:rPr>
                <w:rFonts w:cs="Arial"/>
                <w:sz w:val="20"/>
                <w:szCs w:val="20"/>
              </w:rPr>
              <w:t>General</w:t>
            </w:r>
          </w:p>
        </w:tc>
        <w:tc>
          <w:tcPr>
            <w:tcW w:w="1617" w:type="dxa"/>
          </w:tcPr>
          <w:p w14:paraId="0F680E32" w14:textId="247ACC66" w:rsidR="008E71E8" w:rsidRPr="008E71E8" w:rsidRDefault="008E71E8" w:rsidP="008E71E8">
            <w:pPr>
              <w:pStyle w:val="Paragraph"/>
              <w:spacing w:before="0" w:after="0" w:line="240" w:lineRule="auto"/>
              <w:rPr>
                <w:rFonts w:cs="Arial"/>
                <w:b/>
                <w:bCs/>
                <w:sz w:val="20"/>
                <w:szCs w:val="20"/>
              </w:rPr>
            </w:pPr>
            <w:r w:rsidRPr="008E71E8">
              <w:rPr>
                <w:rFonts w:cs="Arial"/>
                <w:b/>
                <w:bCs/>
                <w:sz w:val="20"/>
                <w:szCs w:val="20"/>
              </w:rPr>
              <w:t>Royal College of General Practitioners</w:t>
            </w:r>
          </w:p>
        </w:tc>
        <w:tc>
          <w:tcPr>
            <w:tcW w:w="7045" w:type="dxa"/>
          </w:tcPr>
          <w:p w14:paraId="25F54EC3" w14:textId="16002160" w:rsidR="008E71E8" w:rsidRPr="008E71E8" w:rsidRDefault="008E71E8" w:rsidP="008E71E8">
            <w:pPr>
              <w:pStyle w:val="Paragraph"/>
              <w:spacing w:before="0" w:after="0" w:line="240" w:lineRule="auto"/>
              <w:rPr>
                <w:rFonts w:cs="Arial"/>
                <w:sz w:val="20"/>
                <w:szCs w:val="20"/>
              </w:rPr>
            </w:pPr>
            <w:r w:rsidRPr="008E71E8">
              <w:rPr>
                <w:rFonts w:cs="Arial"/>
                <w:sz w:val="20"/>
                <w:szCs w:val="20"/>
              </w:rPr>
              <w:t>Background information</w:t>
            </w:r>
          </w:p>
        </w:tc>
        <w:tc>
          <w:tcPr>
            <w:tcW w:w="3593" w:type="dxa"/>
          </w:tcPr>
          <w:p w14:paraId="4EDB43F7" w14:textId="77777777" w:rsidR="008E71E8" w:rsidRPr="008E71E8" w:rsidRDefault="008E71E8" w:rsidP="008E71E8">
            <w:pPr>
              <w:pStyle w:val="Paragraph"/>
              <w:spacing w:before="0" w:after="0" w:line="240" w:lineRule="auto"/>
              <w:rPr>
                <w:rFonts w:cs="Arial"/>
                <w:sz w:val="20"/>
                <w:szCs w:val="20"/>
              </w:rPr>
            </w:pPr>
          </w:p>
        </w:tc>
      </w:tr>
      <w:tr w:rsidR="008E71E8" w:rsidRPr="008E71E8" w14:paraId="103C795D" w14:textId="77777777" w:rsidTr="008E71E8">
        <w:tc>
          <w:tcPr>
            <w:tcW w:w="561" w:type="dxa"/>
          </w:tcPr>
          <w:p w14:paraId="296D8511" w14:textId="61D164DA" w:rsidR="008E71E8" w:rsidRPr="008E71E8" w:rsidRDefault="008E71E8" w:rsidP="008E71E8">
            <w:pPr>
              <w:pStyle w:val="Paragraph"/>
              <w:spacing w:before="0" w:after="0" w:line="240" w:lineRule="auto"/>
              <w:rPr>
                <w:rFonts w:cs="Arial"/>
                <w:sz w:val="20"/>
                <w:szCs w:val="20"/>
              </w:rPr>
            </w:pPr>
            <w:r w:rsidRPr="008E71E8">
              <w:rPr>
                <w:rFonts w:cs="Arial"/>
                <w:sz w:val="20"/>
                <w:szCs w:val="20"/>
              </w:rPr>
              <w:lastRenderedPageBreak/>
              <w:t>6</w:t>
            </w:r>
          </w:p>
        </w:tc>
        <w:tc>
          <w:tcPr>
            <w:tcW w:w="1134" w:type="dxa"/>
          </w:tcPr>
          <w:p w14:paraId="6996B3A4" w14:textId="3916F941" w:rsidR="008E71E8" w:rsidRPr="008E71E8" w:rsidRDefault="008E71E8" w:rsidP="008E71E8">
            <w:pPr>
              <w:pStyle w:val="Paragraph"/>
              <w:spacing w:before="0" w:after="0" w:line="240" w:lineRule="auto"/>
              <w:rPr>
                <w:rFonts w:cs="Arial"/>
                <w:sz w:val="20"/>
                <w:szCs w:val="20"/>
              </w:rPr>
            </w:pPr>
            <w:r w:rsidRPr="008E71E8">
              <w:rPr>
                <w:rFonts w:cs="Arial"/>
                <w:sz w:val="20"/>
                <w:szCs w:val="20"/>
              </w:rPr>
              <w:t>General</w:t>
            </w:r>
          </w:p>
        </w:tc>
        <w:tc>
          <w:tcPr>
            <w:tcW w:w="1617" w:type="dxa"/>
          </w:tcPr>
          <w:p w14:paraId="55768BF2" w14:textId="41650855" w:rsidR="008E71E8" w:rsidRPr="008E71E8" w:rsidRDefault="008E71E8" w:rsidP="008E71E8">
            <w:pPr>
              <w:pStyle w:val="Paragraph"/>
              <w:spacing w:before="0" w:after="0" w:line="240" w:lineRule="auto"/>
              <w:rPr>
                <w:rFonts w:cs="Arial"/>
                <w:b/>
                <w:bCs/>
                <w:sz w:val="20"/>
                <w:szCs w:val="20"/>
              </w:rPr>
            </w:pPr>
            <w:r w:rsidRPr="008E71E8">
              <w:rPr>
                <w:rFonts w:cs="Arial"/>
                <w:b/>
                <w:bCs/>
                <w:sz w:val="20"/>
                <w:szCs w:val="20"/>
              </w:rPr>
              <w:t>Royal College of General Practitioners</w:t>
            </w:r>
          </w:p>
        </w:tc>
        <w:tc>
          <w:tcPr>
            <w:tcW w:w="7045" w:type="dxa"/>
          </w:tcPr>
          <w:p w14:paraId="3FE395EF" w14:textId="5BFD76ED" w:rsidR="008E71E8" w:rsidRPr="008E71E8" w:rsidRDefault="008E71E8" w:rsidP="008E71E8">
            <w:pPr>
              <w:pStyle w:val="Paragraph"/>
              <w:spacing w:before="0" w:after="0" w:line="240" w:lineRule="auto"/>
              <w:rPr>
                <w:rFonts w:cs="Arial"/>
                <w:sz w:val="20"/>
                <w:szCs w:val="20"/>
              </w:rPr>
            </w:pPr>
            <w:r w:rsidRPr="008E71E8">
              <w:rPr>
                <w:rFonts w:cs="Arial"/>
                <w:sz w:val="20"/>
                <w:szCs w:val="20"/>
              </w:rPr>
              <w:t xml:space="preserve">IND 2021-12 and IND 2022-13, we would question the value of having separate indicators for those with learning disabilities and mental health conditions. While we understand that they may have difference care needs outside of an epilepsy review, we do not think that better quality of care will be achieved by creating additional complex QOF indicators. Additionally, </w:t>
            </w:r>
            <w:proofErr w:type="gramStart"/>
            <w:r w:rsidRPr="008E71E8">
              <w:rPr>
                <w:rFonts w:cs="Arial"/>
                <w:sz w:val="20"/>
                <w:szCs w:val="20"/>
              </w:rPr>
              <w:t>both of these</w:t>
            </w:r>
            <w:proofErr w:type="gramEnd"/>
            <w:r w:rsidRPr="008E71E8">
              <w:rPr>
                <w:rFonts w:cs="Arial"/>
                <w:sz w:val="20"/>
                <w:szCs w:val="20"/>
              </w:rPr>
              <w:t xml:space="preserve"> groups would fall under the umbrella of IND2022-11. We would therefore strongly suggest that only IND2021-111 was included if this was taken forward.</w:t>
            </w:r>
          </w:p>
        </w:tc>
        <w:tc>
          <w:tcPr>
            <w:tcW w:w="3593" w:type="dxa"/>
          </w:tcPr>
          <w:p w14:paraId="18FBD58E" w14:textId="25C837F8" w:rsidR="008E71E8" w:rsidRPr="008E71E8" w:rsidRDefault="008E71E8" w:rsidP="008E71E8">
            <w:pPr>
              <w:pStyle w:val="Paragraph"/>
              <w:spacing w:before="0" w:after="0" w:line="240" w:lineRule="auto"/>
              <w:rPr>
                <w:rFonts w:cs="Arial"/>
                <w:sz w:val="20"/>
                <w:szCs w:val="20"/>
              </w:rPr>
            </w:pPr>
            <w:r w:rsidRPr="008E71E8">
              <w:rPr>
                <w:rFonts w:cs="Arial"/>
                <w:sz w:val="20"/>
                <w:szCs w:val="20"/>
              </w:rPr>
              <w:t>Thank you for your comment. The indicator advisory committee noted these concerns and agreed not to progress the separate indicators for people with learning disabilities and mental health conditions.</w:t>
            </w:r>
          </w:p>
        </w:tc>
      </w:tr>
      <w:tr w:rsidR="008E71E8" w:rsidRPr="008E71E8" w14:paraId="5D8C41F1" w14:textId="77777777" w:rsidTr="008E71E8">
        <w:tc>
          <w:tcPr>
            <w:tcW w:w="561" w:type="dxa"/>
          </w:tcPr>
          <w:p w14:paraId="7B0890EA" w14:textId="0D17DEB8" w:rsidR="008E71E8" w:rsidRPr="008E71E8" w:rsidRDefault="008E71E8" w:rsidP="008E71E8">
            <w:pPr>
              <w:pStyle w:val="Paragraph"/>
              <w:spacing w:before="0" w:after="0" w:line="240" w:lineRule="auto"/>
              <w:rPr>
                <w:rFonts w:cs="Arial"/>
                <w:sz w:val="20"/>
                <w:szCs w:val="20"/>
              </w:rPr>
            </w:pPr>
            <w:r w:rsidRPr="008E71E8">
              <w:rPr>
                <w:rFonts w:cs="Arial"/>
                <w:sz w:val="20"/>
                <w:szCs w:val="20"/>
              </w:rPr>
              <w:t>7</w:t>
            </w:r>
          </w:p>
        </w:tc>
        <w:tc>
          <w:tcPr>
            <w:tcW w:w="1134" w:type="dxa"/>
          </w:tcPr>
          <w:p w14:paraId="12AC60B0" w14:textId="67C7E01B" w:rsidR="008E71E8" w:rsidRPr="008E71E8" w:rsidRDefault="008E71E8" w:rsidP="008E71E8">
            <w:pPr>
              <w:pStyle w:val="Paragraph"/>
              <w:spacing w:before="0" w:after="0" w:line="240" w:lineRule="auto"/>
              <w:rPr>
                <w:rFonts w:cs="Arial"/>
                <w:sz w:val="20"/>
                <w:szCs w:val="20"/>
              </w:rPr>
            </w:pPr>
            <w:r w:rsidRPr="008E71E8">
              <w:rPr>
                <w:rFonts w:cs="Arial"/>
                <w:sz w:val="20"/>
                <w:szCs w:val="20"/>
              </w:rPr>
              <w:t>General</w:t>
            </w:r>
          </w:p>
        </w:tc>
        <w:tc>
          <w:tcPr>
            <w:tcW w:w="1617" w:type="dxa"/>
          </w:tcPr>
          <w:p w14:paraId="7A060731" w14:textId="79ED4C8A" w:rsidR="008E71E8" w:rsidRPr="008E71E8" w:rsidRDefault="008E71E8" w:rsidP="008E71E8">
            <w:pPr>
              <w:pStyle w:val="Paragraph"/>
              <w:spacing w:before="0" w:after="0" w:line="240" w:lineRule="auto"/>
              <w:rPr>
                <w:rFonts w:cs="Arial"/>
                <w:b/>
                <w:bCs/>
                <w:sz w:val="20"/>
                <w:szCs w:val="20"/>
              </w:rPr>
            </w:pPr>
            <w:r w:rsidRPr="008E71E8">
              <w:rPr>
                <w:rFonts w:cs="Arial"/>
                <w:b/>
                <w:bCs/>
                <w:sz w:val="20"/>
                <w:szCs w:val="20"/>
              </w:rPr>
              <w:t>Royal College of General Practitioners</w:t>
            </w:r>
          </w:p>
        </w:tc>
        <w:tc>
          <w:tcPr>
            <w:tcW w:w="7045" w:type="dxa"/>
          </w:tcPr>
          <w:p w14:paraId="544ED909" w14:textId="1F9E3715" w:rsidR="008E71E8" w:rsidRPr="008E71E8" w:rsidRDefault="008E71E8" w:rsidP="008E71E8">
            <w:pPr>
              <w:pStyle w:val="Paragraph"/>
              <w:spacing w:before="0" w:after="0" w:line="240" w:lineRule="auto"/>
              <w:rPr>
                <w:rFonts w:cs="Arial"/>
                <w:sz w:val="20"/>
                <w:szCs w:val="20"/>
              </w:rPr>
            </w:pPr>
            <w:r w:rsidRPr="008E71E8">
              <w:rPr>
                <w:rFonts w:cs="Arial"/>
                <w:sz w:val="20"/>
                <w:szCs w:val="20"/>
              </w:rPr>
              <w:t xml:space="preserve">In view of the safety issues surrounding Valproate, we are surprised that there is not a quality indicator being considered for review of females of </w:t>
            </w:r>
            <w:proofErr w:type="gramStart"/>
            <w:r w:rsidRPr="008E71E8">
              <w:rPr>
                <w:rFonts w:cs="Arial"/>
                <w:sz w:val="20"/>
                <w:szCs w:val="20"/>
              </w:rPr>
              <w:t>child bearing</w:t>
            </w:r>
            <w:proofErr w:type="gramEnd"/>
            <w:r w:rsidRPr="008E71E8">
              <w:rPr>
                <w:rFonts w:cs="Arial"/>
                <w:sz w:val="20"/>
                <w:szCs w:val="20"/>
              </w:rPr>
              <w:t xml:space="preserve"> age who are prescribed valproate and wonder whether this should be considered (both for people with epilepsy and those given valproate for another reason).</w:t>
            </w:r>
          </w:p>
        </w:tc>
        <w:tc>
          <w:tcPr>
            <w:tcW w:w="3593" w:type="dxa"/>
          </w:tcPr>
          <w:p w14:paraId="6FE92062" w14:textId="13B3D84E" w:rsidR="008E71E8" w:rsidRPr="008E71E8" w:rsidRDefault="008E71E8" w:rsidP="008E71E8">
            <w:pPr>
              <w:pStyle w:val="Paragraph"/>
              <w:spacing w:before="0" w:after="0" w:line="240" w:lineRule="auto"/>
              <w:rPr>
                <w:rFonts w:cs="Arial"/>
                <w:sz w:val="20"/>
                <w:szCs w:val="20"/>
              </w:rPr>
            </w:pPr>
            <w:r w:rsidRPr="008E71E8">
              <w:rPr>
                <w:rFonts w:cs="Arial"/>
                <w:sz w:val="20"/>
                <w:szCs w:val="20"/>
              </w:rPr>
              <w:t>Thank you for your comment. The committee has previously discussed the feasibility of indicators specifically focussed on review of women of child-bearing age who are prescribed valproate. Denominator numbers on average are too small to be suitable for use in the QOF. However, the committee agreed that the NICE team are to explore the value of an indicators for use outside the QOF.</w:t>
            </w:r>
          </w:p>
        </w:tc>
      </w:tr>
      <w:tr w:rsidR="008E71E8" w:rsidRPr="008E71E8" w14:paraId="6D367470" w14:textId="77777777" w:rsidTr="008E71E8">
        <w:tc>
          <w:tcPr>
            <w:tcW w:w="561" w:type="dxa"/>
          </w:tcPr>
          <w:p w14:paraId="0C31DC9B" w14:textId="757DDA3C" w:rsidR="008E71E8" w:rsidRPr="008E71E8" w:rsidRDefault="008E71E8" w:rsidP="008E71E8">
            <w:pPr>
              <w:pStyle w:val="Paragraph"/>
              <w:spacing w:before="0" w:after="0" w:line="240" w:lineRule="auto"/>
              <w:rPr>
                <w:rFonts w:cs="Arial"/>
                <w:sz w:val="20"/>
                <w:szCs w:val="20"/>
              </w:rPr>
            </w:pPr>
            <w:r w:rsidRPr="008E71E8">
              <w:rPr>
                <w:rFonts w:cs="Arial"/>
                <w:sz w:val="20"/>
                <w:szCs w:val="20"/>
              </w:rPr>
              <w:t>8</w:t>
            </w:r>
          </w:p>
        </w:tc>
        <w:tc>
          <w:tcPr>
            <w:tcW w:w="1134" w:type="dxa"/>
          </w:tcPr>
          <w:p w14:paraId="6FE8D4D6" w14:textId="782A2EF2" w:rsidR="008E71E8" w:rsidRPr="008E71E8" w:rsidRDefault="008E71E8" w:rsidP="008E71E8">
            <w:pPr>
              <w:pStyle w:val="Paragraph"/>
              <w:spacing w:before="0" w:after="0" w:line="240" w:lineRule="auto"/>
              <w:rPr>
                <w:rFonts w:cs="Arial"/>
                <w:sz w:val="20"/>
                <w:szCs w:val="20"/>
              </w:rPr>
            </w:pPr>
            <w:r w:rsidRPr="008E71E8">
              <w:rPr>
                <w:rFonts w:cs="Arial"/>
                <w:sz w:val="20"/>
                <w:szCs w:val="20"/>
              </w:rPr>
              <w:t>General</w:t>
            </w:r>
          </w:p>
        </w:tc>
        <w:tc>
          <w:tcPr>
            <w:tcW w:w="1617" w:type="dxa"/>
          </w:tcPr>
          <w:p w14:paraId="523A0E3A" w14:textId="05580390" w:rsidR="008E71E8" w:rsidRPr="008E71E8" w:rsidRDefault="008E71E8" w:rsidP="008E71E8">
            <w:pPr>
              <w:pStyle w:val="Paragraph"/>
              <w:spacing w:before="0" w:after="0" w:line="240" w:lineRule="auto"/>
              <w:rPr>
                <w:rFonts w:cs="Arial"/>
                <w:b/>
                <w:bCs/>
                <w:sz w:val="20"/>
                <w:szCs w:val="20"/>
              </w:rPr>
            </w:pPr>
            <w:r w:rsidRPr="008E71E8">
              <w:rPr>
                <w:rFonts w:cs="Arial"/>
                <w:b/>
                <w:bCs/>
                <w:sz w:val="20"/>
                <w:szCs w:val="20"/>
              </w:rPr>
              <w:t>Royal College of General Practitioners</w:t>
            </w:r>
          </w:p>
        </w:tc>
        <w:tc>
          <w:tcPr>
            <w:tcW w:w="7045" w:type="dxa"/>
          </w:tcPr>
          <w:p w14:paraId="1840A3E9" w14:textId="1C8D525A" w:rsidR="008E71E8" w:rsidRPr="008E71E8" w:rsidRDefault="008E71E8" w:rsidP="008E71E8">
            <w:pPr>
              <w:pStyle w:val="Paragraph"/>
              <w:spacing w:before="0" w:after="0" w:line="240" w:lineRule="auto"/>
              <w:rPr>
                <w:rFonts w:cs="Arial"/>
                <w:sz w:val="20"/>
                <w:szCs w:val="20"/>
              </w:rPr>
            </w:pPr>
            <w:r w:rsidRPr="008E71E8">
              <w:rPr>
                <w:rFonts w:cs="Arial"/>
                <w:sz w:val="20"/>
                <w:szCs w:val="20"/>
              </w:rPr>
              <w:t>In view of the recent ME CFS guidance and the need for increased capacity of appointments in primary care, we are surprised that this is not considered as one of the indicators for QOF</w:t>
            </w:r>
          </w:p>
        </w:tc>
        <w:tc>
          <w:tcPr>
            <w:tcW w:w="3593" w:type="dxa"/>
          </w:tcPr>
          <w:p w14:paraId="02DCD726" w14:textId="749D1285" w:rsidR="008E71E8" w:rsidRPr="008E71E8" w:rsidRDefault="008E71E8" w:rsidP="008E71E8">
            <w:pPr>
              <w:pStyle w:val="Paragraph"/>
              <w:spacing w:before="0" w:after="0" w:line="240" w:lineRule="auto"/>
              <w:rPr>
                <w:rFonts w:cs="Arial"/>
                <w:sz w:val="20"/>
                <w:szCs w:val="20"/>
              </w:rPr>
            </w:pPr>
            <w:r w:rsidRPr="008E71E8">
              <w:rPr>
                <w:rFonts w:cs="Arial"/>
                <w:sz w:val="20"/>
                <w:szCs w:val="20"/>
              </w:rPr>
              <w:t>Thank you for your comment. The suggestion to develop indicators focused on chronic fatigue syndrome has been shared with NHS England.</w:t>
            </w:r>
          </w:p>
        </w:tc>
      </w:tr>
      <w:tr w:rsidR="008E71E8" w:rsidRPr="008E71E8" w14:paraId="1D4369C7" w14:textId="77777777" w:rsidTr="008E71E8">
        <w:tc>
          <w:tcPr>
            <w:tcW w:w="561" w:type="dxa"/>
          </w:tcPr>
          <w:p w14:paraId="076E6F3B" w14:textId="48DC71A0" w:rsidR="008E71E8" w:rsidRPr="008E71E8" w:rsidRDefault="008E71E8" w:rsidP="008E71E8">
            <w:pPr>
              <w:pStyle w:val="Paragraph"/>
              <w:spacing w:before="0" w:after="0" w:line="240" w:lineRule="auto"/>
              <w:rPr>
                <w:rFonts w:cs="Arial"/>
                <w:sz w:val="20"/>
                <w:szCs w:val="20"/>
              </w:rPr>
            </w:pPr>
            <w:r w:rsidRPr="008E71E8">
              <w:rPr>
                <w:rFonts w:cs="Arial"/>
                <w:sz w:val="20"/>
                <w:szCs w:val="20"/>
              </w:rPr>
              <w:t>9</w:t>
            </w:r>
          </w:p>
        </w:tc>
        <w:tc>
          <w:tcPr>
            <w:tcW w:w="1134" w:type="dxa"/>
          </w:tcPr>
          <w:p w14:paraId="32ADDFB5" w14:textId="4BFFE3F6" w:rsidR="008E71E8" w:rsidRPr="008E71E8" w:rsidRDefault="008E71E8" w:rsidP="008E71E8">
            <w:pPr>
              <w:pStyle w:val="Paragraph"/>
              <w:spacing w:before="0" w:after="0" w:line="240" w:lineRule="auto"/>
              <w:rPr>
                <w:rFonts w:cs="Arial"/>
                <w:sz w:val="20"/>
                <w:szCs w:val="20"/>
              </w:rPr>
            </w:pPr>
            <w:r w:rsidRPr="008E71E8">
              <w:rPr>
                <w:rFonts w:cs="Arial"/>
                <w:sz w:val="20"/>
                <w:szCs w:val="20"/>
              </w:rPr>
              <w:t>General</w:t>
            </w:r>
          </w:p>
        </w:tc>
        <w:tc>
          <w:tcPr>
            <w:tcW w:w="1617" w:type="dxa"/>
          </w:tcPr>
          <w:p w14:paraId="536C0236" w14:textId="32D9303B" w:rsidR="008E71E8" w:rsidRPr="008E71E8" w:rsidRDefault="008E71E8" w:rsidP="008E71E8">
            <w:pPr>
              <w:pStyle w:val="Paragraph"/>
              <w:spacing w:before="0" w:after="0" w:line="240" w:lineRule="auto"/>
              <w:rPr>
                <w:rFonts w:cs="Arial"/>
                <w:b/>
                <w:bCs/>
                <w:sz w:val="20"/>
                <w:szCs w:val="20"/>
              </w:rPr>
            </w:pPr>
            <w:r w:rsidRPr="008E71E8">
              <w:rPr>
                <w:rFonts w:cs="Arial"/>
                <w:b/>
                <w:bCs/>
                <w:sz w:val="20"/>
                <w:szCs w:val="20"/>
              </w:rPr>
              <w:t>Young Epilepsy</w:t>
            </w:r>
          </w:p>
        </w:tc>
        <w:tc>
          <w:tcPr>
            <w:tcW w:w="7045" w:type="dxa"/>
          </w:tcPr>
          <w:p w14:paraId="719DBB30" w14:textId="511C156F" w:rsidR="008E71E8" w:rsidRPr="008E71E8" w:rsidRDefault="008E71E8" w:rsidP="008E71E8">
            <w:pPr>
              <w:pStyle w:val="Paragraph"/>
              <w:spacing w:before="0" w:after="0" w:line="240" w:lineRule="auto"/>
              <w:rPr>
                <w:rFonts w:cs="Arial"/>
                <w:sz w:val="20"/>
                <w:szCs w:val="20"/>
              </w:rPr>
            </w:pPr>
            <w:r w:rsidRPr="008E71E8">
              <w:rPr>
                <w:rFonts w:cs="Arial"/>
                <w:sz w:val="20"/>
                <w:szCs w:val="20"/>
              </w:rPr>
              <w:t>The proposed epilepsy indicators are linked to the current QOF indicator for epilepsy (EP001), which requires the establishment and maintenance of a register of patients aged 18 years or over receiving drug treatment for epilepsy. We recommend that this QOF indicator is expanded to include people with epilepsy of all ages, including children and young people. This would ensure that epilepsy prevalence in local and national populations can be accurately tracked, to inform forward planning for service delivery. Although children’s epilepsy care is led at secondary or tertiary level, primary care also plays a key role in prescribing for people with epilepsy of all ages.</w:t>
            </w:r>
          </w:p>
        </w:tc>
        <w:tc>
          <w:tcPr>
            <w:tcW w:w="3593" w:type="dxa"/>
          </w:tcPr>
          <w:p w14:paraId="4B231E04" w14:textId="7600695D" w:rsidR="008E71E8" w:rsidRPr="008E71E8" w:rsidRDefault="00835F0D" w:rsidP="008E71E8">
            <w:pPr>
              <w:pStyle w:val="Paragraph"/>
              <w:spacing w:before="0" w:after="0" w:line="240" w:lineRule="auto"/>
              <w:rPr>
                <w:rFonts w:cs="Arial"/>
                <w:sz w:val="20"/>
                <w:szCs w:val="20"/>
              </w:rPr>
            </w:pPr>
            <w:r>
              <w:rPr>
                <w:rFonts w:cs="Arial"/>
                <w:sz w:val="20"/>
                <w:szCs w:val="20"/>
              </w:rPr>
              <w:t xml:space="preserve">Thank you for your comment. </w:t>
            </w:r>
            <w:r w:rsidRPr="00835F0D">
              <w:rPr>
                <w:rFonts w:cs="Arial"/>
                <w:sz w:val="20"/>
                <w:szCs w:val="20"/>
              </w:rPr>
              <w:t>The committee discussed the potential to include people under 18 years. They acknowledged that some young people will be being supported in general practice, however the majority would be receiving most of their support from secondary or tertiary care.</w:t>
            </w:r>
          </w:p>
        </w:tc>
      </w:tr>
      <w:bookmarkEnd w:id="30"/>
    </w:tbl>
    <w:p w14:paraId="1ECB4DDB" w14:textId="7876800E" w:rsidR="008E71E8" w:rsidRDefault="008E71E8" w:rsidP="00AC4E8B">
      <w:pPr>
        <w:pStyle w:val="Paragraph"/>
      </w:pPr>
    </w:p>
    <w:p w14:paraId="751B8D72" w14:textId="77777777" w:rsidR="008E71E8" w:rsidRDefault="008E71E8" w:rsidP="00AC4E8B">
      <w:pPr>
        <w:pStyle w:val="Paragraph"/>
      </w:pPr>
    </w:p>
    <w:p w14:paraId="06D73156" w14:textId="5A987BD9" w:rsidR="001F4846" w:rsidRDefault="001F4846" w:rsidP="001F4846">
      <w:pPr>
        <w:pStyle w:val="Paragraph"/>
      </w:pPr>
      <w:r w:rsidRPr="001F4846">
        <w:lastRenderedPageBreak/>
        <w:t>IND 2021-111: The percentage of adults receiving drug treatment for epilepsy who had a structured review in the preceding 12 months</w:t>
      </w:r>
    </w:p>
    <w:tbl>
      <w:tblPr>
        <w:tblStyle w:val="TableGrid"/>
        <w:tblW w:w="0" w:type="auto"/>
        <w:tblLook w:val="04A0" w:firstRow="1" w:lastRow="0" w:firstColumn="1" w:lastColumn="0" w:noHBand="0" w:noVBand="1"/>
      </w:tblPr>
      <w:tblGrid>
        <w:gridCol w:w="561"/>
        <w:gridCol w:w="1134"/>
        <w:gridCol w:w="1617"/>
        <w:gridCol w:w="7045"/>
        <w:gridCol w:w="3593"/>
      </w:tblGrid>
      <w:tr w:rsidR="008E71E8" w:rsidRPr="008E71E8" w14:paraId="51BC4217" w14:textId="77777777" w:rsidTr="00CB7B94">
        <w:trPr>
          <w:tblHeader/>
        </w:trPr>
        <w:tc>
          <w:tcPr>
            <w:tcW w:w="561" w:type="dxa"/>
          </w:tcPr>
          <w:p w14:paraId="6F717739" w14:textId="77777777" w:rsidR="008E71E8" w:rsidRPr="008E71E8" w:rsidRDefault="008E71E8" w:rsidP="00CB7B94">
            <w:pPr>
              <w:pStyle w:val="Paragraph"/>
              <w:spacing w:before="0" w:after="0" w:line="240" w:lineRule="auto"/>
              <w:rPr>
                <w:rFonts w:cs="Arial"/>
                <w:b/>
                <w:bCs/>
                <w:sz w:val="20"/>
                <w:szCs w:val="20"/>
              </w:rPr>
            </w:pPr>
            <w:r w:rsidRPr="008E71E8">
              <w:rPr>
                <w:rFonts w:cs="Arial"/>
                <w:b/>
                <w:bCs/>
                <w:sz w:val="20"/>
                <w:szCs w:val="20"/>
              </w:rPr>
              <w:t>ID</w:t>
            </w:r>
          </w:p>
        </w:tc>
        <w:tc>
          <w:tcPr>
            <w:tcW w:w="1134" w:type="dxa"/>
          </w:tcPr>
          <w:p w14:paraId="6EF7BB91" w14:textId="77777777" w:rsidR="008E71E8" w:rsidRPr="008E71E8" w:rsidRDefault="008E71E8" w:rsidP="00CB7B94">
            <w:pPr>
              <w:pStyle w:val="Paragraph"/>
              <w:spacing w:before="0" w:after="0" w:line="240" w:lineRule="auto"/>
              <w:rPr>
                <w:rFonts w:cs="Arial"/>
                <w:b/>
                <w:bCs/>
                <w:sz w:val="20"/>
                <w:szCs w:val="20"/>
              </w:rPr>
            </w:pPr>
            <w:r w:rsidRPr="008E71E8">
              <w:rPr>
                <w:rFonts w:cs="Arial"/>
                <w:b/>
                <w:bCs/>
                <w:sz w:val="20"/>
                <w:szCs w:val="20"/>
              </w:rPr>
              <w:t>Indicator</w:t>
            </w:r>
          </w:p>
        </w:tc>
        <w:tc>
          <w:tcPr>
            <w:tcW w:w="1617" w:type="dxa"/>
          </w:tcPr>
          <w:p w14:paraId="30E39F3D" w14:textId="77777777" w:rsidR="008E71E8" w:rsidRPr="008E71E8" w:rsidRDefault="008E71E8" w:rsidP="00CB7B94">
            <w:pPr>
              <w:pStyle w:val="Paragraph"/>
              <w:spacing w:before="0" w:after="0" w:line="240" w:lineRule="auto"/>
              <w:rPr>
                <w:rFonts w:cs="Arial"/>
                <w:b/>
                <w:bCs/>
                <w:sz w:val="20"/>
                <w:szCs w:val="20"/>
              </w:rPr>
            </w:pPr>
            <w:r w:rsidRPr="008E71E8">
              <w:rPr>
                <w:rFonts w:cs="Arial"/>
                <w:b/>
                <w:bCs/>
                <w:sz w:val="20"/>
                <w:szCs w:val="20"/>
              </w:rPr>
              <w:t>Organisation name</w:t>
            </w:r>
          </w:p>
        </w:tc>
        <w:tc>
          <w:tcPr>
            <w:tcW w:w="7045" w:type="dxa"/>
          </w:tcPr>
          <w:p w14:paraId="2760C0DA" w14:textId="77777777" w:rsidR="008E71E8" w:rsidRPr="008E71E8" w:rsidRDefault="008E71E8" w:rsidP="00CB7B94">
            <w:pPr>
              <w:pStyle w:val="Paragraph"/>
              <w:spacing w:before="0" w:after="0" w:line="240" w:lineRule="auto"/>
              <w:rPr>
                <w:rFonts w:cs="Arial"/>
                <w:b/>
                <w:bCs/>
                <w:sz w:val="20"/>
                <w:szCs w:val="20"/>
              </w:rPr>
            </w:pPr>
            <w:r w:rsidRPr="008E71E8">
              <w:rPr>
                <w:rFonts w:cs="Arial"/>
                <w:b/>
                <w:bCs/>
                <w:sz w:val="20"/>
                <w:szCs w:val="20"/>
              </w:rPr>
              <w:t>Comments</w:t>
            </w:r>
          </w:p>
        </w:tc>
        <w:tc>
          <w:tcPr>
            <w:tcW w:w="3593" w:type="dxa"/>
          </w:tcPr>
          <w:p w14:paraId="45D32EEE" w14:textId="77777777" w:rsidR="008E71E8" w:rsidRPr="008E71E8" w:rsidRDefault="008E71E8" w:rsidP="00CB7B94">
            <w:pPr>
              <w:pStyle w:val="Paragraph"/>
              <w:spacing w:before="0" w:after="0" w:line="240" w:lineRule="auto"/>
              <w:rPr>
                <w:rFonts w:cs="Arial"/>
                <w:b/>
                <w:bCs/>
                <w:sz w:val="20"/>
                <w:szCs w:val="20"/>
              </w:rPr>
            </w:pPr>
            <w:r w:rsidRPr="008E71E8">
              <w:rPr>
                <w:rFonts w:cs="Arial"/>
                <w:b/>
                <w:bCs/>
                <w:sz w:val="20"/>
                <w:szCs w:val="20"/>
              </w:rPr>
              <w:t>NICE response</w:t>
            </w:r>
          </w:p>
        </w:tc>
      </w:tr>
      <w:tr w:rsidR="00244B6F" w:rsidRPr="008E71E8" w14:paraId="3D0539C6" w14:textId="77777777" w:rsidTr="00766434">
        <w:tc>
          <w:tcPr>
            <w:tcW w:w="561" w:type="dxa"/>
            <w:vAlign w:val="center"/>
          </w:tcPr>
          <w:p w14:paraId="3E406032" w14:textId="63E5FEC1" w:rsidR="00244B6F" w:rsidRPr="008E71E8" w:rsidRDefault="00244B6F" w:rsidP="00244B6F">
            <w:pPr>
              <w:pStyle w:val="Paragraph"/>
              <w:spacing w:before="0" w:after="0" w:line="240" w:lineRule="auto"/>
              <w:rPr>
                <w:rFonts w:cs="Arial"/>
                <w:sz w:val="20"/>
                <w:szCs w:val="20"/>
              </w:rPr>
            </w:pPr>
            <w:r>
              <w:rPr>
                <w:rFonts w:cs="Arial"/>
                <w:sz w:val="20"/>
                <w:szCs w:val="20"/>
              </w:rPr>
              <w:t>10</w:t>
            </w:r>
          </w:p>
        </w:tc>
        <w:tc>
          <w:tcPr>
            <w:tcW w:w="1134" w:type="dxa"/>
            <w:vAlign w:val="center"/>
          </w:tcPr>
          <w:p w14:paraId="46B730F6" w14:textId="096B14A6"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2021-111</w:t>
            </w:r>
          </w:p>
        </w:tc>
        <w:tc>
          <w:tcPr>
            <w:tcW w:w="1617" w:type="dxa"/>
            <w:vAlign w:val="center"/>
          </w:tcPr>
          <w:p w14:paraId="7CDE1C30" w14:textId="6C03D24F"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Association of British Neurologists</w:t>
            </w:r>
          </w:p>
        </w:tc>
        <w:tc>
          <w:tcPr>
            <w:tcW w:w="7045" w:type="dxa"/>
            <w:vAlign w:val="center"/>
          </w:tcPr>
          <w:p w14:paraId="69A80EC4" w14:textId="77777777" w:rsidR="00244B6F" w:rsidRPr="00AC4E8B" w:rsidRDefault="00244B6F" w:rsidP="00244B6F">
            <w:pPr>
              <w:spacing w:after="240" w:line="276" w:lineRule="auto"/>
              <w:rPr>
                <w:rFonts w:ascii="Arial" w:hAnsi="Arial" w:cs="Arial"/>
                <w:b/>
                <w:bCs/>
                <w:sz w:val="20"/>
                <w:szCs w:val="20"/>
                <w:lang w:eastAsia="en-GB"/>
              </w:rPr>
            </w:pPr>
            <w:r w:rsidRPr="00AC4E8B">
              <w:rPr>
                <w:rFonts w:ascii="Arial" w:hAnsi="Arial" w:cs="Arial"/>
                <w:b/>
                <w:bCs/>
                <w:sz w:val="20"/>
                <w:szCs w:val="20"/>
                <w:lang w:eastAsia="en-GB"/>
              </w:rPr>
              <w:t>Do you think there are any barriers to implementing the care described by these indicators?</w:t>
            </w:r>
          </w:p>
          <w:p w14:paraId="6FEC60EF" w14:textId="6F4B6EF6" w:rsidR="00244B6F" w:rsidRPr="008E71E8" w:rsidRDefault="00244B6F" w:rsidP="00244B6F">
            <w:pPr>
              <w:pStyle w:val="Paragraph"/>
              <w:spacing w:before="0" w:after="0" w:line="240" w:lineRule="auto"/>
              <w:rPr>
                <w:rFonts w:cs="Arial"/>
                <w:sz w:val="20"/>
                <w:szCs w:val="20"/>
              </w:rPr>
            </w:pPr>
            <w:r w:rsidRPr="00AC4E8B">
              <w:rPr>
                <w:rFonts w:cs="Arial"/>
                <w:sz w:val="20"/>
                <w:szCs w:val="20"/>
                <w:lang w:eastAsia="en-GB"/>
              </w:rPr>
              <w:t>The barriers to implementing an annual structured review for patients with epilepsy on drug treatment in primary care are that it will not be mandated and will not remunerated under the General Medical Services agreement as it was previously when an annual structured review was a QOF. Time for these reviews will be difficult to fit in particularly given the current pressures on appointments in primary care.</w:t>
            </w:r>
          </w:p>
        </w:tc>
        <w:tc>
          <w:tcPr>
            <w:tcW w:w="3593" w:type="dxa"/>
          </w:tcPr>
          <w:p w14:paraId="5A4FA8A2" w14:textId="3BECB393" w:rsidR="00244B6F" w:rsidRPr="008E71E8" w:rsidRDefault="00244B6F" w:rsidP="00244B6F">
            <w:pPr>
              <w:pStyle w:val="Paragraph"/>
              <w:spacing w:before="0" w:after="0" w:line="240" w:lineRule="auto"/>
              <w:rPr>
                <w:rFonts w:cs="Arial"/>
                <w:sz w:val="20"/>
                <w:szCs w:val="20"/>
              </w:rPr>
            </w:pPr>
            <w:r w:rsidRPr="009A569F">
              <w:rPr>
                <w:rFonts w:cs="Arial"/>
                <w:sz w:val="20"/>
                <w:szCs w:val="20"/>
                <w:lang w:eastAsia="en-GB"/>
              </w:rPr>
              <w:t xml:space="preserve">Thank </w:t>
            </w:r>
            <w:r>
              <w:rPr>
                <w:rFonts w:cs="Arial"/>
                <w:sz w:val="20"/>
                <w:szCs w:val="20"/>
                <w:lang w:eastAsia="en-GB"/>
              </w:rPr>
              <w:t xml:space="preserve">you for your comment. The committee agreed to progress this indicator on the basis that it is suitable for inclusion in the QOF. </w:t>
            </w:r>
          </w:p>
        </w:tc>
      </w:tr>
      <w:tr w:rsidR="00244B6F" w:rsidRPr="008E71E8" w14:paraId="20D3F4E6" w14:textId="77777777" w:rsidTr="00766434">
        <w:tc>
          <w:tcPr>
            <w:tcW w:w="561" w:type="dxa"/>
            <w:vAlign w:val="center"/>
          </w:tcPr>
          <w:p w14:paraId="0C86427D" w14:textId="02B1F0F0" w:rsidR="00244B6F" w:rsidRPr="008E71E8" w:rsidRDefault="00244B6F" w:rsidP="00244B6F">
            <w:pPr>
              <w:pStyle w:val="Paragraph"/>
              <w:spacing w:before="0" w:after="0" w:line="240" w:lineRule="auto"/>
              <w:rPr>
                <w:rFonts w:cs="Arial"/>
                <w:sz w:val="20"/>
                <w:szCs w:val="20"/>
              </w:rPr>
            </w:pPr>
            <w:r>
              <w:rPr>
                <w:rFonts w:cs="Arial"/>
                <w:sz w:val="20"/>
                <w:szCs w:val="20"/>
              </w:rPr>
              <w:t>11</w:t>
            </w:r>
          </w:p>
        </w:tc>
        <w:tc>
          <w:tcPr>
            <w:tcW w:w="1134" w:type="dxa"/>
            <w:vAlign w:val="center"/>
          </w:tcPr>
          <w:p w14:paraId="15B17BEC" w14:textId="7F74D531"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2021-111</w:t>
            </w:r>
          </w:p>
        </w:tc>
        <w:tc>
          <w:tcPr>
            <w:tcW w:w="1617" w:type="dxa"/>
            <w:vAlign w:val="center"/>
          </w:tcPr>
          <w:p w14:paraId="54EBBD49" w14:textId="4023A6E0"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Association of British Neurologists</w:t>
            </w:r>
          </w:p>
        </w:tc>
        <w:tc>
          <w:tcPr>
            <w:tcW w:w="7045" w:type="dxa"/>
            <w:vAlign w:val="center"/>
          </w:tcPr>
          <w:p w14:paraId="32C5A356" w14:textId="77777777" w:rsidR="00244B6F" w:rsidRPr="00AC4E8B" w:rsidRDefault="00244B6F" w:rsidP="00244B6F">
            <w:pPr>
              <w:spacing w:after="240" w:line="276" w:lineRule="auto"/>
              <w:rPr>
                <w:rFonts w:ascii="Arial" w:hAnsi="Arial" w:cs="Arial"/>
                <w:b/>
                <w:bCs/>
                <w:sz w:val="20"/>
                <w:szCs w:val="20"/>
                <w:lang w:eastAsia="en-GB"/>
              </w:rPr>
            </w:pPr>
            <w:r w:rsidRPr="00AC4E8B">
              <w:rPr>
                <w:rFonts w:ascii="Arial" w:hAnsi="Arial" w:cs="Arial"/>
                <w:b/>
                <w:bCs/>
                <w:sz w:val="20"/>
                <w:szCs w:val="20"/>
                <w:lang w:eastAsia="en-GB"/>
              </w:rPr>
              <w:t>Do you think there are potential unintended consequences to implementing/ using any of these indicators?</w:t>
            </w:r>
          </w:p>
          <w:p w14:paraId="72C98E54" w14:textId="6317EA6A" w:rsidR="00244B6F" w:rsidRPr="008E71E8" w:rsidRDefault="00244B6F" w:rsidP="00244B6F">
            <w:pPr>
              <w:pStyle w:val="Paragraph"/>
              <w:spacing w:before="0" w:after="0" w:line="240" w:lineRule="auto"/>
              <w:rPr>
                <w:rFonts w:cs="Arial"/>
                <w:sz w:val="20"/>
                <w:szCs w:val="20"/>
              </w:rPr>
            </w:pPr>
            <w:r w:rsidRPr="00AC4E8B">
              <w:rPr>
                <w:rFonts w:cs="Arial"/>
                <w:sz w:val="20"/>
                <w:szCs w:val="20"/>
                <w:lang w:eastAsia="en-GB"/>
              </w:rPr>
              <w:t xml:space="preserve">No </w:t>
            </w:r>
          </w:p>
        </w:tc>
        <w:tc>
          <w:tcPr>
            <w:tcW w:w="3593" w:type="dxa"/>
          </w:tcPr>
          <w:p w14:paraId="3966338A" w14:textId="2788CBFC" w:rsidR="00244B6F" w:rsidRPr="008E71E8" w:rsidRDefault="00244B6F" w:rsidP="00244B6F">
            <w:pPr>
              <w:pStyle w:val="Paragraph"/>
              <w:spacing w:before="0" w:after="0" w:line="240" w:lineRule="auto"/>
              <w:rPr>
                <w:rFonts w:cs="Arial"/>
                <w:sz w:val="20"/>
                <w:szCs w:val="20"/>
              </w:rPr>
            </w:pPr>
            <w:r w:rsidRPr="00963FA8">
              <w:rPr>
                <w:rFonts w:cs="Arial"/>
                <w:sz w:val="20"/>
                <w:szCs w:val="20"/>
                <w:lang w:eastAsia="en-GB"/>
              </w:rPr>
              <w:t>Thank you for your comment.</w:t>
            </w:r>
          </w:p>
        </w:tc>
      </w:tr>
      <w:tr w:rsidR="00244B6F" w:rsidRPr="008E71E8" w14:paraId="1326E917" w14:textId="77777777" w:rsidTr="00766434">
        <w:tc>
          <w:tcPr>
            <w:tcW w:w="561" w:type="dxa"/>
            <w:vAlign w:val="center"/>
          </w:tcPr>
          <w:p w14:paraId="7E66E521" w14:textId="46065677" w:rsidR="00244B6F" w:rsidRPr="008E71E8" w:rsidRDefault="00244B6F" w:rsidP="00244B6F">
            <w:pPr>
              <w:pStyle w:val="Paragraph"/>
              <w:spacing w:before="0" w:after="0" w:line="240" w:lineRule="auto"/>
              <w:rPr>
                <w:rFonts w:cs="Arial"/>
                <w:sz w:val="20"/>
                <w:szCs w:val="20"/>
              </w:rPr>
            </w:pPr>
            <w:r>
              <w:rPr>
                <w:rFonts w:cs="Arial"/>
                <w:sz w:val="20"/>
                <w:szCs w:val="20"/>
              </w:rPr>
              <w:t>12</w:t>
            </w:r>
          </w:p>
        </w:tc>
        <w:tc>
          <w:tcPr>
            <w:tcW w:w="1134" w:type="dxa"/>
            <w:vAlign w:val="center"/>
          </w:tcPr>
          <w:p w14:paraId="4C71316D" w14:textId="7C2FFDDA"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2021-111</w:t>
            </w:r>
          </w:p>
        </w:tc>
        <w:tc>
          <w:tcPr>
            <w:tcW w:w="1617" w:type="dxa"/>
            <w:vAlign w:val="center"/>
          </w:tcPr>
          <w:p w14:paraId="2D8207FA" w14:textId="582A803E"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Association of British Neurologists</w:t>
            </w:r>
          </w:p>
        </w:tc>
        <w:tc>
          <w:tcPr>
            <w:tcW w:w="7045" w:type="dxa"/>
            <w:vAlign w:val="center"/>
          </w:tcPr>
          <w:p w14:paraId="7186A1AA" w14:textId="77777777" w:rsidR="00244B6F" w:rsidRPr="00AC4E8B" w:rsidRDefault="00244B6F" w:rsidP="00244B6F">
            <w:pPr>
              <w:spacing w:after="240" w:line="276" w:lineRule="auto"/>
              <w:rPr>
                <w:rFonts w:ascii="Arial" w:hAnsi="Arial" w:cs="Arial"/>
                <w:b/>
                <w:bCs/>
                <w:sz w:val="20"/>
                <w:szCs w:val="20"/>
                <w:lang w:eastAsia="en-GB"/>
              </w:rPr>
            </w:pPr>
            <w:r w:rsidRPr="00AC4E8B">
              <w:rPr>
                <w:rFonts w:ascii="Arial" w:hAnsi="Arial" w:cs="Arial"/>
                <w:b/>
                <w:bCs/>
                <w:sz w:val="20"/>
                <w:szCs w:val="20"/>
                <w:lang w:eastAsia="en-GB"/>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4F4DA1D" w14:textId="77777777" w:rsidR="00244B6F" w:rsidRPr="00AC4E8B" w:rsidRDefault="00244B6F" w:rsidP="00244B6F">
            <w:pPr>
              <w:spacing w:after="240" w:line="276" w:lineRule="auto"/>
              <w:rPr>
                <w:rFonts w:ascii="Arial" w:hAnsi="Arial" w:cs="Arial"/>
                <w:sz w:val="20"/>
                <w:szCs w:val="20"/>
                <w:lang w:eastAsia="en-GB"/>
              </w:rPr>
            </w:pPr>
            <w:r w:rsidRPr="00AC4E8B">
              <w:rPr>
                <w:rFonts w:ascii="Arial" w:hAnsi="Arial" w:cs="Arial"/>
                <w:sz w:val="20"/>
                <w:szCs w:val="20"/>
                <w:lang w:eastAsia="en-GB"/>
              </w:rPr>
              <w:t xml:space="preserve">Difficult to predict and will vary within individual groups. Attendance for these reviews may be variable across these minority groups </w:t>
            </w:r>
            <w:proofErr w:type="gramStart"/>
            <w:r w:rsidRPr="00AC4E8B">
              <w:rPr>
                <w:rFonts w:ascii="Arial" w:hAnsi="Arial" w:cs="Arial"/>
                <w:sz w:val="20"/>
                <w:szCs w:val="20"/>
                <w:lang w:eastAsia="en-GB"/>
              </w:rPr>
              <w:t>and also</w:t>
            </w:r>
            <w:proofErr w:type="gramEnd"/>
            <w:r w:rsidRPr="00AC4E8B">
              <w:rPr>
                <w:rFonts w:ascii="Arial" w:hAnsi="Arial" w:cs="Arial"/>
                <w:sz w:val="20"/>
                <w:szCs w:val="20"/>
                <w:lang w:eastAsia="en-GB"/>
              </w:rPr>
              <w:t xml:space="preserve"> across socially disadvantaged groups as they can be people who are traditionally less likely to access and attend healthcare appointments.</w:t>
            </w:r>
          </w:p>
          <w:p w14:paraId="7078D271" w14:textId="50605EFB" w:rsidR="00244B6F" w:rsidRPr="008E71E8" w:rsidRDefault="00244B6F" w:rsidP="00244B6F">
            <w:pPr>
              <w:pStyle w:val="Paragraph"/>
              <w:spacing w:before="0" w:after="0" w:line="240" w:lineRule="auto"/>
              <w:rPr>
                <w:rFonts w:cs="Arial"/>
                <w:sz w:val="20"/>
                <w:szCs w:val="20"/>
              </w:rPr>
            </w:pPr>
            <w:r w:rsidRPr="00AC4E8B">
              <w:rPr>
                <w:rFonts w:cs="Arial"/>
                <w:sz w:val="20"/>
                <w:szCs w:val="20"/>
                <w:lang w:eastAsia="en-GB"/>
              </w:rPr>
              <w:t>The potential positive benefit for pregnancy and maternity outcomes is large with timely referral to secondary care for preconceptual counselling and active management in pregnancy.</w:t>
            </w:r>
          </w:p>
        </w:tc>
        <w:tc>
          <w:tcPr>
            <w:tcW w:w="3593" w:type="dxa"/>
          </w:tcPr>
          <w:p w14:paraId="662E23F9" w14:textId="1C2891DC" w:rsidR="00244B6F" w:rsidRPr="008E71E8" w:rsidRDefault="00244B6F" w:rsidP="00244B6F">
            <w:pPr>
              <w:pStyle w:val="Paragraph"/>
              <w:spacing w:before="0" w:after="0" w:line="240" w:lineRule="auto"/>
              <w:rPr>
                <w:rFonts w:cs="Arial"/>
                <w:sz w:val="20"/>
                <w:szCs w:val="20"/>
              </w:rPr>
            </w:pPr>
            <w:r w:rsidRPr="00963FA8">
              <w:rPr>
                <w:rFonts w:cs="Arial"/>
                <w:sz w:val="20"/>
                <w:szCs w:val="20"/>
                <w:lang w:eastAsia="en-GB"/>
              </w:rPr>
              <w:t>Thank you for your comment.</w:t>
            </w:r>
            <w:r>
              <w:rPr>
                <w:rFonts w:cs="Arial"/>
                <w:sz w:val="20"/>
                <w:szCs w:val="20"/>
                <w:lang w:eastAsia="en-GB"/>
              </w:rPr>
              <w:t xml:space="preserve"> The committee noted the potential positive benefits from this indicator and agreed to progress it to the NICE menu. </w:t>
            </w:r>
          </w:p>
        </w:tc>
      </w:tr>
      <w:tr w:rsidR="00244B6F" w:rsidRPr="008E71E8" w14:paraId="3E96D8BB" w14:textId="77777777" w:rsidTr="00766434">
        <w:tc>
          <w:tcPr>
            <w:tcW w:w="561" w:type="dxa"/>
            <w:vAlign w:val="center"/>
          </w:tcPr>
          <w:p w14:paraId="56C8E4D5" w14:textId="5B70741F" w:rsidR="00244B6F" w:rsidRPr="008E71E8" w:rsidRDefault="00244B6F" w:rsidP="00244B6F">
            <w:pPr>
              <w:pStyle w:val="Paragraph"/>
              <w:spacing w:before="0" w:after="0" w:line="240" w:lineRule="auto"/>
              <w:rPr>
                <w:rFonts w:cs="Arial"/>
                <w:sz w:val="20"/>
                <w:szCs w:val="20"/>
              </w:rPr>
            </w:pPr>
            <w:r>
              <w:rPr>
                <w:rFonts w:cs="Arial"/>
                <w:sz w:val="20"/>
                <w:szCs w:val="20"/>
              </w:rPr>
              <w:t>13</w:t>
            </w:r>
          </w:p>
        </w:tc>
        <w:tc>
          <w:tcPr>
            <w:tcW w:w="1134" w:type="dxa"/>
            <w:vAlign w:val="center"/>
          </w:tcPr>
          <w:p w14:paraId="73FF922C" w14:textId="0423A2E1"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2021-111</w:t>
            </w:r>
          </w:p>
        </w:tc>
        <w:tc>
          <w:tcPr>
            <w:tcW w:w="1617" w:type="dxa"/>
            <w:vAlign w:val="center"/>
          </w:tcPr>
          <w:p w14:paraId="2E97972C" w14:textId="662C4E81"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Association of British Neurologists</w:t>
            </w:r>
          </w:p>
        </w:tc>
        <w:tc>
          <w:tcPr>
            <w:tcW w:w="7045" w:type="dxa"/>
            <w:vAlign w:val="center"/>
          </w:tcPr>
          <w:p w14:paraId="4CCC909E" w14:textId="77777777" w:rsidR="00244B6F" w:rsidRPr="00AC4E8B" w:rsidRDefault="00244B6F" w:rsidP="00244B6F">
            <w:pPr>
              <w:spacing w:after="240" w:line="276" w:lineRule="auto"/>
              <w:rPr>
                <w:rFonts w:ascii="Arial" w:hAnsi="Arial" w:cs="Arial"/>
                <w:b/>
                <w:bCs/>
                <w:sz w:val="20"/>
                <w:szCs w:val="20"/>
                <w:lang w:eastAsia="en-GB"/>
              </w:rPr>
            </w:pPr>
            <w:r w:rsidRPr="00AC4E8B">
              <w:rPr>
                <w:rFonts w:ascii="Arial" w:hAnsi="Arial" w:cs="Arial"/>
                <w:b/>
                <w:bCs/>
                <w:sz w:val="20"/>
                <w:szCs w:val="20"/>
                <w:lang w:eastAsia="en-GB"/>
              </w:rPr>
              <w:t xml:space="preserve">If you think any of these indicators may have an adverse impact in different groups in the community, can you suggest how the indicator </w:t>
            </w:r>
            <w:r w:rsidRPr="00AC4E8B">
              <w:rPr>
                <w:rFonts w:ascii="Arial" w:hAnsi="Arial" w:cs="Arial"/>
                <w:b/>
                <w:bCs/>
                <w:sz w:val="20"/>
                <w:szCs w:val="20"/>
                <w:lang w:eastAsia="en-GB"/>
              </w:rPr>
              <w:lastRenderedPageBreak/>
              <w:t>might be delivered differently to different groups to reduce health inequalities?</w:t>
            </w:r>
          </w:p>
          <w:p w14:paraId="5ED4CA80" w14:textId="77777777" w:rsidR="00244B6F" w:rsidRPr="00AC4E8B" w:rsidRDefault="00244B6F" w:rsidP="00244B6F">
            <w:pPr>
              <w:spacing w:after="240" w:line="276" w:lineRule="auto"/>
              <w:rPr>
                <w:rFonts w:ascii="Arial" w:hAnsi="Arial" w:cs="Arial"/>
                <w:sz w:val="20"/>
                <w:szCs w:val="20"/>
                <w:lang w:eastAsia="en-GB"/>
              </w:rPr>
            </w:pPr>
            <w:r w:rsidRPr="00AC4E8B">
              <w:rPr>
                <w:rFonts w:ascii="Arial" w:hAnsi="Arial" w:cs="Arial"/>
                <w:sz w:val="20"/>
                <w:szCs w:val="20"/>
                <w:lang w:eastAsia="en-GB"/>
              </w:rPr>
              <w:t xml:space="preserve">I don’t think an annual review if implemented well would have an adverse </w:t>
            </w:r>
            <w:proofErr w:type="gramStart"/>
            <w:r w:rsidRPr="00AC4E8B">
              <w:rPr>
                <w:rFonts w:ascii="Arial" w:hAnsi="Arial" w:cs="Arial"/>
                <w:sz w:val="20"/>
                <w:szCs w:val="20"/>
                <w:lang w:eastAsia="en-GB"/>
              </w:rPr>
              <w:t>impact</w:t>
            </w:r>
            <w:proofErr w:type="gramEnd"/>
            <w:r w:rsidRPr="00AC4E8B">
              <w:rPr>
                <w:rFonts w:ascii="Arial" w:hAnsi="Arial" w:cs="Arial"/>
                <w:sz w:val="20"/>
                <w:szCs w:val="20"/>
                <w:lang w:eastAsia="en-GB"/>
              </w:rPr>
              <w:t xml:space="preserve"> but it will only reduce health inequalities if it can reach those who traditionally do not access healthcare readily. Mortality and morbidity from epilepsy is linked to social deprivation.</w:t>
            </w:r>
          </w:p>
          <w:p w14:paraId="088F5020" w14:textId="246966D2" w:rsidR="00244B6F" w:rsidRPr="008E71E8" w:rsidRDefault="00244B6F" w:rsidP="00244B6F">
            <w:pPr>
              <w:pStyle w:val="Paragraph"/>
              <w:spacing w:before="0" w:after="0" w:line="240" w:lineRule="auto"/>
              <w:rPr>
                <w:rFonts w:cs="Arial"/>
                <w:sz w:val="20"/>
                <w:szCs w:val="20"/>
              </w:rPr>
            </w:pPr>
            <w:r w:rsidRPr="00AC4E8B">
              <w:rPr>
                <w:rFonts w:cs="Arial"/>
                <w:sz w:val="20"/>
                <w:szCs w:val="20"/>
                <w:lang w:eastAsia="en-GB"/>
              </w:rPr>
              <w:t>Those with poor concordance with appointments such as socially deprived groups may have to be accessed in alternative settings or when attending the surgery for other reasons, opportunistically. It may be that a community nurse or pharmacist could be trained in performing these reviews potentially making them more accessible to the widest population possible.</w:t>
            </w:r>
          </w:p>
        </w:tc>
        <w:tc>
          <w:tcPr>
            <w:tcW w:w="3593" w:type="dxa"/>
          </w:tcPr>
          <w:p w14:paraId="7D0186A1" w14:textId="7A9A435A" w:rsidR="00244B6F" w:rsidRPr="008E71E8" w:rsidRDefault="00244B6F" w:rsidP="00244B6F">
            <w:pPr>
              <w:pStyle w:val="Paragraph"/>
              <w:spacing w:before="0" w:after="0" w:line="240" w:lineRule="auto"/>
              <w:rPr>
                <w:rFonts w:cs="Arial"/>
                <w:sz w:val="20"/>
                <w:szCs w:val="20"/>
              </w:rPr>
            </w:pPr>
            <w:r w:rsidRPr="005F5A6C">
              <w:rPr>
                <w:rFonts w:cs="Arial"/>
                <w:sz w:val="20"/>
                <w:szCs w:val="20"/>
                <w:lang w:eastAsia="en-GB"/>
              </w:rPr>
              <w:lastRenderedPageBreak/>
              <w:t>Thank you for your comment.</w:t>
            </w:r>
            <w:r>
              <w:rPr>
                <w:rFonts w:cs="Arial"/>
                <w:sz w:val="20"/>
                <w:szCs w:val="20"/>
                <w:lang w:eastAsia="en-GB"/>
              </w:rPr>
              <w:t xml:space="preserve"> Your helpful suggestions have been included in the equality impact assessment for this indicator.</w:t>
            </w:r>
          </w:p>
        </w:tc>
      </w:tr>
      <w:tr w:rsidR="00244B6F" w:rsidRPr="008E71E8" w14:paraId="73B4DF22" w14:textId="77777777" w:rsidTr="00240FE9">
        <w:tc>
          <w:tcPr>
            <w:tcW w:w="561" w:type="dxa"/>
            <w:vAlign w:val="center"/>
          </w:tcPr>
          <w:p w14:paraId="3C055CB8" w14:textId="1A864BBC" w:rsidR="00244B6F" w:rsidRPr="008E71E8" w:rsidRDefault="00244B6F" w:rsidP="00244B6F">
            <w:pPr>
              <w:pStyle w:val="Paragraph"/>
              <w:spacing w:before="0" w:after="0" w:line="240" w:lineRule="auto"/>
              <w:rPr>
                <w:rFonts w:cs="Arial"/>
                <w:sz w:val="20"/>
                <w:szCs w:val="20"/>
              </w:rPr>
            </w:pPr>
            <w:r>
              <w:rPr>
                <w:rFonts w:cs="Arial"/>
                <w:sz w:val="20"/>
                <w:szCs w:val="20"/>
              </w:rPr>
              <w:t>14</w:t>
            </w:r>
          </w:p>
        </w:tc>
        <w:tc>
          <w:tcPr>
            <w:tcW w:w="1134" w:type="dxa"/>
            <w:vAlign w:val="center"/>
          </w:tcPr>
          <w:p w14:paraId="34C2D011" w14:textId="2D141BA1"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2021-111</w:t>
            </w:r>
          </w:p>
        </w:tc>
        <w:tc>
          <w:tcPr>
            <w:tcW w:w="1617" w:type="dxa"/>
            <w:vAlign w:val="center"/>
          </w:tcPr>
          <w:p w14:paraId="30B4F21F" w14:textId="7774A908"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Association of British Neurologists</w:t>
            </w:r>
          </w:p>
        </w:tc>
        <w:tc>
          <w:tcPr>
            <w:tcW w:w="7045" w:type="dxa"/>
            <w:vAlign w:val="center"/>
          </w:tcPr>
          <w:p w14:paraId="518584ED"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Would an indicator on annual review for all adults receiving drug treatment for epilepsy be a pragmatic and acceptable approach for quality improvement purposes?</w:t>
            </w:r>
          </w:p>
          <w:p w14:paraId="0A495D08" w14:textId="77777777" w:rsidR="00244B6F" w:rsidRPr="00AC4E8B" w:rsidRDefault="00244B6F" w:rsidP="00244B6F">
            <w:pPr>
              <w:rPr>
                <w:rFonts w:ascii="Arial" w:hAnsi="Arial" w:cs="Arial"/>
                <w:b/>
                <w:bCs/>
                <w:sz w:val="20"/>
                <w:szCs w:val="20"/>
              </w:rPr>
            </w:pPr>
          </w:p>
          <w:p w14:paraId="3B82A2B8"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This would be a good aim for quality improvement purposes provided that the content and outcome from the structured review was good. A review </w:t>
            </w:r>
            <w:proofErr w:type="gramStart"/>
            <w:r w:rsidRPr="00AC4E8B">
              <w:rPr>
                <w:rFonts w:ascii="Arial" w:hAnsi="Arial" w:cs="Arial"/>
                <w:sz w:val="20"/>
                <w:szCs w:val="20"/>
              </w:rPr>
              <w:t>in itself may</w:t>
            </w:r>
            <w:proofErr w:type="gramEnd"/>
            <w:r w:rsidRPr="00AC4E8B">
              <w:rPr>
                <w:rFonts w:ascii="Arial" w:hAnsi="Arial" w:cs="Arial"/>
                <w:sz w:val="20"/>
                <w:szCs w:val="20"/>
              </w:rPr>
              <w:t xml:space="preserve"> not be of benefit to patients unless the interaction and outcomes from that interaction were meaningful.</w:t>
            </w:r>
          </w:p>
          <w:p w14:paraId="1DA94A22" w14:textId="77777777" w:rsidR="00244B6F" w:rsidRPr="00AC4E8B" w:rsidRDefault="00244B6F" w:rsidP="00244B6F">
            <w:pPr>
              <w:spacing w:before="100" w:beforeAutospacing="1" w:after="100" w:afterAutospacing="1"/>
              <w:rPr>
                <w:rFonts w:ascii="Arial" w:eastAsia="Calibri" w:hAnsi="Arial" w:cs="Arial"/>
                <w:sz w:val="20"/>
                <w:szCs w:val="20"/>
                <w:lang w:eastAsia="en-GB"/>
              </w:rPr>
            </w:pPr>
            <w:r w:rsidRPr="00AC4E8B">
              <w:rPr>
                <w:rFonts w:ascii="Arial" w:eastAsia="Calibri" w:hAnsi="Arial" w:cs="Arial"/>
                <w:sz w:val="20"/>
                <w:szCs w:val="20"/>
                <w:lang w:eastAsia="en-GB"/>
              </w:rPr>
              <w:t>We suggested that the topics that should be covered would include (additional topics may be listed in the revised NICE guidelines when published):</w:t>
            </w:r>
          </w:p>
          <w:p w14:paraId="028DB34D" w14:textId="77777777" w:rsidR="00244B6F" w:rsidRPr="00AC4E8B" w:rsidRDefault="00244B6F" w:rsidP="00244B6F">
            <w:pPr>
              <w:numPr>
                <w:ilvl w:val="0"/>
                <w:numId w:val="43"/>
              </w:numPr>
              <w:spacing w:before="100" w:beforeAutospacing="1" w:after="100" w:afterAutospacing="1"/>
              <w:rPr>
                <w:rFonts w:ascii="Arial" w:eastAsia="Calibri" w:hAnsi="Arial" w:cs="Arial"/>
                <w:sz w:val="20"/>
                <w:szCs w:val="20"/>
                <w:lang w:eastAsia="en-GB"/>
              </w:rPr>
            </w:pPr>
            <w:r w:rsidRPr="00AC4E8B">
              <w:rPr>
                <w:rFonts w:ascii="Arial" w:eastAsia="Calibri" w:hAnsi="Arial" w:cs="Arial"/>
                <w:sz w:val="20"/>
                <w:szCs w:val="20"/>
                <w:lang w:eastAsia="en-GB"/>
              </w:rPr>
              <w:t>Concordance with medication (including check prescription collection frequency, consider spot blood levels)</w:t>
            </w:r>
          </w:p>
          <w:p w14:paraId="11244640" w14:textId="77777777" w:rsidR="00244B6F" w:rsidRPr="00AC4E8B" w:rsidRDefault="00244B6F" w:rsidP="00244B6F">
            <w:pPr>
              <w:numPr>
                <w:ilvl w:val="0"/>
                <w:numId w:val="43"/>
              </w:numPr>
              <w:spacing w:before="100" w:beforeAutospacing="1" w:after="100" w:afterAutospacing="1"/>
              <w:rPr>
                <w:rFonts w:ascii="Arial" w:eastAsia="Calibri" w:hAnsi="Arial" w:cs="Arial"/>
                <w:sz w:val="20"/>
                <w:szCs w:val="20"/>
                <w:lang w:eastAsia="en-GB"/>
              </w:rPr>
            </w:pPr>
            <w:r w:rsidRPr="00AC4E8B">
              <w:rPr>
                <w:rFonts w:ascii="Arial" w:eastAsia="Calibri" w:hAnsi="Arial" w:cs="Arial"/>
                <w:sz w:val="20"/>
                <w:szCs w:val="20"/>
                <w:lang w:eastAsia="en-GB"/>
              </w:rPr>
              <w:t>Blood tests to monitor liver, renal health, full blood count and vitamin D, lipids in enzyme inducing medications</w:t>
            </w:r>
          </w:p>
          <w:p w14:paraId="37A7BE59" w14:textId="77777777" w:rsidR="00244B6F" w:rsidRPr="00AC4E8B" w:rsidRDefault="00244B6F" w:rsidP="00244B6F">
            <w:pPr>
              <w:numPr>
                <w:ilvl w:val="0"/>
                <w:numId w:val="43"/>
              </w:numPr>
              <w:spacing w:before="100" w:beforeAutospacing="1" w:after="100" w:afterAutospacing="1"/>
              <w:rPr>
                <w:rFonts w:ascii="Arial" w:eastAsia="Calibri" w:hAnsi="Arial" w:cs="Arial"/>
                <w:sz w:val="20"/>
                <w:szCs w:val="20"/>
                <w:lang w:eastAsia="en-GB"/>
              </w:rPr>
            </w:pPr>
            <w:r w:rsidRPr="00AC4E8B">
              <w:rPr>
                <w:rFonts w:ascii="Arial" w:eastAsia="Calibri" w:hAnsi="Arial" w:cs="Arial"/>
                <w:sz w:val="20"/>
                <w:szCs w:val="20"/>
                <w:lang w:eastAsia="en-GB"/>
              </w:rPr>
              <w:t>Bone health – see above regarding vitamin D</w:t>
            </w:r>
          </w:p>
          <w:p w14:paraId="393E368C" w14:textId="77777777" w:rsidR="00244B6F" w:rsidRPr="00AC4E8B" w:rsidRDefault="00244B6F" w:rsidP="00244B6F">
            <w:pPr>
              <w:numPr>
                <w:ilvl w:val="0"/>
                <w:numId w:val="43"/>
              </w:numPr>
              <w:spacing w:before="100" w:beforeAutospacing="1" w:after="100" w:afterAutospacing="1"/>
              <w:rPr>
                <w:rFonts w:ascii="Arial" w:eastAsia="Calibri" w:hAnsi="Arial" w:cs="Arial"/>
                <w:sz w:val="20"/>
                <w:szCs w:val="20"/>
                <w:lang w:eastAsia="en-GB"/>
              </w:rPr>
            </w:pPr>
            <w:r w:rsidRPr="00AC4E8B">
              <w:rPr>
                <w:rFonts w:ascii="Arial" w:eastAsia="Calibri" w:hAnsi="Arial" w:cs="Arial"/>
                <w:sz w:val="20"/>
                <w:szCs w:val="20"/>
                <w:lang w:eastAsia="en-GB"/>
              </w:rPr>
              <w:t>Contraception and plans for pregnancy, teratogenicity of medication including Valproate annual risk assessment form</w:t>
            </w:r>
          </w:p>
          <w:p w14:paraId="22BF6703" w14:textId="77777777" w:rsidR="00244B6F" w:rsidRPr="00AC4E8B" w:rsidRDefault="00244B6F" w:rsidP="00244B6F">
            <w:pPr>
              <w:numPr>
                <w:ilvl w:val="0"/>
                <w:numId w:val="43"/>
              </w:numPr>
              <w:spacing w:before="100" w:beforeAutospacing="1" w:after="100" w:afterAutospacing="1"/>
              <w:rPr>
                <w:rFonts w:ascii="Arial" w:eastAsia="Calibri" w:hAnsi="Arial" w:cs="Arial"/>
                <w:sz w:val="20"/>
                <w:szCs w:val="20"/>
                <w:lang w:eastAsia="en-GB"/>
              </w:rPr>
            </w:pPr>
            <w:r w:rsidRPr="00AC4E8B">
              <w:rPr>
                <w:rFonts w:ascii="Arial" w:eastAsia="Calibri" w:hAnsi="Arial" w:cs="Arial"/>
                <w:sz w:val="20"/>
                <w:szCs w:val="20"/>
                <w:lang w:eastAsia="en-GB"/>
              </w:rPr>
              <w:t>Mental health: particularly anxiety, depression</w:t>
            </w:r>
          </w:p>
          <w:p w14:paraId="23DFA2E0" w14:textId="77777777" w:rsidR="00244B6F" w:rsidRPr="00AC4E8B" w:rsidRDefault="00244B6F" w:rsidP="00244B6F">
            <w:pPr>
              <w:numPr>
                <w:ilvl w:val="0"/>
                <w:numId w:val="43"/>
              </w:numPr>
              <w:spacing w:before="100" w:beforeAutospacing="1" w:after="100" w:afterAutospacing="1"/>
              <w:rPr>
                <w:rFonts w:ascii="Arial" w:eastAsia="Calibri" w:hAnsi="Arial" w:cs="Arial"/>
                <w:sz w:val="20"/>
                <w:szCs w:val="20"/>
                <w:lang w:eastAsia="en-GB"/>
              </w:rPr>
            </w:pPr>
            <w:r w:rsidRPr="00AC4E8B">
              <w:rPr>
                <w:rFonts w:ascii="Arial" w:eastAsia="Calibri" w:hAnsi="Arial" w:cs="Arial"/>
                <w:sz w:val="20"/>
                <w:szCs w:val="20"/>
                <w:lang w:eastAsia="en-GB"/>
              </w:rPr>
              <w:lastRenderedPageBreak/>
              <w:t>Lifestyle discussion: driving, occupational issues, safety and SUDEP risk</w:t>
            </w:r>
          </w:p>
          <w:p w14:paraId="55783B79" w14:textId="77777777" w:rsidR="00244B6F" w:rsidRPr="00AC4E8B" w:rsidRDefault="00244B6F" w:rsidP="00244B6F">
            <w:pPr>
              <w:numPr>
                <w:ilvl w:val="0"/>
                <w:numId w:val="43"/>
              </w:numPr>
              <w:spacing w:before="100" w:beforeAutospacing="1" w:after="100" w:afterAutospacing="1"/>
              <w:rPr>
                <w:rFonts w:ascii="Arial" w:eastAsia="Calibri" w:hAnsi="Arial" w:cs="Arial"/>
                <w:sz w:val="20"/>
                <w:szCs w:val="20"/>
                <w:lang w:eastAsia="en-GB"/>
              </w:rPr>
            </w:pPr>
            <w:r w:rsidRPr="00AC4E8B">
              <w:rPr>
                <w:rFonts w:ascii="Arial" w:eastAsia="Calibri" w:hAnsi="Arial" w:cs="Arial"/>
                <w:sz w:val="20"/>
                <w:szCs w:val="20"/>
                <w:lang w:eastAsia="en-GB"/>
              </w:rPr>
              <w:t>Need for referral back to secondary care particularly for medication review in the following situations:</w:t>
            </w:r>
          </w:p>
          <w:p w14:paraId="008E7178" w14:textId="77777777" w:rsidR="00244B6F" w:rsidRPr="00AC4E8B" w:rsidRDefault="00244B6F" w:rsidP="00244B6F">
            <w:pPr>
              <w:numPr>
                <w:ilvl w:val="1"/>
                <w:numId w:val="43"/>
              </w:numPr>
              <w:spacing w:before="100" w:beforeAutospacing="1" w:after="100" w:afterAutospacing="1"/>
              <w:rPr>
                <w:rFonts w:ascii="Arial" w:eastAsia="Calibri" w:hAnsi="Arial" w:cs="Arial"/>
                <w:sz w:val="20"/>
                <w:szCs w:val="20"/>
                <w:lang w:eastAsia="en-GB"/>
              </w:rPr>
            </w:pPr>
            <w:r w:rsidRPr="00AC4E8B">
              <w:rPr>
                <w:rFonts w:ascii="Arial" w:eastAsia="Calibri" w:hAnsi="Arial" w:cs="Arial"/>
                <w:sz w:val="20"/>
                <w:szCs w:val="20"/>
                <w:lang w:eastAsia="en-GB"/>
              </w:rPr>
              <w:t>To review ongoing need for medication if seizure free</w:t>
            </w:r>
          </w:p>
          <w:p w14:paraId="73A3BA45" w14:textId="77777777" w:rsidR="00244B6F" w:rsidRPr="00AC4E8B" w:rsidRDefault="00244B6F" w:rsidP="00244B6F">
            <w:pPr>
              <w:numPr>
                <w:ilvl w:val="1"/>
                <w:numId w:val="43"/>
              </w:numPr>
              <w:spacing w:before="100" w:beforeAutospacing="1" w:after="100" w:afterAutospacing="1"/>
              <w:rPr>
                <w:rFonts w:ascii="Arial" w:eastAsia="Calibri" w:hAnsi="Arial" w:cs="Arial"/>
                <w:sz w:val="20"/>
                <w:szCs w:val="20"/>
                <w:lang w:eastAsia="en-GB"/>
              </w:rPr>
            </w:pPr>
            <w:r w:rsidRPr="00AC4E8B">
              <w:rPr>
                <w:rFonts w:ascii="Arial" w:eastAsia="Calibri" w:hAnsi="Arial" w:cs="Arial"/>
                <w:sz w:val="20"/>
                <w:szCs w:val="20"/>
                <w:lang w:eastAsia="en-GB"/>
              </w:rPr>
              <w:t>Diagnostic uncertainty</w:t>
            </w:r>
          </w:p>
          <w:p w14:paraId="6B2DD350" w14:textId="77777777" w:rsidR="00244B6F" w:rsidRPr="00AC4E8B" w:rsidRDefault="00244B6F" w:rsidP="00244B6F">
            <w:pPr>
              <w:numPr>
                <w:ilvl w:val="1"/>
                <w:numId w:val="43"/>
              </w:numPr>
              <w:spacing w:before="100" w:beforeAutospacing="1" w:after="100" w:afterAutospacing="1"/>
              <w:rPr>
                <w:rFonts w:ascii="Arial" w:eastAsia="Calibri" w:hAnsi="Arial" w:cs="Arial"/>
                <w:sz w:val="20"/>
                <w:szCs w:val="20"/>
                <w:lang w:eastAsia="en-GB"/>
              </w:rPr>
            </w:pPr>
            <w:r w:rsidRPr="00AC4E8B">
              <w:rPr>
                <w:rFonts w:ascii="Arial" w:eastAsia="Calibri" w:hAnsi="Arial" w:cs="Arial"/>
                <w:sz w:val="20"/>
                <w:szCs w:val="20"/>
                <w:lang w:eastAsia="en-GB"/>
              </w:rPr>
              <w:t>Uncontrolled epilepsy</w:t>
            </w:r>
          </w:p>
          <w:p w14:paraId="58109F2B" w14:textId="77777777" w:rsidR="00244B6F" w:rsidRPr="00AC4E8B" w:rsidRDefault="00244B6F" w:rsidP="00244B6F">
            <w:pPr>
              <w:numPr>
                <w:ilvl w:val="1"/>
                <w:numId w:val="43"/>
              </w:numPr>
              <w:spacing w:before="100" w:beforeAutospacing="1" w:after="100" w:afterAutospacing="1"/>
              <w:rPr>
                <w:rFonts w:ascii="Arial" w:eastAsia="Calibri" w:hAnsi="Arial" w:cs="Arial"/>
                <w:sz w:val="20"/>
                <w:szCs w:val="20"/>
                <w:lang w:eastAsia="en-GB"/>
              </w:rPr>
            </w:pPr>
            <w:r w:rsidRPr="00AC4E8B">
              <w:rPr>
                <w:rFonts w:ascii="Arial" w:eastAsia="Calibri" w:hAnsi="Arial" w:cs="Arial"/>
                <w:sz w:val="20"/>
                <w:szCs w:val="20"/>
                <w:lang w:eastAsia="en-GB"/>
              </w:rPr>
              <w:t>Side effects from medication</w:t>
            </w:r>
          </w:p>
          <w:p w14:paraId="28B94FDA" w14:textId="10B71F3F" w:rsidR="00244B6F" w:rsidRPr="008E71E8" w:rsidRDefault="00244B6F" w:rsidP="00244B6F">
            <w:pPr>
              <w:pStyle w:val="Paragraph"/>
              <w:spacing w:before="0" w:after="0" w:line="240" w:lineRule="auto"/>
              <w:rPr>
                <w:rFonts w:cs="Arial"/>
                <w:sz w:val="20"/>
                <w:szCs w:val="20"/>
              </w:rPr>
            </w:pPr>
            <w:r w:rsidRPr="00AC4E8B">
              <w:rPr>
                <w:rFonts w:eastAsia="Calibri" w:cs="Arial"/>
                <w:sz w:val="20"/>
                <w:szCs w:val="20"/>
                <w:lang w:eastAsia="en-GB"/>
              </w:rPr>
              <w:t>Preconceptual counselling and teratogenicity discussion</w:t>
            </w:r>
          </w:p>
        </w:tc>
        <w:tc>
          <w:tcPr>
            <w:tcW w:w="3593" w:type="dxa"/>
          </w:tcPr>
          <w:p w14:paraId="683927B3" w14:textId="5C367992" w:rsidR="00244B6F" w:rsidRPr="008E71E8" w:rsidRDefault="00244B6F" w:rsidP="00244B6F">
            <w:pPr>
              <w:pStyle w:val="Paragraph"/>
              <w:spacing w:before="0" w:after="0" w:line="240" w:lineRule="auto"/>
              <w:rPr>
                <w:rFonts w:cs="Arial"/>
                <w:sz w:val="20"/>
                <w:szCs w:val="20"/>
              </w:rPr>
            </w:pPr>
            <w:r w:rsidRPr="00EC0345">
              <w:rPr>
                <w:rFonts w:cs="Arial"/>
                <w:sz w:val="20"/>
                <w:szCs w:val="20"/>
              </w:rPr>
              <w:lastRenderedPageBreak/>
              <w:t>Thank you for your comment</w:t>
            </w:r>
            <w:r>
              <w:rPr>
                <w:rFonts w:cs="Arial"/>
                <w:sz w:val="20"/>
                <w:szCs w:val="20"/>
              </w:rPr>
              <w:t>. We have included a definition of what should be covered in the annual review based on SIGN guideline 143.</w:t>
            </w:r>
          </w:p>
        </w:tc>
      </w:tr>
      <w:tr w:rsidR="00244B6F" w:rsidRPr="008E71E8" w14:paraId="23063339" w14:textId="77777777" w:rsidTr="00240FE9">
        <w:tc>
          <w:tcPr>
            <w:tcW w:w="561" w:type="dxa"/>
            <w:vAlign w:val="center"/>
          </w:tcPr>
          <w:p w14:paraId="7CE104C6" w14:textId="30E2AD08" w:rsidR="00244B6F" w:rsidRPr="008E71E8" w:rsidRDefault="00244B6F" w:rsidP="00244B6F">
            <w:pPr>
              <w:pStyle w:val="Paragraph"/>
              <w:spacing w:before="0" w:after="0" w:line="240" w:lineRule="auto"/>
              <w:rPr>
                <w:rFonts w:cs="Arial"/>
                <w:sz w:val="20"/>
                <w:szCs w:val="20"/>
              </w:rPr>
            </w:pPr>
            <w:r>
              <w:rPr>
                <w:rFonts w:cs="Arial"/>
                <w:sz w:val="20"/>
                <w:szCs w:val="20"/>
              </w:rPr>
              <w:t>15</w:t>
            </w:r>
          </w:p>
        </w:tc>
        <w:tc>
          <w:tcPr>
            <w:tcW w:w="1134" w:type="dxa"/>
            <w:vAlign w:val="center"/>
          </w:tcPr>
          <w:p w14:paraId="5F810FA5" w14:textId="0314E154"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2021-111</w:t>
            </w:r>
          </w:p>
        </w:tc>
        <w:tc>
          <w:tcPr>
            <w:tcW w:w="1617" w:type="dxa"/>
            <w:vAlign w:val="center"/>
          </w:tcPr>
          <w:p w14:paraId="7542268C" w14:textId="531509B0"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69218B4A"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1. Do you think there are any barriers to implementing the care described by these indicators?</w:t>
            </w:r>
          </w:p>
          <w:p w14:paraId="46E98B5F" w14:textId="77777777" w:rsidR="00244B6F" w:rsidRPr="00AC4E8B" w:rsidRDefault="00244B6F" w:rsidP="00244B6F">
            <w:pPr>
              <w:rPr>
                <w:rFonts w:ascii="Arial" w:hAnsi="Arial" w:cs="Arial"/>
                <w:sz w:val="20"/>
                <w:szCs w:val="20"/>
              </w:rPr>
            </w:pPr>
            <w:r w:rsidRPr="00AC4E8B">
              <w:rPr>
                <w:rFonts w:ascii="Arial" w:hAnsi="Arial" w:cs="Arial"/>
                <w:sz w:val="20"/>
                <w:szCs w:val="20"/>
              </w:rPr>
              <w:t>No there is currently a recognised field to report this within GP systems for adults. However, we would recommend that a separate reporting field be included for under 18’s.</w:t>
            </w:r>
          </w:p>
          <w:p w14:paraId="05CDC17F" w14:textId="08948E29" w:rsidR="00244B6F" w:rsidRPr="008E71E8" w:rsidRDefault="00244B6F" w:rsidP="00244B6F">
            <w:pPr>
              <w:pStyle w:val="Paragraph"/>
              <w:spacing w:before="0" w:after="0" w:line="240" w:lineRule="auto"/>
              <w:rPr>
                <w:rFonts w:cs="Arial"/>
                <w:sz w:val="20"/>
                <w:szCs w:val="20"/>
              </w:rPr>
            </w:pPr>
            <w:r w:rsidRPr="00AC4E8B">
              <w:rPr>
                <w:rFonts w:cs="Arial"/>
                <w:sz w:val="20"/>
                <w:szCs w:val="20"/>
              </w:rPr>
              <w:t>There is also a need to consider under-18s who have transitioned to adult epilepsy care. It is estimated that 1 in 3 young people transitioned to adult epilepsy care at age 16.</w:t>
            </w:r>
          </w:p>
        </w:tc>
        <w:tc>
          <w:tcPr>
            <w:tcW w:w="3593" w:type="dxa"/>
          </w:tcPr>
          <w:p w14:paraId="4184E9B2" w14:textId="461E7BC8" w:rsidR="00244B6F" w:rsidRPr="008E71E8" w:rsidRDefault="00244B6F" w:rsidP="00244B6F">
            <w:pPr>
              <w:pStyle w:val="Paragraph"/>
              <w:spacing w:before="0" w:after="0" w:line="240" w:lineRule="auto"/>
              <w:rPr>
                <w:rFonts w:cs="Arial"/>
                <w:sz w:val="20"/>
                <w:szCs w:val="20"/>
              </w:rPr>
            </w:pPr>
            <w:r w:rsidRPr="002C3917">
              <w:rPr>
                <w:rFonts w:cs="Arial"/>
                <w:sz w:val="20"/>
                <w:szCs w:val="20"/>
              </w:rPr>
              <w:t>Thank you for your comment</w:t>
            </w:r>
            <w:r>
              <w:rPr>
                <w:rFonts w:cs="Arial"/>
                <w:sz w:val="20"/>
                <w:szCs w:val="20"/>
              </w:rPr>
              <w:t xml:space="preserve">. The </w:t>
            </w:r>
            <w:r w:rsidRPr="00663849">
              <w:rPr>
                <w:rFonts w:cs="Arial"/>
                <w:sz w:val="20"/>
                <w:szCs w:val="20"/>
              </w:rPr>
              <w:t>committee discussed the potential to include people under 18 years. They acknowledged that some young people will be being supported in general practice, however the majority would be receiving most of their support from secondary or tertiary care.</w:t>
            </w:r>
          </w:p>
        </w:tc>
      </w:tr>
      <w:tr w:rsidR="00244B6F" w:rsidRPr="008E71E8" w14:paraId="062467C2" w14:textId="77777777" w:rsidTr="00240FE9">
        <w:tc>
          <w:tcPr>
            <w:tcW w:w="561" w:type="dxa"/>
            <w:vAlign w:val="center"/>
          </w:tcPr>
          <w:p w14:paraId="3FE7D837" w14:textId="1A7F8D09" w:rsidR="00244B6F" w:rsidRPr="008E71E8" w:rsidRDefault="00244B6F" w:rsidP="00244B6F">
            <w:pPr>
              <w:pStyle w:val="Paragraph"/>
              <w:spacing w:before="0" w:after="0" w:line="240" w:lineRule="auto"/>
              <w:rPr>
                <w:rFonts w:cs="Arial"/>
                <w:sz w:val="20"/>
                <w:szCs w:val="20"/>
              </w:rPr>
            </w:pPr>
            <w:r>
              <w:rPr>
                <w:rFonts w:cs="Arial"/>
                <w:sz w:val="20"/>
                <w:szCs w:val="20"/>
              </w:rPr>
              <w:t>16</w:t>
            </w:r>
          </w:p>
        </w:tc>
        <w:tc>
          <w:tcPr>
            <w:tcW w:w="1134" w:type="dxa"/>
            <w:vAlign w:val="center"/>
          </w:tcPr>
          <w:p w14:paraId="3C5E8CE6" w14:textId="2A5262E5"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2021-111</w:t>
            </w:r>
          </w:p>
        </w:tc>
        <w:tc>
          <w:tcPr>
            <w:tcW w:w="1617" w:type="dxa"/>
            <w:vAlign w:val="center"/>
          </w:tcPr>
          <w:p w14:paraId="12502202" w14:textId="35A8AFC0"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236B3A4F"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2. Do you think there are potential unintended consequences to implementing/ using any of these indicators?</w:t>
            </w:r>
          </w:p>
          <w:p w14:paraId="27356106" w14:textId="63A8AF34" w:rsidR="00244B6F" w:rsidRPr="008E71E8" w:rsidRDefault="00244B6F" w:rsidP="00244B6F">
            <w:pPr>
              <w:pStyle w:val="Paragraph"/>
              <w:spacing w:before="0" w:after="0" w:line="240" w:lineRule="auto"/>
              <w:rPr>
                <w:rFonts w:cs="Arial"/>
                <w:sz w:val="20"/>
                <w:szCs w:val="20"/>
              </w:rPr>
            </w:pPr>
            <w:r w:rsidRPr="00AC4E8B">
              <w:rPr>
                <w:rFonts w:cs="Arial"/>
                <w:sz w:val="20"/>
                <w:szCs w:val="20"/>
              </w:rPr>
              <w:t xml:space="preserve">As </w:t>
            </w:r>
            <w:proofErr w:type="gramStart"/>
            <w:r w:rsidRPr="00AC4E8B">
              <w:rPr>
                <w:rFonts w:cs="Arial"/>
                <w:sz w:val="20"/>
                <w:szCs w:val="20"/>
              </w:rPr>
              <w:t>always</w:t>
            </w:r>
            <w:proofErr w:type="gramEnd"/>
            <w:r w:rsidRPr="00AC4E8B">
              <w:rPr>
                <w:rFonts w:cs="Arial"/>
                <w:sz w:val="20"/>
                <w:szCs w:val="20"/>
              </w:rPr>
              <w:t xml:space="preserve"> the quality of reporting may be compromise by opportunistically ticking the box rather than evidencing a structured conversation about the concerns of the patient.</w:t>
            </w:r>
          </w:p>
        </w:tc>
        <w:tc>
          <w:tcPr>
            <w:tcW w:w="3593" w:type="dxa"/>
          </w:tcPr>
          <w:p w14:paraId="45D7E2CB" w14:textId="59565B2B" w:rsidR="00244B6F" w:rsidRPr="008E71E8" w:rsidRDefault="00244B6F" w:rsidP="00244B6F">
            <w:pPr>
              <w:pStyle w:val="Paragraph"/>
              <w:spacing w:before="0" w:after="0" w:line="240" w:lineRule="auto"/>
              <w:rPr>
                <w:rFonts w:cs="Arial"/>
                <w:sz w:val="20"/>
                <w:szCs w:val="20"/>
              </w:rPr>
            </w:pPr>
            <w:r w:rsidRPr="00AA568B">
              <w:rPr>
                <w:rFonts w:cs="Arial"/>
                <w:sz w:val="20"/>
                <w:szCs w:val="20"/>
              </w:rPr>
              <w:t xml:space="preserve">Thank you for your comment. </w:t>
            </w:r>
            <w:r>
              <w:rPr>
                <w:rFonts w:cs="Arial"/>
                <w:sz w:val="20"/>
                <w:szCs w:val="20"/>
              </w:rPr>
              <w:t>The committee were concerned to ensure the indicator is not a tick box exercise and w</w:t>
            </w:r>
            <w:r w:rsidRPr="00AA568B">
              <w:rPr>
                <w:rFonts w:cs="Arial"/>
                <w:sz w:val="20"/>
                <w:szCs w:val="20"/>
              </w:rPr>
              <w:t xml:space="preserve">e have </w:t>
            </w:r>
            <w:r>
              <w:rPr>
                <w:rFonts w:cs="Arial"/>
                <w:sz w:val="20"/>
                <w:szCs w:val="20"/>
              </w:rPr>
              <w:t xml:space="preserve">therefore </w:t>
            </w:r>
            <w:r w:rsidRPr="00AA568B">
              <w:rPr>
                <w:rFonts w:cs="Arial"/>
                <w:sz w:val="20"/>
                <w:szCs w:val="20"/>
              </w:rPr>
              <w:t>included a definition of what should be covered in the annual review based on SIGN guideline 143.</w:t>
            </w:r>
          </w:p>
        </w:tc>
      </w:tr>
      <w:tr w:rsidR="00244B6F" w:rsidRPr="008E71E8" w14:paraId="6BCE0EBA" w14:textId="77777777" w:rsidTr="00240FE9">
        <w:tc>
          <w:tcPr>
            <w:tcW w:w="561" w:type="dxa"/>
            <w:vAlign w:val="center"/>
          </w:tcPr>
          <w:p w14:paraId="3DAD2111" w14:textId="60F4756F" w:rsidR="00244B6F" w:rsidRPr="008E71E8" w:rsidRDefault="00244B6F" w:rsidP="00244B6F">
            <w:pPr>
              <w:pStyle w:val="Paragraph"/>
              <w:spacing w:before="0" w:after="0" w:line="240" w:lineRule="auto"/>
              <w:rPr>
                <w:rFonts w:cs="Arial"/>
                <w:sz w:val="20"/>
                <w:szCs w:val="20"/>
              </w:rPr>
            </w:pPr>
            <w:r>
              <w:rPr>
                <w:rFonts w:cs="Arial"/>
                <w:sz w:val="20"/>
                <w:szCs w:val="20"/>
              </w:rPr>
              <w:t>17</w:t>
            </w:r>
          </w:p>
        </w:tc>
        <w:tc>
          <w:tcPr>
            <w:tcW w:w="1134" w:type="dxa"/>
            <w:vAlign w:val="center"/>
          </w:tcPr>
          <w:p w14:paraId="35DA6DBB" w14:textId="1D4A03FC"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2021-111</w:t>
            </w:r>
          </w:p>
        </w:tc>
        <w:tc>
          <w:tcPr>
            <w:tcW w:w="1617" w:type="dxa"/>
            <w:vAlign w:val="center"/>
          </w:tcPr>
          <w:p w14:paraId="17B06FA2" w14:textId="3B879A29"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5C31F8E6"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3. 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66B76561" w14:textId="04267FE0" w:rsidR="00244B6F" w:rsidRPr="008E71E8" w:rsidRDefault="00244B6F" w:rsidP="00244B6F">
            <w:pPr>
              <w:pStyle w:val="Paragraph"/>
              <w:spacing w:before="0" w:after="0" w:line="240" w:lineRule="auto"/>
              <w:rPr>
                <w:rFonts w:cs="Arial"/>
                <w:sz w:val="20"/>
                <w:szCs w:val="20"/>
              </w:rPr>
            </w:pPr>
            <w:r w:rsidRPr="00AC4E8B">
              <w:rPr>
                <w:rFonts w:cs="Arial"/>
                <w:sz w:val="20"/>
                <w:szCs w:val="20"/>
              </w:rPr>
              <w:t xml:space="preserve">There may be a differential impact </w:t>
            </w:r>
            <w:proofErr w:type="gramStart"/>
            <w:r w:rsidRPr="00AC4E8B">
              <w:rPr>
                <w:rFonts w:cs="Arial"/>
                <w:sz w:val="20"/>
                <w:szCs w:val="20"/>
              </w:rPr>
              <w:t>in regard to</w:t>
            </w:r>
            <w:proofErr w:type="gramEnd"/>
            <w:r w:rsidRPr="00AC4E8B">
              <w:rPr>
                <w:rFonts w:cs="Arial"/>
                <w:sz w:val="20"/>
                <w:szCs w:val="20"/>
              </w:rPr>
              <w:t xml:space="preserve"> pregnancy. This would be positive and an opportunity to reinforce important information relating to contraception and pregnancy and to reiterate information relating to AED safety during pregnancy.</w:t>
            </w:r>
          </w:p>
        </w:tc>
        <w:tc>
          <w:tcPr>
            <w:tcW w:w="3593" w:type="dxa"/>
          </w:tcPr>
          <w:p w14:paraId="24B917AD" w14:textId="54047291" w:rsidR="00244B6F" w:rsidRPr="008E71E8" w:rsidRDefault="00244B6F" w:rsidP="00244B6F">
            <w:pPr>
              <w:pStyle w:val="Paragraph"/>
              <w:spacing w:before="0" w:after="0" w:line="240" w:lineRule="auto"/>
              <w:rPr>
                <w:rFonts w:cs="Arial"/>
                <w:sz w:val="20"/>
                <w:szCs w:val="20"/>
              </w:rPr>
            </w:pPr>
            <w:r w:rsidRPr="00AA568B">
              <w:rPr>
                <w:rFonts w:cs="Arial"/>
                <w:sz w:val="20"/>
                <w:szCs w:val="20"/>
              </w:rPr>
              <w:t>Thank you for your comment.</w:t>
            </w:r>
            <w:r>
              <w:rPr>
                <w:rFonts w:cs="Arial"/>
                <w:sz w:val="20"/>
                <w:szCs w:val="20"/>
              </w:rPr>
              <w:t xml:space="preserve"> </w:t>
            </w:r>
            <w:r w:rsidRPr="00380932">
              <w:rPr>
                <w:rFonts w:cs="Arial"/>
                <w:sz w:val="20"/>
                <w:szCs w:val="20"/>
              </w:rPr>
              <w:t>The committee noted the potential positive benefits from this indicator and agreed to progress it to the NICE menu.</w:t>
            </w:r>
          </w:p>
        </w:tc>
      </w:tr>
      <w:tr w:rsidR="00244B6F" w:rsidRPr="008E71E8" w14:paraId="51E242BA" w14:textId="77777777" w:rsidTr="00240FE9">
        <w:tc>
          <w:tcPr>
            <w:tcW w:w="561" w:type="dxa"/>
            <w:vAlign w:val="center"/>
          </w:tcPr>
          <w:p w14:paraId="5B17EF54" w14:textId="49ABF560" w:rsidR="00244B6F" w:rsidRPr="008E71E8" w:rsidRDefault="00244B6F" w:rsidP="00244B6F">
            <w:pPr>
              <w:pStyle w:val="Paragraph"/>
              <w:spacing w:before="0" w:after="0" w:line="240" w:lineRule="auto"/>
              <w:rPr>
                <w:rFonts w:cs="Arial"/>
                <w:sz w:val="20"/>
                <w:szCs w:val="20"/>
              </w:rPr>
            </w:pPr>
            <w:r>
              <w:rPr>
                <w:rFonts w:cs="Arial"/>
                <w:sz w:val="20"/>
                <w:szCs w:val="20"/>
              </w:rPr>
              <w:t>18</w:t>
            </w:r>
          </w:p>
        </w:tc>
        <w:tc>
          <w:tcPr>
            <w:tcW w:w="1134" w:type="dxa"/>
            <w:vAlign w:val="center"/>
          </w:tcPr>
          <w:p w14:paraId="404549CC" w14:textId="64F12F67"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2021-111</w:t>
            </w:r>
          </w:p>
        </w:tc>
        <w:tc>
          <w:tcPr>
            <w:tcW w:w="1617" w:type="dxa"/>
            <w:vAlign w:val="center"/>
          </w:tcPr>
          <w:p w14:paraId="3D2D009C" w14:textId="13B45FDB"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09CE1B72"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 xml:space="preserve">4. If you think any of these indicators may have an adverse impact in different groups in the community, can you suggest how the indicator </w:t>
            </w:r>
            <w:r w:rsidRPr="00AC4E8B">
              <w:rPr>
                <w:rFonts w:ascii="Arial" w:hAnsi="Arial" w:cs="Arial"/>
                <w:b/>
                <w:bCs/>
                <w:sz w:val="20"/>
                <w:szCs w:val="20"/>
              </w:rPr>
              <w:lastRenderedPageBreak/>
              <w:t>might be delivered differently to different groups to reduce health inequalities?</w:t>
            </w:r>
          </w:p>
          <w:p w14:paraId="027D30ED" w14:textId="42FF9172" w:rsidR="00244B6F" w:rsidRPr="008E71E8" w:rsidRDefault="00244B6F" w:rsidP="00244B6F">
            <w:pPr>
              <w:pStyle w:val="Paragraph"/>
              <w:spacing w:before="0" w:after="0" w:line="240" w:lineRule="auto"/>
              <w:rPr>
                <w:rFonts w:cs="Arial"/>
                <w:sz w:val="20"/>
                <w:szCs w:val="20"/>
              </w:rPr>
            </w:pPr>
            <w:r w:rsidRPr="00AC4E8B">
              <w:rPr>
                <w:rFonts w:cs="Arial"/>
                <w:sz w:val="20"/>
                <w:szCs w:val="20"/>
              </w:rPr>
              <w:t>People with epilepsy and a significant learning disability may require the involvement of their carer(s).</w:t>
            </w:r>
          </w:p>
        </w:tc>
        <w:tc>
          <w:tcPr>
            <w:tcW w:w="3593" w:type="dxa"/>
          </w:tcPr>
          <w:p w14:paraId="17CA95D1" w14:textId="617BA29F" w:rsidR="00244B6F" w:rsidRPr="008E71E8" w:rsidRDefault="00244B6F" w:rsidP="00244B6F">
            <w:pPr>
              <w:pStyle w:val="Paragraph"/>
              <w:spacing w:before="0" w:after="0" w:line="240" w:lineRule="auto"/>
              <w:rPr>
                <w:rFonts w:cs="Arial"/>
                <w:sz w:val="20"/>
                <w:szCs w:val="20"/>
              </w:rPr>
            </w:pPr>
            <w:r w:rsidRPr="00380932">
              <w:rPr>
                <w:rFonts w:cs="Arial"/>
                <w:sz w:val="20"/>
                <w:szCs w:val="20"/>
              </w:rPr>
              <w:lastRenderedPageBreak/>
              <w:t>Thank you for your comment.</w:t>
            </w:r>
            <w:r>
              <w:rPr>
                <w:rFonts w:cs="Arial"/>
                <w:sz w:val="20"/>
                <w:szCs w:val="20"/>
              </w:rPr>
              <w:t xml:space="preserve"> </w:t>
            </w:r>
            <w:r w:rsidRPr="00FF4275">
              <w:rPr>
                <w:rFonts w:cs="Arial"/>
                <w:sz w:val="20"/>
                <w:szCs w:val="20"/>
              </w:rPr>
              <w:t>Your helpful suggestion ha</w:t>
            </w:r>
            <w:r>
              <w:rPr>
                <w:rFonts w:cs="Arial"/>
                <w:sz w:val="20"/>
                <w:szCs w:val="20"/>
              </w:rPr>
              <w:t>s</w:t>
            </w:r>
            <w:r w:rsidRPr="00FF4275">
              <w:rPr>
                <w:rFonts w:cs="Arial"/>
                <w:sz w:val="20"/>
                <w:szCs w:val="20"/>
              </w:rPr>
              <w:t xml:space="preserve"> been included </w:t>
            </w:r>
            <w:r w:rsidRPr="00FF4275">
              <w:rPr>
                <w:rFonts w:cs="Arial"/>
                <w:sz w:val="20"/>
                <w:szCs w:val="20"/>
              </w:rPr>
              <w:lastRenderedPageBreak/>
              <w:t>in the equality impact assessment for this indicator.</w:t>
            </w:r>
          </w:p>
        </w:tc>
      </w:tr>
      <w:tr w:rsidR="00244B6F" w:rsidRPr="008E71E8" w14:paraId="17851840" w14:textId="77777777" w:rsidTr="00240FE9">
        <w:tc>
          <w:tcPr>
            <w:tcW w:w="561" w:type="dxa"/>
            <w:vAlign w:val="center"/>
          </w:tcPr>
          <w:p w14:paraId="608A453F" w14:textId="5F1A904A" w:rsidR="00244B6F" w:rsidRPr="008E71E8" w:rsidRDefault="00244B6F" w:rsidP="00244B6F">
            <w:pPr>
              <w:pStyle w:val="Paragraph"/>
              <w:spacing w:before="0" w:after="0" w:line="240" w:lineRule="auto"/>
              <w:rPr>
                <w:rFonts w:cs="Arial"/>
                <w:sz w:val="20"/>
                <w:szCs w:val="20"/>
              </w:rPr>
            </w:pPr>
            <w:r>
              <w:rPr>
                <w:rFonts w:cs="Arial"/>
                <w:sz w:val="20"/>
                <w:szCs w:val="20"/>
              </w:rPr>
              <w:lastRenderedPageBreak/>
              <w:t>19</w:t>
            </w:r>
          </w:p>
        </w:tc>
        <w:tc>
          <w:tcPr>
            <w:tcW w:w="1134" w:type="dxa"/>
            <w:vAlign w:val="center"/>
          </w:tcPr>
          <w:p w14:paraId="338F6432" w14:textId="191E619E"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2021-111</w:t>
            </w:r>
          </w:p>
        </w:tc>
        <w:tc>
          <w:tcPr>
            <w:tcW w:w="1617" w:type="dxa"/>
            <w:vAlign w:val="center"/>
          </w:tcPr>
          <w:p w14:paraId="1F0391A1" w14:textId="3D93B21B"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66248920"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5. The NICE epilepsy guideline is currently being updated and the draft recommendations indicate that annual reviews are a priority for those taking antiseizure medications associated with long-term side effects or drug interactions. This indicator has been developed as a pragmatic approach that could use the existing register currently within QOF (EP001).  Would an indicator on annual review for all adults receiving drug treatment for epilepsy be a pragmatic and acceptable approach for quality improvement purposes? Please explain your answer.</w:t>
            </w:r>
          </w:p>
          <w:p w14:paraId="22AD903B"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This is a starting point and will establish a level of measurable compliance. However, the detail to each annual review is the most reasonable way to determine quality improvement and improved outcomes. </w:t>
            </w:r>
          </w:p>
          <w:p w14:paraId="7782E7B8"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Young people in transition 16-18yrs may be missed, hence the need to establish the additional reporting field. </w:t>
            </w:r>
          </w:p>
          <w:p w14:paraId="66F6A18E" w14:textId="74007833" w:rsidR="00244B6F" w:rsidRPr="008E71E8" w:rsidRDefault="00244B6F" w:rsidP="00244B6F">
            <w:pPr>
              <w:pStyle w:val="Paragraph"/>
              <w:spacing w:before="0" w:after="0" w:line="240" w:lineRule="auto"/>
              <w:rPr>
                <w:rFonts w:cs="Arial"/>
                <w:sz w:val="20"/>
                <w:szCs w:val="20"/>
              </w:rPr>
            </w:pPr>
            <w:r w:rsidRPr="00AC4E8B">
              <w:rPr>
                <w:rFonts w:cs="Arial"/>
                <w:sz w:val="20"/>
                <w:szCs w:val="20"/>
              </w:rPr>
              <w:t>The QOF indicator itself should be extended to people with epilepsy of all ages to ensure we can accurately track epilepsy prevalence in national and local populations to inform service delivery.</w:t>
            </w:r>
          </w:p>
        </w:tc>
        <w:tc>
          <w:tcPr>
            <w:tcW w:w="3593" w:type="dxa"/>
          </w:tcPr>
          <w:p w14:paraId="51102E31" w14:textId="77777777" w:rsidR="00244B6F" w:rsidRDefault="00244B6F" w:rsidP="00244B6F">
            <w:pPr>
              <w:rPr>
                <w:rFonts w:ascii="Arial" w:hAnsi="Arial" w:cs="Arial"/>
                <w:sz w:val="20"/>
                <w:szCs w:val="20"/>
              </w:rPr>
            </w:pPr>
            <w:r w:rsidRPr="008905C1">
              <w:rPr>
                <w:rFonts w:ascii="Arial" w:hAnsi="Arial" w:cs="Arial"/>
                <w:sz w:val="20"/>
                <w:szCs w:val="20"/>
              </w:rPr>
              <w:t>Thank you for your comment. We have included a definition of what should be covered in the annual review based on SIGN guideline 143.</w:t>
            </w:r>
          </w:p>
          <w:p w14:paraId="74C8FCC4" w14:textId="77777777" w:rsidR="00244B6F" w:rsidRDefault="00244B6F" w:rsidP="00244B6F">
            <w:pPr>
              <w:rPr>
                <w:rFonts w:ascii="Arial" w:hAnsi="Arial" w:cs="Arial"/>
                <w:sz w:val="20"/>
                <w:szCs w:val="20"/>
              </w:rPr>
            </w:pPr>
          </w:p>
          <w:p w14:paraId="5D95EBC7" w14:textId="77777777" w:rsidR="00244B6F" w:rsidRDefault="00244B6F" w:rsidP="00244B6F">
            <w:pPr>
              <w:rPr>
                <w:rFonts w:ascii="Arial" w:hAnsi="Arial" w:cs="Arial"/>
                <w:sz w:val="20"/>
                <w:szCs w:val="20"/>
              </w:rPr>
            </w:pPr>
            <w:r w:rsidRPr="008905C1">
              <w:rPr>
                <w:rFonts w:ascii="Arial" w:hAnsi="Arial" w:cs="Arial"/>
                <w:sz w:val="20"/>
                <w:szCs w:val="20"/>
              </w:rPr>
              <w:t xml:space="preserve">The </w:t>
            </w:r>
            <w:r w:rsidRPr="00663849">
              <w:rPr>
                <w:rFonts w:ascii="Arial" w:hAnsi="Arial" w:cs="Arial"/>
                <w:sz w:val="20"/>
                <w:szCs w:val="20"/>
              </w:rPr>
              <w:t>committee discussed the potential to include people under 18 years. They acknowledged that some young people will be being supported in general practice, however the majority would be receiving most of their support from secondary or tertiary care.</w:t>
            </w:r>
          </w:p>
          <w:p w14:paraId="1EA0BD26" w14:textId="77777777" w:rsidR="00244B6F" w:rsidRPr="008E71E8" w:rsidRDefault="00244B6F" w:rsidP="00244B6F">
            <w:pPr>
              <w:pStyle w:val="Paragraph"/>
              <w:spacing w:before="0" w:after="0" w:line="240" w:lineRule="auto"/>
              <w:rPr>
                <w:rFonts w:cs="Arial"/>
                <w:sz w:val="20"/>
                <w:szCs w:val="20"/>
              </w:rPr>
            </w:pPr>
          </w:p>
        </w:tc>
      </w:tr>
      <w:tr w:rsidR="00244B6F" w:rsidRPr="008E71E8" w14:paraId="2486CD87" w14:textId="77777777" w:rsidTr="00240FE9">
        <w:tc>
          <w:tcPr>
            <w:tcW w:w="561" w:type="dxa"/>
            <w:vAlign w:val="center"/>
          </w:tcPr>
          <w:p w14:paraId="509BC1E5" w14:textId="5B8325CE" w:rsidR="00244B6F" w:rsidRPr="008E71E8" w:rsidRDefault="00244B6F" w:rsidP="00244B6F">
            <w:pPr>
              <w:pStyle w:val="Paragraph"/>
              <w:spacing w:before="0" w:after="0" w:line="240" w:lineRule="auto"/>
              <w:rPr>
                <w:rFonts w:cs="Arial"/>
                <w:sz w:val="20"/>
                <w:szCs w:val="20"/>
              </w:rPr>
            </w:pPr>
            <w:r>
              <w:rPr>
                <w:rFonts w:cs="Arial"/>
                <w:sz w:val="20"/>
                <w:szCs w:val="20"/>
              </w:rPr>
              <w:t>20</w:t>
            </w:r>
          </w:p>
        </w:tc>
        <w:tc>
          <w:tcPr>
            <w:tcW w:w="1134" w:type="dxa"/>
            <w:vAlign w:val="center"/>
          </w:tcPr>
          <w:p w14:paraId="026A4809" w14:textId="514E3AFC"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2021-111</w:t>
            </w:r>
          </w:p>
        </w:tc>
        <w:tc>
          <w:tcPr>
            <w:tcW w:w="1617" w:type="dxa"/>
            <w:vAlign w:val="center"/>
          </w:tcPr>
          <w:p w14:paraId="425A2C94" w14:textId="4139A5A5"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Pennine Care NHS Foundation Trust</w:t>
            </w:r>
          </w:p>
        </w:tc>
        <w:tc>
          <w:tcPr>
            <w:tcW w:w="7045" w:type="dxa"/>
            <w:vAlign w:val="center"/>
          </w:tcPr>
          <w:p w14:paraId="186D0329" w14:textId="5B948B73" w:rsidR="00244B6F" w:rsidRPr="008E71E8" w:rsidRDefault="00244B6F" w:rsidP="00244B6F">
            <w:pPr>
              <w:pStyle w:val="Paragraph"/>
              <w:spacing w:before="0" w:after="0" w:line="240" w:lineRule="auto"/>
              <w:rPr>
                <w:rFonts w:cs="Arial"/>
                <w:sz w:val="20"/>
                <w:szCs w:val="20"/>
              </w:rPr>
            </w:pPr>
            <w:r w:rsidRPr="00AC4E8B">
              <w:rPr>
                <w:rFonts w:cs="Arial"/>
                <w:sz w:val="20"/>
                <w:szCs w:val="20"/>
              </w:rPr>
              <w:t xml:space="preserve">An annual review for patients newly started on anti-epileptic treatment is desirable but not sure as to how pragmatic. </w:t>
            </w:r>
            <w:proofErr w:type="gramStart"/>
            <w:r w:rsidRPr="00AC4E8B">
              <w:rPr>
                <w:rFonts w:cs="Arial"/>
                <w:sz w:val="20"/>
                <w:szCs w:val="20"/>
              </w:rPr>
              <w:t>e.g.</w:t>
            </w:r>
            <w:proofErr w:type="gramEnd"/>
            <w:r w:rsidRPr="00AC4E8B">
              <w:rPr>
                <w:rFonts w:cs="Arial"/>
                <w:sz w:val="20"/>
                <w:szCs w:val="20"/>
              </w:rPr>
              <w:t xml:space="preserve"> usually a new diagnosis of epilepsy made in neurology clinic is followed up routinely and treatment reviewed, but it sometimes happens that people experience new-onset seizures following an acquired brain injury during the acute phase of their treatment and are discharged from hospital on anti-convulsant therapy that does not always seem to be reviewed as standard. In some cases, especially polypharmacy, it’s possible that this is exacerbating cognitive difficulties or fatigue.</w:t>
            </w:r>
          </w:p>
        </w:tc>
        <w:tc>
          <w:tcPr>
            <w:tcW w:w="3593" w:type="dxa"/>
          </w:tcPr>
          <w:p w14:paraId="291EFAC3" w14:textId="6CB692D1" w:rsidR="00244B6F" w:rsidRPr="008E71E8" w:rsidRDefault="00244B6F" w:rsidP="00244B6F">
            <w:pPr>
              <w:pStyle w:val="Paragraph"/>
              <w:spacing w:before="0" w:after="0" w:line="240" w:lineRule="auto"/>
              <w:rPr>
                <w:rFonts w:cs="Arial"/>
                <w:sz w:val="20"/>
                <w:szCs w:val="20"/>
              </w:rPr>
            </w:pPr>
            <w:r w:rsidRPr="00D2681A">
              <w:rPr>
                <w:rFonts w:cs="Arial"/>
                <w:sz w:val="20"/>
                <w:szCs w:val="20"/>
              </w:rPr>
              <w:t>Thank you for your comment.</w:t>
            </w:r>
            <w:r>
              <w:rPr>
                <w:rFonts w:cs="Arial"/>
                <w:sz w:val="20"/>
                <w:szCs w:val="20"/>
              </w:rPr>
              <w:t xml:space="preserve"> The committee agreed to progress this indicator for all people receiving drug treatment for epilepsy not just those with a new diagnosis. It was acknowledged that there may be potential overlap with reviews conducted in secondary care. </w:t>
            </w:r>
            <w:r w:rsidRPr="00B0366C">
              <w:rPr>
                <w:rFonts w:cs="Arial"/>
                <w:sz w:val="20"/>
                <w:szCs w:val="20"/>
              </w:rPr>
              <w:t>This can be mitigated by allowing those already reviewed in secondary care to be included in the numerator and for primary care not to have to re-review them.</w:t>
            </w:r>
          </w:p>
        </w:tc>
      </w:tr>
      <w:tr w:rsidR="00244B6F" w:rsidRPr="008E71E8" w14:paraId="683A9DBD" w14:textId="77777777" w:rsidTr="00240FE9">
        <w:tc>
          <w:tcPr>
            <w:tcW w:w="561" w:type="dxa"/>
            <w:vAlign w:val="center"/>
          </w:tcPr>
          <w:p w14:paraId="3D26CD96" w14:textId="332B462D" w:rsidR="00244B6F" w:rsidRPr="008E71E8" w:rsidRDefault="00244B6F" w:rsidP="00244B6F">
            <w:pPr>
              <w:pStyle w:val="Paragraph"/>
              <w:spacing w:before="0" w:after="0" w:line="240" w:lineRule="auto"/>
              <w:rPr>
                <w:rFonts w:cs="Arial"/>
                <w:sz w:val="20"/>
                <w:szCs w:val="20"/>
              </w:rPr>
            </w:pPr>
            <w:r>
              <w:rPr>
                <w:rFonts w:cs="Arial"/>
                <w:sz w:val="20"/>
                <w:szCs w:val="20"/>
              </w:rPr>
              <w:t>21</w:t>
            </w:r>
          </w:p>
        </w:tc>
        <w:tc>
          <w:tcPr>
            <w:tcW w:w="1134" w:type="dxa"/>
            <w:vAlign w:val="center"/>
          </w:tcPr>
          <w:p w14:paraId="14A9C864" w14:textId="1E2FF5B4"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2021-111</w:t>
            </w:r>
          </w:p>
        </w:tc>
        <w:tc>
          <w:tcPr>
            <w:tcW w:w="1617" w:type="dxa"/>
            <w:vAlign w:val="center"/>
          </w:tcPr>
          <w:p w14:paraId="50795016" w14:textId="30F1CD90"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Royal College of General Practitioners</w:t>
            </w:r>
          </w:p>
        </w:tc>
        <w:tc>
          <w:tcPr>
            <w:tcW w:w="7045" w:type="dxa"/>
            <w:vAlign w:val="center"/>
          </w:tcPr>
          <w:p w14:paraId="4767D89E"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Can the committee clarify what a structured review is please? Do you mean a structured medication review? If so, we support this </w:t>
            </w:r>
            <w:proofErr w:type="gramStart"/>
            <w:r w:rsidRPr="00AC4E8B">
              <w:rPr>
                <w:rFonts w:ascii="Arial" w:hAnsi="Arial" w:cs="Arial"/>
                <w:sz w:val="20"/>
                <w:szCs w:val="20"/>
              </w:rPr>
              <w:t>indicator</w:t>
            </w:r>
            <w:proofErr w:type="gramEnd"/>
            <w:r w:rsidRPr="00AC4E8B">
              <w:rPr>
                <w:rFonts w:ascii="Arial" w:hAnsi="Arial" w:cs="Arial"/>
                <w:sz w:val="20"/>
                <w:szCs w:val="20"/>
              </w:rPr>
              <w:t xml:space="preserve"> and the following comments apply. If the structured review is more than a medication </w:t>
            </w:r>
            <w:r w:rsidRPr="00AC4E8B">
              <w:rPr>
                <w:rFonts w:ascii="Arial" w:hAnsi="Arial" w:cs="Arial"/>
                <w:sz w:val="20"/>
                <w:szCs w:val="20"/>
              </w:rPr>
              <w:lastRenderedPageBreak/>
              <w:t xml:space="preserve">review then there are other considerations to </w:t>
            </w:r>
            <w:proofErr w:type="gramStart"/>
            <w:r w:rsidRPr="00AC4E8B">
              <w:rPr>
                <w:rFonts w:ascii="Arial" w:hAnsi="Arial" w:cs="Arial"/>
                <w:sz w:val="20"/>
                <w:szCs w:val="20"/>
              </w:rPr>
              <w:t>take into account</w:t>
            </w:r>
            <w:proofErr w:type="gramEnd"/>
            <w:r w:rsidRPr="00AC4E8B">
              <w:rPr>
                <w:rFonts w:ascii="Arial" w:hAnsi="Arial" w:cs="Arial"/>
                <w:sz w:val="20"/>
                <w:szCs w:val="20"/>
              </w:rPr>
              <w:t>, such as workload in primary care and the workforce crisis that we are currently seeing with increasing difficulties accessing appointments for routine care with an aging population, the significant backlog because of the pandemic that is affecting primary care as well as secondary care and the impact on health inequalities that this is currently having.</w:t>
            </w:r>
          </w:p>
          <w:p w14:paraId="75EDEDED" w14:textId="77777777" w:rsidR="00244B6F" w:rsidRPr="00AC4E8B" w:rsidRDefault="00244B6F" w:rsidP="00244B6F">
            <w:pPr>
              <w:rPr>
                <w:rFonts w:ascii="Arial" w:hAnsi="Arial" w:cs="Arial"/>
                <w:sz w:val="20"/>
                <w:szCs w:val="20"/>
              </w:rPr>
            </w:pPr>
          </w:p>
          <w:p w14:paraId="43CD96B5" w14:textId="77777777" w:rsidR="00244B6F" w:rsidRPr="00AC4E8B" w:rsidRDefault="00244B6F" w:rsidP="00244B6F">
            <w:pPr>
              <w:rPr>
                <w:rFonts w:ascii="Arial" w:hAnsi="Arial" w:cs="Arial"/>
                <w:sz w:val="20"/>
                <w:szCs w:val="20"/>
              </w:rPr>
            </w:pPr>
            <w:r w:rsidRPr="00AC4E8B">
              <w:rPr>
                <w:rFonts w:ascii="Arial" w:hAnsi="Arial" w:cs="Arial"/>
                <w:sz w:val="20"/>
                <w:szCs w:val="20"/>
              </w:rPr>
              <w:t>Q1. No barriers to implementation as all patients on medication are already expected to have an annual medication review and so can be covered in appointments already scheduled. It is uncertain whether it will achieve the expectation of quality improvement as this review of all medication should be in place already.</w:t>
            </w:r>
          </w:p>
          <w:p w14:paraId="411B701A" w14:textId="77777777" w:rsidR="00244B6F" w:rsidRPr="00AC4E8B" w:rsidRDefault="00244B6F" w:rsidP="00244B6F">
            <w:pPr>
              <w:rPr>
                <w:rFonts w:ascii="Arial" w:hAnsi="Arial" w:cs="Arial"/>
                <w:sz w:val="20"/>
                <w:szCs w:val="20"/>
              </w:rPr>
            </w:pPr>
            <w:r w:rsidRPr="00AC4E8B">
              <w:rPr>
                <w:rFonts w:ascii="Arial" w:hAnsi="Arial" w:cs="Arial"/>
                <w:sz w:val="20"/>
                <w:szCs w:val="20"/>
              </w:rPr>
              <w:t>Q2. No unintended consequences identified if a structured review is for medication</w:t>
            </w:r>
          </w:p>
          <w:p w14:paraId="54A860D2" w14:textId="77777777" w:rsidR="00244B6F" w:rsidRPr="00AC4E8B" w:rsidRDefault="00244B6F" w:rsidP="00244B6F">
            <w:pPr>
              <w:rPr>
                <w:rFonts w:ascii="Arial" w:hAnsi="Arial" w:cs="Arial"/>
                <w:sz w:val="20"/>
                <w:szCs w:val="20"/>
              </w:rPr>
            </w:pPr>
            <w:r w:rsidRPr="00AC4E8B">
              <w:rPr>
                <w:rFonts w:ascii="Arial" w:hAnsi="Arial" w:cs="Arial"/>
                <w:sz w:val="20"/>
                <w:szCs w:val="20"/>
              </w:rPr>
              <w:t>Q3/4. No health inequality issues identified as all patients irrespective of protected characteristics are expected to have a medication review.</w:t>
            </w:r>
          </w:p>
          <w:p w14:paraId="590238D4" w14:textId="5A974E26" w:rsidR="00244B6F" w:rsidRPr="008E71E8" w:rsidRDefault="00244B6F" w:rsidP="00244B6F">
            <w:pPr>
              <w:pStyle w:val="Paragraph"/>
              <w:spacing w:before="0" w:after="0" w:line="240" w:lineRule="auto"/>
              <w:rPr>
                <w:rFonts w:cs="Arial"/>
                <w:sz w:val="20"/>
                <w:szCs w:val="20"/>
              </w:rPr>
            </w:pPr>
            <w:r w:rsidRPr="00AC4E8B">
              <w:rPr>
                <w:rFonts w:cs="Arial"/>
                <w:sz w:val="20"/>
                <w:szCs w:val="20"/>
              </w:rPr>
              <w:t>Q5. Summary: This indicator itself would be pragmatic and acceptable within primary care because, as stated above, every patient on long term medications should receive an annual review, including those with epilepsy. This is therefore easily achievable and would not significantly add to the workload burden within primary care as this should already covered by standard care reviews a patient on long term medication already receives. However, if the structured review is more than a medication review, this will need to be reconsidered in terms of impact.</w:t>
            </w:r>
          </w:p>
        </w:tc>
        <w:tc>
          <w:tcPr>
            <w:tcW w:w="3593" w:type="dxa"/>
          </w:tcPr>
          <w:p w14:paraId="799DFD4A" w14:textId="77777777" w:rsidR="00244B6F" w:rsidRDefault="00244B6F" w:rsidP="00244B6F">
            <w:pPr>
              <w:rPr>
                <w:rFonts w:ascii="Arial" w:hAnsi="Arial" w:cs="Arial"/>
                <w:sz w:val="20"/>
                <w:szCs w:val="20"/>
              </w:rPr>
            </w:pPr>
            <w:r w:rsidRPr="0095488B">
              <w:rPr>
                <w:rFonts w:ascii="Arial" w:hAnsi="Arial" w:cs="Arial"/>
                <w:sz w:val="20"/>
                <w:szCs w:val="20"/>
              </w:rPr>
              <w:lastRenderedPageBreak/>
              <w:t>Thank you for your comment</w:t>
            </w:r>
            <w:r>
              <w:rPr>
                <w:rFonts w:ascii="Arial" w:hAnsi="Arial" w:cs="Arial"/>
                <w:sz w:val="20"/>
                <w:szCs w:val="20"/>
              </w:rPr>
              <w:t>s</w:t>
            </w:r>
            <w:r w:rsidRPr="0095488B">
              <w:rPr>
                <w:rFonts w:ascii="Arial" w:hAnsi="Arial" w:cs="Arial"/>
                <w:sz w:val="20"/>
                <w:szCs w:val="20"/>
              </w:rPr>
              <w:t xml:space="preserve">. </w:t>
            </w:r>
            <w:r>
              <w:rPr>
                <w:rFonts w:ascii="Arial" w:hAnsi="Arial" w:cs="Arial"/>
                <w:sz w:val="20"/>
                <w:szCs w:val="20"/>
              </w:rPr>
              <w:t xml:space="preserve">The committee wanted to ensure the indicator leads to improvements in </w:t>
            </w:r>
            <w:r>
              <w:rPr>
                <w:rFonts w:ascii="Arial" w:hAnsi="Arial" w:cs="Arial"/>
                <w:sz w:val="20"/>
                <w:szCs w:val="20"/>
              </w:rPr>
              <w:lastRenderedPageBreak/>
              <w:t xml:space="preserve">epilepsy care and outcomes. </w:t>
            </w:r>
            <w:r w:rsidRPr="0095488B">
              <w:rPr>
                <w:rFonts w:ascii="Arial" w:hAnsi="Arial" w:cs="Arial"/>
                <w:sz w:val="20"/>
                <w:szCs w:val="20"/>
              </w:rPr>
              <w:t xml:space="preserve">We have </w:t>
            </w:r>
            <w:r>
              <w:rPr>
                <w:rFonts w:ascii="Arial" w:hAnsi="Arial" w:cs="Arial"/>
                <w:sz w:val="20"/>
                <w:szCs w:val="20"/>
              </w:rPr>
              <w:t xml:space="preserve">therefore </w:t>
            </w:r>
            <w:r w:rsidRPr="0095488B">
              <w:rPr>
                <w:rFonts w:ascii="Arial" w:hAnsi="Arial" w:cs="Arial"/>
                <w:sz w:val="20"/>
                <w:szCs w:val="20"/>
              </w:rPr>
              <w:t>included a definition of what should be covered in the annual review based on SIGN guideline 143</w:t>
            </w:r>
            <w:r>
              <w:rPr>
                <w:rFonts w:ascii="Arial" w:hAnsi="Arial" w:cs="Arial"/>
                <w:sz w:val="20"/>
                <w:szCs w:val="20"/>
              </w:rPr>
              <w:t>.</w:t>
            </w:r>
          </w:p>
          <w:p w14:paraId="3D0AF8E4" w14:textId="77777777" w:rsidR="00244B6F" w:rsidRDefault="00244B6F" w:rsidP="00244B6F">
            <w:pPr>
              <w:rPr>
                <w:rFonts w:ascii="Arial" w:hAnsi="Arial" w:cs="Arial"/>
                <w:sz w:val="20"/>
                <w:szCs w:val="20"/>
              </w:rPr>
            </w:pPr>
          </w:p>
          <w:p w14:paraId="454AF8E1" w14:textId="77777777" w:rsidR="00244B6F" w:rsidRPr="008E71E8" w:rsidRDefault="00244B6F" w:rsidP="00244B6F">
            <w:pPr>
              <w:pStyle w:val="Paragraph"/>
              <w:spacing w:before="0" w:after="0" w:line="240" w:lineRule="auto"/>
              <w:rPr>
                <w:rFonts w:cs="Arial"/>
                <w:sz w:val="20"/>
                <w:szCs w:val="20"/>
              </w:rPr>
            </w:pPr>
          </w:p>
        </w:tc>
      </w:tr>
      <w:tr w:rsidR="00244B6F" w:rsidRPr="008E71E8" w14:paraId="501A619D" w14:textId="77777777" w:rsidTr="00240FE9">
        <w:tc>
          <w:tcPr>
            <w:tcW w:w="561" w:type="dxa"/>
            <w:vAlign w:val="center"/>
          </w:tcPr>
          <w:p w14:paraId="166B3F4C" w14:textId="68FB2A27" w:rsidR="00244B6F" w:rsidRPr="008E71E8" w:rsidRDefault="00244B6F" w:rsidP="00244B6F">
            <w:pPr>
              <w:pStyle w:val="Paragraph"/>
              <w:spacing w:before="0" w:after="0" w:line="240" w:lineRule="auto"/>
              <w:rPr>
                <w:rFonts w:cs="Arial"/>
                <w:sz w:val="20"/>
                <w:szCs w:val="20"/>
              </w:rPr>
            </w:pPr>
            <w:r>
              <w:rPr>
                <w:rFonts w:cs="Arial"/>
                <w:sz w:val="20"/>
                <w:szCs w:val="20"/>
              </w:rPr>
              <w:lastRenderedPageBreak/>
              <w:t>22</w:t>
            </w:r>
          </w:p>
        </w:tc>
        <w:tc>
          <w:tcPr>
            <w:tcW w:w="1134" w:type="dxa"/>
            <w:vAlign w:val="center"/>
          </w:tcPr>
          <w:p w14:paraId="2B6808B3" w14:textId="068D0685"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2021-111</w:t>
            </w:r>
          </w:p>
        </w:tc>
        <w:tc>
          <w:tcPr>
            <w:tcW w:w="1617" w:type="dxa"/>
            <w:vAlign w:val="center"/>
          </w:tcPr>
          <w:p w14:paraId="51227672" w14:textId="6B3FC274"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SUDEP Action</w:t>
            </w:r>
          </w:p>
        </w:tc>
        <w:tc>
          <w:tcPr>
            <w:tcW w:w="7045" w:type="dxa"/>
            <w:vAlign w:val="center"/>
          </w:tcPr>
          <w:p w14:paraId="0813C771" w14:textId="77777777" w:rsidR="00244B6F" w:rsidRPr="00AC4E8B" w:rsidRDefault="00244B6F" w:rsidP="00244B6F">
            <w:pPr>
              <w:rPr>
                <w:rFonts w:ascii="Arial" w:hAnsi="Arial" w:cs="Arial"/>
                <w:sz w:val="20"/>
                <w:szCs w:val="20"/>
              </w:rPr>
            </w:pPr>
            <w:r w:rsidRPr="00AC4E8B">
              <w:rPr>
                <w:rFonts w:ascii="Arial" w:hAnsi="Arial" w:cs="Arial"/>
                <w:sz w:val="20"/>
                <w:szCs w:val="20"/>
              </w:rPr>
              <w:t>SUDEP Action would welcome annual reviews being a priority for all people with epilepsy. Recent published research (details at end of this comment box) on epilepsy and mortality showing an increase in epilepsy related deaths, has also shown the main risk factors for epilepsy related deaths. Therefore, having a general practice indicator suitable for use in the QOF would not only be about improving wellbeing for people with epilepsy but would also be a tool for mitigating epilepsy risk and tackling avoidable deaths (at least 42% of which are known to be potentially preventable). The data from this research showed there was a 69% increase in epilepsy mortality between 2004-2014. Without this indicator being restored, and for it to have an essential risk focus (</w:t>
            </w:r>
            <w:proofErr w:type="gramStart"/>
            <w:r w:rsidRPr="00AC4E8B">
              <w:rPr>
                <w:rFonts w:ascii="Arial" w:hAnsi="Arial" w:cs="Arial"/>
                <w:sz w:val="20"/>
                <w:szCs w:val="20"/>
              </w:rPr>
              <w:t>i.e.</w:t>
            </w:r>
            <w:proofErr w:type="gramEnd"/>
            <w:r w:rsidRPr="00AC4E8B">
              <w:rPr>
                <w:rFonts w:ascii="Arial" w:hAnsi="Arial" w:cs="Arial"/>
                <w:sz w:val="20"/>
                <w:szCs w:val="20"/>
              </w:rPr>
              <w:t xml:space="preserve"> not just looking at medications but considering the whole person, their overall health, wellbeing and lifestyle alongside other </w:t>
            </w:r>
            <w:r w:rsidRPr="00AC4E8B">
              <w:rPr>
                <w:rFonts w:ascii="Arial" w:hAnsi="Arial" w:cs="Arial"/>
                <w:sz w:val="20"/>
                <w:szCs w:val="20"/>
              </w:rPr>
              <w:lastRenderedPageBreak/>
              <w:t xml:space="preserve">possible risk factors), we cannot tackle avoidable mortality in epilepsy. This was originally recommended as part of the National Sentinel Audit of Epilepsy Deaths carried out in 2002 and a subsequent Government action plan in 2003. There was no consultation on the removal of the original epilepsy review QOF in 2013, and SUDEP Action have been campaigning for an annual epilepsy review to take place within the community setting since </w:t>
            </w:r>
            <w:proofErr w:type="spellStart"/>
            <w:r w:rsidRPr="00AC4E8B">
              <w:rPr>
                <w:rFonts w:ascii="Arial" w:hAnsi="Arial" w:cs="Arial"/>
                <w:sz w:val="20"/>
                <w:szCs w:val="20"/>
              </w:rPr>
              <w:t>it’s</w:t>
            </w:r>
            <w:proofErr w:type="spellEnd"/>
            <w:r w:rsidRPr="00AC4E8B">
              <w:rPr>
                <w:rFonts w:ascii="Arial" w:hAnsi="Arial" w:cs="Arial"/>
                <w:sz w:val="20"/>
                <w:szCs w:val="20"/>
              </w:rPr>
              <w:t xml:space="preserve"> removal, so we would welcome this introduction as an improvement of care provided to those with epilepsy.</w:t>
            </w:r>
          </w:p>
          <w:p w14:paraId="79D6F1B8" w14:textId="77777777" w:rsidR="00244B6F" w:rsidRPr="00AC4E8B" w:rsidRDefault="00244B6F" w:rsidP="00244B6F">
            <w:pPr>
              <w:rPr>
                <w:rFonts w:ascii="Arial" w:hAnsi="Arial" w:cs="Arial"/>
                <w:sz w:val="20"/>
                <w:szCs w:val="20"/>
              </w:rPr>
            </w:pPr>
          </w:p>
          <w:p w14:paraId="46041E79" w14:textId="77777777" w:rsidR="00244B6F" w:rsidRPr="00AC4E8B" w:rsidRDefault="00244B6F" w:rsidP="00244B6F">
            <w:pPr>
              <w:rPr>
                <w:rFonts w:ascii="Arial" w:hAnsi="Arial" w:cs="Arial"/>
                <w:sz w:val="20"/>
                <w:szCs w:val="20"/>
              </w:rPr>
            </w:pPr>
          </w:p>
          <w:p w14:paraId="2711E0E6" w14:textId="77777777" w:rsidR="00244B6F" w:rsidRPr="00AC4E8B" w:rsidRDefault="00244B6F" w:rsidP="00244B6F">
            <w:pPr>
              <w:shd w:val="clear" w:color="auto" w:fill="FFFFFF"/>
              <w:rPr>
                <w:rFonts w:ascii="Arial" w:hAnsi="Arial" w:cs="Arial"/>
                <w:sz w:val="20"/>
                <w:szCs w:val="20"/>
              </w:rPr>
            </w:pPr>
            <w:proofErr w:type="spellStart"/>
            <w:r w:rsidRPr="00AC4E8B">
              <w:rPr>
                <w:rFonts w:ascii="Arial" w:hAnsi="Arial" w:cs="Arial"/>
                <w:sz w:val="20"/>
                <w:szCs w:val="20"/>
              </w:rPr>
              <w:t>Wojewodka</w:t>
            </w:r>
            <w:proofErr w:type="spellEnd"/>
            <w:r w:rsidRPr="00AC4E8B">
              <w:rPr>
                <w:rFonts w:ascii="Arial" w:hAnsi="Arial" w:cs="Arial"/>
                <w:sz w:val="20"/>
                <w:szCs w:val="20"/>
              </w:rPr>
              <w:t> G, Gulliford MC, Ashworth M, et al</w:t>
            </w:r>
          </w:p>
          <w:p w14:paraId="73EDA255" w14:textId="77777777" w:rsidR="00244B6F" w:rsidRPr="00AC4E8B" w:rsidRDefault="00244B6F" w:rsidP="00244B6F">
            <w:pPr>
              <w:shd w:val="clear" w:color="auto" w:fill="FFFFFF"/>
              <w:rPr>
                <w:rFonts w:ascii="Arial" w:hAnsi="Arial" w:cs="Arial"/>
                <w:sz w:val="20"/>
                <w:szCs w:val="20"/>
              </w:rPr>
            </w:pPr>
            <w:r w:rsidRPr="00AC4E8B">
              <w:rPr>
                <w:rFonts w:ascii="Arial" w:hAnsi="Arial" w:cs="Arial"/>
                <w:sz w:val="20"/>
                <w:szCs w:val="20"/>
              </w:rPr>
              <w:t>Epilepsy and mortality: a retrospective cohort analysis with a nested case–control study identifying causes and risk factors from primary care and linkage-derived data</w:t>
            </w:r>
          </w:p>
          <w:p w14:paraId="7E797B5B" w14:textId="77777777" w:rsidR="00244B6F" w:rsidRPr="00AC4E8B" w:rsidRDefault="00244B6F" w:rsidP="00244B6F">
            <w:pPr>
              <w:shd w:val="clear" w:color="auto" w:fill="FFFFFF"/>
              <w:rPr>
                <w:rFonts w:ascii="Arial" w:hAnsi="Arial" w:cs="Arial"/>
                <w:sz w:val="20"/>
                <w:szCs w:val="20"/>
              </w:rPr>
            </w:pPr>
            <w:r w:rsidRPr="00AC4E8B">
              <w:rPr>
                <w:rFonts w:ascii="Arial" w:hAnsi="Arial" w:cs="Arial"/>
                <w:sz w:val="20"/>
                <w:szCs w:val="20"/>
              </w:rPr>
              <w:t>BMJ Open 2021;</w:t>
            </w:r>
            <w:proofErr w:type="gramStart"/>
            <w:r w:rsidRPr="00AC4E8B">
              <w:rPr>
                <w:rFonts w:ascii="Arial" w:hAnsi="Arial" w:cs="Arial"/>
                <w:sz w:val="20"/>
                <w:szCs w:val="20"/>
              </w:rPr>
              <w:t>11:e</w:t>
            </w:r>
            <w:proofErr w:type="gramEnd"/>
            <w:r w:rsidRPr="00AC4E8B">
              <w:rPr>
                <w:rFonts w:ascii="Arial" w:hAnsi="Arial" w:cs="Arial"/>
                <w:sz w:val="20"/>
                <w:szCs w:val="20"/>
              </w:rPr>
              <w:t>052841. </w:t>
            </w:r>
            <w:proofErr w:type="spellStart"/>
            <w:r w:rsidRPr="00AC4E8B">
              <w:rPr>
                <w:rFonts w:ascii="Arial" w:hAnsi="Arial" w:cs="Arial"/>
                <w:sz w:val="20"/>
                <w:szCs w:val="20"/>
              </w:rPr>
              <w:t>doi</w:t>
            </w:r>
            <w:proofErr w:type="spellEnd"/>
            <w:r w:rsidRPr="00AC4E8B">
              <w:rPr>
                <w:rFonts w:ascii="Arial" w:hAnsi="Arial" w:cs="Arial"/>
                <w:sz w:val="20"/>
                <w:szCs w:val="20"/>
              </w:rPr>
              <w:t>: 10.1136/bmjopen-2021-052841</w:t>
            </w:r>
          </w:p>
          <w:p w14:paraId="3226CED4" w14:textId="77777777" w:rsidR="00244B6F" w:rsidRPr="008E71E8" w:rsidRDefault="00244B6F" w:rsidP="00244B6F">
            <w:pPr>
              <w:pStyle w:val="Paragraph"/>
              <w:spacing w:before="0" w:after="0" w:line="240" w:lineRule="auto"/>
              <w:rPr>
                <w:rFonts w:cs="Arial"/>
                <w:sz w:val="20"/>
                <w:szCs w:val="20"/>
              </w:rPr>
            </w:pPr>
          </w:p>
        </w:tc>
        <w:tc>
          <w:tcPr>
            <w:tcW w:w="3593" w:type="dxa"/>
          </w:tcPr>
          <w:p w14:paraId="15D96592" w14:textId="157E423B" w:rsidR="00244B6F" w:rsidRPr="008E71E8" w:rsidRDefault="00244B6F" w:rsidP="00244B6F">
            <w:pPr>
              <w:pStyle w:val="Paragraph"/>
              <w:spacing w:before="0" w:after="0" w:line="240" w:lineRule="auto"/>
              <w:rPr>
                <w:rFonts w:cs="Arial"/>
                <w:sz w:val="20"/>
                <w:szCs w:val="20"/>
              </w:rPr>
            </w:pPr>
            <w:r w:rsidRPr="0042408D">
              <w:rPr>
                <w:rFonts w:cs="Arial"/>
                <w:sz w:val="20"/>
                <w:szCs w:val="20"/>
              </w:rPr>
              <w:lastRenderedPageBreak/>
              <w:t>Thank you for your comment</w:t>
            </w:r>
            <w:r>
              <w:rPr>
                <w:rFonts w:cs="Arial"/>
                <w:sz w:val="20"/>
                <w:szCs w:val="20"/>
              </w:rPr>
              <w:t xml:space="preserve"> and support for this indicator. The committee agreed to progress this indicator to the NICE menu and agreed to </w:t>
            </w:r>
            <w:r w:rsidRPr="0042408D">
              <w:rPr>
                <w:rFonts w:cs="Arial"/>
                <w:sz w:val="20"/>
                <w:szCs w:val="20"/>
              </w:rPr>
              <w:t>include a definition of what should be covered in the annual review based on SIGN guideline 143</w:t>
            </w:r>
            <w:r>
              <w:rPr>
                <w:rFonts w:cs="Arial"/>
                <w:sz w:val="20"/>
                <w:szCs w:val="20"/>
              </w:rPr>
              <w:t xml:space="preserve">. </w:t>
            </w:r>
          </w:p>
        </w:tc>
      </w:tr>
      <w:tr w:rsidR="00244B6F" w:rsidRPr="008E71E8" w14:paraId="5BBB99AE" w14:textId="77777777" w:rsidTr="00240FE9">
        <w:tc>
          <w:tcPr>
            <w:tcW w:w="561" w:type="dxa"/>
            <w:vAlign w:val="center"/>
          </w:tcPr>
          <w:p w14:paraId="6FD88C0E" w14:textId="27BF81C4" w:rsidR="00244B6F" w:rsidRPr="008E71E8" w:rsidRDefault="00244B6F" w:rsidP="00244B6F">
            <w:pPr>
              <w:pStyle w:val="Paragraph"/>
              <w:spacing w:before="0" w:after="0" w:line="240" w:lineRule="auto"/>
              <w:rPr>
                <w:rFonts w:cs="Arial"/>
                <w:sz w:val="20"/>
                <w:szCs w:val="20"/>
              </w:rPr>
            </w:pPr>
            <w:r>
              <w:rPr>
                <w:rFonts w:cs="Arial"/>
                <w:sz w:val="20"/>
                <w:szCs w:val="20"/>
              </w:rPr>
              <w:t>23</w:t>
            </w:r>
          </w:p>
        </w:tc>
        <w:tc>
          <w:tcPr>
            <w:tcW w:w="1134" w:type="dxa"/>
            <w:vAlign w:val="center"/>
          </w:tcPr>
          <w:p w14:paraId="6181EB65" w14:textId="78E1F5BF" w:rsidR="00244B6F" w:rsidRPr="008E71E8" w:rsidRDefault="00244B6F" w:rsidP="00244B6F">
            <w:pPr>
              <w:pStyle w:val="Paragraph"/>
              <w:spacing w:before="0" w:after="0" w:line="240" w:lineRule="auto"/>
              <w:rPr>
                <w:rFonts w:cs="Arial"/>
                <w:sz w:val="20"/>
                <w:szCs w:val="20"/>
              </w:rPr>
            </w:pPr>
            <w:r w:rsidRPr="00AC4E8B">
              <w:rPr>
                <w:rFonts w:cs="Arial"/>
                <w:color w:val="000000"/>
                <w:sz w:val="20"/>
                <w:szCs w:val="20"/>
              </w:rPr>
              <w:t>IND 2021-111</w:t>
            </w:r>
          </w:p>
        </w:tc>
        <w:tc>
          <w:tcPr>
            <w:tcW w:w="1617" w:type="dxa"/>
            <w:vAlign w:val="center"/>
          </w:tcPr>
          <w:p w14:paraId="50307AB3" w14:textId="0F9D8D69"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Young Epilepsy</w:t>
            </w:r>
          </w:p>
        </w:tc>
        <w:tc>
          <w:tcPr>
            <w:tcW w:w="7045" w:type="dxa"/>
            <w:vAlign w:val="center"/>
          </w:tcPr>
          <w:p w14:paraId="2A46B3B6" w14:textId="77777777" w:rsidR="00244B6F" w:rsidRPr="00AC4E8B" w:rsidRDefault="00244B6F" w:rsidP="00244B6F">
            <w:pPr>
              <w:rPr>
                <w:rFonts w:ascii="Arial" w:hAnsi="Arial" w:cs="Arial"/>
                <w:sz w:val="20"/>
                <w:szCs w:val="20"/>
              </w:rPr>
            </w:pPr>
            <w:r w:rsidRPr="00AC4E8B">
              <w:rPr>
                <w:rFonts w:ascii="Arial" w:hAnsi="Arial" w:cs="Arial"/>
                <w:sz w:val="20"/>
                <w:szCs w:val="20"/>
              </w:rPr>
              <w:t>We welcome the proposed indicator to track structured reviews for adults receiving drug treatment for epilepsy. Consideration should be given to how the indicator will function for young people under 18 whose care is overseen by adult epilepsy services. For example, a Young Epilepsy survey found that approximately 1 in 3 young people transitioned to adult epilepsy care at age 16 (</w:t>
            </w:r>
            <w:proofErr w:type="spellStart"/>
            <w:r w:rsidRPr="00AC4E8B">
              <w:rPr>
                <w:rFonts w:ascii="Arial" w:hAnsi="Arial" w:cs="Arial"/>
                <w:sz w:val="20"/>
                <w:szCs w:val="20"/>
              </w:rPr>
              <w:t>i</w:t>
            </w:r>
            <w:proofErr w:type="spellEnd"/>
            <w:r w:rsidRPr="00AC4E8B">
              <w:rPr>
                <w:rFonts w:ascii="Arial" w:hAnsi="Arial" w:cs="Arial"/>
                <w:sz w:val="20"/>
                <w:szCs w:val="20"/>
              </w:rPr>
              <w:t>). As these young people’s care is not overseen by paediatrics, an annual treatment review should be carried out in primary care (ii).</w:t>
            </w:r>
          </w:p>
          <w:p w14:paraId="75691A4A" w14:textId="77777777" w:rsidR="00244B6F" w:rsidRPr="00AC4E8B" w:rsidRDefault="00244B6F" w:rsidP="00244B6F">
            <w:pPr>
              <w:rPr>
                <w:rFonts w:ascii="Arial" w:hAnsi="Arial" w:cs="Arial"/>
                <w:sz w:val="20"/>
                <w:szCs w:val="20"/>
              </w:rPr>
            </w:pPr>
          </w:p>
          <w:p w14:paraId="5C228C88" w14:textId="77777777" w:rsidR="00244B6F" w:rsidRPr="00AC4E8B" w:rsidRDefault="00244B6F" w:rsidP="00244B6F">
            <w:pPr>
              <w:numPr>
                <w:ilvl w:val="0"/>
                <w:numId w:val="45"/>
              </w:numPr>
              <w:contextualSpacing/>
              <w:rPr>
                <w:rFonts w:ascii="Arial" w:eastAsia="Calibri" w:hAnsi="Arial" w:cs="Arial"/>
                <w:sz w:val="20"/>
                <w:szCs w:val="20"/>
                <w:lang w:eastAsia="en-GB"/>
              </w:rPr>
            </w:pPr>
            <w:hyperlink r:id="rId15" w:history="1">
              <w:r w:rsidRPr="00AC4E8B">
                <w:rPr>
                  <w:rFonts w:ascii="Arial" w:eastAsia="Calibri" w:hAnsi="Arial" w:cs="Arial"/>
                  <w:color w:val="0000FF"/>
                  <w:sz w:val="20"/>
                  <w:szCs w:val="20"/>
                  <w:u w:val="single"/>
                  <w:lang w:eastAsia="en-GB"/>
                </w:rPr>
                <w:t>Young Epilepsy (2021) Young people's experiences of epilepsy care: Summary of survey findings</w:t>
              </w:r>
            </w:hyperlink>
          </w:p>
          <w:p w14:paraId="34761CCA" w14:textId="77777777" w:rsidR="00244B6F" w:rsidRPr="00AC4E8B" w:rsidRDefault="00244B6F" w:rsidP="00244B6F">
            <w:pPr>
              <w:numPr>
                <w:ilvl w:val="0"/>
                <w:numId w:val="45"/>
              </w:numPr>
              <w:contextualSpacing/>
              <w:rPr>
                <w:rFonts w:ascii="Arial" w:eastAsia="Calibri" w:hAnsi="Arial" w:cs="Arial"/>
                <w:sz w:val="20"/>
                <w:szCs w:val="20"/>
                <w:lang w:eastAsia="en-GB"/>
              </w:rPr>
            </w:pPr>
            <w:hyperlink r:id="rId16" w:history="1">
              <w:r w:rsidRPr="00AC4E8B">
                <w:rPr>
                  <w:rFonts w:ascii="Arial" w:eastAsia="Calibri" w:hAnsi="Arial" w:cs="Arial"/>
                  <w:color w:val="0000FF"/>
                  <w:sz w:val="20"/>
                  <w:szCs w:val="20"/>
                  <w:u w:val="single"/>
                  <w:lang w:eastAsia="en-GB"/>
                </w:rPr>
                <w:t>NICE CKS (2021) Scenario: Routine epilepsy review</w:t>
              </w:r>
            </w:hyperlink>
          </w:p>
          <w:p w14:paraId="6EE00C47" w14:textId="77777777" w:rsidR="00244B6F" w:rsidRPr="008E71E8" w:rsidRDefault="00244B6F" w:rsidP="00244B6F">
            <w:pPr>
              <w:pStyle w:val="Paragraph"/>
              <w:spacing w:before="0" w:after="0" w:line="240" w:lineRule="auto"/>
              <w:rPr>
                <w:rFonts w:cs="Arial"/>
                <w:sz w:val="20"/>
                <w:szCs w:val="20"/>
              </w:rPr>
            </w:pPr>
          </w:p>
        </w:tc>
        <w:tc>
          <w:tcPr>
            <w:tcW w:w="3593" w:type="dxa"/>
          </w:tcPr>
          <w:p w14:paraId="2443E52C" w14:textId="323B53FD" w:rsidR="00244B6F" w:rsidRPr="008E71E8" w:rsidRDefault="00244B6F" w:rsidP="00244B6F">
            <w:pPr>
              <w:pStyle w:val="Paragraph"/>
              <w:spacing w:before="0" w:after="0" w:line="240" w:lineRule="auto"/>
              <w:rPr>
                <w:rFonts w:cs="Arial"/>
                <w:sz w:val="20"/>
                <w:szCs w:val="20"/>
              </w:rPr>
            </w:pPr>
            <w:r w:rsidRPr="008025FD">
              <w:rPr>
                <w:rFonts w:cs="Arial"/>
                <w:sz w:val="20"/>
                <w:szCs w:val="20"/>
              </w:rPr>
              <w:t>Thank you for your comment</w:t>
            </w:r>
            <w:r>
              <w:rPr>
                <w:rFonts w:cs="Arial"/>
                <w:sz w:val="20"/>
                <w:szCs w:val="20"/>
              </w:rPr>
              <w:t xml:space="preserve">. </w:t>
            </w:r>
            <w:r w:rsidRPr="008025FD">
              <w:rPr>
                <w:rFonts w:cs="Arial"/>
                <w:sz w:val="20"/>
                <w:szCs w:val="20"/>
              </w:rPr>
              <w:t xml:space="preserve">The </w:t>
            </w:r>
            <w:r w:rsidRPr="003D238F">
              <w:rPr>
                <w:rFonts w:cs="Arial"/>
                <w:sz w:val="20"/>
                <w:szCs w:val="20"/>
              </w:rPr>
              <w:t>committee discussed the potential to include people under 18 years. They acknowledged that some young people will be being supported in general practice, however the majority would be receiving most of their support from secondary or tertiary care.</w:t>
            </w:r>
          </w:p>
        </w:tc>
      </w:tr>
    </w:tbl>
    <w:p w14:paraId="26D424C0" w14:textId="3392A953" w:rsidR="008E71E8" w:rsidRDefault="008E71E8" w:rsidP="001F4846">
      <w:pPr>
        <w:pStyle w:val="Paragraph"/>
      </w:pPr>
    </w:p>
    <w:p w14:paraId="1C76AB3F" w14:textId="77777777" w:rsidR="008E71E8" w:rsidRDefault="008E71E8" w:rsidP="001F4846">
      <w:pPr>
        <w:pStyle w:val="Paragraph"/>
      </w:pPr>
    </w:p>
    <w:p w14:paraId="74780601" w14:textId="1B65DFD7" w:rsidR="001F4846" w:rsidRDefault="001F4846" w:rsidP="00244B6F">
      <w:pPr>
        <w:pStyle w:val="Paragraph"/>
        <w:keepNext/>
      </w:pPr>
      <w:r w:rsidRPr="001F4846">
        <w:lastRenderedPageBreak/>
        <w:t>IND 2021-112: The percentage of adults with epilepsy and a learning disability who had a structured review in the preceding 12 months</w:t>
      </w:r>
    </w:p>
    <w:tbl>
      <w:tblPr>
        <w:tblStyle w:val="TableGrid"/>
        <w:tblW w:w="0" w:type="auto"/>
        <w:tblLook w:val="04A0" w:firstRow="1" w:lastRow="0" w:firstColumn="1" w:lastColumn="0" w:noHBand="0" w:noVBand="1"/>
      </w:tblPr>
      <w:tblGrid>
        <w:gridCol w:w="561"/>
        <w:gridCol w:w="1134"/>
        <w:gridCol w:w="1617"/>
        <w:gridCol w:w="7045"/>
        <w:gridCol w:w="3593"/>
      </w:tblGrid>
      <w:tr w:rsidR="00244B6F" w:rsidRPr="008E71E8" w14:paraId="3DC07415" w14:textId="77777777" w:rsidTr="00CB7B94">
        <w:trPr>
          <w:tblHeader/>
        </w:trPr>
        <w:tc>
          <w:tcPr>
            <w:tcW w:w="561" w:type="dxa"/>
          </w:tcPr>
          <w:p w14:paraId="702B69B2" w14:textId="77777777" w:rsidR="00244B6F" w:rsidRPr="008E71E8" w:rsidRDefault="00244B6F" w:rsidP="00CB7B94">
            <w:pPr>
              <w:pStyle w:val="Paragraph"/>
              <w:spacing w:before="0" w:after="0" w:line="240" w:lineRule="auto"/>
              <w:rPr>
                <w:rFonts w:cs="Arial"/>
                <w:b/>
                <w:bCs/>
                <w:sz w:val="20"/>
                <w:szCs w:val="20"/>
              </w:rPr>
            </w:pPr>
            <w:r w:rsidRPr="008E71E8">
              <w:rPr>
                <w:rFonts w:cs="Arial"/>
                <w:b/>
                <w:bCs/>
                <w:sz w:val="20"/>
                <w:szCs w:val="20"/>
              </w:rPr>
              <w:t>ID</w:t>
            </w:r>
          </w:p>
        </w:tc>
        <w:tc>
          <w:tcPr>
            <w:tcW w:w="1134" w:type="dxa"/>
          </w:tcPr>
          <w:p w14:paraId="4C82C20E" w14:textId="77777777" w:rsidR="00244B6F" w:rsidRPr="008E71E8" w:rsidRDefault="00244B6F" w:rsidP="00CB7B94">
            <w:pPr>
              <w:pStyle w:val="Paragraph"/>
              <w:spacing w:before="0" w:after="0" w:line="240" w:lineRule="auto"/>
              <w:rPr>
                <w:rFonts w:cs="Arial"/>
                <w:b/>
                <w:bCs/>
                <w:sz w:val="20"/>
                <w:szCs w:val="20"/>
              </w:rPr>
            </w:pPr>
            <w:r w:rsidRPr="008E71E8">
              <w:rPr>
                <w:rFonts w:cs="Arial"/>
                <w:b/>
                <w:bCs/>
                <w:sz w:val="20"/>
                <w:szCs w:val="20"/>
              </w:rPr>
              <w:t>Indicator</w:t>
            </w:r>
          </w:p>
        </w:tc>
        <w:tc>
          <w:tcPr>
            <w:tcW w:w="1617" w:type="dxa"/>
          </w:tcPr>
          <w:p w14:paraId="4F5B7E9C" w14:textId="77777777" w:rsidR="00244B6F" w:rsidRPr="008E71E8" w:rsidRDefault="00244B6F" w:rsidP="00CB7B94">
            <w:pPr>
              <w:pStyle w:val="Paragraph"/>
              <w:spacing w:before="0" w:after="0" w:line="240" w:lineRule="auto"/>
              <w:rPr>
                <w:rFonts w:cs="Arial"/>
                <w:b/>
                <w:bCs/>
                <w:sz w:val="20"/>
                <w:szCs w:val="20"/>
              </w:rPr>
            </w:pPr>
            <w:r w:rsidRPr="008E71E8">
              <w:rPr>
                <w:rFonts w:cs="Arial"/>
                <w:b/>
                <w:bCs/>
                <w:sz w:val="20"/>
                <w:szCs w:val="20"/>
              </w:rPr>
              <w:t>Organisation name</w:t>
            </w:r>
          </w:p>
        </w:tc>
        <w:tc>
          <w:tcPr>
            <w:tcW w:w="7045" w:type="dxa"/>
          </w:tcPr>
          <w:p w14:paraId="0414F341" w14:textId="77777777" w:rsidR="00244B6F" w:rsidRPr="008E71E8" w:rsidRDefault="00244B6F" w:rsidP="00CB7B94">
            <w:pPr>
              <w:pStyle w:val="Paragraph"/>
              <w:spacing w:before="0" w:after="0" w:line="240" w:lineRule="auto"/>
              <w:rPr>
                <w:rFonts w:cs="Arial"/>
                <w:b/>
                <w:bCs/>
                <w:sz w:val="20"/>
                <w:szCs w:val="20"/>
              </w:rPr>
            </w:pPr>
            <w:r w:rsidRPr="008E71E8">
              <w:rPr>
                <w:rFonts w:cs="Arial"/>
                <w:b/>
                <w:bCs/>
                <w:sz w:val="20"/>
                <w:szCs w:val="20"/>
              </w:rPr>
              <w:t>Comments</w:t>
            </w:r>
          </w:p>
        </w:tc>
        <w:tc>
          <w:tcPr>
            <w:tcW w:w="3593" w:type="dxa"/>
          </w:tcPr>
          <w:p w14:paraId="32C4AA27" w14:textId="77777777" w:rsidR="00244B6F" w:rsidRPr="008E71E8" w:rsidRDefault="00244B6F" w:rsidP="00CB7B94">
            <w:pPr>
              <w:pStyle w:val="Paragraph"/>
              <w:spacing w:before="0" w:after="0" w:line="240" w:lineRule="auto"/>
              <w:rPr>
                <w:rFonts w:cs="Arial"/>
                <w:b/>
                <w:bCs/>
                <w:sz w:val="20"/>
                <w:szCs w:val="20"/>
              </w:rPr>
            </w:pPr>
            <w:r w:rsidRPr="008E71E8">
              <w:rPr>
                <w:rFonts w:cs="Arial"/>
                <w:b/>
                <w:bCs/>
                <w:sz w:val="20"/>
                <w:szCs w:val="20"/>
              </w:rPr>
              <w:t>NICE response</w:t>
            </w:r>
          </w:p>
        </w:tc>
      </w:tr>
      <w:tr w:rsidR="00244B6F" w:rsidRPr="008E71E8" w14:paraId="5845267C" w14:textId="77777777" w:rsidTr="003058E4">
        <w:tc>
          <w:tcPr>
            <w:tcW w:w="561" w:type="dxa"/>
            <w:vAlign w:val="center"/>
          </w:tcPr>
          <w:p w14:paraId="1B322246" w14:textId="65D79438" w:rsidR="00244B6F" w:rsidRPr="008E71E8" w:rsidRDefault="00244B6F" w:rsidP="00244B6F">
            <w:pPr>
              <w:pStyle w:val="Paragraph"/>
              <w:spacing w:before="0" w:after="0" w:line="240" w:lineRule="auto"/>
              <w:rPr>
                <w:rFonts w:cs="Arial"/>
                <w:sz w:val="20"/>
                <w:szCs w:val="20"/>
              </w:rPr>
            </w:pPr>
            <w:r>
              <w:rPr>
                <w:rFonts w:cs="Arial"/>
                <w:sz w:val="20"/>
                <w:szCs w:val="20"/>
              </w:rPr>
              <w:t>24</w:t>
            </w:r>
          </w:p>
        </w:tc>
        <w:tc>
          <w:tcPr>
            <w:tcW w:w="1134" w:type="dxa"/>
            <w:vAlign w:val="center"/>
          </w:tcPr>
          <w:p w14:paraId="6D598655" w14:textId="1A5E0E79"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2021-112</w:t>
            </w:r>
          </w:p>
        </w:tc>
        <w:tc>
          <w:tcPr>
            <w:tcW w:w="1617" w:type="dxa"/>
            <w:vAlign w:val="center"/>
          </w:tcPr>
          <w:p w14:paraId="1E835FD8" w14:textId="255E018A"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Association of British Neurologists</w:t>
            </w:r>
          </w:p>
        </w:tc>
        <w:tc>
          <w:tcPr>
            <w:tcW w:w="7045" w:type="dxa"/>
            <w:vAlign w:val="center"/>
          </w:tcPr>
          <w:p w14:paraId="226DCCD9"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Learning Disability and Epilepsy</w:t>
            </w:r>
          </w:p>
          <w:p w14:paraId="69585FC5" w14:textId="77777777" w:rsidR="00244B6F" w:rsidRPr="00AC4E8B" w:rsidRDefault="00244B6F" w:rsidP="00244B6F">
            <w:pPr>
              <w:rPr>
                <w:rFonts w:ascii="Arial" w:hAnsi="Arial" w:cs="Arial"/>
                <w:b/>
                <w:bCs/>
                <w:sz w:val="20"/>
                <w:szCs w:val="20"/>
              </w:rPr>
            </w:pPr>
          </w:p>
          <w:p w14:paraId="3100A9C7" w14:textId="7E5EF895" w:rsidR="00244B6F" w:rsidRPr="008E71E8" w:rsidRDefault="00244B6F" w:rsidP="00244B6F">
            <w:pPr>
              <w:pStyle w:val="Paragraph"/>
              <w:spacing w:before="0" w:after="0" w:line="240" w:lineRule="auto"/>
              <w:rPr>
                <w:rFonts w:cs="Arial"/>
                <w:sz w:val="20"/>
                <w:szCs w:val="20"/>
              </w:rPr>
            </w:pPr>
            <w:r w:rsidRPr="00AC4E8B">
              <w:rPr>
                <w:rFonts w:cs="Arial"/>
                <w:sz w:val="20"/>
                <w:szCs w:val="20"/>
              </w:rPr>
              <w:t>No specific Questions. Answers above apply to this category too. Their vulnerability would potentially raise safeguarding issues were there to be serial non-attendance at reviews.</w:t>
            </w:r>
          </w:p>
        </w:tc>
        <w:tc>
          <w:tcPr>
            <w:tcW w:w="3593" w:type="dxa"/>
          </w:tcPr>
          <w:p w14:paraId="017DF5A3" w14:textId="1C735B2D" w:rsidR="00244B6F" w:rsidRPr="008E71E8" w:rsidRDefault="00244B6F" w:rsidP="00244B6F">
            <w:pPr>
              <w:pStyle w:val="Paragraph"/>
              <w:spacing w:before="0" w:after="0" w:line="240" w:lineRule="auto"/>
              <w:rPr>
                <w:rFonts w:cs="Arial"/>
                <w:sz w:val="20"/>
                <w:szCs w:val="20"/>
              </w:rPr>
            </w:pPr>
            <w:r w:rsidRPr="00D72703">
              <w:rPr>
                <w:rFonts w:cs="Arial"/>
                <w:sz w:val="20"/>
                <w:szCs w:val="20"/>
              </w:rPr>
              <w:t>Thank you for your comment.</w:t>
            </w:r>
            <w:r>
              <w:rPr>
                <w:rFonts w:cs="Arial"/>
                <w:sz w:val="20"/>
                <w:szCs w:val="20"/>
              </w:rPr>
              <w:t xml:space="preserve"> </w:t>
            </w:r>
          </w:p>
        </w:tc>
      </w:tr>
      <w:tr w:rsidR="00244B6F" w:rsidRPr="008E71E8" w14:paraId="44D74405" w14:textId="77777777" w:rsidTr="003058E4">
        <w:tc>
          <w:tcPr>
            <w:tcW w:w="561" w:type="dxa"/>
            <w:vAlign w:val="center"/>
          </w:tcPr>
          <w:p w14:paraId="6FE24CB2" w14:textId="107D8852" w:rsidR="00244B6F" w:rsidRPr="008E71E8" w:rsidRDefault="00244B6F" w:rsidP="00244B6F">
            <w:pPr>
              <w:pStyle w:val="Paragraph"/>
              <w:spacing w:before="0" w:after="0" w:line="240" w:lineRule="auto"/>
              <w:rPr>
                <w:rFonts w:cs="Arial"/>
                <w:sz w:val="20"/>
                <w:szCs w:val="20"/>
              </w:rPr>
            </w:pPr>
            <w:r>
              <w:rPr>
                <w:rFonts w:cs="Arial"/>
                <w:sz w:val="20"/>
                <w:szCs w:val="20"/>
              </w:rPr>
              <w:t>25</w:t>
            </w:r>
          </w:p>
        </w:tc>
        <w:tc>
          <w:tcPr>
            <w:tcW w:w="1134" w:type="dxa"/>
            <w:vAlign w:val="center"/>
          </w:tcPr>
          <w:p w14:paraId="57A53250" w14:textId="3AE36364"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2021-112</w:t>
            </w:r>
          </w:p>
        </w:tc>
        <w:tc>
          <w:tcPr>
            <w:tcW w:w="1617" w:type="dxa"/>
            <w:vAlign w:val="center"/>
          </w:tcPr>
          <w:p w14:paraId="77880565" w14:textId="4068D69C" w:rsidR="00244B6F" w:rsidRPr="008E71E8" w:rsidRDefault="00244B6F" w:rsidP="00244B6F">
            <w:pPr>
              <w:pStyle w:val="Paragraph"/>
              <w:spacing w:before="0" w:after="0" w:line="240" w:lineRule="auto"/>
              <w:rPr>
                <w:rFonts w:cs="Arial"/>
                <w:b/>
                <w:bCs/>
                <w:sz w:val="20"/>
                <w:szCs w:val="20"/>
              </w:rPr>
            </w:pPr>
            <w:r w:rsidRPr="00AC4E8B">
              <w:rPr>
                <w:rFonts w:cs="Arial"/>
                <w:b/>
                <w:bCs/>
                <w:sz w:val="20"/>
                <w:szCs w:val="20"/>
              </w:rPr>
              <w:t>British Medical Association</w:t>
            </w:r>
          </w:p>
        </w:tc>
        <w:tc>
          <w:tcPr>
            <w:tcW w:w="7045" w:type="dxa"/>
            <w:vAlign w:val="center"/>
          </w:tcPr>
          <w:p w14:paraId="3843E7D5" w14:textId="10FDEC00" w:rsidR="00244B6F" w:rsidRPr="008E71E8" w:rsidRDefault="00244B6F" w:rsidP="00244B6F">
            <w:pPr>
              <w:pStyle w:val="Paragraph"/>
              <w:spacing w:before="0" w:after="0" w:line="240" w:lineRule="auto"/>
              <w:rPr>
                <w:rFonts w:cs="Arial"/>
                <w:sz w:val="20"/>
                <w:szCs w:val="20"/>
              </w:rPr>
            </w:pPr>
            <w:r w:rsidRPr="00AC4E8B">
              <w:rPr>
                <w:rFonts w:cs="Arial"/>
                <w:sz w:val="20"/>
                <w:szCs w:val="20"/>
              </w:rPr>
              <w:t>These patients already have a learning disability assessment each year and if having an epilepsy review (as above) this would be a third review, which seems unnecessary.</w:t>
            </w:r>
          </w:p>
        </w:tc>
        <w:tc>
          <w:tcPr>
            <w:tcW w:w="3593" w:type="dxa"/>
          </w:tcPr>
          <w:p w14:paraId="20219ED6" w14:textId="785380DB" w:rsidR="00244B6F" w:rsidRPr="008E71E8" w:rsidRDefault="00244B6F" w:rsidP="00244B6F">
            <w:pPr>
              <w:pStyle w:val="Paragraph"/>
              <w:spacing w:before="0" w:after="0" w:line="240" w:lineRule="auto"/>
              <w:rPr>
                <w:rFonts w:cs="Arial"/>
                <w:sz w:val="20"/>
                <w:szCs w:val="20"/>
              </w:rPr>
            </w:pPr>
            <w:r w:rsidRPr="00D72703">
              <w:rPr>
                <w:rFonts w:cs="Arial"/>
                <w:sz w:val="20"/>
                <w:szCs w:val="20"/>
              </w:rPr>
              <w:t>Thank you for your comment.</w:t>
            </w:r>
            <w:r>
              <w:rPr>
                <w:rFonts w:cs="Arial"/>
                <w:sz w:val="20"/>
                <w:szCs w:val="20"/>
              </w:rPr>
              <w:t xml:space="preserve"> </w:t>
            </w:r>
            <w:r w:rsidRPr="00D72703">
              <w:rPr>
                <w:rFonts w:cs="Arial"/>
                <w:sz w:val="20"/>
                <w:szCs w:val="20"/>
              </w:rPr>
              <w:t>The committee decided not to take th</w:t>
            </w:r>
            <w:r>
              <w:rPr>
                <w:rFonts w:cs="Arial"/>
                <w:sz w:val="20"/>
                <w:szCs w:val="20"/>
              </w:rPr>
              <w:t>is</w:t>
            </w:r>
            <w:r w:rsidRPr="00D72703">
              <w:rPr>
                <w:rFonts w:cs="Arial"/>
                <w:sz w:val="20"/>
                <w:szCs w:val="20"/>
              </w:rPr>
              <w:t xml:space="preserve"> indicator forward given existing review requirements in general practice for th</w:t>
            </w:r>
            <w:r>
              <w:rPr>
                <w:rFonts w:cs="Arial"/>
                <w:sz w:val="20"/>
                <w:szCs w:val="20"/>
              </w:rPr>
              <w:t>is</w:t>
            </w:r>
            <w:r w:rsidRPr="00D72703">
              <w:rPr>
                <w:rFonts w:cs="Arial"/>
                <w:sz w:val="20"/>
                <w:szCs w:val="20"/>
              </w:rPr>
              <w:t xml:space="preserve"> population group. Th</w:t>
            </w:r>
            <w:r>
              <w:rPr>
                <w:rFonts w:cs="Arial"/>
                <w:sz w:val="20"/>
                <w:szCs w:val="20"/>
              </w:rPr>
              <w:t>is</w:t>
            </w:r>
            <w:r w:rsidRPr="00D72703">
              <w:rPr>
                <w:rFonts w:cs="Arial"/>
                <w:sz w:val="20"/>
                <w:szCs w:val="20"/>
              </w:rPr>
              <w:t xml:space="preserve"> group</w:t>
            </w:r>
            <w:r>
              <w:rPr>
                <w:rFonts w:cs="Arial"/>
                <w:sz w:val="20"/>
                <w:szCs w:val="20"/>
              </w:rPr>
              <w:t xml:space="preserve"> is</w:t>
            </w:r>
            <w:r w:rsidRPr="00D72703">
              <w:rPr>
                <w:rFonts w:cs="Arial"/>
                <w:sz w:val="20"/>
                <w:szCs w:val="20"/>
              </w:rPr>
              <w:t xml:space="preserve"> included in the overarching indicator being progressed.</w:t>
            </w:r>
          </w:p>
        </w:tc>
      </w:tr>
      <w:tr w:rsidR="00244B6F" w:rsidRPr="008E71E8" w14:paraId="6FE033D6" w14:textId="77777777" w:rsidTr="003058E4">
        <w:tc>
          <w:tcPr>
            <w:tcW w:w="561" w:type="dxa"/>
            <w:vAlign w:val="center"/>
          </w:tcPr>
          <w:p w14:paraId="11594A36" w14:textId="36834EFD" w:rsidR="00244B6F" w:rsidRPr="008E71E8" w:rsidRDefault="00244B6F" w:rsidP="00244B6F">
            <w:pPr>
              <w:pStyle w:val="Paragraph"/>
              <w:spacing w:before="0" w:after="0" w:line="240" w:lineRule="auto"/>
              <w:rPr>
                <w:rFonts w:cs="Arial"/>
                <w:sz w:val="20"/>
                <w:szCs w:val="20"/>
              </w:rPr>
            </w:pPr>
            <w:r>
              <w:rPr>
                <w:rFonts w:cs="Arial"/>
                <w:sz w:val="20"/>
                <w:szCs w:val="20"/>
              </w:rPr>
              <w:t>26</w:t>
            </w:r>
          </w:p>
        </w:tc>
        <w:tc>
          <w:tcPr>
            <w:tcW w:w="1134" w:type="dxa"/>
            <w:vAlign w:val="center"/>
          </w:tcPr>
          <w:p w14:paraId="2980BDA7" w14:textId="667A1C72"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2021-112</w:t>
            </w:r>
          </w:p>
        </w:tc>
        <w:tc>
          <w:tcPr>
            <w:tcW w:w="1617" w:type="dxa"/>
            <w:vAlign w:val="center"/>
          </w:tcPr>
          <w:p w14:paraId="4AF886CF" w14:textId="75A227C3"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68DC68AF"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1.Do you think there are any barriers to implementing the care described by these indicators?</w:t>
            </w:r>
          </w:p>
          <w:p w14:paraId="3B58968E" w14:textId="6AA903B9" w:rsidR="00244B6F" w:rsidRPr="008E71E8" w:rsidRDefault="00244B6F" w:rsidP="00244B6F">
            <w:pPr>
              <w:pStyle w:val="Paragraph"/>
              <w:spacing w:before="0" w:after="0" w:line="240" w:lineRule="auto"/>
              <w:rPr>
                <w:rFonts w:cs="Arial"/>
                <w:sz w:val="20"/>
                <w:szCs w:val="20"/>
              </w:rPr>
            </w:pPr>
            <w:r w:rsidRPr="00AC4E8B">
              <w:rPr>
                <w:rFonts w:cs="Arial"/>
                <w:sz w:val="20"/>
                <w:szCs w:val="20"/>
              </w:rPr>
              <w:t xml:space="preserve">Learning disability registers may not be comprehensive in all regional areas. There is a field within the GP system to report adults taking anti-seizure medications (ASMs). Again, we would recommend that this is extended to include under 18’s. It is likely that a person with a learning disability </w:t>
            </w:r>
            <w:proofErr w:type="gramStart"/>
            <w:r w:rsidRPr="00AC4E8B">
              <w:rPr>
                <w:rFonts w:cs="Arial"/>
                <w:sz w:val="20"/>
                <w:szCs w:val="20"/>
              </w:rPr>
              <w:t>may  require</w:t>
            </w:r>
            <w:proofErr w:type="gramEnd"/>
            <w:r w:rsidRPr="00AC4E8B">
              <w:rPr>
                <w:rFonts w:cs="Arial"/>
                <w:sz w:val="20"/>
                <w:szCs w:val="20"/>
              </w:rPr>
              <w:t xml:space="preserve"> a longer and adapted appointment, particularly when discussing the assessment requirements.</w:t>
            </w:r>
          </w:p>
        </w:tc>
        <w:tc>
          <w:tcPr>
            <w:tcW w:w="3593" w:type="dxa"/>
          </w:tcPr>
          <w:p w14:paraId="509499E1" w14:textId="7100BD9A" w:rsidR="00244B6F" w:rsidRPr="008E71E8" w:rsidRDefault="00244B6F" w:rsidP="00244B6F">
            <w:pPr>
              <w:pStyle w:val="Paragraph"/>
              <w:spacing w:before="0" w:after="0" w:line="240" w:lineRule="auto"/>
              <w:rPr>
                <w:rFonts w:cs="Arial"/>
                <w:sz w:val="20"/>
                <w:szCs w:val="20"/>
              </w:rPr>
            </w:pPr>
            <w:r w:rsidRPr="00D41811">
              <w:rPr>
                <w:rFonts w:cs="Arial"/>
                <w:sz w:val="20"/>
                <w:szCs w:val="20"/>
              </w:rPr>
              <w:t>Thank you for your comment. The committee decided not to take this indicator forward given existing review requirements in general practice for this population group. This group is included in the overarching indicator being progressed.</w:t>
            </w:r>
          </w:p>
        </w:tc>
      </w:tr>
      <w:tr w:rsidR="00244B6F" w:rsidRPr="008E71E8" w14:paraId="52ECBF68" w14:textId="77777777" w:rsidTr="003058E4">
        <w:tc>
          <w:tcPr>
            <w:tcW w:w="561" w:type="dxa"/>
            <w:vAlign w:val="center"/>
          </w:tcPr>
          <w:p w14:paraId="0731968D" w14:textId="44769E47" w:rsidR="00244B6F" w:rsidRPr="008E71E8" w:rsidRDefault="00244B6F" w:rsidP="00244B6F">
            <w:pPr>
              <w:pStyle w:val="Paragraph"/>
              <w:spacing w:before="0" w:after="0" w:line="240" w:lineRule="auto"/>
              <w:rPr>
                <w:rFonts w:cs="Arial"/>
                <w:sz w:val="20"/>
                <w:szCs w:val="20"/>
              </w:rPr>
            </w:pPr>
            <w:r>
              <w:rPr>
                <w:rFonts w:cs="Arial"/>
                <w:sz w:val="20"/>
                <w:szCs w:val="20"/>
              </w:rPr>
              <w:t>27</w:t>
            </w:r>
          </w:p>
        </w:tc>
        <w:tc>
          <w:tcPr>
            <w:tcW w:w="1134" w:type="dxa"/>
            <w:vAlign w:val="center"/>
          </w:tcPr>
          <w:p w14:paraId="146951CD" w14:textId="15A2E1D6"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2021-112</w:t>
            </w:r>
          </w:p>
        </w:tc>
        <w:tc>
          <w:tcPr>
            <w:tcW w:w="1617" w:type="dxa"/>
            <w:vAlign w:val="center"/>
          </w:tcPr>
          <w:p w14:paraId="2773F041" w14:textId="24BE92A1"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3E0BF3B2"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2.Do you think there are potential unintended consequences to implementing/ using any of these indicators?</w:t>
            </w:r>
          </w:p>
          <w:p w14:paraId="25D4ABBB" w14:textId="6B90B8E5" w:rsidR="00244B6F" w:rsidRPr="008E71E8" w:rsidRDefault="00244B6F" w:rsidP="00244B6F">
            <w:pPr>
              <w:pStyle w:val="Paragraph"/>
              <w:spacing w:before="0" w:after="0" w:line="240" w:lineRule="auto"/>
              <w:rPr>
                <w:rFonts w:cs="Arial"/>
                <w:sz w:val="20"/>
                <w:szCs w:val="20"/>
              </w:rPr>
            </w:pPr>
            <w:proofErr w:type="gramStart"/>
            <w:r w:rsidRPr="00AC4E8B">
              <w:rPr>
                <w:rFonts w:cs="Arial"/>
                <w:sz w:val="20"/>
                <w:szCs w:val="20"/>
              </w:rPr>
              <w:t>Again</w:t>
            </w:r>
            <w:proofErr w:type="gramEnd"/>
            <w:r w:rsidRPr="00AC4E8B">
              <w:rPr>
                <w:rFonts w:cs="Arial"/>
                <w:sz w:val="20"/>
                <w:szCs w:val="20"/>
              </w:rPr>
              <w:t xml:space="preserve"> the quality of reporting may be compromise by opportunistically ticking the box rather than evidencing a structured conversation about the concerns</w:t>
            </w:r>
          </w:p>
        </w:tc>
        <w:tc>
          <w:tcPr>
            <w:tcW w:w="3593" w:type="dxa"/>
          </w:tcPr>
          <w:p w14:paraId="6ACCEEA9" w14:textId="2A12231A" w:rsidR="00244B6F" w:rsidRPr="008E71E8" w:rsidRDefault="00244B6F" w:rsidP="00244B6F">
            <w:pPr>
              <w:pStyle w:val="Paragraph"/>
              <w:spacing w:before="0" w:after="0" w:line="240" w:lineRule="auto"/>
              <w:rPr>
                <w:rFonts w:cs="Arial"/>
                <w:sz w:val="20"/>
                <w:szCs w:val="20"/>
              </w:rPr>
            </w:pPr>
            <w:r w:rsidRPr="00D41811">
              <w:rPr>
                <w:rFonts w:cs="Arial"/>
                <w:sz w:val="20"/>
                <w:szCs w:val="20"/>
              </w:rPr>
              <w:t>Thank you for your comment.</w:t>
            </w:r>
          </w:p>
        </w:tc>
      </w:tr>
      <w:tr w:rsidR="00244B6F" w:rsidRPr="008E71E8" w14:paraId="369C362A" w14:textId="77777777" w:rsidTr="003058E4">
        <w:tc>
          <w:tcPr>
            <w:tcW w:w="561" w:type="dxa"/>
            <w:vAlign w:val="center"/>
          </w:tcPr>
          <w:p w14:paraId="5F77D5EA" w14:textId="14D9644E" w:rsidR="00244B6F" w:rsidRPr="008E71E8" w:rsidRDefault="00244B6F" w:rsidP="00244B6F">
            <w:pPr>
              <w:pStyle w:val="Paragraph"/>
              <w:spacing w:before="0" w:after="0" w:line="240" w:lineRule="auto"/>
              <w:rPr>
                <w:rFonts w:cs="Arial"/>
                <w:sz w:val="20"/>
                <w:szCs w:val="20"/>
              </w:rPr>
            </w:pPr>
            <w:r>
              <w:rPr>
                <w:rFonts w:cs="Arial"/>
                <w:sz w:val="20"/>
                <w:szCs w:val="20"/>
              </w:rPr>
              <w:t>28</w:t>
            </w:r>
          </w:p>
        </w:tc>
        <w:tc>
          <w:tcPr>
            <w:tcW w:w="1134" w:type="dxa"/>
            <w:vAlign w:val="center"/>
          </w:tcPr>
          <w:p w14:paraId="135669BF" w14:textId="72E9BF3A"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2021-112</w:t>
            </w:r>
          </w:p>
        </w:tc>
        <w:tc>
          <w:tcPr>
            <w:tcW w:w="1617" w:type="dxa"/>
            <w:vAlign w:val="center"/>
          </w:tcPr>
          <w:p w14:paraId="752381E6" w14:textId="0C5A0B6F"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7575626F"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3.Do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6E3B59A0" w14:textId="334E369C" w:rsidR="00244B6F" w:rsidRPr="008E71E8" w:rsidRDefault="00244B6F" w:rsidP="00244B6F">
            <w:pPr>
              <w:pStyle w:val="Paragraph"/>
              <w:spacing w:before="0" w:after="0" w:line="240" w:lineRule="auto"/>
              <w:rPr>
                <w:rFonts w:cs="Arial"/>
                <w:sz w:val="20"/>
                <w:szCs w:val="20"/>
              </w:rPr>
            </w:pPr>
            <w:r w:rsidRPr="00AC4E8B">
              <w:rPr>
                <w:rFonts w:cs="Arial"/>
                <w:sz w:val="20"/>
                <w:szCs w:val="20"/>
              </w:rPr>
              <w:t>As above, this would be an opportunity to reinforce important information relating to contraception and pregnancy.</w:t>
            </w:r>
          </w:p>
        </w:tc>
        <w:tc>
          <w:tcPr>
            <w:tcW w:w="3593" w:type="dxa"/>
          </w:tcPr>
          <w:p w14:paraId="75EA3FBD" w14:textId="5A91C2EE" w:rsidR="00244B6F" w:rsidRPr="008E71E8" w:rsidRDefault="00244B6F" w:rsidP="00244B6F">
            <w:pPr>
              <w:pStyle w:val="Paragraph"/>
              <w:spacing w:before="0" w:after="0" w:line="240" w:lineRule="auto"/>
              <w:rPr>
                <w:rFonts w:cs="Arial"/>
                <w:sz w:val="20"/>
                <w:szCs w:val="20"/>
              </w:rPr>
            </w:pPr>
            <w:r w:rsidRPr="00D41811">
              <w:rPr>
                <w:rFonts w:cs="Arial"/>
                <w:sz w:val="20"/>
                <w:szCs w:val="20"/>
              </w:rPr>
              <w:t>Thank you for your comment.</w:t>
            </w:r>
          </w:p>
        </w:tc>
      </w:tr>
      <w:tr w:rsidR="00244B6F" w:rsidRPr="008E71E8" w14:paraId="39621E5A" w14:textId="77777777" w:rsidTr="003058E4">
        <w:tc>
          <w:tcPr>
            <w:tcW w:w="561" w:type="dxa"/>
            <w:vAlign w:val="center"/>
          </w:tcPr>
          <w:p w14:paraId="21D6B084" w14:textId="24F01082" w:rsidR="00244B6F" w:rsidRPr="008E71E8" w:rsidRDefault="00244B6F" w:rsidP="00244B6F">
            <w:pPr>
              <w:pStyle w:val="Paragraph"/>
              <w:spacing w:before="0" w:after="0" w:line="240" w:lineRule="auto"/>
              <w:rPr>
                <w:rFonts w:cs="Arial"/>
                <w:sz w:val="20"/>
                <w:szCs w:val="20"/>
              </w:rPr>
            </w:pPr>
            <w:r>
              <w:rPr>
                <w:rFonts w:cs="Arial"/>
                <w:sz w:val="20"/>
                <w:szCs w:val="20"/>
              </w:rPr>
              <w:lastRenderedPageBreak/>
              <w:t>29</w:t>
            </w:r>
          </w:p>
        </w:tc>
        <w:tc>
          <w:tcPr>
            <w:tcW w:w="1134" w:type="dxa"/>
            <w:vAlign w:val="center"/>
          </w:tcPr>
          <w:p w14:paraId="443E87D4" w14:textId="28B62238"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2021-112</w:t>
            </w:r>
          </w:p>
        </w:tc>
        <w:tc>
          <w:tcPr>
            <w:tcW w:w="1617" w:type="dxa"/>
            <w:vAlign w:val="center"/>
          </w:tcPr>
          <w:p w14:paraId="2DED9B9F" w14:textId="6E4B93C2"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64707C60"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4.If you think any of these indicators may have an adverse impact in different groups in the community, can you suggest how the indicator might be delivered differently to different groups to reduce health inequalities?</w:t>
            </w:r>
          </w:p>
          <w:p w14:paraId="0F77E0CE" w14:textId="4A60554D" w:rsidR="00244B6F" w:rsidRPr="008E71E8" w:rsidRDefault="00244B6F" w:rsidP="00244B6F">
            <w:pPr>
              <w:pStyle w:val="Paragraph"/>
              <w:spacing w:before="0" w:after="0" w:line="240" w:lineRule="auto"/>
              <w:rPr>
                <w:rFonts w:cs="Arial"/>
                <w:sz w:val="20"/>
                <w:szCs w:val="20"/>
              </w:rPr>
            </w:pPr>
            <w:r w:rsidRPr="00AC4E8B">
              <w:rPr>
                <w:rFonts w:cs="Arial"/>
                <w:sz w:val="20"/>
                <w:szCs w:val="20"/>
              </w:rPr>
              <w:t>None identified</w:t>
            </w:r>
          </w:p>
        </w:tc>
        <w:tc>
          <w:tcPr>
            <w:tcW w:w="3593" w:type="dxa"/>
          </w:tcPr>
          <w:p w14:paraId="04F8019A" w14:textId="6CB5506C" w:rsidR="00244B6F" w:rsidRPr="008E71E8" w:rsidRDefault="00244B6F" w:rsidP="00244B6F">
            <w:pPr>
              <w:pStyle w:val="Paragraph"/>
              <w:spacing w:before="0" w:after="0" w:line="240" w:lineRule="auto"/>
              <w:rPr>
                <w:rFonts w:cs="Arial"/>
                <w:sz w:val="20"/>
                <w:szCs w:val="20"/>
              </w:rPr>
            </w:pPr>
            <w:r w:rsidRPr="00D41811">
              <w:rPr>
                <w:rFonts w:cs="Arial"/>
                <w:sz w:val="20"/>
                <w:szCs w:val="20"/>
              </w:rPr>
              <w:t>Thank you for your comment.</w:t>
            </w:r>
          </w:p>
        </w:tc>
      </w:tr>
      <w:tr w:rsidR="00244B6F" w:rsidRPr="008E71E8" w14:paraId="0E8B8A49" w14:textId="77777777" w:rsidTr="003058E4">
        <w:tc>
          <w:tcPr>
            <w:tcW w:w="561" w:type="dxa"/>
            <w:vAlign w:val="center"/>
          </w:tcPr>
          <w:p w14:paraId="04333F63" w14:textId="02DB3D31" w:rsidR="00244B6F" w:rsidRPr="008E71E8" w:rsidRDefault="00244B6F" w:rsidP="00244B6F">
            <w:pPr>
              <w:pStyle w:val="Paragraph"/>
              <w:spacing w:before="0" w:after="0" w:line="240" w:lineRule="auto"/>
              <w:rPr>
                <w:rFonts w:cs="Arial"/>
                <w:sz w:val="20"/>
                <w:szCs w:val="20"/>
              </w:rPr>
            </w:pPr>
            <w:r>
              <w:rPr>
                <w:rFonts w:cs="Arial"/>
                <w:sz w:val="20"/>
                <w:szCs w:val="20"/>
              </w:rPr>
              <w:t>30</w:t>
            </w:r>
          </w:p>
        </w:tc>
        <w:tc>
          <w:tcPr>
            <w:tcW w:w="1134" w:type="dxa"/>
            <w:vAlign w:val="center"/>
          </w:tcPr>
          <w:p w14:paraId="3D136087" w14:textId="2FC74151"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2021-112</w:t>
            </w:r>
          </w:p>
        </w:tc>
        <w:tc>
          <w:tcPr>
            <w:tcW w:w="1617" w:type="dxa"/>
            <w:vAlign w:val="center"/>
          </w:tcPr>
          <w:p w14:paraId="2B6AF149" w14:textId="0A2182F8" w:rsidR="00244B6F" w:rsidRPr="008E71E8" w:rsidRDefault="00244B6F" w:rsidP="00244B6F">
            <w:pPr>
              <w:pStyle w:val="Paragraph"/>
              <w:spacing w:before="0" w:after="0" w:line="240" w:lineRule="auto"/>
              <w:rPr>
                <w:rFonts w:cs="Arial"/>
                <w:b/>
                <w:bCs/>
                <w:sz w:val="20"/>
                <w:szCs w:val="20"/>
              </w:rPr>
            </w:pPr>
            <w:r w:rsidRPr="00AC4E8B">
              <w:rPr>
                <w:rFonts w:cs="Arial"/>
                <w:b/>
                <w:bCs/>
                <w:sz w:val="20"/>
                <w:szCs w:val="20"/>
              </w:rPr>
              <w:t>NHS England and NHS Improvement</w:t>
            </w:r>
          </w:p>
        </w:tc>
        <w:tc>
          <w:tcPr>
            <w:tcW w:w="7045" w:type="dxa"/>
            <w:vAlign w:val="center"/>
          </w:tcPr>
          <w:p w14:paraId="40B759FB" w14:textId="42AA1399" w:rsidR="00244B6F" w:rsidRPr="008E71E8" w:rsidRDefault="00244B6F" w:rsidP="00244B6F">
            <w:pPr>
              <w:pStyle w:val="Paragraph"/>
              <w:spacing w:before="0" w:after="0" w:line="240" w:lineRule="auto"/>
              <w:rPr>
                <w:rFonts w:cs="Arial"/>
                <w:sz w:val="20"/>
                <w:szCs w:val="20"/>
              </w:rPr>
            </w:pPr>
            <w:r w:rsidRPr="00AC4E8B">
              <w:rPr>
                <w:rFonts w:cs="Arial"/>
                <w:sz w:val="20"/>
                <w:szCs w:val="20"/>
              </w:rPr>
              <w:t>Welcome that there is a specific reference to people with a learning disability. And helpful that the Indicator Type sets out the size of the issue for GP practices – how many patients are likely to be covered by the indicator. What about children and young people?</w:t>
            </w:r>
          </w:p>
        </w:tc>
        <w:tc>
          <w:tcPr>
            <w:tcW w:w="3593" w:type="dxa"/>
          </w:tcPr>
          <w:p w14:paraId="5503D191" w14:textId="11BEB491" w:rsidR="00244B6F" w:rsidRPr="008E71E8" w:rsidRDefault="00244B6F" w:rsidP="00244B6F">
            <w:pPr>
              <w:pStyle w:val="Paragraph"/>
              <w:spacing w:before="0" w:after="0" w:line="240" w:lineRule="auto"/>
              <w:rPr>
                <w:rFonts w:cs="Arial"/>
                <w:sz w:val="20"/>
                <w:szCs w:val="20"/>
              </w:rPr>
            </w:pPr>
            <w:r w:rsidRPr="00D41811">
              <w:rPr>
                <w:rFonts w:cs="Arial"/>
                <w:sz w:val="20"/>
                <w:szCs w:val="20"/>
              </w:rPr>
              <w:t>Thank you for your comment. The committee decided not to take this indicator forward given existing review requirements in general practice for this population group. This group is included in the overarching indicator being progressed.</w:t>
            </w:r>
            <w:r>
              <w:rPr>
                <w:rFonts w:cs="Arial"/>
                <w:sz w:val="20"/>
                <w:szCs w:val="20"/>
              </w:rPr>
              <w:t xml:space="preserve"> </w:t>
            </w:r>
          </w:p>
        </w:tc>
      </w:tr>
      <w:tr w:rsidR="00244B6F" w:rsidRPr="008E71E8" w14:paraId="2ABDC049" w14:textId="77777777" w:rsidTr="003058E4">
        <w:tc>
          <w:tcPr>
            <w:tcW w:w="561" w:type="dxa"/>
            <w:vAlign w:val="center"/>
          </w:tcPr>
          <w:p w14:paraId="1A44C77F" w14:textId="5C21EC4D" w:rsidR="00244B6F" w:rsidRPr="008E71E8" w:rsidRDefault="00244B6F" w:rsidP="00244B6F">
            <w:pPr>
              <w:pStyle w:val="Paragraph"/>
              <w:spacing w:before="0" w:after="0" w:line="240" w:lineRule="auto"/>
              <w:rPr>
                <w:rFonts w:cs="Arial"/>
                <w:sz w:val="20"/>
                <w:szCs w:val="20"/>
              </w:rPr>
            </w:pPr>
            <w:r>
              <w:rPr>
                <w:rFonts w:cs="Arial"/>
                <w:sz w:val="20"/>
                <w:szCs w:val="20"/>
              </w:rPr>
              <w:t>31</w:t>
            </w:r>
          </w:p>
        </w:tc>
        <w:tc>
          <w:tcPr>
            <w:tcW w:w="1134" w:type="dxa"/>
            <w:vAlign w:val="center"/>
          </w:tcPr>
          <w:p w14:paraId="5BA616B8" w14:textId="1C7326B5"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2021-112</w:t>
            </w:r>
          </w:p>
        </w:tc>
        <w:tc>
          <w:tcPr>
            <w:tcW w:w="1617" w:type="dxa"/>
            <w:vAlign w:val="center"/>
          </w:tcPr>
          <w:p w14:paraId="0DC28AE8" w14:textId="08A0B457" w:rsidR="00244B6F" w:rsidRPr="008E71E8" w:rsidRDefault="00244B6F" w:rsidP="00244B6F">
            <w:pPr>
              <w:pStyle w:val="Paragraph"/>
              <w:spacing w:before="0" w:after="0" w:line="240" w:lineRule="auto"/>
              <w:rPr>
                <w:rFonts w:cs="Arial"/>
                <w:b/>
                <w:bCs/>
                <w:sz w:val="20"/>
                <w:szCs w:val="20"/>
              </w:rPr>
            </w:pPr>
            <w:r w:rsidRPr="00AC4E8B">
              <w:rPr>
                <w:rFonts w:cs="Arial"/>
                <w:b/>
                <w:bCs/>
                <w:sz w:val="20"/>
                <w:szCs w:val="20"/>
              </w:rPr>
              <w:t>NHS England and NHS Improvement</w:t>
            </w:r>
          </w:p>
        </w:tc>
        <w:tc>
          <w:tcPr>
            <w:tcW w:w="7045" w:type="dxa"/>
            <w:vAlign w:val="center"/>
          </w:tcPr>
          <w:p w14:paraId="7B5795A2" w14:textId="18332521" w:rsidR="00244B6F" w:rsidRPr="008E71E8" w:rsidRDefault="00244B6F" w:rsidP="00244B6F">
            <w:pPr>
              <w:pStyle w:val="Paragraph"/>
              <w:spacing w:before="0" w:after="0" w:line="240" w:lineRule="auto"/>
              <w:rPr>
                <w:rFonts w:cs="Arial"/>
                <w:sz w:val="20"/>
                <w:szCs w:val="20"/>
              </w:rPr>
            </w:pPr>
            <w:r w:rsidRPr="00AC4E8B">
              <w:rPr>
                <w:rFonts w:cs="Arial"/>
                <w:sz w:val="20"/>
                <w:szCs w:val="20"/>
                <w:lang w:eastAsia="en-GB"/>
              </w:rPr>
              <w:t>The difficulty with the definition and therefore the denominator is that not all patients with a learning disability will be included on the learning disability register (LD003). Estimated that approximately ¾ of people with a learning disability are not on a GP learning disability register (from QOF records + prevalence estimates: Emerson?</w:t>
            </w:r>
          </w:p>
        </w:tc>
        <w:tc>
          <w:tcPr>
            <w:tcW w:w="3593" w:type="dxa"/>
          </w:tcPr>
          <w:p w14:paraId="6A146042" w14:textId="7D242D50" w:rsidR="00244B6F" w:rsidRPr="008E71E8" w:rsidRDefault="00244B6F" w:rsidP="00244B6F">
            <w:pPr>
              <w:pStyle w:val="Paragraph"/>
              <w:spacing w:before="0" w:after="0" w:line="240" w:lineRule="auto"/>
              <w:rPr>
                <w:rFonts w:cs="Arial"/>
                <w:sz w:val="20"/>
                <w:szCs w:val="20"/>
              </w:rPr>
            </w:pPr>
            <w:r w:rsidRPr="005324B2">
              <w:rPr>
                <w:rFonts w:cs="Arial"/>
                <w:sz w:val="20"/>
                <w:szCs w:val="20"/>
                <w:lang w:eastAsia="en-GB"/>
              </w:rPr>
              <w:t>Thank you for your comment.</w:t>
            </w:r>
          </w:p>
        </w:tc>
      </w:tr>
      <w:tr w:rsidR="00244B6F" w:rsidRPr="008E71E8" w14:paraId="1B6F88DC" w14:textId="77777777" w:rsidTr="003058E4">
        <w:tc>
          <w:tcPr>
            <w:tcW w:w="561" w:type="dxa"/>
            <w:vAlign w:val="center"/>
          </w:tcPr>
          <w:p w14:paraId="4C86711B" w14:textId="6FEB5D75" w:rsidR="00244B6F" w:rsidRPr="008E71E8" w:rsidRDefault="00244B6F" w:rsidP="00244B6F">
            <w:pPr>
              <w:pStyle w:val="Paragraph"/>
              <w:spacing w:before="0" w:after="0" w:line="240" w:lineRule="auto"/>
              <w:rPr>
                <w:rFonts w:cs="Arial"/>
                <w:sz w:val="20"/>
                <w:szCs w:val="20"/>
              </w:rPr>
            </w:pPr>
            <w:r>
              <w:rPr>
                <w:rFonts w:cs="Arial"/>
                <w:sz w:val="20"/>
                <w:szCs w:val="20"/>
              </w:rPr>
              <w:t>32</w:t>
            </w:r>
          </w:p>
        </w:tc>
        <w:tc>
          <w:tcPr>
            <w:tcW w:w="1134" w:type="dxa"/>
            <w:vAlign w:val="center"/>
          </w:tcPr>
          <w:p w14:paraId="5CAE08AD" w14:textId="336D3409"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2021-112</w:t>
            </w:r>
          </w:p>
        </w:tc>
        <w:tc>
          <w:tcPr>
            <w:tcW w:w="1617" w:type="dxa"/>
            <w:vAlign w:val="center"/>
          </w:tcPr>
          <w:p w14:paraId="1B8FB5F5" w14:textId="7F7211B6" w:rsidR="00244B6F" w:rsidRPr="008E71E8" w:rsidRDefault="00244B6F" w:rsidP="00244B6F">
            <w:pPr>
              <w:pStyle w:val="Paragraph"/>
              <w:spacing w:before="0" w:after="0" w:line="240" w:lineRule="auto"/>
              <w:rPr>
                <w:rFonts w:cs="Arial"/>
                <w:b/>
                <w:bCs/>
                <w:sz w:val="20"/>
                <w:szCs w:val="20"/>
              </w:rPr>
            </w:pPr>
            <w:r w:rsidRPr="00AC4E8B">
              <w:rPr>
                <w:rFonts w:cs="Arial"/>
                <w:b/>
                <w:bCs/>
                <w:sz w:val="20"/>
                <w:szCs w:val="20"/>
              </w:rPr>
              <w:t>NHS England and NHS Improvement</w:t>
            </w:r>
          </w:p>
        </w:tc>
        <w:tc>
          <w:tcPr>
            <w:tcW w:w="7045" w:type="dxa"/>
            <w:vAlign w:val="center"/>
          </w:tcPr>
          <w:p w14:paraId="73443B10" w14:textId="561E6827" w:rsidR="00244B6F" w:rsidRPr="008E71E8" w:rsidRDefault="00244B6F" w:rsidP="00244B6F">
            <w:pPr>
              <w:pStyle w:val="Paragraph"/>
              <w:spacing w:before="0" w:after="0" w:line="240" w:lineRule="auto"/>
              <w:rPr>
                <w:rFonts w:cs="Arial"/>
                <w:sz w:val="20"/>
                <w:szCs w:val="20"/>
              </w:rPr>
            </w:pPr>
            <w:r w:rsidRPr="00AC4E8B">
              <w:rPr>
                <w:rFonts w:cs="Arial"/>
                <w:sz w:val="20"/>
                <w:szCs w:val="20"/>
              </w:rPr>
              <w:t>A potential negative impact upon annual health checks (risk that GPs focus on this indicator rather than a holistic learning disability annual health check). This will apply as well to the other indicators.</w:t>
            </w:r>
          </w:p>
        </w:tc>
        <w:tc>
          <w:tcPr>
            <w:tcW w:w="3593" w:type="dxa"/>
          </w:tcPr>
          <w:p w14:paraId="1B9AC475" w14:textId="678E95E1" w:rsidR="00244B6F" w:rsidRPr="008E71E8" w:rsidRDefault="00244B6F" w:rsidP="00244B6F">
            <w:pPr>
              <w:pStyle w:val="Paragraph"/>
              <w:spacing w:before="0" w:after="0" w:line="240" w:lineRule="auto"/>
              <w:rPr>
                <w:rFonts w:cs="Arial"/>
                <w:sz w:val="20"/>
                <w:szCs w:val="20"/>
              </w:rPr>
            </w:pPr>
            <w:r w:rsidRPr="005324B2">
              <w:rPr>
                <w:rFonts w:cs="Arial"/>
                <w:sz w:val="20"/>
                <w:szCs w:val="20"/>
              </w:rPr>
              <w:t>Thank you for your comment</w:t>
            </w:r>
            <w:r>
              <w:rPr>
                <w:rFonts w:cs="Arial"/>
                <w:sz w:val="20"/>
                <w:szCs w:val="20"/>
              </w:rPr>
              <w:t xml:space="preserve">. The committee </w:t>
            </w:r>
            <w:r w:rsidRPr="003D238F">
              <w:rPr>
                <w:rFonts w:cs="Arial"/>
                <w:sz w:val="20"/>
                <w:szCs w:val="20"/>
              </w:rPr>
              <w:t>decided not to take this indicator forward given existing review requirements in general practice for this population group</w:t>
            </w:r>
            <w:r>
              <w:rPr>
                <w:rFonts w:cs="Arial"/>
                <w:sz w:val="20"/>
                <w:szCs w:val="20"/>
              </w:rPr>
              <w:t>.</w:t>
            </w:r>
          </w:p>
        </w:tc>
      </w:tr>
      <w:tr w:rsidR="00244B6F" w:rsidRPr="008E71E8" w14:paraId="2A5FD3EA" w14:textId="77777777" w:rsidTr="003058E4">
        <w:tc>
          <w:tcPr>
            <w:tcW w:w="561" w:type="dxa"/>
            <w:vAlign w:val="center"/>
          </w:tcPr>
          <w:p w14:paraId="610FCBE6" w14:textId="39518615" w:rsidR="00244B6F" w:rsidRDefault="00244B6F" w:rsidP="00244B6F">
            <w:pPr>
              <w:pStyle w:val="Paragraph"/>
              <w:spacing w:before="0" w:after="0" w:line="240" w:lineRule="auto"/>
              <w:rPr>
                <w:rFonts w:cs="Arial"/>
                <w:sz w:val="20"/>
                <w:szCs w:val="20"/>
              </w:rPr>
            </w:pPr>
            <w:r>
              <w:rPr>
                <w:rFonts w:cs="Arial"/>
                <w:sz w:val="20"/>
                <w:szCs w:val="20"/>
              </w:rPr>
              <w:t>33</w:t>
            </w:r>
          </w:p>
        </w:tc>
        <w:tc>
          <w:tcPr>
            <w:tcW w:w="1134" w:type="dxa"/>
            <w:vAlign w:val="center"/>
          </w:tcPr>
          <w:p w14:paraId="360E14F8" w14:textId="0791B7D0" w:rsidR="00244B6F" w:rsidRPr="00AC4E8B" w:rsidRDefault="00244B6F" w:rsidP="00244B6F">
            <w:pPr>
              <w:pStyle w:val="Paragraph"/>
              <w:spacing w:before="0" w:after="0" w:line="240" w:lineRule="auto"/>
              <w:rPr>
                <w:rFonts w:cs="Arial"/>
                <w:sz w:val="20"/>
                <w:szCs w:val="20"/>
              </w:rPr>
            </w:pPr>
            <w:r w:rsidRPr="00AC4E8B">
              <w:rPr>
                <w:rFonts w:cs="Arial"/>
                <w:sz w:val="20"/>
                <w:szCs w:val="20"/>
              </w:rPr>
              <w:t>IND 2021-112</w:t>
            </w:r>
          </w:p>
        </w:tc>
        <w:tc>
          <w:tcPr>
            <w:tcW w:w="1617" w:type="dxa"/>
            <w:vAlign w:val="center"/>
          </w:tcPr>
          <w:p w14:paraId="5547337A" w14:textId="7C45546A" w:rsidR="00244B6F" w:rsidRPr="00AC4E8B" w:rsidRDefault="00244B6F" w:rsidP="00244B6F">
            <w:pPr>
              <w:pStyle w:val="Paragraph"/>
              <w:spacing w:before="0" w:after="0" w:line="240" w:lineRule="auto"/>
              <w:rPr>
                <w:rFonts w:cs="Arial"/>
                <w:b/>
                <w:bCs/>
                <w:sz w:val="20"/>
                <w:szCs w:val="20"/>
              </w:rPr>
            </w:pPr>
            <w:r w:rsidRPr="00AC4E8B">
              <w:rPr>
                <w:rFonts w:cs="Arial"/>
                <w:b/>
                <w:bCs/>
                <w:sz w:val="20"/>
                <w:szCs w:val="20"/>
              </w:rPr>
              <w:t>NHS England and NHS Improvement</w:t>
            </w:r>
          </w:p>
        </w:tc>
        <w:tc>
          <w:tcPr>
            <w:tcW w:w="7045" w:type="dxa"/>
            <w:vAlign w:val="center"/>
          </w:tcPr>
          <w:p w14:paraId="278EB0CE" w14:textId="0AC46D02" w:rsidR="00244B6F" w:rsidRPr="00AC4E8B" w:rsidRDefault="00244B6F" w:rsidP="00244B6F">
            <w:pPr>
              <w:pStyle w:val="Paragraph"/>
              <w:spacing w:before="0" w:after="0" w:line="240" w:lineRule="auto"/>
              <w:rPr>
                <w:rFonts w:cs="Arial"/>
                <w:sz w:val="20"/>
                <w:szCs w:val="20"/>
              </w:rPr>
            </w:pPr>
            <w:r w:rsidRPr="00AC4E8B">
              <w:rPr>
                <w:rFonts w:cs="Arial"/>
                <w:sz w:val="20"/>
                <w:szCs w:val="20"/>
              </w:rPr>
              <w:t xml:space="preserve">Potential differential impact- importance of identifying/ including adults who may be in healthcare at a distance from their GP </w:t>
            </w:r>
            <w:proofErr w:type="gramStart"/>
            <w:r w:rsidRPr="00AC4E8B">
              <w:rPr>
                <w:rFonts w:cs="Arial"/>
                <w:sz w:val="20"/>
                <w:szCs w:val="20"/>
              </w:rPr>
              <w:t>e.g.</w:t>
            </w:r>
            <w:proofErr w:type="gramEnd"/>
            <w:r w:rsidRPr="00AC4E8B">
              <w:rPr>
                <w:rFonts w:cs="Arial"/>
                <w:sz w:val="20"/>
                <w:szCs w:val="20"/>
              </w:rPr>
              <w:t xml:space="preserve"> in inpatient mental health care: these people may be more likely to be on drug therapy for epilepsy but be at higher risk of being excluded from epilepsy review.   </w:t>
            </w:r>
          </w:p>
        </w:tc>
        <w:tc>
          <w:tcPr>
            <w:tcW w:w="3593" w:type="dxa"/>
          </w:tcPr>
          <w:p w14:paraId="28218E60" w14:textId="2C969B01" w:rsidR="00244B6F" w:rsidRPr="005324B2" w:rsidRDefault="00244B6F" w:rsidP="00244B6F">
            <w:pPr>
              <w:pStyle w:val="Paragraph"/>
              <w:spacing w:before="0" w:after="0" w:line="240" w:lineRule="auto"/>
              <w:rPr>
                <w:rFonts w:cs="Arial"/>
                <w:sz w:val="20"/>
                <w:szCs w:val="20"/>
              </w:rPr>
            </w:pPr>
            <w:r w:rsidRPr="005324B2">
              <w:rPr>
                <w:rFonts w:cs="Arial"/>
                <w:sz w:val="20"/>
                <w:szCs w:val="20"/>
              </w:rPr>
              <w:t>Thank you for your comment</w:t>
            </w:r>
            <w:r>
              <w:rPr>
                <w:rFonts w:cs="Arial"/>
                <w:sz w:val="20"/>
                <w:szCs w:val="20"/>
              </w:rPr>
              <w:t xml:space="preserve">. </w:t>
            </w:r>
            <w:r w:rsidRPr="003D238F">
              <w:rPr>
                <w:rFonts w:cs="Arial"/>
                <w:sz w:val="20"/>
                <w:szCs w:val="20"/>
              </w:rPr>
              <w:t>The committee decided not to take this indicator forward given existing review requirements in general practice for this population group</w:t>
            </w:r>
          </w:p>
        </w:tc>
      </w:tr>
      <w:tr w:rsidR="00244B6F" w:rsidRPr="008E71E8" w14:paraId="163E9D60" w14:textId="77777777" w:rsidTr="003058E4">
        <w:tc>
          <w:tcPr>
            <w:tcW w:w="561" w:type="dxa"/>
            <w:vAlign w:val="center"/>
          </w:tcPr>
          <w:p w14:paraId="74F84207" w14:textId="7B28226B" w:rsidR="00244B6F" w:rsidRDefault="00244B6F" w:rsidP="00244B6F">
            <w:pPr>
              <w:pStyle w:val="Paragraph"/>
              <w:spacing w:before="0" w:after="0" w:line="240" w:lineRule="auto"/>
              <w:rPr>
                <w:rFonts w:cs="Arial"/>
                <w:sz w:val="20"/>
                <w:szCs w:val="20"/>
              </w:rPr>
            </w:pPr>
            <w:r>
              <w:rPr>
                <w:rFonts w:cs="Arial"/>
                <w:sz w:val="20"/>
                <w:szCs w:val="20"/>
              </w:rPr>
              <w:t>34</w:t>
            </w:r>
          </w:p>
        </w:tc>
        <w:tc>
          <w:tcPr>
            <w:tcW w:w="1134" w:type="dxa"/>
            <w:vAlign w:val="center"/>
          </w:tcPr>
          <w:p w14:paraId="730A00D3" w14:textId="4DBD6C10" w:rsidR="00244B6F" w:rsidRPr="00AC4E8B" w:rsidRDefault="00244B6F" w:rsidP="00244B6F">
            <w:pPr>
              <w:pStyle w:val="Paragraph"/>
              <w:spacing w:before="0" w:after="0" w:line="240" w:lineRule="auto"/>
              <w:rPr>
                <w:rFonts w:cs="Arial"/>
                <w:sz w:val="20"/>
                <w:szCs w:val="20"/>
              </w:rPr>
            </w:pPr>
            <w:r w:rsidRPr="00AC4E8B">
              <w:rPr>
                <w:rFonts w:cs="Arial"/>
                <w:sz w:val="20"/>
                <w:szCs w:val="20"/>
              </w:rPr>
              <w:t>IND 2021-112</w:t>
            </w:r>
          </w:p>
        </w:tc>
        <w:tc>
          <w:tcPr>
            <w:tcW w:w="1617" w:type="dxa"/>
            <w:vAlign w:val="center"/>
          </w:tcPr>
          <w:p w14:paraId="61CE8946" w14:textId="76E79221" w:rsidR="00244B6F" w:rsidRPr="00AC4E8B" w:rsidRDefault="00244B6F" w:rsidP="00244B6F">
            <w:pPr>
              <w:pStyle w:val="Paragraph"/>
              <w:spacing w:before="0" w:after="0" w:line="240" w:lineRule="auto"/>
              <w:rPr>
                <w:rFonts w:cs="Arial"/>
                <w:b/>
                <w:bCs/>
                <w:sz w:val="20"/>
                <w:szCs w:val="20"/>
              </w:rPr>
            </w:pPr>
            <w:r w:rsidRPr="00AC4E8B">
              <w:rPr>
                <w:rFonts w:cs="Arial"/>
                <w:b/>
                <w:bCs/>
                <w:iCs/>
                <w:sz w:val="20"/>
                <w:szCs w:val="20"/>
              </w:rPr>
              <w:t>Royal College of General Practitioners</w:t>
            </w:r>
          </w:p>
        </w:tc>
        <w:tc>
          <w:tcPr>
            <w:tcW w:w="7045" w:type="dxa"/>
            <w:vAlign w:val="center"/>
          </w:tcPr>
          <w:p w14:paraId="2CDDE08B" w14:textId="77777777" w:rsidR="00244B6F" w:rsidRPr="00AC4E8B" w:rsidRDefault="00244B6F" w:rsidP="00244B6F">
            <w:pPr>
              <w:rPr>
                <w:rFonts w:ascii="Arial" w:hAnsi="Arial" w:cs="Arial"/>
                <w:sz w:val="20"/>
                <w:szCs w:val="20"/>
              </w:rPr>
            </w:pPr>
            <w:r w:rsidRPr="00AC4E8B">
              <w:rPr>
                <w:rFonts w:ascii="Arial" w:hAnsi="Arial" w:cs="Arial"/>
                <w:sz w:val="20"/>
                <w:szCs w:val="20"/>
              </w:rPr>
              <w:t>Q1: No significant barriers to implementation other than that experienced in standard practice when patients and carers opt not to attend as this is already expected from standard care at the current time.</w:t>
            </w:r>
          </w:p>
          <w:p w14:paraId="56FC0558" w14:textId="77777777" w:rsidR="00244B6F" w:rsidRPr="00AC4E8B" w:rsidRDefault="00244B6F" w:rsidP="00244B6F">
            <w:pPr>
              <w:rPr>
                <w:rFonts w:ascii="Arial" w:hAnsi="Arial" w:cs="Arial"/>
                <w:sz w:val="20"/>
                <w:szCs w:val="20"/>
              </w:rPr>
            </w:pPr>
            <w:r w:rsidRPr="00AC4E8B">
              <w:rPr>
                <w:rFonts w:ascii="Arial" w:hAnsi="Arial" w:cs="Arial"/>
                <w:sz w:val="20"/>
                <w:szCs w:val="20"/>
              </w:rPr>
              <w:t>Q2: None identified</w:t>
            </w:r>
          </w:p>
          <w:p w14:paraId="1D65DA70" w14:textId="77777777" w:rsidR="00244B6F" w:rsidRPr="00AC4E8B" w:rsidRDefault="00244B6F" w:rsidP="00244B6F">
            <w:pPr>
              <w:rPr>
                <w:rFonts w:ascii="Arial" w:hAnsi="Arial" w:cs="Arial"/>
                <w:sz w:val="20"/>
                <w:szCs w:val="20"/>
              </w:rPr>
            </w:pPr>
            <w:r w:rsidRPr="00AC4E8B">
              <w:rPr>
                <w:rFonts w:ascii="Arial" w:hAnsi="Arial" w:cs="Arial"/>
                <w:sz w:val="20"/>
                <w:szCs w:val="20"/>
              </w:rPr>
              <w:t>Q3: Non identified</w:t>
            </w:r>
          </w:p>
          <w:p w14:paraId="6779A984" w14:textId="77777777" w:rsidR="00244B6F" w:rsidRPr="00AC4E8B" w:rsidRDefault="00244B6F" w:rsidP="00244B6F">
            <w:pPr>
              <w:rPr>
                <w:rFonts w:ascii="Arial" w:hAnsi="Arial" w:cs="Arial"/>
                <w:sz w:val="20"/>
                <w:szCs w:val="20"/>
              </w:rPr>
            </w:pPr>
            <w:r w:rsidRPr="00AC4E8B">
              <w:rPr>
                <w:rFonts w:ascii="Arial" w:hAnsi="Arial" w:cs="Arial"/>
                <w:sz w:val="20"/>
                <w:szCs w:val="20"/>
              </w:rPr>
              <w:t>Q4: Non identified</w:t>
            </w:r>
          </w:p>
          <w:p w14:paraId="4B752E8D" w14:textId="41691AF3" w:rsidR="00244B6F" w:rsidRPr="00AC4E8B" w:rsidRDefault="00244B6F" w:rsidP="00244B6F">
            <w:pPr>
              <w:pStyle w:val="Paragraph"/>
              <w:spacing w:before="0" w:after="0" w:line="240" w:lineRule="auto"/>
              <w:rPr>
                <w:rFonts w:cs="Arial"/>
                <w:sz w:val="20"/>
                <w:szCs w:val="20"/>
              </w:rPr>
            </w:pPr>
            <w:r w:rsidRPr="00AC4E8B">
              <w:rPr>
                <w:rFonts w:cs="Arial"/>
                <w:sz w:val="20"/>
                <w:szCs w:val="20"/>
              </w:rPr>
              <w:t xml:space="preserve">Q5: Summary: Practices are currently already expected to deliver an annual medication review for patients with learning disabilities whether they have </w:t>
            </w:r>
            <w:r w:rsidRPr="00AC4E8B">
              <w:rPr>
                <w:rFonts w:cs="Arial"/>
                <w:sz w:val="20"/>
                <w:szCs w:val="20"/>
              </w:rPr>
              <w:lastRenderedPageBreak/>
              <w:t xml:space="preserve">epilepsy or not, and therefore could this indicator </w:t>
            </w:r>
            <w:proofErr w:type="gramStart"/>
            <w:r w:rsidRPr="00AC4E8B">
              <w:rPr>
                <w:rFonts w:cs="Arial"/>
                <w:sz w:val="20"/>
                <w:szCs w:val="20"/>
              </w:rPr>
              <w:t>is</w:t>
            </w:r>
            <w:proofErr w:type="gramEnd"/>
            <w:r w:rsidRPr="00AC4E8B">
              <w:rPr>
                <w:rFonts w:cs="Arial"/>
                <w:sz w:val="20"/>
                <w:szCs w:val="20"/>
              </w:rPr>
              <w:t xml:space="preserve"> unlikely to achieve significant added benefit. Additionally, the denominator score may be very small in those practices with a smaller list size who may have no patients with both epilepsy and a learning disability.</w:t>
            </w:r>
          </w:p>
        </w:tc>
        <w:tc>
          <w:tcPr>
            <w:tcW w:w="3593" w:type="dxa"/>
          </w:tcPr>
          <w:p w14:paraId="6987B52E" w14:textId="783BA8A0" w:rsidR="00244B6F" w:rsidRPr="005324B2" w:rsidRDefault="00244B6F" w:rsidP="00244B6F">
            <w:pPr>
              <w:pStyle w:val="Paragraph"/>
              <w:spacing w:before="0" w:after="0" w:line="240" w:lineRule="auto"/>
              <w:rPr>
                <w:rFonts w:cs="Arial"/>
                <w:sz w:val="20"/>
                <w:szCs w:val="20"/>
              </w:rPr>
            </w:pPr>
            <w:r w:rsidRPr="00314BE3">
              <w:rPr>
                <w:rFonts w:cs="Arial"/>
                <w:sz w:val="20"/>
                <w:szCs w:val="20"/>
              </w:rPr>
              <w:lastRenderedPageBreak/>
              <w:t xml:space="preserve">Thank you for your comment. The committee decided not to take this indicator forward given existing review requirements in general practice for this population group. </w:t>
            </w:r>
          </w:p>
        </w:tc>
      </w:tr>
      <w:tr w:rsidR="00244B6F" w:rsidRPr="008E71E8" w14:paraId="2AA08BF0" w14:textId="77777777" w:rsidTr="003058E4">
        <w:tc>
          <w:tcPr>
            <w:tcW w:w="561" w:type="dxa"/>
            <w:vAlign w:val="center"/>
          </w:tcPr>
          <w:p w14:paraId="75E0C41C" w14:textId="6C253427" w:rsidR="00244B6F" w:rsidRDefault="00244B6F" w:rsidP="00244B6F">
            <w:pPr>
              <w:pStyle w:val="Paragraph"/>
              <w:spacing w:before="0" w:after="0" w:line="240" w:lineRule="auto"/>
              <w:rPr>
                <w:rFonts w:cs="Arial"/>
                <w:sz w:val="20"/>
                <w:szCs w:val="20"/>
              </w:rPr>
            </w:pPr>
            <w:r>
              <w:rPr>
                <w:rFonts w:cs="Arial"/>
                <w:sz w:val="20"/>
                <w:szCs w:val="20"/>
              </w:rPr>
              <w:t>35</w:t>
            </w:r>
          </w:p>
        </w:tc>
        <w:tc>
          <w:tcPr>
            <w:tcW w:w="1134" w:type="dxa"/>
            <w:vAlign w:val="center"/>
          </w:tcPr>
          <w:p w14:paraId="4AD04F85" w14:textId="6A4E9E52" w:rsidR="00244B6F" w:rsidRPr="00AC4E8B" w:rsidRDefault="00244B6F" w:rsidP="00244B6F">
            <w:pPr>
              <w:pStyle w:val="Paragraph"/>
              <w:spacing w:before="0" w:after="0" w:line="240" w:lineRule="auto"/>
              <w:rPr>
                <w:rFonts w:cs="Arial"/>
                <w:sz w:val="20"/>
                <w:szCs w:val="20"/>
              </w:rPr>
            </w:pPr>
            <w:r w:rsidRPr="00AC4E8B">
              <w:rPr>
                <w:rFonts w:cs="Arial"/>
                <w:sz w:val="20"/>
                <w:szCs w:val="20"/>
              </w:rPr>
              <w:t>IND 2021-112</w:t>
            </w:r>
          </w:p>
        </w:tc>
        <w:tc>
          <w:tcPr>
            <w:tcW w:w="1617" w:type="dxa"/>
            <w:vAlign w:val="center"/>
          </w:tcPr>
          <w:p w14:paraId="34878A24" w14:textId="651CAE31" w:rsidR="00244B6F" w:rsidRPr="00AC4E8B" w:rsidRDefault="00244B6F" w:rsidP="00244B6F">
            <w:pPr>
              <w:pStyle w:val="Paragraph"/>
              <w:spacing w:before="0" w:after="0" w:line="240" w:lineRule="auto"/>
              <w:rPr>
                <w:rFonts w:cs="Arial"/>
                <w:b/>
                <w:bCs/>
                <w:iCs/>
                <w:sz w:val="20"/>
                <w:szCs w:val="20"/>
              </w:rPr>
            </w:pPr>
            <w:r w:rsidRPr="00AC4E8B">
              <w:rPr>
                <w:rFonts w:cs="Arial"/>
                <w:b/>
                <w:bCs/>
                <w:iCs/>
                <w:sz w:val="20"/>
                <w:szCs w:val="20"/>
              </w:rPr>
              <w:t>SUDEP Action</w:t>
            </w:r>
          </w:p>
        </w:tc>
        <w:tc>
          <w:tcPr>
            <w:tcW w:w="7045" w:type="dxa"/>
            <w:vAlign w:val="center"/>
          </w:tcPr>
          <w:p w14:paraId="1853780D"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SUDEP Action would welcome annual reviews for people with a learning disability and epilepsy, especially considering the higher risk of mortality for people with learning disabilities and epilepsy. It would be essential to ensure that this review is not just looking at medication but considering the whole person and other possible risk factors. </w:t>
            </w:r>
          </w:p>
          <w:p w14:paraId="553153ED" w14:textId="77777777" w:rsidR="00244B6F" w:rsidRPr="00AC4E8B" w:rsidRDefault="00244B6F" w:rsidP="00244B6F">
            <w:pPr>
              <w:rPr>
                <w:rFonts w:ascii="Arial" w:hAnsi="Arial" w:cs="Arial"/>
                <w:sz w:val="20"/>
                <w:szCs w:val="20"/>
              </w:rPr>
            </w:pPr>
          </w:p>
          <w:p w14:paraId="606D96B1"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At present there are gaps within the care given to those with epilepsy and a learning disability as shown in </w:t>
            </w:r>
            <w:hyperlink r:id="rId17" w:history="1">
              <w:r w:rsidRPr="00AC4E8B">
                <w:rPr>
                  <w:rFonts w:ascii="Arial" w:hAnsi="Arial" w:cs="Arial"/>
                  <w:color w:val="0000FF"/>
                  <w:sz w:val="20"/>
                  <w:szCs w:val="20"/>
                  <w:u w:val="single"/>
                </w:rPr>
                <w:t xml:space="preserve">the findings of the Clive </w:t>
              </w:r>
              <w:proofErr w:type="spellStart"/>
              <w:r w:rsidRPr="00AC4E8B">
                <w:rPr>
                  <w:rFonts w:ascii="Arial" w:hAnsi="Arial" w:cs="Arial"/>
                  <w:color w:val="0000FF"/>
                  <w:sz w:val="20"/>
                  <w:szCs w:val="20"/>
                  <w:u w:val="single"/>
                </w:rPr>
                <w:t>Treacey</w:t>
              </w:r>
              <w:proofErr w:type="spellEnd"/>
              <w:r w:rsidRPr="00AC4E8B">
                <w:rPr>
                  <w:rFonts w:ascii="Arial" w:hAnsi="Arial" w:cs="Arial"/>
                  <w:color w:val="0000FF"/>
                  <w:sz w:val="20"/>
                  <w:szCs w:val="20"/>
                  <w:u w:val="single"/>
                </w:rPr>
                <w:t xml:space="preserve"> national review (December 2021</w:t>
              </w:r>
            </w:hyperlink>
            <w:r w:rsidRPr="00AC4E8B">
              <w:rPr>
                <w:rFonts w:ascii="Arial" w:hAnsi="Arial" w:cs="Arial"/>
                <w:color w:val="0000FF"/>
                <w:sz w:val="20"/>
                <w:szCs w:val="20"/>
                <w:u w:val="single"/>
              </w:rPr>
              <w:t>),</w:t>
            </w:r>
            <w:r w:rsidRPr="00AC4E8B">
              <w:rPr>
                <w:rFonts w:ascii="Arial" w:hAnsi="Arial" w:cs="Arial"/>
                <w:sz w:val="20"/>
                <w:szCs w:val="20"/>
              </w:rPr>
              <w:t xml:space="preserve"> which included very poor risk assessment, poor communication of epilepsy situation, lack of recognition of response to risk and failure to monitor care quality. The national review found neither Clive, his </w:t>
            </w:r>
            <w:proofErr w:type="gramStart"/>
            <w:r w:rsidRPr="00AC4E8B">
              <w:rPr>
                <w:rFonts w:ascii="Arial" w:hAnsi="Arial" w:cs="Arial"/>
                <w:sz w:val="20"/>
                <w:szCs w:val="20"/>
              </w:rPr>
              <w:t>family</w:t>
            </w:r>
            <w:proofErr w:type="gramEnd"/>
            <w:r w:rsidRPr="00AC4E8B">
              <w:rPr>
                <w:rFonts w:ascii="Arial" w:hAnsi="Arial" w:cs="Arial"/>
                <w:sz w:val="20"/>
                <w:szCs w:val="20"/>
              </w:rPr>
              <w:t xml:space="preserve"> or carers around him understood his person-centred risks of SUDEP or other fatality.</w:t>
            </w:r>
          </w:p>
          <w:p w14:paraId="4ECB6556" w14:textId="77777777" w:rsidR="00244B6F" w:rsidRPr="00AC4E8B" w:rsidRDefault="00244B6F" w:rsidP="00244B6F">
            <w:pPr>
              <w:rPr>
                <w:rFonts w:ascii="Arial" w:hAnsi="Arial" w:cs="Arial"/>
                <w:sz w:val="20"/>
                <w:szCs w:val="20"/>
              </w:rPr>
            </w:pPr>
          </w:p>
        </w:tc>
        <w:tc>
          <w:tcPr>
            <w:tcW w:w="3593" w:type="dxa"/>
          </w:tcPr>
          <w:p w14:paraId="6BFB8169" w14:textId="673AFE35" w:rsidR="00244B6F" w:rsidRPr="00314BE3" w:rsidRDefault="00244B6F" w:rsidP="00244B6F">
            <w:pPr>
              <w:pStyle w:val="Paragraph"/>
              <w:spacing w:before="0" w:after="0" w:line="240" w:lineRule="auto"/>
              <w:rPr>
                <w:rFonts w:cs="Arial"/>
                <w:sz w:val="20"/>
                <w:szCs w:val="20"/>
              </w:rPr>
            </w:pPr>
            <w:r w:rsidRPr="00DB03BD">
              <w:rPr>
                <w:rFonts w:cs="Arial"/>
                <w:sz w:val="20"/>
                <w:szCs w:val="20"/>
              </w:rPr>
              <w:t xml:space="preserve">Thank you for your comment. The committee decided not to take this indicator forward given existing review requirements in general practice for this population group. </w:t>
            </w:r>
          </w:p>
        </w:tc>
      </w:tr>
      <w:tr w:rsidR="00244B6F" w:rsidRPr="008E71E8" w14:paraId="2B0E4E59" w14:textId="77777777" w:rsidTr="003058E4">
        <w:tc>
          <w:tcPr>
            <w:tcW w:w="561" w:type="dxa"/>
            <w:vAlign w:val="center"/>
          </w:tcPr>
          <w:p w14:paraId="74753BDE" w14:textId="5EE068CC" w:rsidR="00244B6F" w:rsidRDefault="00244B6F" w:rsidP="00244B6F">
            <w:pPr>
              <w:pStyle w:val="Paragraph"/>
              <w:spacing w:before="0" w:after="0" w:line="240" w:lineRule="auto"/>
              <w:rPr>
                <w:rFonts w:cs="Arial"/>
                <w:sz w:val="20"/>
                <w:szCs w:val="20"/>
              </w:rPr>
            </w:pPr>
            <w:r>
              <w:rPr>
                <w:rFonts w:cs="Arial"/>
                <w:sz w:val="20"/>
                <w:szCs w:val="20"/>
              </w:rPr>
              <w:t>36</w:t>
            </w:r>
          </w:p>
        </w:tc>
        <w:tc>
          <w:tcPr>
            <w:tcW w:w="1134" w:type="dxa"/>
            <w:vAlign w:val="center"/>
          </w:tcPr>
          <w:p w14:paraId="50869D72" w14:textId="62214A5A" w:rsidR="00244B6F" w:rsidRPr="00AC4E8B" w:rsidRDefault="00244B6F" w:rsidP="00244B6F">
            <w:pPr>
              <w:pStyle w:val="Paragraph"/>
              <w:spacing w:before="0" w:after="0" w:line="240" w:lineRule="auto"/>
              <w:rPr>
                <w:rFonts w:cs="Arial"/>
                <w:sz w:val="20"/>
                <w:szCs w:val="20"/>
              </w:rPr>
            </w:pPr>
            <w:r w:rsidRPr="00AC4E8B">
              <w:rPr>
                <w:rFonts w:cs="Arial"/>
                <w:color w:val="000000"/>
                <w:sz w:val="20"/>
                <w:szCs w:val="20"/>
              </w:rPr>
              <w:t>IND 2021-112</w:t>
            </w:r>
          </w:p>
        </w:tc>
        <w:tc>
          <w:tcPr>
            <w:tcW w:w="1617" w:type="dxa"/>
            <w:vAlign w:val="center"/>
          </w:tcPr>
          <w:p w14:paraId="57530A89" w14:textId="322E3C48" w:rsidR="00244B6F" w:rsidRPr="00AC4E8B" w:rsidRDefault="00244B6F" w:rsidP="00244B6F">
            <w:pPr>
              <w:pStyle w:val="Paragraph"/>
              <w:spacing w:before="0" w:after="0" w:line="240" w:lineRule="auto"/>
              <w:rPr>
                <w:rFonts w:cs="Arial"/>
                <w:b/>
                <w:bCs/>
                <w:iCs/>
                <w:sz w:val="20"/>
                <w:szCs w:val="20"/>
              </w:rPr>
            </w:pPr>
            <w:r w:rsidRPr="00AC4E8B">
              <w:rPr>
                <w:rFonts w:cs="Arial"/>
                <w:b/>
                <w:bCs/>
                <w:iCs/>
                <w:sz w:val="20"/>
                <w:szCs w:val="20"/>
              </w:rPr>
              <w:t>Young Epilepsy</w:t>
            </w:r>
          </w:p>
        </w:tc>
        <w:tc>
          <w:tcPr>
            <w:tcW w:w="7045" w:type="dxa"/>
            <w:vAlign w:val="center"/>
          </w:tcPr>
          <w:p w14:paraId="32CB6AFA"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We welcome the proposed indicator to track structured reviews for adults with epilepsy and a learning disability. Consideration should be given to how the indicator will function for young people under 18 whose care is overseen by adult healthcare services. The consultation paper estimates that 1 in 5 people with epilepsy have a learning disability, however Young Epilepsy research found that 40% of children with epilepsy were functioning in the </w:t>
            </w:r>
            <w:proofErr w:type="gramStart"/>
            <w:r w:rsidRPr="00AC4E8B">
              <w:rPr>
                <w:rFonts w:ascii="Arial" w:hAnsi="Arial" w:cs="Arial"/>
                <w:sz w:val="20"/>
                <w:szCs w:val="20"/>
              </w:rPr>
              <w:t>learning disabled</w:t>
            </w:r>
            <w:proofErr w:type="gramEnd"/>
            <w:r w:rsidRPr="00AC4E8B">
              <w:rPr>
                <w:rFonts w:ascii="Arial" w:hAnsi="Arial" w:cs="Arial"/>
                <w:sz w:val="20"/>
                <w:szCs w:val="20"/>
              </w:rPr>
              <w:t xml:space="preserve"> range (</w:t>
            </w:r>
            <w:proofErr w:type="spellStart"/>
            <w:r w:rsidRPr="00AC4E8B">
              <w:rPr>
                <w:rFonts w:ascii="Arial" w:hAnsi="Arial" w:cs="Arial"/>
                <w:sz w:val="20"/>
                <w:szCs w:val="20"/>
              </w:rPr>
              <w:t>i</w:t>
            </w:r>
            <w:proofErr w:type="spellEnd"/>
            <w:r w:rsidRPr="00AC4E8B">
              <w:rPr>
                <w:rFonts w:ascii="Arial" w:hAnsi="Arial" w:cs="Arial"/>
                <w:sz w:val="20"/>
                <w:szCs w:val="20"/>
              </w:rPr>
              <w:t>).</w:t>
            </w:r>
          </w:p>
          <w:p w14:paraId="40D3C3F9" w14:textId="77777777" w:rsidR="00244B6F" w:rsidRPr="00AC4E8B" w:rsidRDefault="00244B6F" w:rsidP="00244B6F">
            <w:pPr>
              <w:rPr>
                <w:rFonts w:ascii="Arial" w:hAnsi="Arial" w:cs="Arial"/>
                <w:sz w:val="20"/>
                <w:szCs w:val="20"/>
              </w:rPr>
            </w:pPr>
          </w:p>
          <w:p w14:paraId="1712086B" w14:textId="77777777" w:rsidR="00244B6F" w:rsidRPr="00AC4E8B" w:rsidRDefault="00244B6F" w:rsidP="00244B6F">
            <w:pPr>
              <w:numPr>
                <w:ilvl w:val="0"/>
                <w:numId w:val="46"/>
              </w:numPr>
              <w:contextualSpacing/>
              <w:rPr>
                <w:rFonts w:ascii="Arial" w:eastAsia="Calibri" w:hAnsi="Arial" w:cs="Arial"/>
                <w:sz w:val="20"/>
                <w:szCs w:val="20"/>
                <w:lang w:eastAsia="en-GB"/>
              </w:rPr>
            </w:pPr>
            <w:hyperlink r:id="rId18" w:history="1">
              <w:r w:rsidRPr="00AC4E8B">
                <w:rPr>
                  <w:rFonts w:ascii="Arial" w:eastAsia="Calibri" w:hAnsi="Arial" w:cs="Arial"/>
                  <w:color w:val="0000FF"/>
                  <w:sz w:val="20"/>
                  <w:szCs w:val="20"/>
                  <w:u w:val="single"/>
                  <w:lang w:eastAsia="en-GB"/>
                </w:rPr>
                <w:t>Young Epilepsy (2014) The identification of educational problems in childhood epilepsy: The Children with Epilepsy in Sussex Schools (CHESS) Study</w:t>
              </w:r>
            </w:hyperlink>
          </w:p>
          <w:p w14:paraId="27C807BB" w14:textId="77777777" w:rsidR="00244B6F" w:rsidRPr="00AC4E8B" w:rsidRDefault="00244B6F" w:rsidP="00244B6F">
            <w:pPr>
              <w:rPr>
                <w:rFonts w:ascii="Arial" w:hAnsi="Arial" w:cs="Arial"/>
                <w:sz w:val="20"/>
                <w:szCs w:val="20"/>
              </w:rPr>
            </w:pPr>
          </w:p>
        </w:tc>
        <w:tc>
          <w:tcPr>
            <w:tcW w:w="3593" w:type="dxa"/>
          </w:tcPr>
          <w:p w14:paraId="3FDD623B" w14:textId="29D9A5FF" w:rsidR="00244B6F" w:rsidRPr="00DB03BD" w:rsidRDefault="00244B6F" w:rsidP="00244B6F">
            <w:pPr>
              <w:pStyle w:val="Paragraph"/>
              <w:spacing w:before="0" w:after="0" w:line="240" w:lineRule="auto"/>
              <w:rPr>
                <w:rFonts w:cs="Arial"/>
                <w:sz w:val="20"/>
                <w:szCs w:val="20"/>
              </w:rPr>
            </w:pPr>
            <w:r w:rsidRPr="00DB03BD">
              <w:rPr>
                <w:rFonts w:cs="Arial"/>
                <w:sz w:val="20"/>
                <w:szCs w:val="20"/>
              </w:rPr>
              <w:t xml:space="preserve">Thank you for your comment. The committee decided not to take this indicator forward given existing review requirements in general practice for this population group. </w:t>
            </w:r>
          </w:p>
        </w:tc>
      </w:tr>
    </w:tbl>
    <w:p w14:paraId="2E48EE22" w14:textId="3EE45C94" w:rsidR="00244B6F" w:rsidRDefault="00244B6F" w:rsidP="001F4846">
      <w:pPr>
        <w:pStyle w:val="Paragraph"/>
      </w:pPr>
    </w:p>
    <w:p w14:paraId="59C06584" w14:textId="77777777" w:rsidR="00244B6F" w:rsidRDefault="00244B6F" w:rsidP="001F4846">
      <w:pPr>
        <w:pStyle w:val="Paragraph"/>
      </w:pPr>
    </w:p>
    <w:p w14:paraId="10AE9A77" w14:textId="59BD3613" w:rsidR="001F4846" w:rsidRDefault="001F4846" w:rsidP="001F4846">
      <w:pPr>
        <w:pStyle w:val="Paragraph"/>
      </w:pPr>
      <w:r w:rsidRPr="001F4846">
        <w:lastRenderedPageBreak/>
        <w:t>IND 2021-113: The percentage of adults with epilepsy and a mental health condition who had a structured review in the preceding 12 months</w:t>
      </w:r>
    </w:p>
    <w:tbl>
      <w:tblPr>
        <w:tblStyle w:val="TableGrid"/>
        <w:tblW w:w="0" w:type="auto"/>
        <w:tblLook w:val="04A0" w:firstRow="1" w:lastRow="0" w:firstColumn="1" w:lastColumn="0" w:noHBand="0" w:noVBand="1"/>
      </w:tblPr>
      <w:tblGrid>
        <w:gridCol w:w="561"/>
        <w:gridCol w:w="1134"/>
        <w:gridCol w:w="1617"/>
        <w:gridCol w:w="7045"/>
        <w:gridCol w:w="3593"/>
      </w:tblGrid>
      <w:tr w:rsidR="00244B6F" w:rsidRPr="008E71E8" w14:paraId="7AACA3A1" w14:textId="77777777" w:rsidTr="00CB7B94">
        <w:trPr>
          <w:tblHeader/>
        </w:trPr>
        <w:tc>
          <w:tcPr>
            <w:tcW w:w="561" w:type="dxa"/>
          </w:tcPr>
          <w:p w14:paraId="357E672C" w14:textId="77777777" w:rsidR="00244B6F" w:rsidRPr="008E71E8" w:rsidRDefault="00244B6F" w:rsidP="00CB7B94">
            <w:pPr>
              <w:pStyle w:val="Paragraph"/>
              <w:spacing w:before="0" w:after="0" w:line="240" w:lineRule="auto"/>
              <w:rPr>
                <w:rFonts w:cs="Arial"/>
                <w:b/>
                <w:bCs/>
                <w:sz w:val="20"/>
                <w:szCs w:val="20"/>
              </w:rPr>
            </w:pPr>
            <w:r w:rsidRPr="008E71E8">
              <w:rPr>
                <w:rFonts w:cs="Arial"/>
                <w:b/>
                <w:bCs/>
                <w:sz w:val="20"/>
                <w:szCs w:val="20"/>
              </w:rPr>
              <w:t>ID</w:t>
            </w:r>
          </w:p>
        </w:tc>
        <w:tc>
          <w:tcPr>
            <w:tcW w:w="1134" w:type="dxa"/>
          </w:tcPr>
          <w:p w14:paraId="4D48C333" w14:textId="77777777" w:rsidR="00244B6F" w:rsidRPr="008E71E8" w:rsidRDefault="00244B6F" w:rsidP="00CB7B94">
            <w:pPr>
              <w:pStyle w:val="Paragraph"/>
              <w:spacing w:before="0" w:after="0" w:line="240" w:lineRule="auto"/>
              <w:rPr>
                <w:rFonts w:cs="Arial"/>
                <w:b/>
                <w:bCs/>
                <w:sz w:val="20"/>
                <w:szCs w:val="20"/>
              </w:rPr>
            </w:pPr>
            <w:r w:rsidRPr="008E71E8">
              <w:rPr>
                <w:rFonts w:cs="Arial"/>
                <w:b/>
                <w:bCs/>
                <w:sz w:val="20"/>
                <w:szCs w:val="20"/>
              </w:rPr>
              <w:t>Indicator</w:t>
            </w:r>
          </w:p>
        </w:tc>
        <w:tc>
          <w:tcPr>
            <w:tcW w:w="1617" w:type="dxa"/>
          </w:tcPr>
          <w:p w14:paraId="7B75488D" w14:textId="77777777" w:rsidR="00244B6F" w:rsidRPr="008E71E8" w:rsidRDefault="00244B6F" w:rsidP="00CB7B94">
            <w:pPr>
              <w:pStyle w:val="Paragraph"/>
              <w:spacing w:before="0" w:after="0" w:line="240" w:lineRule="auto"/>
              <w:rPr>
                <w:rFonts w:cs="Arial"/>
                <w:b/>
                <w:bCs/>
                <w:sz w:val="20"/>
                <w:szCs w:val="20"/>
              </w:rPr>
            </w:pPr>
            <w:r w:rsidRPr="008E71E8">
              <w:rPr>
                <w:rFonts w:cs="Arial"/>
                <w:b/>
                <w:bCs/>
                <w:sz w:val="20"/>
                <w:szCs w:val="20"/>
              </w:rPr>
              <w:t>Organisation name</w:t>
            </w:r>
          </w:p>
        </w:tc>
        <w:tc>
          <w:tcPr>
            <w:tcW w:w="7045" w:type="dxa"/>
          </w:tcPr>
          <w:p w14:paraId="5D6D3EEF" w14:textId="77777777" w:rsidR="00244B6F" w:rsidRPr="008E71E8" w:rsidRDefault="00244B6F" w:rsidP="00CB7B94">
            <w:pPr>
              <w:pStyle w:val="Paragraph"/>
              <w:spacing w:before="0" w:after="0" w:line="240" w:lineRule="auto"/>
              <w:rPr>
                <w:rFonts w:cs="Arial"/>
                <w:b/>
                <w:bCs/>
                <w:sz w:val="20"/>
                <w:szCs w:val="20"/>
              </w:rPr>
            </w:pPr>
            <w:r w:rsidRPr="008E71E8">
              <w:rPr>
                <w:rFonts w:cs="Arial"/>
                <w:b/>
                <w:bCs/>
                <w:sz w:val="20"/>
                <w:szCs w:val="20"/>
              </w:rPr>
              <w:t>Comments</w:t>
            </w:r>
          </w:p>
        </w:tc>
        <w:tc>
          <w:tcPr>
            <w:tcW w:w="3593" w:type="dxa"/>
          </w:tcPr>
          <w:p w14:paraId="43143E73" w14:textId="77777777" w:rsidR="00244B6F" w:rsidRPr="008E71E8" w:rsidRDefault="00244B6F" w:rsidP="00CB7B94">
            <w:pPr>
              <w:pStyle w:val="Paragraph"/>
              <w:spacing w:before="0" w:after="0" w:line="240" w:lineRule="auto"/>
              <w:rPr>
                <w:rFonts w:cs="Arial"/>
                <w:b/>
                <w:bCs/>
                <w:sz w:val="20"/>
                <w:szCs w:val="20"/>
              </w:rPr>
            </w:pPr>
            <w:r w:rsidRPr="008E71E8">
              <w:rPr>
                <w:rFonts w:cs="Arial"/>
                <w:b/>
                <w:bCs/>
                <w:sz w:val="20"/>
                <w:szCs w:val="20"/>
              </w:rPr>
              <w:t>NICE response</w:t>
            </w:r>
          </w:p>
        </w:tc>
      </w:tr>
      <w:tr w:rsidR="00244B6F" w:rsidRPr="008E71E8" w14:paraId="1E81C293" w14:textId="77777777" w:rsidTr="00CB1091">
        <w:tc>
          <w:tcPr>
            <w:tcW w:w="561" w:type="dxa"/>
            <w:vAlign w:val="center"/>
          </w:tcPr>
          <w:p w14:paraId="4C0E603B" w14:textId="30841A91" w:rsidR="00244B6F" w:rsidRPr="008E71E8" w:rsidRDefault="00244B6F" w:rsidP="00244B6F">
            <w:pPr>
              <w:pStyle w:val="Paragraph"/>
              <w:spacing w:before="0" w:after="0" w:line="240" w:lineRule="auto"/>
              <w:rPr>
                <w:rFonts w:cs="Arial"/>
                <w:sz w:val="20"/>
                <w:szCs w:val="20"/>
              </w:rPr>
            </w:pPr>
            <w:r>
              <w:rPr>
                <w:rFonts w:cs="Arial"/>
                <w:sz w:val="20"/>
                <w:szCs w:val="20"/>
              </w:rPr>
              <w:t>37</w:t>
            </w:r>
          </w:p>
        </w:tc>
        <w:tc>
          <w:tcPr>
            <w:tcW w:w="1134" w:type="dxa"/>
            <w:vAlign w:val="center"/>
          </w:tcPr>
          <w:p w14:paraId="5E8EA44E" w14:textId="56FBFC19"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2021-113</w:t>
            </w:r>
          </w:p>
        </w:tc>
        <w:tc>
          <w:tcPr>
            <w:tcW w:w="1617" w:type="dxa"/>
            <w:vAlign w:val="center"/>
          </w:tcPr>
          <w:p w14:paraId="21421B41" w14:textId="1C03399B"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Association of British Neurologists</w:t>
            </w:r>
          </w:p>
        </w:tc>
        <w:tc>
          <w:tcPr>
            <w:tcW w:w="7045" w:type="dxa"/>
            <w:vAlign w:val="center"/>
          </w:tcPr>
          <w:p w14:paraId="42C59FB6" w14:textId="77777777" w:rsidR="00244B6F" w:rsidRPr="00AC4E8B" w:rsidRDefault="00244B6F" w:rsidP="00244B6F">
            <w:pPr>
              <w:rPr>
                <w:rFonts w:ascii="Arial" w:hAnsi="Arial" w:cs="Arial"/>
                <w:b/>
                <w:bCs/>
                <w:i/>
                <w:iCs/>
                <w:sz w:val="20"/>
                <w:szCs w:val="20"/>
              </w:rPr>
            </w:pPr>
            <w:r w:rsidRPr="00AC4E8B">
              <w:rPr>
                <w:rFonts w:ascii="Arial" w:hAnsi="Arial" w:cs="Arial"/>
                <w:b/>
                <w:bCs/>
                <w:i/>
                <w:iCs/>
                <w:sz w:val="20"/>
                <w:szCs w:val="20"/>
              </w:rPr>
              <w:t xml:space="preserve">Mental Health and Epilepsy </w:t>
            </w:r>
          </w:p>
          <w:p w14:paraId="328CEFFF" w14:textId="77777777" w:rsidR="00244B6F" w:rsidRPr="00AC4E8B" w:rsidRDefault="00244B6F" w:rsidP="00244B6F">
            <w:pPr>
              <w:rPr>
                <w:rFonts w:ascii="Arial" w:hAnsi="Arial" w:cs="Arial"/>
                <w:sz w:val="20"/>
                <w:szCs w:val="20"/>
              </w:rPr>
            </w:pPr>
          </w:p>
          <w:p w14:paraId="63DFCC2C" w14:textId="77777777" w:rsidR="00244B6F" w:rsidRPr="00AC4E8B" w:rsidRDefault="00244B6F" w:rsidP="00244B6F">
            <w:pPr>
              <w:spacing w:after="240" w:line="276" w:lineRule="auto"/>
              <w:rPr>
                <w:rFonts w:ascii="Arial" w:hAnsi="Arial" w:cs="Arial"/>
                <w:b/>
                <w:bCs/>
                <w:sz w:val="20"/>
                <w:szCs w:val="20"/>
                <w:lang w:eastAsia="en-GB"/>
              </w:rPr>
            </w:pPr>
            <w:r w:rsidRPr="00AC4E8B">
              <w:rPr>
                <w:rFonts w:ascii="Arial" w:hAnsi="Arial" w:cs="Arial"/>
                <w:b/>
                <w:bCs/>
                <w:sz w:val="20"/>
                <w:szCs w:val="20"/>
                <w:lang w:eastAsia="en-GB"/>
              </w:rPr>
              <w:t>Do you think there are any barriers to implementing the care described by these indicators?</w:t>
            </w:r>
          </w:p>
          <w:p w14:paraId="1BA89937" w14:textId="77777777" w:rsidR="00244B6F" w:rsidRPr="00AC4E8B" w:rsidRDefault="00244B6F" w:rsidP="00244B6F">
            <w:pPr>
              <w:rPr>
                <w:rFonts w:ascii="Arial" w:hAnsi="Arial" w:cs="Arial"/>
                <w:sz w:val="20"/>
                <w:szCs w:val="20"/>
              </w:rPr>
            </w:pPr>
            <w:r w:rsidRPr="00AC4E8B">
              <w:rPr>
                <w:rFonts w:ascii="Arial" w:hAnsi="Arial" w:cs="Arial"/>
                <w:sz w:val="20"/>
                <w:szCs w:val="20"/>
              </w:rPr>
              <w:t>The group with mental health problems and epilepsy may have additional barriers to implementing the care of an annual review as a “harder to reach” group for attendance at healthcare appointments.</w:t>
            </w:r>
          </w:p>
          <w:p w14:paraId="2E0A95AB" w14:textId="77777777" w:rsidR="00244B6F" w:rsidRPr="00AC4E8B" w:rsidRDefault="00244B6F" w:rsidP="00244B6F">
            <w:pPr>
              <w:rPr>
                <w:rFonts w:ascii="Arial" w:hAnsi="Arial" w:cs="Arial"/>
                <w:sz w:val="20"/>
                <w:szCs w:val="20"/>
              </w:rPr>
            </w:pPr>
          </w:p>
          <w:p w14:paraId="001C5B11" w14:textId="671C8DEC" w:rsidR="00244B6F" w:rsidRPr="008E71E8" w:rsidRDefault="00244B6F" w:rsidP="00244B6F">
            <w:pPr>
              <w:pStyle w:val="Paragraph"/>
              <w:spacing w:before="0" w:after="0" w:line="240" w:lineRule="auto"/>
              <w:rPr>
                <w:rFonts w:cs="Arial"/>
                <w:sz w:val="20"/>
                <w:szCs w:val="20"/>
              </w:rPr>
            </w:pPr>
            <w:r w:rsidRPr="00AC4E8B">
              <w:rPr>
                <w:rFonts w:cs="Arial"/>
                <w:b/>
                <w:bCs/>
                <w:sz w:val="20"/>
                <w:szCs w:val="20"/>
              </w:rPr>
              <w:t>See above answers regarding other questions.</w:t>
            </w:r>
          </w:p>
        </w:tc>
        <w:tc>
          <w:tcPr>
            <w:tcW w:w="3593" w:type="dxa"/>
          </w:tcPr>
          <w:p w14:paraId="5ADE5578" w14:textId="4D7D778B" w:rsidR="00244B6F" w:rsidRPr="008E71E8" w:rsidRDefault="00244B6F" w:rsidP="00244B6F">
            <w:pPr>
              <w:pStyle w:val="Paragraph"/>
              <w:spacing w:before="0" w:after="0" w:line="240" w:lineRule="auto"/>
              <w:rPr>
                <w:rFonts w:cs="Arial"/>
                <w:sz w:val="20"/>
                <w:szCs w:val="20"/>
              </w:rPr>
            </w:pPr>
            <w:r w:rsidRPr="003273A2">
              <w:rPr>
                <w:rFonts w:cs="Arial"/>
                <w:sz w:val="20"/>
                <w:szCs w:val="20"/>
              </w:rPr>
              <w:t>Thank you for your comment</w:t>
            </w:r>
            <w:r>
              <w:rPr>
                <w:rFonts w:cs="Arial"/>
                <w:sz w:val="20"/>
                <w:szCs w:val="20"/>
              </w:rPr>
              <w:t>.</w:t>
            </w:r>
            <w:r>
              <w:t xml:space="preserve"> </w:t>
            </w:r>
            <w:r w:rsidRPr="003273A2">
              <w:rPr>
                <w:rFonts w:cs="Arial"/>
                <w:sz w:val="20"/>
                <w:szCs w:val="20"/>
              </w:rPr>
              <w:t xml:space="preserve">The committee decided not to take this indicator forward given existing review requirements in general practice for this population group. </w:t>
            </w:r>
          </w:p>
        </w:tc>
      </w:tr>
      <w:tr w:rsidR="00244B6F" w:rsidRPr="008E71E8" w14:paraId="79832058" w14:textId="77777777" w:rsidTr="00CB1091">
        <w:tc>
          <w:tcPr>
            <w:tcW w:w="561" w:type="dxa"/>
            <w:vAlign w:val="center"/>
          </w:tcPr>
          <w:p w14:paraId="73124B6E" w14:textId="615FDD0C" w:rsidR="00244B6F" w:rsidRPr="008E71E8" w:rsidRDefault="00244B6F" w:rsidP="00244B6F">
            <w:pPr>
              <w:pStyle w:val="Paragraph"/>
              <w:spacing w:before="0" w:after="0" w:line="240" w:lineRule="auto"/>
              <w:rPr>
                <w:rFonts w:cs="Arial"/>
                <w:sz w:val="20"/>
                <w:szCs w:val="20"/>
              </w:rPr>
            </w:pPr>
            <w:r>
              <w:rPr>
                <w:rFonts w:cs="Arial"/>
                <w:sz w:val="20"/>
                <w:szCs w:val="20"/>
              </w:rPr>
              <w:t>38</w:t>
            </w:r>
          </w:p>
        </w:tc>
        <w:tc>
          <w:tcPr>
            <w:tcW w:w="1134" w:type="dxa"/>
            <w:vAlign w:val="center"/>
          </w:tcPr>
          <w:p w14:paraId="1FE4A67C" w14:textId="35AFEF20"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2021-113</w:t>
            </w:r>
          </w:p>
        </w:tc>
        <w:tc>
          <w:tcPr>
            <w:tcW w:w="1617" w:type="dxa"/>
            <w:vAlign w:val="center"/>
          </w:tcPr>
          <w:p w14:paraId="21D3AFB3" w14:textId="39756954"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Association of British Neurologists</w:t>
            </w:r>
          </w:p>
        </w:tc>
        <w:tc>
          <w:tcPr>
            <w:tcW w:w="7045" w:type="dxa"/>
            <w:vAlign w:val="center"/>
          </w:tcPr>
          <w:p w14:paraId="68569906"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Should the population for this indicator be extended to include other mental health conditions? If so, please say which populations should be included and why?</w:t>
            </w:r>
          </w:p>
          <w:p w14:paraId="5D396F64" w14:textId="77777777" w:rsidR="00244B6F" w:rsidRPr="00AC4E8B" w:rsidRDefault="00244B6F" w:rsidP="00244B6F">
            <w:pPr>
              <w:rPr>
                <w:rFonts w:ascii="Arial" w:hAnsi="Arial" w:cs="Arial"/>
                <w:b/>
                <w:bCs/>
                <w:sz w:val="20"/>
                <w:szCs w:val="20"/>
              </w:rPr>
            </w:pPr>
          </w:p>
          <w:p w14:paraId="510838E6" w14:textId="7F7344F6" w:rsidR="00244B6F" w:rsidRPr="008E71E8" w:rsidRDefault="00244B6F" w:rsidP="00244B6F">
            <w:pPr>
              <w:pStyle w:val="Paragraph"/>
              <w:spacing w:before="0" w:after="0" w:line="240" w:lineRule="auto"/>
              <w:rPr>
                <w:rFonts w:cs="Arial"/>
                <w:sz w:val="20"/>
                <w:szCs w:val="20"/>
              </w:rPr>
            </w:pPr>
            <w:r w:rsidRPr="00AC4E8B">
              <w:rPr>
                <w:rFonts w:cs="Arial"/>
                <w:sz w:val="20"/>
                <w:szCs w:val="20"/>
              </w:rPr>
              <w:t xml:space="preserve">As the co-morbidities of anxiety and depression are particularly common in people with epilepsy, we would include this group in addition to those with schizophrenia, bipolar </w:t>
            </w:r>
            <w:proofErr w:type="gramStart"/>
            <w:r w:rsidRPr="00AC4E8B">
              <w:rPr>
                <w:rFonts w:cs="Arial"/>
                <w:sz w:val="20"/>
                <w:szCs w:val="20"/>
              </w:rPr>
              <w:t>disorder</w:t>
            </w:r>
            <w:proofErr w:type="gramEnd"/>
            <w:r w:rsidRPr="00AC4E8B">
              <w:rPr>
                <w:rFonts w:cs="Arial"/>
                <w:sz w:val="20"/>
                <w:szCs w:val="20"/>
              </w:rPr>
              <w:t xml:space="preserve"> and other psychoses. </w:t>
            </w:r>
            <w:proofErr w:type="gramStart"/>
            <w:r w:rsidRPr="00AC4E8B">
              <w:rPr>
                <w:rFonts w:cs="Arial"/>
                <w:sz w:val="20"/>
                <w:szCs w:val="20"/>
              </w:rPr>
              <w:t>Certainly</w:t>
            </w:r>
            <w:proofErr w:type="gramEnd"/>
            <w:r w:rsidRPr="00AC4E8B">
              <w:rPr>
                <w:rFonts w:cs="Arial"/>
                <w:sz w:val="20"/>
                <w:szCs w:val="20"/>
              </w:rPr>
              <w:t xml:space="preserve"> addressing these common co-morbidities of people with epilepsy should be part of an annual review for the first group (people with a diagnosis of epilepsy on medication) as likely to impact drug concordance, engagement with services and suicide risk.</w:t>
            </w:r>
          </w:p>
        </w:tc>
        <w:tc>
          <w:tcPr>
            <w:tcW w:w="3593" w:type="dxa"/>
          </w:tcPr>
          <w:p w14:paraId="437BA559" w14:textId="04299851" w:rsidR="00244B6F" w:rsidRPr="008E71E8" w:rsidRDefault="00244B6F" w:rsidP="00244B6F">
            <w:pPr>
              <w:pStyle w:val="Paragraph"/>
              <w:spacing w:before="0" w:after="0" w:line="240" w:lineRule="auto"/>
              <w:rPr>
                <w:rFonts w:cs="Arial"/>
                <w:sz w:val="20"/>
                <w:szCs w:val="20"/>
              </w:rPr>
            </w:pPr>
            <w:r w:rsidRPr="003273A2">
              <w:rPr>
                <w:rFonts w:cs="Arial"/>
                <w:sz w:val="20"/>
                <w:szCs w:val="20"/>
              </w:rPr>
              <w:t>Thank you for your comment.</w:t>
            </w:r>
            <w:r>
              <w:rPr>
                <w:rFonts w:cs="Arial"/>
                <w:sz w:val="20"/>
                <w:szCs w:val="20"/>
              </w:rPr>
              <w:t xml:space="preserve"> </w:t>
            </w:r>
            <w:r w:rsidRPr="003D238F">
              <w:rPr>
                <w:rFonts w:cs="Arial"/>
                <w:sz w:val="20"/>
                <w:szCs w:val="20"/>
              </w:rPr>
              <w:t>The committee decided not to take this indicator forward given existing review requirements in general practice for this population group</w:t>
            </w:r>
            <w:r>
              <w:rPr>
                <w:rFonts w:cs="Arial"/>
                <w:sz w:val="20"/>
                <w:szCs w:val="20"/>
              </w:rPr>
              <w:t>.</w:t>
            </w:r>
          </w:p>
        </w:tc>
      </w:tr>
      <w:tr w:rsidR="00244B6F" w:rsidRPr="008E71E8" w14:paraId="79BA6EFE" w14:textId="77777777" w:rsidTr="00CB1091">
        <w:tc>
          <w:tcPr>
            <w:tcW w:w="561" w:type="dxa"/>
            <w:vAlign w:val="center"/>
          </w:tcPr>
          <w:p w14:paraId="367CC814" w14:textId="4AC51425" w:rsidR="00244B6F" w:rsidRPr="008E71E8" w:rsidRDefault="00244B6F" w:rsidP="00244B6F">
            <w:pPr>
              <w:pStyle w:val="Paragraph"/>
              <w:spacing w:before="0" w:after="0" w:line="240" w:lineRule="auto"/>
              <w:rPr>
                <w:rFonts w:cs="Arial"/>
                <w:sz w:val="20"/>
                <w:szCs w:val="20"/>
              </w:rPr>
            </w:pPr>
            <w:r>
              <w:rPr>
                <w:rFonts w:cs="Arial"/>
                <w:sz w:val="20"/>
                <w:szCs w:val="20"/>
              </w:rPr>
              <w:t>39</w:t>
            </w:r>
          </w:p>
        </w:tc>
        <w:tc>
          <w:tcPr>
            <w:tcW w:w="1134" w:type="dxa"/>
            <w:vAlign w:val="center"/>
          </w:tcPr>
          <w:p w14:paraId="6C1487B2" w14:textId="05A2BC8A"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2021-113</w:t>
            </w:r>
          </w:p>
        </w:tc>
        <w:tc>
          <w:tcPr>
            <w:tcW w:w="1617" w:type="dxa"/>
            <w:vAlign w:val="center"/>
          </w:tcPr>
          <w:p w14:paraId="6AA6AF19" w14:textId="4F27BF97" w:rsidR="00244B6F" w:rsidRPr="008E71E8" w:rsidRDefault="00244B6F" w:rsidP="00244B6F">
            <w:pPr>
              <w:pStyle w:val="Paragraph"/>
              <w:spacing w:before="0" w:after="0" w:line="240" w:lineRule="auto"/>
              <w:rPr>
                <w:rFonts w:cs="Arial"/>
                <w:b/>
                <w:bCs/>
                <w:sz w:val="20"/>
                <w:szCs w:val="20"/>
              </w:rPr>
            </w:pPr>
            <w:r w:rsidRPr="00AC4E8B">
              <w:rPr>
                <w:rFonts w:cs="Arial"/>
                <w:b/>
                <w:bCs/>
                <w:sz w:val="20"/>
                <w:szCs w:val="20"/>
              </w:rPr>
              <w:t>British Medical Association</w:t>
            </w:r>
          </w:p>
        </w:tc>
        <w:tc>
          <w:tcPr>
            <w:tcW w:w="7045" w:type="dxa"/>
            <w:vAlign w:val="center"/>
          </w:tcPr>
          <w:p w14:paraId="42EDEC4E"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As with LD patients, these patients will be having a dedicated review annually anyway, as well as a physical health check as per NICE guidance, which seems superfluous. </w:t>
            </w:r>
          </w:p>
          <w:p w14:paraId="3C8F4E1E" w14:textId="77777777" w:rsidR="00244B6F" w:rsidRPr="00AC4E8B" w:rsidRDefault="00244B6F" w:rsidP="00244B6F">
            <w:pPr>
              <w:rPr>
                <w:rFonts w:ascii="Arial" w:hAnsi="Arial" w:cs="Arial"/>
                <w:sz w:val="20"/>
                <w:szCs w:val="20"/>
              </w:rPr>
            </w:pPr>
          </w:p>
          <w:p w14:paraId="1798409B" w14:textId="60B4B04F" w:rsidR="00244B6F" w:rsidRPr="008E71E8" w:rsidRDefault="00244B6F" w:rsidP="00244B6F">
            <w:pPr>
              <w:pStyle w:val="Paragraph"/>
              <w:spacing w:before="0" w:after="0" w:line="240" w:lineRule="auto"/>
              <w:rPr>
                <w:rFonts w:cs="Arial"/>
                <w:sz w:val="20"/>
                <w:szCs w:val="20"/>
              </w:rPr>
            </w:pPr>
            <w:r w:rsidRPr="00AC4E8B">
              <w:rPr>
                <w:rFonts w:cs="Arial"/>
                <w:sz w:val="20"/>
                <w:szCs w:val="20"/>
              </w:rPr>
              <w:t>The criteria should not be expanded to include other SMIs.</w:t>
            </w:r>
          </w:p>
        </w:tc>
        <w:tc>
          <w:tcPr>
            <w:tcW w:w="3593" w:type="dxa"/>
          </w:tcPr>
          <w:p w14:paraId="46F32AB6" w14:textId="0EDCB79F" w:rsidR="00244B6F" w:rsidRPr="008E71E8" w:rsidRDefault="00244B6F" w:rsidP="00244B6F">
            <w:pPr>
              <w:pStyle w:val="Paragraph"/>
              <w:spacing w:before="0" w:after="0" w:line="240" w:lineRule="auto"/>
              <w:rPr>
                <w:rFonts w:cs="Arial"/>
                <w:sz w:val="20"/>
                <w:szCs w:val="20"/>
              </w:rPr>
            </w:pPr>
            <w:r w:rsidRPr="00355003">
              <w:rPr>
                <w:rFonts w:cs="Arial"/>
                <w:sz w:val="20"/>
                <w:szCs w:val="20"/>
              </w:rPr>
              <w:t xml:space="preserve">Thank you for your comment. The committee decided not to take this indicator forward given existing review requirements in general practice for this population group. </w:t>
            </w:r>
          </w:p>
        </w:tc>
      </w:tr>
      <w:tr w:rsidR="00244B6F" w:rsidRPr="008E71E8" w14:paraId="7BD0AF0D" w14:textId="77777777" w:rsidTr="00CB1091">
        <w:tc>
          <w:tcPr>
            <w:tcW w:w="561" w:type="dxa"/>
            <w:vAlign w:val="center"/>
          </w:tcPr>
          <w:p w14:paraId="0040EF2D" w14:textId="447CF7F9" w:rsidR="00244B6F" w:rsidRPr="008E71E8" w:rsidRDefault="00244B6F" w:rsidP="00244B6F">
            <w:pPr>
              <w:pStyle w:val="Paragraph"/>
              <w:spacing w:before="0" w:after="0" w:line="240" w:lineRule="auto"/>
              <w:rPr>
                <w:rFonts w:cs="Arial"/>
                <w:sz w:val="20"/>
                <w:szCs w:val="20"/>
              </w:rPr>
            </w:pPr>
            <w:r>
              <w:rPr>
                <w:rFonts w:cs="Arial"/>
                <w:sz w:val="20"/>
                <w:szCs w:val="20"/>
              </w:rPr>
              <w:t>40</w:t>
            </w:r>
          </w:p>
        </w:tc>
        <w:tc>
          <w:tcPr>
            <w:tcW w:w="1134" w:type="dxa"/>
            <w:vAlign w:val="center"/>
          </w:tcPr>
          <w:p w14:paraId="56245036" w14:textId="0941E18E"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2021-113</w:t>
            </w:r>
          </w:p>
        </w:tc>
        <w:tc>
          <w:tcPr>
            <w:tcW w:w="1617" w:type="dxa"/>
            <w:vAlign w:val="center"/>
          </w:tcPr>
          <w:p w14:paraId="4A2610AB" w14:textId="3F76ACBF"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46CE0303"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1.Do you think there are any barriers to implementing the care described by these indicators?</w:t>
            </w:r>
          </w:p>
          <w:p w14:paraId="315A4B4F" w14:textId="68566BF2" w:rsidR="00244B6F" w:rsidRPr="008E71E8" w:rsidRDefault="00244B6F" w:rsidP="00244B6F">
            <w:pPr>
              <w:pStyle w:val="Paragraph"/>
              <w:spacing w:before="0" w:after="0" w:line="240" w:lineRule="auto"/>
              <w:rPr>
                <w:rFonts w:cs="Arial"/>
                <w:sz w:val="20"/>
                <w:szCs w:val="20"/>
              </w:rPr>
            </w:pPr>
            <w:r w:rsidRPr="00AC4E8B">
              <w:rPr>
                <w:rFonts w:cs="Arial"/>
                <w:sz w:val="20"/>
                <w:szCs w:val="20"/>
              </w:rPr>
              <w:t xml:space="preserve">Mental health conditions are under diagnosed in people with epilepsy and screening and referral can be poor. This focuses on people diagnosed with a mental health condition and omits to describe the requirements to </w:t>
            </w:r>
            <w:proofErr w:type="gramStart"/>
            <w:r w:rsidRPr="00AC4E8B">
              <w:rPr>
                <w:rFonts w:cs="Arial"/>
                <w:sz w:val="20"/>
                <w:szCs w:val="20"/>
              </w:rPr>
              <w:t>measure  additional</w:t>
            </w:r>
            <w:proofErr w:type="gramEnd"/>
            <w:r w:rsidRPr="00AC4E8B">
              <w:rPr>
                <w:rFonts w:cs="Arial"/>
                <w:sz w:val="20"/>
                <w:szCs w:val="20"/>
              </w:rPr>
              <w:t xml:space="preserve"> requirements in the review relevant to all people with epilepsy.</w:t>
            </w:r>
          </w:p>
        </w:tc>
        <w:tc>
          <w:tcPr>
            <w:tcW w:w="3593" w:type="dxa"/>
          </w:tcPr>
          <w:p w14:paraId="7007F1B5" w14:textId="5678054B" w:rsidR="00244B6F" w:rsidRPr="008E71E8" w:rsidRDefault="00244B6F" w:rsidP="00244B6F">
            <w:pPr>
              <w:pStyle w:val="Paragraph"/>
              <w:spacing w:before="0" w:after="0" w:line="240" w:lineRule="auto"/>
              <w:rPr>
                <w:rFonts w:cs="Arial"/>
                <w:sz w:val="20"/>
                <w:szCs w:val="20"/>
              </w:rPr>
            </w:pPr>
            <w:r w:rsidRPr="00355003">
              <w:rPr>
                <w:rFonts w:cs="Arial"/>
                <w:sz w:val="20"/>
                <w:szCs w:val="20"/>
              </w:rPr>
              <w:t xml:space="preserve">Thank you for your comment. Thank you for your comment. The committee decided not to take this indicator forward given existing review requirements in general practice for this population group. </w:t>
            </w:r>
          </w:p>
        </w:tc>
      </w:tr>
      <w:tr w:rsidR="00244B6F" w:rsidRPr="008E71E8" w14:paraId="08DCEE8E" w14:textId="77777777" w:rsidTr="00CB1091">
        <w:tc>
          <w:tcPr>
            <w:tcW w:w="561" w:type="dxa"/>
            <w:vAlign w:val="center"/>
          </w:tcPr>
          <w:p w14:paraId="0FD88122" w14:textId="556FFB0A" w:rsidR="00244B6F" w:rsidRPr="008E71E8" w:rsidRDefault="00244B6F" w:rsidP="00244B6F">
            <w:pPr>
              <w:pStyle w:val="Paragraph"/>
              <w:spacing w:before="0" w:after="0" w:line="240" w:lineRule="auto"/>
              <w:rPr>
                <w:rFonts w:cs="Arial"/>
                <w:sz w:val="20"/>
                <w:szCs w:val="20"/>
              </w:rPr>
            </w:pPr>
            <w:r>
              <w:rPr>
                <w:rFonts w:cs="Arial"/>
                <w:sz w:val="20"/>
                <w:szCs w:val="20"/>
              </w:rPr>
              <w:lastRenderedPageBreak/>
              <w:t>41</w:t>
            </w:r>
          </w:p>
        </w:tc>
        <w:tc>
          <w:tcPr>
            <w:tcW w:w="1134" w:type="dxa"/>
            <w:vAlign w:val="center"/>
          </w:tcPr>
          <w:p w14:paraId="7FDEAF1E" w14:textId="43FEA4F2"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2021-113</w:t>
            </w:r>
          </w:p>
        </w:tc>
        <w:tc>
          <w:tcPr>
            <w:tcW w:w="1617" w:type="dxa"/>
            <w:vAlign w:val="center"/>
          </w:tcPr>
          <w:p w14:paraId="1CF113D4" w14:textId="1B0AAA7D"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033B3755"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2.Do you think there are potential unintended consequences to implementing/ using any of these indicators?</w:t>
            </w:r>
          </w:p>
          <w:p w14:paraId="11C67B05"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There are larger numbers of people with epilepsy, and anxiety and/or depression and this indicator does not include or reflect these conditions </w:t>
            </w:r>
            <w:proofErr w:type="gramStart"/>
            <w:r w:rsidRPr="00AC4E8B">
              <w:rPr>
                <w:rFonts w:ascii="Arial" w:hAnsi="Arial" w:cs="Arial"/>
                <w:sz w:val="20"/>
                <w:szCs w:val="20"/>
              </w:rPr>
              <w:t>with  no</w:t>
            </w:r>
            <w:proofErr w:type="gramEnd"/>
            <w:r w:rsidRPr="00AC4E8B">
              <w:rPr>
                <w:rFonts w:ascii="Arial" w:hAnsi="Arial" w:cs="Arial"/>
                <w:sz w:val="20"/>
                <w:szCs w:val="20"/>
              </w:rPr>
              <w:t xml:space="preserve"> offer of additional review for them. Incidents of suicide are higher in people with epilepsy and early intervention is important. </w:t>
            </w:r>
          </w:p>
          <w:p w14:paraId="67925E4A" w14:textId="066A18B5" w:rsidR="00244B6F" w:rsidRPr="008E71E8" w:rsidRDefault="00244B6F" w:rsidP="00244B6F">
            <w:pPr>
              <w:pStyle w:val="Paragraph"/>
              <w:spacing w:before="0" w:after="0" w:line="240" w:lineRule="auto"/>
              <w:rPr>
                <w:rFonts w:cs="Arial"/>
                <w:sz w:val="20"/>
                <w:szCs w:val="20"/>
              </w:rPr>
            </w:pPr>
            <w:r w:rsidRPr="00AC4E8B">
              <w:rPr>
                <w:rFonts w:cs="Arial"/>
                <w:sz w:val="20"/>
                <w:szCs w:val="20"/>
              </w:rPr>
              <w:t>Research shows that 37% of children with epilepsy have a mental health disorder.</w:t>
            </w:r>
          </w:p>
        </w:tc>
        <w:tc>
          <w:tcPr>
            <w:tcW w:w="3593" w:type="dxa"/>
          </w:tcPr>
          <w:p w14:paraId="75383883" w14:textId="2F42907A" w:rsidR="00244B6F" w:rsidRPr="008E71E8" w:rsidRDefault="00244B6F" w:rsidP="00244B6F">
            <w:pPr>
              <w:pStyle w:val="Paragraph"/>
              <w:spacing w:before="0" w:after="0" w:line="240" w:lineRule="auto"/>
              <w:rPr>
                <w:rFonts w:cs="Arial"/>
                <w:sz w:val="20"/>
                <w:szCs w:val="20"/>
              </w:rPr>
            </w:pPr>
            <w:r w:rsidRPr="00355003">
              <w:rPr>
                <w:rFonts w:cs="Arial"/>
                <w:sz w:val="20"/>
                <w:szCs w:val="20"/>
              </w:rPr>
              <w:t>Thank you for your comment.</w:t>
            </w:r>
            <w:r>
              <w:rPr>
                <w:rFonts w:cs="Arial"/>
                <w:sz w:val="20"/>
                <w:szCs w:val="20"/>
              </w:rPr>
              <w:t xml:space="preserve"> </w:t>
            </w:r>
            <w:r w:rsidRPr="003D238F">
              <w:rPr>
                <w:rFonts w:cs="Arial"/>
                <w:sz w:val="20"/>
                <w:szCs w:val="20"/>
              </w:rPr>
              <w:t>The committee decided not to take this indicator forward given existing review requirements in general practice for this population group</w:t>
            </w:r>
            <w:r>
              <w:rPr>
                <w:rFonts w:cs="Arial"/>
                <w:sz w:val="20"/>
                <w:szCs w:val="20"/>
              </w:rPr>
              <w:t>.</w:t>
            </w:r>
          </w:p>
        </w:tc>
      </w:tr>
      <w:tr w:rsidR="00244B6F" w:rsidRPr="008E71E8" w14:paraId="491108CF" w14:textId="77777777" w:rsidTr="00CB1091">
        <w:tc>
          <w:tcPr>
            <w:tcW w:w="561" w:type="dxa"/>
            <w:vAlign w:val="center"/>
          </w:tcPr>
          <w:p w14:paraId="1EB885E5" w14:textId="27AD5F0E" w:rsidR="00244B6F" w:rsidRPr="008E71E8" w:rsidRDefault="00244B6F" w:rsidP="00244B6F">
            <w:pPr>
              <w:pStyle w:val="Paragraph"/>
              <w:spacing w:before="0" w:after="0" w:line="240" w:lineRule="auto"/>
              <w:rPr>
                <w:rFonts w:cs="Arial"/>
                <w:sz w:val="20"/>
                <w:szCs w:val="20"/>
              </w:rPr>
            </w:pPr>
            <w:r>
              <w:rPr>
                <w:rFonts w:cs="Arial"/>
                <w:sz w:val="20"/>
                <w:szCs w:val="20"/>
              </w:rPr>
              <w:t>42</w:t>
            </w:r>
          </w:p>
        </w:tc>
        <w:tc>
          <w:tcPr>
            <w:tcW w:w="1134" w:type="dxa"/>
            <w:vAlign w:val="center"/>
          </w:tcPr>
          <w:p w14:paraId="27F56089" w14:textId="4124618B"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2021-113</w:t>
            </w:r>
          </w:p>
        </w:tc>
        <w:tc>
          <w:tcPr>
            <w:tcW w:w="1617" w:type="dxa"/>
            <w:vAlign w:val="center"/>
          </w:tcPr>
          <w:p w14:paraId="0B85200B" w14:textId="2BBEF9F3"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58879AB2"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3.Do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0D2B0949" w14:textId="65467A13" w:rsidR="00244B6F" w:rsidRPr="008E71E8" w:rsidRDefault="00244B6F" w:rsidP="00244B6F">
            <w:pPr>
              <w:pStyle w:val="Paragraph"/>
              <w:spacing w:before="0" w:after="0" w:line="240" w:lineRule="auto"/>
              <w:rPr>
                <w:rFonts w:cs="Arial"/>
                <w:sz w:val="20"/>
                <w:szCs w:val="20"/>
              </w:rPr>
            </w:pPr>
            <w:r w:rsidRPr="00AC4E8B">
              <w:rPr>
                <w:rFonts w:cs="Arial"/>
                <w:sz w:val="20"/>
                <w:szCs w:val="20"/>
              </w:rPr>
              <w:t>The needs of older people with epilepsy requires particular attention as there is a relationship between epilepsy and dementia.</w:t>
            </w:r>
          </w:p>
        </w:tc>
        <w:tc>
          <w:tcPr>
            <w:tcW w:w="3593" w:type="dxa"/>
          </w:tcPr>
          <w:p w14:paraId="470FED57" w14:textId="5BC61BD1" w:rsidR="00244B6F" w:rsidRPr="008E71E8" w:rsidRDefault="00244B6F" w:rsidP="00244B6F">
            <w:pPr>
              <w:pStyle w:val="Paragraph"/>
              <w:spacing w:before="0" w:after="0" w:line="240" w:lineRule="auto"/>
              <w:rPr>
                <w:rFonts w:cs="Arial"/>
                <w:sz w:val="20"/>
                <w:szCs w:val="20"/>
              </w:rPr>
            </w:pPr>
            <w:r w:rsidRPr="00355003">
              <w:rPr>
                <w:rFonts w:cs="Arial"/>
                <w:sz w:val="20"/>
                <w:szCs w:val="20"/>
              </w:rPr>
              <w:t>Thank you for your comment.</w:t>
            </w:r>
            <w:r>
              <w:rPr>
                <w:rFonts w:cs="Arial"/>
                <w:sz w:val="20"/>
                <w:szCs w:val="20"/>
              </w:rPr>
              <w:t xml:space="preserve"> </w:t>
            </w:r>
            <w:r w:rsidRPr="003D238F">
              <w:rPr>
                <w:rFonts w:cs="Arial"/>
                <w:sz w:val="20"/>
                <w:szCs w:val="20"/>
              </w:rPr>
              <w:t>The committee decided not to take this indicator forward given existing review requirements in general practice for this population group</w:t>
            </w:r>
            <w:r>
              <w:rPr>
                <w:rFonts w:cs="Arial"/>
                <w:sz w:val="20"/>
                <w:szCs w:val="20"/>
              </w:rPr>
              <w:t>.</w:t>
            </w:r>
          </w:p>
        </w:tc>
      </w:tr>
      <w:tr w:rsidR="00244B6F" w:rsidRPr="008E71E8" w14:paraId="6F3228DC" w14:textId="77777777" w:rsidTr="00CB1091">
        <w:tc>
          <w:tcPr>
            <w:tcW w:w="561" w:type="dxa"/>
            <w:vAlign w:val="center"/>
          </w:tcPr>
          <w:p w14:paraId="2D8BBDC0" w14:textId="5A2616DD" w:rsidR="00244B6F" w:rsidRPr="008E71E8" w:rsidRDefault="00244B6F" w:rsidP="00244B6F">
            <w:pPr>
              <w:pStyle w:val="Paragraph"/>
              <w:spacing w:before="0" w:after="0" w:line="240" w:lineRule="auto"/>
              <w:rPr>
                <w:rFonts w:cs="Arial"/>
                <w:sz w:val="20"/>
                <w:szCs w:val="20"/>
              </w:rPr>
            </w:pPr>
            <w:r>
              <w:rPr>
                <w:rFonts w:cs="Arial"/>
                <w:sz w:val="20"/>
                <w:szCs w:val="20"/>
              </w:rPr>
              <w:t>43</w:t>
            </w:r>
          </w:p>
        </w:tc>
        <w:tc>
          <w:tcPr>
            <w:tcW w:w="1134" w:type="dxa"/>
            <w:vAlign w:val="center"/>
          </w:tcPr>
          <w:p w14:paraId="64FB2C57" w14:textId="0247F262"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2021-113</w:t>
            </w:r>
          </w:p>
        </w:tc>
        <w:tc>
          <w:tcPr>
            <w:tcW w:w="1617" w:type="dxa"/>
            <w:vAlign w:val="center"/>
          </w:tcPr>
          <w:p w14:paraId="12E0EB49" w14:textId="1D2A41C4"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7929BD77"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4. If you think any of these indicators may have an adverse impact in different groups in the community, can you suggest how the indicator might be delivered differently to different groups to reduce health inequalities?</w:t>
            </w:r>
          </w:p>
          <w:p w14:paraId="59AF15A7" w14:textId="51567717" w:rsidR="00244B6F" w:rsidRPr="008E71E8" w:rsidRDefault="00244B6F" w:rsidP="00244B6F">
            <w:pPr>
              <w:pStyle w:val="Paragraph"/>
              <w:spacing w:before="0" w:after="0" w:line="240" w:lineRule="auto"/>
              <w:rPr>
                <w:rFonts w:cs="Arial"/>
                <w:sz w:val="20"/>
                <w:szCs w:val="20"/>
              </w:rPr>
            </w:pPr>
            <w:r w:rsidRPr="00AC4E8B">
              <w:rPr>
                <w:rFonts w:cs="Arial"/>
                <w:sz w:val="20"/>
                <w:szCs w:val="20"/>
              </w:rPr>
              <w:t>In those with a significant learning disability and in older people in receipt of social care carer involvement may be needed.</w:t>
            </w:r>
          </w:p>
        </w:tc>
        <w:tc>
          <w:tcPr>
            <w:tcW w:w="3593" w:type="dxa"/>
          </w:tcPr>
          <w:p w14:paraId="2CDE821C" w14:textId="7D2386BE" w:rsidR="00244B6F" w:rsidRPr="008E71E8" w:rsidRDefault="00244B6F" w:rsidP="00244B6F">
            <w:pPr>
              <w:pStyle w:val="Paragraph"/>
              <w:spacing w:before="0" w:after="0" w:line="240" w:lineRule="auto"/>
              <w:rPr>
                <w:rFonts w:cs="Arial"/>
                <w:sz w:val="20"/>
                <w:szCs w:val="20"/>
              </w:rPr>
            </w:pPr>
            <w:r w:rsidRPr="00777F1C">
              <w:rPr>
                <w:rFonts w:cs="Arial"/>
                <w:sz w:val="20"/>
                <w:szCs w:val="20"/>
              </w:rPr>
              <w:t xml:space="preserve">Thank you for your comment. </w:t>
            </w:r>
            <w:r w:rsidRPr="003D238F">
              <w:rPr>
                <w:rFonts w:cs="Arial"/>
                <w:sz w:val="20"/>
                <w:szCs w:val="20"/>
              </w:rPr>
              <w:t>The committee decided not to take this indicator forward given existing review requirements in general practice for this population group</w:t>
            </w:r>
            <w:r>
              <w:rPr>
                <w:rFonts w:cs="Arial"/>
                <w:sz w:val="20"/>
                <w:szCs w:val="20"/>
              </w:rPr>
              <w:t>.</w:t>
            </w:r>
          </w:p>
        </w:tc>
      </w:tr>
      <w:tr w:rsidR="00244B6F" w:rsidRPr="008E71E8" w14:paraId="15D8E3EC" w14:textId="77777777" w:rsidTr="00CB1091">
        <w:tc>
          <w:tcPr>
            <w:tcW w:w="561" w:type="dxa"/>
            <w:vAlign w:val="center"/>
          </w:tcPr>
          <w:p w14:paraId="72568511" w14:textId="56F51B9C" w:rsidR="00244B6F" w:rsidRPr="008E71E8" w:rsidRDefault="00244B6F" w:rsidP="00244B6F">
            <w:pPr>
              <w:pStyle w:val="Paragraph"/>
              <w:spacing w:before="0" w:after="0" w:line="240" w:lineRule="auto"/>
              <w:rPr>
                <w:rFonts w:cs="Arial"/>
                <w:sz w:val="20"/>
                <w:szCs w:val="20"/>
              </w:rPr>
            </w:pPr>
            <w:r>
              <w:rPr>
                <w:rFonts w:cs="Arial"/>
                <w:sz w:val="20"/>
                <w:szCs w:val="20"/>
              </w:rPr>
              <w:t>44</w:t>
            </w:r>
          </w:p>
        </w:tc>
        <w:tc>
          <w:tcPr>
            <w:tcW w:w="1134" w:type="dxa"/>
            <w:vAlign w:val="center"/>
          </w:tcPr>
          <w:p w14:paraId="7C3BD4D5" w14:textId="143121CA"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2021-113</w:t>
            </w:r>
          </w:p>
        </w:tc>
        <w:tc>
          <w:tcPr>
            <w:tcW w:w="1617" w:type="dxa"/>
            <w:vAlign w:val="center"/>
          </w:tcPr>
          <w:p w14:paraId="1E60F2BB" w14:textId="3BEA0E5C"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Epilepsy Action</w:t>
            </w:r>
          </w:p>
        </w:tc>
        <w:tc>
          <w:tcPr>
            <w:tcW w:w="7045" w:type="dxa"/>
            <w:vAlign w:val="center"/>
          </w:tcPr>
          <w:p w14:paraId="1D35C04E" w14:textId="77777777" w:rsidR="00244B6F" w:rsidRPr="00AC4E8B" w:rsidRDefault="00244B6F" w:rsidP="00244B6F">
            <w:pPr>
              <w:rPr>
                <w:rFonts w:ascii="Arial" w:hAnsi="Arial" w:cs="Arial"/>
                <w:b/>
                <w:bCs/>
                <w:sz w:val="20"/>
                <w:szCs w:val="20"/>
              </w:rPr>
            </w:pPr>
            <w:r w:rsidRPr="00AC4E8B">
              <w:rPr>
                <w:rFonts w:ascii="Arial" w:hAnsi="Arial" w:cs="Arial"/>
                <w:b/>
                <w:bCs/>
                <w:sz w:val="20"/>
                <w:szCs w:val="20"/>
              </w:rPr>
              <w:t>6. Should the population for this indicator be extended to include other mental health conditions? If so, please say which populations should be included and why?</w:t>
            </w:r>
          </w:p>
          <w:p w14:paraId="321F44DB" w14:textId="77777777" w:rsidR="00244B6F" w:rsidRPr="00AC4E8B" w:rsidRDefault="00244B6F" w:rsidP="00244B6F">
            <w:pPr>
              <w:rPr>
                <w:rFonts w:ascii="Arial" w:hAnsi="Arial" w:cs="Arial"/>
                <w:sz w:val="20"/>
                <w:szCs w:val="20"/>
              </w:rPr>
            </w:pPr>
          </w:p>
          <w:p w14:paraId="74A15B33"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We would recommend expanding the mental health indicator to include anxiety and depression. People with epilepsy are at increased risk of both these conditions, and are twice as likely to die by suicide than the general population </w:t>
            </w:r>
            <w:hyperlink r:id="rId19" w:history="1">
              <w:r w:rsidRPr="00AC4E8B">
                <w:rPr>
                  <w:rFonts w:ascii="Arial" w:hAnsi="Arial" w:cs="Arial"/>
                  <w:color w:val="0000FF"/>
                  <w:sz w:val="20"/>
                  <w:szCs w:val="20"/>
                  <w:u w:val="single"/>
                </w:rPr>
                <w:t>https://www.epilepsy.org.uk/news/news/study-finds-increased-risk-death-suicide-and-accidents-people-epilepsy-68260</w:t>
              </w:r>
            </w:hyperlink>
          </w:p>
          <w:p w14:paraId="084CB373" w14:textId="00E8AB12" w:rsidR="00244B6F" w:rsidRPr="008E71E8" w:rsidRDefault="00244B6F" w:rsidP="00244B6F">
            <w:pPr>
              <w:pStyle w:val="Paragraph"/>
              <w:spacing w:before="0" w:after="0" w:line="240" w:lineRule="auto"/>
              <w:rPr>
                <w:rFonts w:cs="Arial"/>
                <w:sz w:val="20"/>
                <w:szCs w:val="20"/>
              </w:rPr>
            </w:pPr>
          </w:p>
        </w:tc>
        <w:tc>
          <w:tcPr>
            <w:tcW w:w="3593" w:type="dxa"/>
          </w:tcPr>
          <w:p w14:paraId="018CE925" w14:textId="6D34A4F7" w:rsidR="00244B6F" w:rsidRPr="008E71E8" w:rsidRDefault="00244B6F" w:rsidP="00244B6F">
            <w:pPr>
              <w:pStyle w:val="Paragraph"/>
              <w:spacing w:before="0" w:after="0" w:line="240" w:lineRule="auto"/>
              <w:rPr>
                <w:rFonts w:cs="Arial"/>
                <w:sz w:val="20"/>
                <w:szCs w:val="20"/>
              </w:rPr>
            </w:pPr>
            <w:r w:rsidRPr="00777F1C">
              <w:rPr>
                <w:rFonts w:cs="Arial"/>
                <w:sz w:val="20"/>
                <w:szCs w:val="20"/>
              </w:rPr>
              <w:t xml:space="preserve">Thank you for your comment. </w:t>
            </w:r>
            <w:r w:rsidRPr="003D238F">
              <w:rPr>
                <w:rFonts w:cs="Arial"/>
                <w:sz w:val="20"/>
                <w:szCs w:val="20"/>
              </w:rPr>
              <w:t>The committee decided not to take this indicator forward given existing review requirements in general practice for this population group</w:t>
            </w:r>
          </w:p>
        </w:tc>
      </w:tr>
      <w:tr w:rsidR="00244B6F" w:rsidRPr="008E71E8" w14:paraId="6F5E856F" w14:textId="77777777" w:rsidTr="00CB1091">
        <w:tc>
          <w:tcPr>
            <w:tcW w:w="561" w:type="dxa"/>
            <w:vAlign w:val="center"/>
          </w:tcPr>
          <w:p w14:paraId="3CAC800B" w14:textId="17A9983C" w:rsidR="00244B6F" w:rsidRPr="008E71E8" w:rsidRDefault="00244B6F" w:rsidP="00244B6F">
            <w:pPr>
              <w:pStyle w:val="Paragraph"/>
              <w:spacing w:before="0" w:after="0" w:line="240" w:lineRule="auto"/>
              <w:rPr>
                <w:rFonts w:cs="Arial"/>
                <w:sz w:val="20"/>
                <w:szCs w:val="20"/>
              </w:rPr>
            </w:pPr>
            <w:r>
              <w:rPr>
                <w:rFonts w:cs="Arial"/>
                <w:sz w:val="20"/>
                <w:szCs w:val="20"/>
              </w:rPr>
              <w:t>45</w:t>
            </w:r>
          </w:p>
        </w:tc>
        <w:tc>
          <w:tcPr>
            <w:tcW w:w="1134" w:type="dxa"/>
            <w:vAlign w:val="center"/>
          </w:tcPr>
          <w:p w14:paraId="40B90AE3" w14:textId="6041FD0D" w:rsidR="00244B6F" w:rsidRPr="008E71E8" w:rsidRDefault="00244B6F" w:rsidP="00244B6F">
            <w:pPr>
              <w:pStyle w:val="Paragraph"/>
              <w:spacing w:before="0" w:after="0" w:line="240" w:lineRule="auto"/>
              <w:rPr>
                <w:rFonts w:cs="Arial"/>
                <w:sz w:val="20"/>
                <w:szCs w:val="20"/>
              </w:rPr>
            </w:pPr>
            <w:r w:rsidRPr="00AC4E8B">
              <w:rPr>
                <w:rFonts w:cs="Arial"/>
                <w:sz w:val="20"/>
                <w:szCs w:val="20"/>
              </w:rPr>
              <w:t>IND 2021-112</w:t>
            </w:r>
          </w:p>
        </w:tc>
        <w:tc>
          <w:tcPr>
            <w:tcW w:w="1617" w:type="dxa"/>
            <w:vAlign w:val="center"/>
          </w:tcPr>
          <w:p w14:paraId="15E38361" w14:textId="5E95D1F5" w:rsidR="00244B6F" w:rsidRPr="008E71E8" w:rsidRDefault="00244B6F" w:rsidP="00244B6F">
            <w:pPr>
              <w:pStyle w:val="Paragraph"/>
              <w:spacing w:before="0" w:after="0" w:line="240" w:lineRule="auto"/>
              <w:rPr>
                <w:rFonts w:cs="Arial"/>
                <w:b/>
                <w:bCs/>
                <w:sz w:val="20"/>
                <w:szCs w:val="20"/>
              </w:rPr>
            </w:pPr>
            <w:r w:rsidRPr="00AC4E8B">
              <w:rPr>
                <w:rFonts w:cs="Arial"/>
                <w:b/>
                <w:bCs/>
                <w:iCs/>
                <w:sz w:val="20"/>
                <w:szCs w:val="20"/>
              </w:rPr>
              <w:t>Pennine Care NHS Foundation Trust</w:t>
            </w:r>
          </w:p>
        </w:tc>
        <w:tc>
          <w:tcPr>
            <w:tcW w:w="7045" w:type="dxa"/>
            <w:vAlign w:val="center"/>
          </w:tcPr>
          <w:p w14:paraId="34A495F9"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It makes sense to include chronic depression in the mental health conditions that trigger a need for annual review, has this been omitted because it is thought that most people with depression relapse / remit, rather than have a persisting condition that would impact on medication concordance over the course of a year? It may be difficult to identify that group. </w:t>
            </w:r>
          </w:p>
          <w:p w14:paraId="291A2F80" w14:textId="77777777" w:rsidR="00244B6F" w:rsidRPr="00AC4E8B" w:rsidRDefault="00244B6F" w:rsidP="00244B6F">
            <w:pPr>
              <w:rPr>
                <w:rFonts w:ascii="Arial" w:hAnsi="Arial" w:cs="Arial"/>
                <w:sz w:val="20"/>
                <w:szCs w:val="20"/>
              </w:rPr>
            </w:pPr>
          </w:p>
          <w:p w14:paraId="5433DCB4" w14:textId="6C9D0442" w:rsidR="00244B6F" w:rsidRPr="008E71E8" w:rsidRDefault="00244B6F" w:rsidP="00244B6F">
            <w:pPr>
              <w:pStyle w:val="Paragraph"/>
              <w:spacing w:before="0" w:after="0" w:line="240" w:lineRule="auto"/>
              <w:rPr>
                <w:rFonts w:cs="Arial"/>
                <w:sz w:val="20"/>
                <w:szCs w:val="20"/>
              </w:rPr>
            </w:pPr>
            <w:r w:rsidRPr="00AC4E8B">
              <w:rPr>
                <w:rFonts w:cs="Arial"/>
                <w:sz w:val="20"/>
                <w:szCs w:val="20"/>
              </w:rPr>
              <w:lastRenderedPageBreak/>
              <w:t>Will consideration be given to ‘personality disorder,’ for whom self-harm, self-care, alcohol use (and its potential interaction with anti-convulsant meds) and impulsivity may be issues?</w:t>
            </w:r>
          </w:p>
        </w:tc>
        <w:tc>
          <w:tcPr>
            <w:tcW w:w="3593" w:type="dxa"/>
          </w:tcPr>
          <w:p w14:paraId="64A6D5A2" w14:textId="5EB9521C" w:rsidR="00244B6F" w:rsidRPr="008E71E8" w:rsidRDefault="00244B6F" w:rsidP="00244B6F">
            <w:pPr>
              <w:pStyle w:val="Paragraph"/>
              <w:spacing w:before="0" w:after="0" w:line="240" w:lineRule="auto"/>
              <w:rPr>
                <w:rFonts w:cs="Arial"/>
                <w:sz w:val="20"/>
                <w:szCs w:val="20"/>
              </w:rPr>
            </w:pPr>
            <w:r w:rsidRPr="008373B1">
              <w:rPr>
                <w:rFonts w:cs="Arial"/>
                <w:sz w:val="20"/>
                <w:szCs w:val="20"/>
              </w:rPr>
              <w:lastRenderedPageBreak/>
              <w:t xml:space="preserve">Thank you for your comment. The committee decided not to take this indicator forward given existing review requirements in general practice for this population group. </w:t>
            </w:r>
          </w:p>
        </w:tc>
      </w:tr>
      <w:tr w:rsidR="00244B6F" w:rsidRPr="008E71E8" w14:paraId="566635B4" w14:textId="77777777" w:rsidTr="00CB1091">
        <w:tc>
          <w:tcPr>
            <w:tcW w:w="561" w:type="dxa"/>
            <w:vAlign w:val="center"/>
          </w:tcPr>
          <w:p w14:paraId="1AB3BE0B" w14:textId="2A270F96" w:rsidR="00244B6F" w:rsidRDefault="00244B6F" w:rsidP="00244B6F">
            <w:pPr>
              <w:pStyle w:val="Paragraph"/>
              <w:spacing w:before="0" w:after="0" w:line="240" w:lineRule="auto"/>
              <w:rPr>
                <w:rFonts w:cs="Arial"/>
                <w:sz w:val="20"/>
                <w:szCs w:val="20"/>
              </w:rPr>
            </w:pPr>
            <w:r>
              <w:rPr>
                <w:rFonts w:cs="Arial"/>
                <w:sz w:val="20"/>
                <w:szCs w:val="20"/>
              </w:rPr>
              <w:t>46</w:t>
            </w:r>
          </w:p>
        </w:tc>
        <w:tc>
          <w:tcPr>
            <w:tcW w:w="1134" w:type="dxa"/>
            <w:vAlign w:val="center"/>
          </w:tcPr>
          <w:p w14:paraId="7C8E64DD" w14:textId="378DB520" w:rsidR="00244B6F" w:rsidRPr="00AC4E8B" w:rsidRDefault="00244B6F" w:rsidP="00244B6F">
            <w:pPr>
              <w:pStyle w:val="Paragraph"/>
              <w:spacing w:before="0" w:after="0" w:line="240" w:lineRule="auto"/>
              <w:rPr>
                <w:rFonts w:cs="Arial"/>
                <w:sz w:val="20"/>
                <w:szCs w:val="20"/>
              </w:rPr>
            </w:pPr>
            <w:r w:rsidRPr="00AC4E8B">
              <w:rPr>
                <w:rFonts w:cs="Arial"/>
                <w:sz w:val="20"/>
                <w:szCs w:val="20"/>
              </w:rPr>
              <w:t>IND 2021-113</w:t>
            </w:r>
          </w:p>
        </w:tc>
        <w:tc>
          <w:tcPr>
            <w:tcW w:w="1617" w:type="dxa"/>
            <w:vAlign w:val="center"/>
          </w:tcPr>
          <w:p w14:paraId="7DC06D50" w14:textId="526A58FA" w:rsidR="00244B6F" w:rsidRPr="00AC4E8B" w:rsidRDefault="00244B6F" w:rsidP="00244B6F">
            <w:pPr>
              <w:pStyle w:val="Paragraph"/>
              <w:spacing w:before="0" w:after="0" w:line="240" w:lineRule="auto"/>
              <w:rPr>
                <w:rFonts w:cs="Arial"/>
                <w:b/>
                <w:bCs/>
                <w:iCs/>
                <w:sz w:val="20"/>
                <w:szCs w:val="20"/>
              </w:rPr>
            </w:pPr>
            <w:r w:rsidRPr="00AC4E8B">
              <w:rPr>
                <w:rFonts w:cs="Arial"/>
                <w:b/>
                <w:bCs/>
                <w:iCs/>
                <w:sz w:val="20"/>
                <w:szCs w:val="20"/>
              </w:rPr>
              <w:t>Royal College of General Practitioners</w:t>
            </w:r>
          </w:p>
        </w:tc>
        <w:tc>
          <w:tcPr>
            <w:tcW w:w="7045" w:type="dxa"/>
            <w:vAlign w:val="center"/>
          </w:tcPr>
          <w:p w14:paraId="54E44C2E"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Practices are currently commissioned to deliver an annual review for patients with SMI whether they have epilepsy or not, and therefore could this indicator </w:t>
            </w:r>
            <w:proofErr w:type="gramStart"/>
            <w:r w:rsidRPr="00AC4E8B">
              <w:rPr>
                <w:rFonts w:ascii="Arial" w:hAnsi="Arial" w:cs="Arial"/>
                <w:sz w:val="20"/>
                <w:szCs w:val="20"/>
              </w:rPr>
              <w:t>is</w:t>
            </w:r>
            <w:proofErr w:type="gramEnd"/>
            <w:r w:rsidRPr="00AC4E8B">
              <w:rPr>
                <w:rFonts w:ascii="Arial" w:hAnsi="Arial" w:cs="Arial"/>
                <w:sz w:val="20"/>
                <w:szCs w:val="20"/>
              </w:rPr>
              <w:t xml:space="preserve"> unlikely to achieve significant added benefit. Additionally, the denominator score may be very small in those practices with a smaller list size who may have no patients with both epilepsy and SMI and therefore not incentivise clinicians to prioritise this. </w:t>
            </w:r>
          </w:p>
          <w:p w14:paraId="554B66FD" w14:textId="77777777" w:rsidR="00244B6F" w:rsidRPr="00AC4E8B" w:rsidRDefault="00244B6F" w:rsidP="00244B6F">
            <w:pPr>
              <w:rPr>
                <w:rFonts w:ascii="Arial" w:hAnsi="Arial" w:cs="Arial"/>
                <w:sz w:val="20"/>
                <w:szCs w:val="20"/>
              </w:rPr>
            </w:pPr>
          </w:p>
          <w:p w14:paraId="48BACF6D" w14:textId="77777777" w:rsidR="00244B6F" w:rsidRPr="00AC4E8B" w:rsidRDefault="00244B6F" w:rsidP="00244B6F">
            <w:pPr>
              <w:rPr>
                <w:rFonts w:ascii="Arial" w:hAnsi="Arial" w:cs="Arial"/>
                <w:sz w:val="20"/>
                <w:szCs w:val="20"/>
              </w:rPr>
            </w:pPr>
            <w:r w:rsidRPr="00AC4E8B">
              <w:rPr>
                <w:rFonts w:ascii="Arial" w:hAnsi="Arial" w:cs="Arial"/>
                <w:sz w:val="20"/>
                <w:szCs w:val="20"/>
              </w:rPr>
              <w:t>Q1: No significant barriers to implementation other than that experienced in standard practice when patients and carers opt not to attend as this is already expected from standard care at the current time.</w:t>
            </w:r>
          </w:p>
          <w:p w14:paraId="41B4686E" w14:textId="77777777" w:rsidR="00244B6F" w:rsidRPr="00AC4E8B" w:rsidRDefault="00244B6F" w:rsidP="00244B6F">
            <w:pPr>
              <w:rPr>
                <w:rFonts w:ascii="Arial" w:hAnsi="Arial" w:cs="Arial"/>
                <w:sz w:val="20"/>
                <w:szCs w:val="20"/>
              </w:rPr>
            </w:pPr>
            <w:r w:rsidRPr="00AC4E8B">
              <w:rPr>
                <w:rFonts w:ascii="Arial" w:hAnsi="Arial" w:cs="Arial"/>
                <w:sz w:val="20"/>
                <w:szCs w:val="20"/>
              </w:rPr>
              <w:t>Q2: None identified</w:t>
            </w:r>
          </w:p>
          <w:p w14:paraId="41172A03" w14:textId="77777777" w:rsidR="00244B6F" w:rsidRPr="00AC4E8B" w:rsidRDefault="00244B6F" w:rsidP="00244B6F">
            <w:pPr>
              <w:rPr>
                <w:rFonts w:ascii="Arial" w:hAnsi="Arial" w:cs="Arial"/>
                <w:sz w:val="20"/>
                <w:szCs w:val="20"/>
              </w:rPr>
            </w:pPr>
            <w:r w:rsidRPr="00AC4E8B">
              <w:rPr>
                <w:rFonts w:ascii="Arial" w:hAnsi="Arial" w:cs="Arial"/>
                <w:sz w:val="20"/>
                <w:szCs w:val="20"/>
              </w:rPr>
              <w:t>Q3: Non identified</w:t>
            </w:r>
          </w:p>
          <w:p w14:paraId="30B39E11" w14:textId="77777777" w:rsidR="00244B6F" w:rsidRPr="00AC4E8B" w:rsidRDefault="00244B6F" w:rsidP="00244B6F">
            <w:pPr>
              <w:rPr>
                <w:rFonts w:ascii="Arial" w:hAnsi="Arial" w:cs="Arial"/>
                <w:sz w:val="20"/>
                <w:szCs w:val="20"/>
              </w:rPr>
            </w:pPr>
            <w:r w:rsidRPr="00AC4E8B">
              <w:rPr>
                <w:rFonts w:ascii="Arial" w:hAnsi="Arial" w:cs="Arial"/>
                <w:sz w:val="20"/>
                <w:szCs w:val="20"/>
              </w:rPr>
              <w:t>Q4: Non identified</w:t>
            </w:r>
          </w:p>
          <w:p w14:paraId="5A2EA027" w14:textId="75C3B802" w:rsidR="00244B6F" w:rsidRPr="00AC4E8B" w:rsidRDefault="00244B6F" w:rsidP="00244B6F">
            <w:pPr>
              <w:rPr>
                <w:rFonts w:ascii="Arial" w:hAnsi="Arial" w:cs="Arial"/>
                <w:sz w:val="20"/>
                <w:szCs w:val="20"/>
              </w:rPr>
            </w:pPr>
            <w:r w:rsidRPr="00AC4E8B">
              <w:rPr>
                <w:rFonts w:ascii="Arial" w:hAnsi="Arial" w:cs="Arial"/>
                <w:sz w:val="20"/>
                <w:szCs w:val="20"/>
              </w:rPr>
              <w:t>Q5. We do not believe that other mental health conditions outside of those already mentioned in the indicator due to the comments made above.</w:t>
            </w:r>
          </w:p>
        </w:tc>
        <w:tc>
          <w:tcPr>
            <w:tcW w:w="3593" w:type="dxa"/>
          </w:tcPr>
          <w:p w14:paraId="49C2EF61" w14:textId="707709A7" w:rsidR="00244B6F" w:rsidRPr="008373B1" w:rsidRDefault="00244B6F" w:rsidP="00244B6F">
            <w:pPr>
              <w:pStyle w:val="Paragraph"/>
              <w:spacing w:before="0" w:after="0" w:line="240" w:lineRule="auto"/>
              <w:rPr>
                <w:rFonts w:cs="Arial"/>
                <w:sz w:val="20"/>
                <w:szCs w:val="20"/>
              </w:rPr>
            </w:pPr>
            <w:r w:rsidRPr="008373B1">
              <w:rPr>
                <w:rFonts w:cs="Arial"/>
                <w:sz w:val="20"/>
                <w:szCs w:val="20"/>
              </w:rPr>
              <w:t xml:space="preserve">Thank you for your comment. The committee decided not to take this indicator forward given existing review requirements in general practice for this population group. </w:t>
            </w:r>
          </w:p>
        </w:tc>
      </w:tr>
      <w:tr w:rsidR="00244B6F" w:rsidRPr="008E71E8" w14:paraId="6D35B18E" w14:textId="77777777" w:rsidTr="00CB1091">
        <w:tc>
          <w:tcPr>
            <w:tcW w:w="561" w:type="dxa"/>
            <w:vAlign w:val="center"/>
          </w:tcPr>
          <w:p w14:paraId="1C60717F" w14:textId="3FE98068" w:rsidR="00244B6F" w:rsidRDefault="00244B6F" w:rsidP="00244B6F">
            <w:pPr>
              <w:pStyle w:val="Paragraph"/>
              <w:spacing w:before="0" w:after="0" w:line="240" w:lineRule="auto"/>
              <w:rPr>
                <w:rFonts w:cs="Arial"/>
                <w:sz w:val="20"/>
                <w:szCs w:val="20"/>
              </w:rPr>
            </w:pPr>
            <w:r>
              <w:rPr>
                <w:rFonts w:cs="Arial"/>
                <w:sz w:val="20"/>
                <w:szCs w:val="20"/>
              </w:rPr>
              <w:t>47</w:t>
            </w:r>
          </w:p>
        </w:tc>
        <w:tc>
          <w:tcPr>
            <w:tcW w:w="1134" w:type="dxa"/>
            <w:vAlign w:val="center"/>
          </w:tcPr>
          <w:p w14:paraId="3AEEE709" w14:textId="7BEFFE4E" w:rsidR="00244B6F" w:rsidRPr="00AC4E8B" w:rsidRDefault="00244B6F" w:rsidP="00244B6F">
            <w:pPr>
              <w:pStyle w:val="Paragraph"/>
              <w:spacing w:before="0" w:after="0" w:line="240" w:lineRule="auto"/>
              <w:rPr>
                <w:rFonts w:cs="Arial"/>
                <w:sz w:val="20"/>
                <w:szCs w:val="20"/>
              </w:rPr>
            </w:pPr>
            <w:r w:rsidRPr="00AC4E8B">
              <w:rPr>
                <w:rFonts w:cs="Arial"/>
                <w:sz w:val="20"/>
                <w:szCs w:val="20"/>
              </w:rPr>
              <w:t>IND 2021-113</w:t>
            </w:r>
          </w:p>
        </w:tc>
        <w:tc>
          <w:tcPr>
            <w:tcW w:w="1617" w:type="dxa"/>
            <w:vAlign w:val="center"/>
          </w:tcPr>
          <w:p w14:paraId="7A220C33" w14:textId="40FBDF16" w:rsidR="00244B6F" w:rsidRPr="00AC4E8B" w:rsidRDefault="00244B6F" w:rsidP="00244B6F">
            <w:pPr>
              <w:pStyle w:val="Paragraph"/>
              <w:spacing w:before="0" w:after="0" w:line="240" w:lineRule="auto"/>
              <w:rPr>
                <w:rFonts w:cs="Arial"/>
                <w:b/>
                <w:bCs/>
                <w:iCs/>
                <w:sz w:val="20"/>
                <w:szCs w:val="20"/>
              </w:rPr>
            </w:pPr>
            <w:r w:rsidRPr="00AC4E8B">
              <w:rPr>
                <w:rFonts w:cs="Arial"/>
                <w:b/>
                <w:bCs/>
                <w:iCs/>
                <w:sz w:val="20"/>
                <w:szCs w:val="20"/>
              </w:rPr>
              <w:t>SUDEP Action</w:t>
            </w:r>
          </w:p>
        </w:tc>
        <w:tc>
          <w:tcPr>
            <w:tcW w:w="7045" w:type="dxa"/>
            <w:vAlign w:val="center"/>
          </w:tcPr>
          <w:p w14:paraId="19AA2670"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SUDEP Action would welcome annual reviews for people with epilepsy and a mental health condition. However, within this review the overall wellbeing and other risk factors for the person with epilepsy should be considered – the mental health aspect shouldn’t be looked at in isolation. If mental health issues come up as a concern in the first review for all people with epilepsy (as in IND2021-111) then we would advise they should be offered this additional review, to ensure </w:t>
            </w:r>
            <w:proofErr w:type="gramStart"/>
            <w:r w:rsidRPr="00AC4E8B">
              <w:rPr>
                <w:rFonts w:ascii="Arial" w:hAnsi="Arial" w:cs="Arial"/>
                <w:sz w:val="20"/>
                <w:szCs w:val="20"/>
              </w:rPr>
              <w:t>a</w:t>
            </w:r>
            <w:proofErr w:type="gramEnd"/>
            <w:r w:rsidRPr="00AC4E8B">
              <w:rPr>
                <w:rFonts w:ascii="Arial" w:hAnsi="Arial" w:cs="Arial"/>
                <w:sz w:val="20"/>
                <w:szCs w:val="20"/>
              </w:rPr>
              <w:t xml:space="preserve"> MDT approach and coordination between services. If this indicator goes ahead, we would like to see it as being on top of/as a follow on from IND 2021-111 and 2021-112. </w:t>
            </w:r>
          </w:p>
          <w:p w14:paraId="2F914931" w14:textId="77777777" w:rsidR="00244B6F" w:rsidRPr="00AC4E8B" w:rsidRDefault="00244B6F" w:rsidP="00244B6F">
            <w:pPr>
              <w:rPr>
                <w:rFonts w:ascii="Arial" w:hAnsi="Arial" w:cs="Arial"/>
                <w:sz w:val="20"/>
                <w:szCs w:val="20"/>
              </w:rPr>
            </w:pPr>
          </w:p>
          <w:p w14:paraId="073AE8C2" w14:textId="73B1A09C" w:rsidR="00244B6F" w:rsidRPr="00AC4E8B" w:rsidRDefault="00244B6F" w:rsidP="00244B6F">
            <w:pPr>
              <w:rPr>
                <w:rFonts w:ascii="Arial" w:hAnsi="Arial" w:cs="Arial"/>
                <w:sz w:val="20"/>
                <w:szCs w:val="20"/>
              </w:rPr>
            </w:pPr>
            <w:r w:rsidRPr="00AC4E8B">
              <w:rPr>
                <w:rFonts w:ascii="Arial" w:hAnsi="Arial" w:cs="Arial"/>
                <w:sz w:val="20"/>
                <w:szCs w:val="20"/>
              </w:rPr>
              <w:t xml:space="preserve">We also would like to see this review include people with epilepsy who may have other mental health conditions than those currently listed (for example depression or anxiety disorders) to ensure that they would also be able to access mental health treatment. </w:t>
            </w:r>
            <w:proofErr w:type="gramStart"/>
            <w:r w:rsidRPr="00AC4E8B">
              <w:rPr>
                <w:rFonts w:ascii="Arial" w:hAnsi="Arial" w:cs="Arial"/>
                <w:sz w:val="20"/>
                <w:szCs w:val="20"/>
              </w:rPr>
              <w:t>At the moment</w:t>
            </w:r>
            <w:proofErr w:type="gramEnd"/>
            <w:r w:rsidRPr="00AC4E8B">
              <w:rPr>
                <w:rFonts w:ascii="Arial" w:hAnsi="Arial" w:cs="Arial"/>
                <w:sz w:val="20"/>
                <w:szCs w:val="20"/>
              </w:rPr>
              <w:t xml:space="preserve"> this indicator is not clear that it would be completely inclusive to any/all mental health conditions. We know that people with epilepsy are predisposed to have mental health conditions causing a higher risk of mortality. If this further review could be offered on top </w:t>
            </w:r>
            <w:r w:rsidRPr="00AC4E8B">
              <w:rPr>
                <w:rFonts w:ascii="Arial" w:hAnsi="Arial" w:cs="Arial"/>
                <w:sz w:val="20"/>
                <w:szCs w:val="20"/>
              </w:rPr>
              <w:lastRenderedPageBreak/>
              <w:t>of IND 2021-111 and 2021-112, then this may help to ensure further MDT support.</w:t>
            </w:r>
          </w:p>
        </w:tc>
        <w:tc>
          <w:tcPr>
            <w:tcW w:w="3593" w:type="dxa"/>
          </w:tcPr>
          <w:p w14:paraId="7A000110" w14:textId="006B6947" w:rsidR="00244B6F" w:rsidRPr="008373B1" w:rsidRDefault="00244B6F" w:rsidP="00244B6F">
            <w:pPr>
              <w:pStyle w:val="Paragraph"/>
              <w:spacing w:before="0" w:after="0" w:line="240" w:lineRule="auto"/>
              <w:rPr>
                <w:rFonts w:cs="Arial"/>
                <w:sz w:val="20"/>
                <w:szCs w:val="20"/>
              </w:rPr>
            </w:pPr>
            <w:r w:rsidRPr="002658CE">
              <w:rPr>
                <w:rFonts w:cs="Arial"/>
                <w:sz w:val="20"/>
                <w:szCs w:val="20"/>
              </w:rPr>
              <w:lastRenderedPageBreak/>
              <w:t xml:space="preserve">Thank you for your comment. The committee decided not to take this indicator forward given existing review requirements in general practice for this population group. </w:t>
            </w:r>
          </w:p>
        </w:tc>
      </w:tr>
      <w:tr w:rsidR="00244B6F" w:rsidRPr="008E71E8" w14:paraId="2851E1A6" w14:textId="77777777" w:rsidTr="00CB1091">
        <w:tc>
          <w:tcPr>
            <w:tcW w:w="561" w:type="dxa"/>
            <w:vAlign w:val="center"/>
          </w:tcPr>
          <w:p w14:paraId="0245798A" w14:textId="684A72A5" w:rsidR="00244B6F" w:rsidRDefault="00244B6F" w:rsidP="00244B6F">
            <w:pPr>
              <w:pStyle w:val="Paragraph"/>
              <w:spacing w:before="0" w:after="0" w:line="240" w:lineRule="auto"/>
              <w:rPr>
                <w:rFonts w:cs="Arial"/>
                <w:sz w:val="20"/>
                <w:szCs w:val="20"/>
              </w:rPr>
            </w:pPr>
            <w:r>
              <w:rPr>
                <w:rFonts w:cs="Arial"/>
                <w:sz w:val="20"/>
                <w:szCs w:val="20"/>
              </w:rPr>
              <w:t>48</w:t>
            </w:r>
          </w:p>
        </w:tc>
        <w:tc>
          <w:tcPr>
            <w:tcW w:w="1134" w:type="dxa"/>
            <w:vAlign w:val="center"/>
          </w:tcPr>
          <w:p w14:paraId="3E54643F" w14:textId="0B1D1FE0" w:rsidR="00244B6F" w:rsidRPr="00AC4E8B" w:rsidRDefault="00244B6F" w:rsidP="00244B6F">
            <w:pPr>
              <w:pStyle w:val="Paragraph"/>
              <w:spacing w:before="0" w:after="0" w:line="240" w:lineRule="auto"/>
              <w:rPr>
                <w:rFonts w:cs="Arial"/>
                <w:sz w:val="20"/>
                <w:szCs w:val="20"/>
              </w:rPr>
            </w:pPr>
            <w:r w:rsidRPr="00AC4E8B">
              <w:rPr>
                <w:rFonts w:cs="Arial"/>
                <w:color w:val="000000"/>
                <w:sz w:val="20"/>
                <w:szCs w:val="20"/>
              </w:rPr>
              <w:t>IND 2021-113</w:t>
            </w:r>
          </w:p>
        </w:tc>
        <w:tc>
          <w:tcPr>
            <w:tcW w:w="1617" w:type="dxa"/>
            <w:vAlign w:val="center"/>
          </w:tcPr>
          <w:p w14:paraId="469698CF" w14:textId="775C987B" w:rsidR="00244B6F" w:rsidRPr="00AC4E8B" w:rsidRDefault="00244B6F" w:rsidP="00244B6F">
            <w:pPr>
              <w:pStyle w:val="Paragraph"/>
              <w:spacing w:before="0" w:after="0" w:line="240" w:lineRule="auto"/>
              <w:rPr>
                <w:rFonts w:cs="Arial"/>
                <w:b/>
                <w:bCs/>
                <w:iCs/>
                <w:sz w:val="20"/>
                <w:szCs w:val="20"/>
              </w:rPr>
            </w:pPr>
            <w:r w:rsidRPr="00AC4E8B">
              <w:rPr>
                <w:rFonts w:cs="Arial"/>
                <w:b/>
                <w:bCs/>
                <w:iCs/>
                <w:sz w:val="20"/>
                <w:szCs w:val="20"/>
              </w:rPr>
              <w:t>Young Epilepsy</w:t>
            </w:r>
          </w:p>
        </w:tc>
        <w:tc>
          <w:tcPr>
            <w:tcW w:w="7045" w:type="dxa"/>
            <w:vAlign w:val="center"/>
          </w:tcPr>
          <w:p w14:paraId="3652AB28" w14:textId="77777777" w:rsidR="00244B6F" w:rsidRPr="00AC4E8B" w:rsidRDefault="00244B6F" w:rsidP="00244B6F">
            <w:pPr>
              <w:rPr>
                <w:rFonts w:ascii="Arial" w:hAnsi="Arial" w:cs="Arial"/>
                <w:sz w:val="20"/>
                <w:szCs w:val="20"/>
              </w:rPr>
            </w:pPr>
            <w:r w:rsidRPr="00AC4E8B">
              <w:rPr>
                <w:rFonts w:ascii="Arial" w:hAnsi="Arial" w:cs="Arial"/>
                <w:sz w:val="20"/>
                <w:szCs w:val="20"/>
              </w:rPr>
              <w:t>We welcome the proposed indicator to track structured reviews for adults with epilepsy and a mental health condition, however we recommend that all mental health disorders are included in this indicator. Consideration should also be given to how the indicator will function for young people under 18 whose care is overseen by adult healthcare services.</w:t>
            </w:r>
          </w:p>
          <w:p w14:paraId="1C7CFCC5" w14:textId="77777777" w:rsidR="00244B6F" w:rsidRPr="00AC4E8B" w:rsidRDefault="00244B6F" w:rsidP="00244B6F">
            <w:pPr>
              <w:rPr>
                <w:rFonts w:ascii="Arial" w:hAnsi="Arial" w:cs="Arial"/>
                <w:sz w:val="20"/>
                <w:szCs w:val="20"/>
              </w:rPr>
            </w:pPr>
          </w:p>
          <w:p w14:paraId="01F9BFE0" w14:textId="77777777" w:rsidR="00244B6F" w:rsidRPr="00AC4E8B" w:rsidRDefault="00244B6F" w:rsidP="00244B6F">
            <w:pPr>
              <w:rPr>
                <w:rFonts w:ascii="Arial" w:hAnsi="Arial" w:cs="Arial"/>
                <w:sz w:val="20"/>
                <w:szCs w:val="20"/>
              </w:rPr>
            </w:pPr>
            <w:r w:rsidRPr="00AC4E8B">
              <w:rPr>
                <w:rFonts w:ascii="Arial" w:hAnsi="Arial" w:cs="Arial"/>
                <w:sz w:val="20"/>
                <w:szCs w:val="20"/>
              </w:rPr>
              <w:t xml:space="preserve">The proposed indicator would only apply to adults with epilepsy who have schizophrenia, bipolar affective </w:t>
            </w:r>
            <w:proofErr w:type="gramStart"/>
            <w:r w:rsidRPr="00AC4E8B">
              <w:rPr>
                <w:rFonts w:ascii="Arial" w:hAnsi="Arial" w:cs="Arial"/>
                <w:sz w:val="20"/>
                <w:szCs w:val="20"/>
              </w:rPr>
              <w:t>disorder</w:t>
            </w:r>
            <w:proofErr w:type="gramEnd"/>
            <w:r w:rsidRPr="00AC4E8B">
              <w:rPr>
                <w:rFonts w:ascii="Arial" w:hAnsi="Arial" w:cs="Arial"/>
                <w:sz w:val="20"/>
                <w:szCs w:val="20"/>
              </w:rPr>
              <w:t xml:space="preserve"> or other psychoses. This is estimated as 2% of the epilepsy population. However, research shows that 37% of children and young people with epilepsy have a mental health disorder (</w:t>
            </w:r>
            <w:proofErr w:type="spellStart"/>
            <w:r w:rsidRPr="00AC4E8B">
              <w:rPr>
                <w:rFonts w:ascii="Arial" w:hAnsi="Arial" w:cs="Arial"/>
                <w:sz w:val="20"/>
                <w:szCs w:val="20"/>
              </w:rPr>
              <w:t>i</w:t>
            </w:r>
            <w:proofErr w:type="spellEnd"/>
            <w:r w:rsidRPr="00AC4E8B">
              <w:rPr>
                <w:rFonts w:ascii="Arial" w:hAnsi="Arial" w:cs="Arial"/>
                <w:sz w:val="20"/>
                <w:szCs w:val="20"/>
              </w:rPr>
              <w:t>). A recent Young Epilepsy survey found that 77% of young people (aged 25 and under) said living with epilepsy has had a significant impact on their mental wellbeing, including their thoughts, feelings and how they are able to cope with everyday life (ii).</w:t>
            </w:r>
          </w:p>
          <w:p w14:paraId="6542B197" w14:textId="77777777" w:rsidR="00244B6F" w:rsidRPr="00AC4E8B" w:rsidRDefault="00244B6F" w:rsidP="00244B6F">
            <w:pPr>
              <w:rPr>
                <w:rFonts w:ascii="Arial" w:hAnsi="Arial" w:cs="Arial"/>
                <w:sz w:val="20"/>
                <w:szCs w:val="20"/>
              </w:rPr>
            </w:pPr>
          </w:p>
          <w:p w14:paraId="4AA3D70F" w14:textId="77777777" w:rsidR="00244B6F" w:rsidRPr="00AC4E8B" w:rsidRDefault="00244B6F" w:rsidP="00244B6F">
            <w:pPr>
              <w:rPr>
                <w:rFonts w:ascii="Arial" w:hAnsi="Arial" w:cs="Arial"/>
                <w:sz w:val="20"/>
                <w:szCs w:val="20"/>
              </w:rPr>
            </w:pPr>
            <w:r w:rsidRPr="00AC4E8B">
              <w:rPr>
                <w:rFonts w:ascii="Arial" w:hAnsi="Arial" w:cs="Arial"/>
                <w:sz w:val="20"/>
                <w:szCs w:val="20"/>
              </w:rPr>
              <w:t>Mental health problems can often have a greater impact than seizures on health-related quality of life for children with epilepsy (iii). As such, it is crucial that mental health needs are screened and supported as an integrated part of epilepsy care.</w:t>
            </w:r>
          </w:p>
          <w:p w14:paraId="0A7E25D5" w14:textId="77777777" w:rsidR="00244B6F" w:rsidRPr="00AC4E8B" w:rsidRDefault="00244B6F" w:rsidP="00244B6F">
            <w:pPr>
              <w:rPr>
                <w:rFonts w:ascii="Arial" w:hAnsi="Arial" w:cs="Arial"/>
                <w:sz w:val="20"/>
                <w:szCs w:val="20"/>
              </w:rPr>
            </w:pPr>
          </w:p>
          <w:p w14:paraId="247E0584" w14:textId="77777777" w:rsidR="00244B6F" w:rsidRPr="00AC4E8B" w:rsidRDefault="00244B6F" w:rsidP="00244B6F">
            <w:pPr>
              <w:numPr>
                <w:ilvl w:val="0"/>
                <w:numId w:val="47"/>
              </w:numPr>
              <w:contextualSpacing/>
              <w:rPr>
                <w:rFonts w:ascii="Arial" w:eastAsia="Calibri" w:hAnsi="Arial" w:cs="Arial"/>
                <w:sz w:val="20"/>
                <w:szCs w:val="20"/>
                <w:lang w:eastAsia="en-GB"/>
              </w:rPr>
            </w:pPr>
            <w:hyperlink r:id="rId20" w:history="1">
              <w:r w:rsidRPr="00AC4E8B">
                <w:rPr>
                  <w:rFonts w:ascii="Arial" w:eastAsia="Calibri" w:hAnsi="Arial" w:cs="Arial"/>
                  <w:color w:val="0000FF"/>
                  <w:sz w:val="20"/>
                  <w:szCs w:val="20"/>
                  <w:u w:val="single"/>
                  <w:lang w:eastAsia="en-GB"/>
                </w:rPr>
                <w:t>Davies et al (2003) A population survey of mental health problems in children with epilepsy</w:t>
              </w:r>
            </w:hyperlink>
          </w:p>
          <w:p w14:paraId="11A66815" w14:textId="77777777" w:rsidR="00244B6F" w:rsidRPr="00AC4E8B" w:rsidRDefault="00244B6F" w:rsidP="00244B6F">
            <w:pPr>
              <w:numPr>
                <w:ilvl w:val="0"/>
                <w:numId w:val="47"/>
              </w:numPr>
              <w:contextualSpacing/>
              <w:rPr>
                <w:rFonts w:ascii="Arial" w:eastAsia="Calibri" w:hAnsi="Arial" w:cs="Arial"/>
                <w:sz w:val="20"/>
                <w:szCs w:val="20"/>
                <w:lang w:eastAsia="en-GB"/>
              </w:rPr>
            </w:pPr>
            <w:hyperlink r:id="rId21" w:history="1">
              <w:r w:rsidRPr="00AC4E8B">
                <w:rPr>
                  <w:rFonts w:ascii="Arial" w:eastAsia="Calibri" w:hAnsi="Arial" w:cs="Arial"/>
                  <w:color w:val="0000FF"/>
                  <w:sz w:val="20"/>
                  <w:szCs w:val="20"/>
                  <w:u w:val="single"/>
                  <w:lang w:eastAsia="en-GB"/>
                </w:rPr>
                <w:t>Young Epilepsy (2021) Young people’s experiences of epilepsy and mental wellbeing: Summary of survey findings</w:t>
              </w:r>
            </w:hyperlink>
          </w:p>
          <w:p w14:paraId="37F399EA" w14:textId="77777777" w:rsidR="00244B6F" w:rsidRPr="00AC4E8B" w:rsidRDefault="00244B6F" w:rsidP="00244B6F">
            <w:pPr>
              <w:numPr>
                <w:ilvl w:val="0"/>
                <w:numId w:val="47"/>
              </w:numPr>
              <w:contextualSpacing/>
              <w:rPr>
                <w:rFonts w:ascii="Arial" w:eastAsia="Calibri" w:hAnsi="Arial" w:cs="Arial"/>
                <w:sz w:val="20"/>
                <w:szCs w:val="20"/>
                <w:lang w:eastAsia="en-GB"/>
              </w:rPr>
            </w:pPr>
            <w:hyperlink r:id="rId22" w:history="1">
              <w:r w:rsidRPr="00AC4E8B">
                <w:rPr>
                  <w:rFonts w:ascii="Arial" w:eastAsia="Calibri" w:hAnsi="Arial" w:cs="Arial"/>
                  <w:color w:val="0000FF"/>
                  <w:sz w:val="20"/>
                  <w:szCs w:val="20"/>
                  <w:u w:val="single"/>
                  <w:lang w:eastAsia="en-GB"/>
                </w:rPr>
                <w:t>Reilly et al (2015) Factors associated with quality of life in active childhood epilepsy: A population-based study</w:t>
              </w:r>
            </w:hyperlink>
          </w:p>
          <w:p w14:paraId="176466E6" w14:textId="77777777" w:rsidR="00244B6F" w:rsidRPr="00AC4E8B" w:rsidRDefault="00244B6F" w:rsidP="00244B6F">
            <w:pPr>
              <w:numPr>
                <w:ilvl w:val="0"/>
                <w:numId w:val="43"/>
              </w:numPr>
              <w:ind w:left="1080" w:firstLine="0"/>
              <w:rPr>
                <w:rFonts w:ascii="Arial" w:eastAsia="Calibri" w:hAnsi="Arial" w:cs="Arial"/>
                <w:sz w:val="20"/>
                <w:szCs w:val="20"/>
                <w:lang w:eastAsia="en-GB"/>
              </w:rPr>
            </w:pPr>
            <w:hyperlink r:id="rId23" w:history="1">
              <w:r w:rsidRPr="00AC4E8B">
                <w:rPr>
                  <w:rFonts w:ascii="Arial" w:eastAsia="Calibri" w:hAnsi="Arial" w:cs="Arial"/>
                  <w:color w:val="0000FF"/>
                  <w:sz w:val="20"/>
                  <w:szCs w:val="20"/>
                  <w:u w:val="single"/>
                  <w:lang w:eastAsia="en-GB"/>
                </w:rPr>
                <w:t>Baca et al (2011) Psychiatric and medical comorbidity and quality of life outcomes in childhood-onset epilepsy</w:t>
              </w:r>
            </w:hyperlink>
          </w:p>
          <w:p w14:paraId="1A711877" w14:textId="77777777" w:rsidR="00244B6F" w:rsidRPr="00AC4E8B" w:rsidRDefault="00244B6F" w:rsidP="00244B6F">
            <w:pPr>
              <w:rPr>
                <w:rFonts w:ascii="Arial" w:hAnsi="Arial" w:cs="Arial"/>
                <w:sz w:val="20"/>
                <w:szCs w:val="20"/>
              </w:rPr>
            </w:pPr>
          </w:p>
        </w:tc>
        <w:tc>
          <w:tcPr>
            <w:tcW w:w="3593" w:type="dxa"/>
          </w:tcPr>
          <w:p w14:paraId="7FC449D8" w14:textId="01CC4493" w:rsidR="00244B6F" w:rsidRPr="002658CE" w:rsidRDefault="00244B6F" w:rsidP="00244B6F">
            <w:pPr>
              <w:pStyle w:val="Paragraph"/>
              <w:spacing w:before="0" w:after="0" w:line="240" w:lineRule="auto"/>
              <w:rPr>
                <w:rFonts w:cs="Arial"/>
                <w:sz w:val="20"/>
                <w:szCs w:val="20"/>
              </w:rPr>
            </w:pPr>
            <w:r w:rsidRPr="002658CE">
              <w:rPr>
                <w:rFonts w:cs="Arial"/>
                <w:sz w:val="20"/>
                <w:szCs w:val="20"/>
              </w:rPr>
              <w:t xml:space="preserve">Thank you for your comment. The committee decided not to take this indicator forward given existing review requirements in general practice for this population group. </w:t>
            </w:r>
          </w:p>
        </w:tc>
      </w:tr>
    </w:tbl>
    <w:p w14:paraId="4AD05CCE" w14:textId="368525E0" w:rsidR="00244B6F" w:rsidRDefault="00244B6F" w:rsidP="001F4846">
      <w:pPr>
        <w:pStyle w:val="Paragraph"/>
      </w:pPr>
    </w:p>
    <w:p w14:paraId="7EDB71B4" w14:textId="77777777" w:rsidR="002C3F2E" w:rsidRDefault="002C3F2E">
      <w:pPr>
        <w:rPr>
          <w:rFonts w:ascii="Arial" w:hAnsi="Arial" w:cs="Arial"/>
          <w:b/>
          <w:bCs/>
          <w:kern w:val="32"/>
          <w:sz w:val="22"/>
          <w:szCs w:val="22"/>
        </w:rPr>
      </w:pPr>
      <w:r>
        <w:rPr>
          <w:rFonts w:cs="Arial"/>
          <w:sz w:val="22"/>
          <w:szCs w:val="22"/>
        </w:rPr>
        <w:br w:type="page"/>
      </w:r>
    </w:p>
    <w:p w14:paraId="5506F391" w14:textId="77777777" w:rsidR="002C3F2E" w:rsidRDefault="002C3F2E" w:rsidP="006B0B64">
      <w:pPr>
        <w:pStyle w:val="Heading1"/>
        <w:rPr>
          <w:rFonts w:cs="Arial"/>
          <w:sz w:val="22"/>
          <w:szCs w:val="22"/>
        </w:rPr>
        <w:sectPr w:rsidR="002C3F2E" w:rsidSect="006B0B64">
          <w:pgSz w:w="16840" w:h="11907" w:orient="landscape" w:code="9"/>
          <w:pgMar w:top="1440" w:right="1440" w:bottom="1440" w:left="1440" w:header="709" w:footer="709" w:gutter="0"/>
          <w:cols w:space="708"/>
          <w:docGrid w:linePitch="360"/>
        </w:sectPr>
      </w:pPr>
    </w:p>
    <w:p w14:paraId="63413831" w14:textId="4776BD45" w:rsidR="004F15E4" w:rsidRPr="004F15E4" w:rsidRDefault="004F15E4" w:rsidP="004F15E4">
      <w:pPr>
        <w:pStyle w:val="Heading1"/>
        <w:rPr>
          <w:lang w:eastAsia="en-GB"/>
        </w:rPr>
      </w:pPr>
      <w:bookmarkStart w:id="31" w:name="_Toc104460279"/>
      <w:r w:rsidRPr="004F15E4">
        <w:rPr>
          <w:lang w:eastAsia="en-GB"/>
        </w:rPr>
        <w:lastRenderedPageBreak/>
        <w:t xml:space="preserve">Appendix </w:t>
      </w:r>
      <w:r>
        <w:rPr>
          <w:lang w:eastAsia="en-GB"/>
        </w:rPr>
        <w:t>B</w:t>
      </w:r>
      <w:r w:rsidRPr="004F15E4">
        <w:rPr>
          <w:lang w:eastAsia="en-GB"/>
        </w:rPr>
        <w:t>: Existing NICE indicators</w:t>
      </w:r>
      <w:bookmarkEnd w:id="31"/>
    </w:p>
    <w:p w14:paraId="58158A9D" w14:textId="77777777" w:rsidR="004F15E4" w:rsidRPr="004F15E4" w:rsidRDefault="004F15E4" w:rsidP="004F15E4">
      <w:pPr>
        <w:keepNext/>
        <w:spacing w:after="60"/>
        <w:outlineLvl w:val="2"/>
        <w:rPr>
          <w:rFonts w:ascii="Arial" w:hAnsi="Arial"/>
          <w:b/>
          <w:bCs/>
          <w:szCs w:val="26"/>
          <w:lang w:eastAsia="en-GB"/>
        </w:rPr>
      </w:pPr>
      <w:r w:rsidRPr="004F15E4">
        <w:rPr>
          <w:rFonts w:ascii="Arial" w:hAnsi="Arial"/>
          <w:b/>
          <w:bCs/>
          <w:szCs w:val="26"/>
          <w:lang w:eastAsia="en-GB"/>
        </w:rPr>
        <w:t>Epilepsy</w:t>
      </w:r>
    </w:p>
    <w:p w14:paraId="4D738891"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 xml:space="preserve">NM03: The percentage of women under the age of 55 years who are taking antiseizure medications who have a record of information and counselling about contraception, </w:t>
      </w:r>
      <w:proofErr w:type="gramStart"/>
      <w:r w:rsidRPr="004F15E4">
        <w:rPr>
          <w:rFonts w:ascii="Arial" w:hAnsi="Arial"/>
          <w:lang w:eastAsia="en-GB"/>
        </w:rPr>
        <w:t>conception</w:t>
      </w:r>
      <w:proofErr w:type="gramEnd"/>
      <w:r w:rsidRPr="004F15E4">
        <w:rPr>
          <w:rFonts w:ascii="Arial" w:hAnsi="Arial"/>
          <w:lang w:eastAsia="en-GB"/>
        </w:rPr>
        <w:t xml:space="preserve"> and pregnancy in the preceding 12 months.</w:t>
      </w:r>
    </w:p>
    <w:p w14:paraId="644B1337"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NM110: The percentage of patients aged 18 or over on drug treatment for epilepsy who have been seizure free for the last 12 months recorded in the preceding 12 months</w:t>
      </w:r>
    </w:p>
    <w:p w14:paraId="2F2D1E71"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NM71: The percentage of women with epilepsy who are aged 18 or over, but under 45, who are taking antiseizure medications and have a record of being given information and advice in the previous 12 months about pregnancy or conception, or contraception tailored to their pregnancy and contraceptive intentions.</w:t>
      </w:r>
    </w:p>
    <w:p w14:paraId="70F59962" w14:textId="77777777" w:rsidR="004F15E4" w:rsidRPr="004F15E4" w:rsidRDefault="004F15E4" w:rsidP="004F15E4">
      <w:pPr>
        <w:keepNext/>
        <w:spacing w:after="60"/>
        <w:outlineLvl w:val="2"/>
        <w:rPr>
          <w:rFonts w:ascii="Arial" w:hAnsi="Arial"/>
          <w:b/>
          <w:bCs/>
          <w:szCs w:val="26"/>
          <w:lang w:eastAsia="en-GB"/>
        </w:rPr>
      </w:pPr>
      <w:r w:rsidRPr="004F15E4">
        <w:rPr>
          <w:rFonts w:ascii="Arial" w:hAnsi="Arial"/>
          <w:b/>
          <w:bCs/>
          <w:szCs w:val="26"/>
          <w:lang w:eastAsia="en-GB"/>
        </w:rPr>
        <w:t>Learning disabilities</w:t>
      </w:r>
    </w:p>
    <w:p w14:paraId="190A379F"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 xml:space="preserve">IAP00609: Excess under 75 mortality </w:t>
      </w:r>
      <w:proofErr w:type="gramStart"/>
      <w:r w:rsidRPr="004F15E4">
        <w:rPr>
          <w:rFonts w:ascii="Arial" w:hAnsi="Arial"/>
          <w:lang w:eastAsia="en-GB"/>
        </w:rPr>
        <w:t>rate</w:t>
      </w:r>
      <w:proofErr w:type="gramEnd"/>
      <w:r w:rsidRPr="004F15E4">
        <w:rPr>
          <w:rFonts w:ascii="Arial" w:hAnsi="Arial"/>
          <w:lang w:eastAsia="en-GB"/>
        </w:rPr>
        <w:t xml:space="preserve"> in adults with a learning disability</w:t>
      </w:r>
    </w:p>
    <w:p w14:paraId="38047B58"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NM04: Percentage of patients on the learning disability register with Down's Syndrome aged 18 and over who have a record of blood TSH in the previous 15 months (excluding those who are on the thyroid disease register)</w:t>
      </w:r>
    </w:p>
    <w:p w14:paraId="1EFCBBBB"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NM73: The contractor establishes and maintains a register of patients with learning disabilities</w:t>
      </w:r>
    </w:p>
    <w:p w14:paraId="60BAC9D3" w14:textId="77777777" w:rsidR="004F15E4" w:rsidRPr="004F15E4" w:rsidRDefault="004F15E4" w:rsidP="004F15E4">
      <w:pPr>
        <w:keepNext/>
        <w:spacing w:after="60"/>
        <w:outlineLvl w:val="2"/>
        <w:rPr>
          <w:rFonts w:ascii="Arial" w:hAnsi="Arial"/>
          <w:b/>
          <w:bCs/>
          <w:szCs w:val="26"/>
          <w:lang w:eastAsia="en-GB"/>
        </w:rPr>
      </w:pPr>
      <w:r w:rsidRPr="004F15E4">
        <w:rPr>
          <w:rFonts w:ascii="Arial" w:hAnsi="Arial"/>
          <w:b/>
          <w:bCs/>
          <w:szCs w:val="26"/>
          <w:lang w:eastAsia="en-GB"/>
        </w:rPr>
        <w:t xml:space="preserve">Mental health </w:t>
      </w:r>
    </w:p>
    <w:p w14:paraId="78DD9C22"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IAP00133: People with serious mental illness (SMI) who have received complete list of physical checks</w:t>
      </w:r>
    </w:p>
    <w:p w14:paraId="68BBC78D"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IAP00330: Smoking rates in people with serious mental illness (SMI)</w:t>
      </w:r>
    </w:p>
    <w:p w14:paraId="06E3482A"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NM108: The percentage of patients with schizophrenia, bipolar affective disorder and other psychoses who have a comprehensive care plan documented in the record, in the preceding 12 months, agreed between individuals, their family and/or carers as applicable</w:t>
      </w:r>
    </w:p>
    <w:p w14:paraId="585421DD"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NM120: The percentage of patients with schizophrenia, bipolar affective disorder and other psychoses aged 25-84 (excluding those with pre-existing CHD, diabetes, stroke and/or TIA) who have had a CVD risk assessment performed in the preceding 12 months (using an assessment tool agreed with NHS England)</w:t>
      </w:r>
    </w:p>
    <w:p w14:paraId="2EA3F460"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 xml:space="preserve">NM129: The percentage of patients aged 18 years and over with schizophrenia, bipolar affective disorder and other psychoses who have a record of total cholesterol: </w:t>
      </w:r>
      <w:proofErr w:type="spellStart"/>
      <w:r w:rsidRPr="004F15E4">
        <w:rPr>
          <w:rFonts w:ascii="Arial" w:hAnsi="Arial"/>
          <w:lang w:eastAsia="en-GB"/>
        </w:rPr>
        <w:t>hdl</w:t>
      </w:r>
      <w:proofErr w:type="spellEnd"/>
      <w:r w:rsidRPr="004F15E4">
        <w:rPr>
          <w:rFonts w:ascii="Arial" w:hAnsi="Arial"/>
          <w:lang w:eastAsia="en-GB"/>
        </w:rPr>
        <w:t xml:space="preserve"> ratio in the preceding 12 months</w:t>
      </w:r>
    </w:p>
    <w:p w14:paraId="62E2DF97"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lastRenderedPageBreak/>
        <w:t>NM130: The percentage of patients aged 18 years and over with schizophrenia, bipolar affective disorder and other psychoses who have a record of blood glucose or HbA1c in the preceding 12 months</w:t>
      </w:r>
    </w:p>
    <w:p w14:paraId="34A88018"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NM15: The percentage of patients with schizophrenia, bipolar affective disorder and other psychoses who have a record of alcohol consumption in the preceding 15 months</w:t>
      </w:r>
    </w:p>
    <w:p w14:paraId="3F46E333"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NM16: The percentage of patients with schizophrenia, bipolar affective disorder and other psychoses who have a record of BMI in the preceding 15 months</w:t>
      </w:r>
    </w:p>
    <w:p w14:paraId="1D86E423"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NM17: The percentage of patients with schizophrenia, bipolar affective disorder and other psychoses who have a record of blood pressure in the preceding 15 months</w:t>
      </w:r>
    </w:p>
    <w:p w14:paraId="5AEAC690"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NM177: The percentage of patients with a new diagnosis of depression or anxiety in the preceding 12 months who have been screened for hazardous drinking using the FAST or AUDIT-C tool in the 3 months before or after their diagnosis being recorded</w:t>
      </w:r>
    </w:p>
    <w:p w14:paraId="7BD076D3"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NM178: The percentage of patients with a new diagnosis of depression or anxiety and a FAST score of ≥3 or AUDIT-C score of ≥5 in the preceding 12 months, who have received brief intervention to help them reduce their alcohol related risk within 3 months of the score being recorded.</w:t>
      </w:r>
    </w:p>
    <w:p w14:paraId="076B67CE"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 xml:space="preserve">NM195: The percentage of women aged 25 or over and who have not attained the age of 50 with schizophrenia, bipolar affective </w:t>
      </w:r>
      <w:proofErr w:type="gramStart"/>
      <w:r w:rsidRPr="004F15E4">
        <w:rPr>
          <w:rFonts w:ascii="Arial" w:hAnsi="Arial"/>
          <w:lang w:eastAsia="en-GB"/>
        </w:rPr>
        <w:t>disorder</w:t>
      </w:r>
      <w:proofErr w:type="gramEnd"/>
      <w:r w:rsidRPr="004F15E4">
        <w:rPr>
          <w:rFonts w:ascii="Arial" w:hAnsi="Arial"/>
          <w:lang w:eastAsia="en-GB"/>
        </w:rPr>
        <w:t xml:space="preserve"> and other psychoses whose notes record that a cervical screening test has been performed in the preceding 3 years and 6 months</w:t>
      </w:r>
    </w:p>
    <w:p w14:paraId="3E79F3B9"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 xml:space="preserve">NM196: The percentage of women aged 50 or over and who have not attained the age of 65 with schizophrenia, bipolar affective </w:t>
      </w:r>
      <w:proofErr w:type="gramStart"/>
      <w:r w:rsidRPr="004F15E4">
        <w:rPr>
          <w:rFonts w:ascii="Arial" w:hAnsi="Arial"/>
          <w:lang w:eastAsia="en-GB"/>
        </w:rPr>
        <w:t>disorder</w:t>
      </w:r>
      <w:proofErr w:type="gramEnd"/>
      <w:r w:rsidRPr="004F15E4">
        <w:rPr>
          <w:rFonts w:ascii="Arial" w:hAnsi="Arial"/>
          <w:lang w:eastAsia="en-GB"/>
        </w:rPr>
        <w:t xml:space="preserve"> and other psychoses whose notes record that a cervical screening test has been performed in the preceding 5 years and 6 months</w:t>
      </w:r>
    </w:p>
    <w:p w14:paraId="6787C849"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 xml:space="preserve">NM20: The percentage of women aged 25 or over and who have not attained the age of 65 with schizophrenia, bipolar affective </w:t>
      </w:r>
      <w:proofErr w:type="gramStart"/>
      <w:r w:rsidRPr="004F15E4">
        <w:rPr>
          <w:rFonts w:ascii="Arial" w:hAnsi="Arial"/>
          <w:lang w:eastAsia="en-GB"/>
        </w:rPr>
        <w:t>disorder</w:t>
      </w:r>
      <w:proofErr w:type="gramEnd"/>
      <w:r w:rsidRPr="004F15E4">
        <w:rPr>
          <w:rFonts w:ascii="Arial" w:hAnsi="Arial"/>
          <w:lang w:eastAsia="en-GB"/>
        </w:rPr>
        <w:t xml:space="preserve"> and other psychoses whose notes record that a cervical screening test has been performed in the preceding 5 years</w:t>
      </w:r>
    </w:p>
    <w:p w14:paraId="5F1B8EAE"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NM21: The percentage of patients on lithium therapy with a record of serum creatinine and TSH in the preceding 9 months</w:t>
      </w:r>
    </w:p>
    <w:p w14:paraId="3F3D9435"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NM22: The percentage of patients on lithium therapy with a record of lithium levels in the therapeutic range within the previous 4 months</w:t>
      </w:r>
    </w:p>
    <w:p w14:paraId="386B9DC8" w14:textId="77777777" w:rsidR="004F15E4" w:rsidRPr="004F15E4" w:rsidRDefault="004F15E4" w:rsidP="004F15E4">
      <w:pPr>
        <w:spacing w:after="240" w:line="276" w:lineRule="auto"/>
        <w:rPr>
          <w:rFonts w:ascii="Arial" w:hAnsi="Arial"/>
          <w:lang w:eastAsia="en-GB"/>
        </w:rPr>
      </w:pPr>
      <w:r w:rsidRPr="004F15E4">
        <w:rPr>
          <w:rFonts w:ascii="Arial" w:hAnsi="Arial"/>
          <w:lang w:eastAsia="en-GB"/>
        </w:rPr>
        <w:t xml:space="preserve">NM78: The percentage of women with schizophrenia, bipolar affective </w:t>
      </w:r>
      <w:proofErr w:type="gramStart"/>
      <w:r w:rsidRPr="004F15E4">
        <w:rPr>
          <w:rFonts w:ascii="Arial" w:hAnsi="Arial"/>
          <w:lang w:eastAsia="en-GB"/>
        </w:rPr>
        <w:t>disorder</w:t>
      </w:r>
      <w:proofErr w:type="gramEnd"/>
      <w:r w:rsidRPr="004F15E4">
        <w:rPr>
          <w:rFonts w:ascii="Arial" w:hAnsi="Arial"/>
          <w:lang w:eastAsia="en-GB"/>
        </w:rPr>
        <w:t xml:space="preserve"> or other psychoses under the age of 45 years who have been given information and </w:t>
      </w:r>
      <w:r w:rsidRPr="004F15E4">
        <w:rPr>
          <w:rFonts w:ascii="Arial" w:hAnsi="Arial"/>
          <w:lang w:eastAsia="en-GB"/>
        </w:rPr>
        <w:lastRenderedPageBreak/>
        <w:t>advice in the previous 12 months about pregnancy, conception or contraception tailored to their pregnancy and contraceptive intentions</w:t>
      </w:r>
    </w:p>
    <w:p w14:paraId="1E740E8B" w14:textId="77777777" w:rsidR="00985698" w:rsidRPr="00985698" w:rsidRDefault="00985698" w:rsidP="006B0B64">
      <w:pPr>
        <w:pStyle w:val="Heading1"/>
        <w:rPr>
          <w:rFonts w:cs="Arial"/>
          <w:sz w:val="22"/>
          <w:szCs w:val="22"/>
        </w:rPr>
      </w:pPr>
    </w:p>
    <w:sectPr w:rsidR="00985698" w:rsidRPr="00985698" w:rsidSect="002C3F2E">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D45804" w:rsidRDefault="00D45804" w:rsidP="00446BEE">
      <w:r>
        <w:separator/>
      </w:r>
    </w:p>
  </w:endnote>
  <w:endnote w:type="continuationSeparator" w:id="0">
    <w:p w14:paraId="22EB9B1D" w14:textId="77777777" w:rsidR="00D45804" w:rsidRDefault="00D4580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3B143C03" w:rsidR="00C90846" w:rsidRPr="008C1C95" w:rsidRDefault="008C1C95" w:rsidP="008C1C95">
    <w:pPr>
      <w:pStyle w:val="Footer"/>
      <w:jc w:val="right"/>
    </w:pPr>
    <w:r>
      <w:fldChar w:fldCharType="begin"/>
    </w:r>
    <w:r>
      <w:instrText xml:space="preserve"> PAGE </w:instrText>
    </w:r>
    <w:r>
      <w:fldChar w:fldCharType="separate"/>
    </w:r>
    <w:r w:rsidR="005806EB">
      <w:rPr>
        <w:noProof/>
      </w:rPr>
      <w:t>3</w:t>
    </w:r>
    <w:r>
      <w:fldChar w:fldCharType="end"/>
    </w:r>
    <w:r>
      <w:t xml:space="preserve"> of </w:t>
    </w:r>
    <w:r w:rsidR="005806EB">
      <w:rPr>
        <w:noProof/>
      </w:rPr>
      <w:fldChar w:fldCharType="begin"/>
    </w:r>
    <w:r w:rsidR="005806EB">
      <w:rPr>
        <w:noProof/>
      </w:rPr>
      <w:instrText xml:space="preserve"> NUMPAGES  </w:instrText>
    </w:r>
    <w:r w:rsidR="005806EB">
      <w:rPr>
        <w:noProof/>
      </w:rPr>
      <w:fldChar w:fldCharType="separate"/>
    </w:r>
    <w:r w:rsidR="005806EB">
      <w:rPr>
        <w:noProof/>
      </w:rPr>
      <w:t>10</w:t>
    </w:r>
    <w:r w:rsidR="005806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D45804" w:rsidRDefault="00D45804" w:rsidP="00446BEE">
      <w:r>
        <w:separator/>
      </w:r>
    </w:p>
  </w:footnote>
  <w:footnote w:type="continuationSeparator" w:id="0">
    <w:p w14:paraId="1B316AC4" w14:textId="77777777" w:rsidR="00D45804" w:rsidRDefault="00D4580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FBA59EF" w:rsidR="00C90846" w:rsidRPr="00500339" w:rsidRDefault="006F0E3D" w:rsidP="00500339">
    <w:pPr>
      <w:pStyle w:val="Paragraph"/>
      <w:jc w:val="right"/>
    </w:pPr>
    <w:bookmarkStart w:id="28" w:name="_Hlk104460363"/>
    <w:r w:rsidRPr="00025DE0">
      <w:t>Paper</w:t>
    </w:r>
    <w:r w:rsidR="00C90846" w:rsidRPr="00025DE0">
      <w:t xml:space="preserve"> </w:t>
    </w:r>
    <w:r w:rsidR="00025DE0" w:rsidRPr="00025DE0">
      <w:t>4b</w:t>
    </w:r>
    <w:r w:rsidR="00500339">
      <w:t xml:space="preserve">: Epilepsy </w:t>
    </w:r>
    <w:r w:rsidR="00C90846">
      <w:t>consultation report</w:t>
    </w:r>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1B3835"/>
    <w:multiLevelType w:val="multilevel"/>
    <w:tmpl w:val="336E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100083"/>
    <w:multiLevelType w:val="hybridMultilevel"/>
    <w:tmpl w:val="89EA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2C0EFB"/>
    <w:multiLevelType w:val="hybridMultilevel"/>
    <w:tmpl w:val="61C072CA"/>
    <w:lvl w:ilvl="0" w:tplc="3B84862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C4EE9"/>
    <w:multiLevelType w:val="multilevel"/>
    <w:tmpl w:val="EF2C27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DD65B2A"/>
    <w:multiLevelType w:val="hybridMultilevel"/>
    <w:tmpl w:val="3868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7644E"/>
    <w:multiLevelType w:val="multilevel"/>
    <w:tmpl w:val="F3D86946"/>
    <w:numStyleLink w:val="Tablebulletindented"/>
  </w:abstractNum>
  <w:abstractNum w:abstractNumId="26"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01BFD"/>
    <w:multiLevelType w:val="multilevel"/>
    <w:tmpl w:val="F3D86946"/>
    <w:numStyleLink w:val="Tablebulletindented"/>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21A74A7"/>
    <w:multiLevelType w:val="multilevel"/>
    <w:tmpl w:val="AB7C2810"/>
    <w:numStyleLink w:val="Tablebulletleft"/>
  </w:abstractNum>
  <w:abstractNum w:abstractNumId="30" w15:restartNumberingAfterBreak="0">
    <w:nsid w:val="54947AA6"/>
    <w:multiLevelType w:val="hybridMultilevel"/>
    <w:tmpl w:val="8362CDA4"/>
    <w:lvl w:ilvl="0" w:tplc="EE6EABF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4520F4"/>
    <w:multiLevelType w:val="multilevel"/>
    <w:tmpl w:val="AB7C2810"/>
    <w:numStyleLink w:val="Tablebulletleft"/>
  </w:abstractNum>
  <w:abstractNum w:abstractNumId="34" w15:restartNumberingAfterBreak="0">
    <w:nsid w:val="5D92015F"/>
    <w:multiLevelType w:val="multilevel"/>
    <w:tmpl w:val="AB7C2810"/>
    <w:numStyleLink w:val="Tablebulletleft"/>
  </w:abstractNum>
  <w:abstractNum w:abstractNumId="3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0D3419C"/>
    <w:multiLevelType w:val="multilevel"/>
    <w:tmpl w:val="F3D86946"/>
    <w:numStyleLink w:val="Tablebulletindented"/>
  </w:abstractNum>
  <w:abstractNum w:abstractNumId="37" w15:restartNumberingAfterBreak="0">
    <w:nsid w:val="61234B40"/>
    <w:multiLevelType w:val="hybridMultilevel"/>
    <w:tmpl w:val="13D4F5E2"/>
    <w:lvl w:ilvl="0" w:tplc="62F6E4B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A054AC"/>
    <w:multiLevelType w:val="multilevel"/>
    <w:tmpl w:val="8A3A3D5A"/>
    <w:numStyleLink w:val="Tablebullet"/>
  </w:abstractNum>
  <w:abstractNum w:abstractNumId="3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0" w15:restartNumberingAfterBreak="0">
    <w:nsid w:val="69275BC4"/>
    <w:multiLevelType w:val="hybridMultilevel"/>
    <w:tmpl w:val="9CEA5A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A34081"/>
    <w:multiLevelType w:val="multilevel"/>
    <w:tmpl w:val="F3D86946"/>
    <w:numStyleLink w:val="Tablebulletindented"/>
  </w:abstractNum>
  <w:abstractNum w:abstractNumId="43" w15:restartNumberingAfterBreak="0">
    <w:nsid w:val="6BAC01BF"/>
    <w:multiLevelType w:val="hybridMultilevel"/>
    <w:tmpl w:val="6D84F9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33E6DD8"/>
    <w:multiLevelType w:val="hybridMultilevel"/>
    <w:tmpl w:val="842AD192"/>
    <w:lvl w:ilvl="0" w:tplc="A7AC1C4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B280F37"/>
    <w:multiLevelType w:val="multilevel"/>
    <w:tmpl w:val="F3D86946"/>
    <w:numStyleLink w:val="Tablebulletindented"/>
  </w:abstractNum>
  <w:abstractNum w:abstractNumId="46" w15:restartNumberingAfterBreak="0">
    <w:nsid w:val="7D364CCB"/>
    <w:multiLevelType w:val="multilevel"/>
    <w:tmpl w:val="AB7C2810"/>
    <w:numStyleLink w:val="Tablebulletleft"/>
  </w:abstractNum>
  <w:num w:numId="1" w16cid:durableId="2047824893">
    <w:abstractNumId w:val="41"/>
  </w:num>
  <w:num w:numId="2" w16cid:durableId="1894080612">
    <w:abstractNumId w:val="10"/>
  </w:num>
  <w:num w:numId="3" w16cid:durableId="1369331638">
    <w:abstractNumId w:val="32"/>
  </w:num>
  <w:num w:numId="4" w16cid:durableId="1694066789">
    <w:abstractNumId w:val="11"/>
  </w:num>
  <w:num w:numId="5" w16cid:durableId="1180195802">
    <w:abstractNumId w:val="23"/>
  </w:num>
  <w:num w:numId="6" w16cid:durableId="44335097">
    <w:abstractNumId w:val="1"/>
  </w:num>
  <w:num w:numId="7" w16cid:durableId="272172479">
    <w:abstractNumId w:val="9"/>
  </w:num>
  <w:num w:numId="8" w16cid:durableId="1323586152">
    <w:abstractNumId w:val="20"/>
  </w:num>
  <w:num w:numId="9" w16cid:durableId="554394076">
    <w:abstractNumId w:val="22"/>
  </w:num>
  <w:num w:numId="10" w16cid:durableId="1794975956">
    <w:abstractNumId w:val="4"/>
  </w:num>
  <w:num w:numId="11" w16cid:durableId="275409364">
    <w:abstractNumId w:val="7"/>
  </w:num>
  <w:num w:numId="12" w16cid:durableId="2145652706">
    <w:abstractNumId w:val="2"/>
  </w:num>
  <w:num w:numId="13" w16cid:durableId="841549203">
    <w:abstractNumId w:val="39"/>
  </w:num>
  <w:num w:numId="14" w16cid:durableId="11344625">
    <w:abstractNumId w:val="14"/>
  </w:num>
  <w:num w:numId="15" w16cid:durableId="424083815">
    <w:abstractNumId w:val="8"/>
  </w:num>
  <w:num w:numId="16" w16cid:durableId="594243923">
    <w:abstractNumId w:val="17"/>
  </w:num>
  <w:num w:numId="17" w16cid:durableId="998266528">
    <w:abstractNumId w:val="15"/>
  </w:num>
  <w:num w:numId="18" w16cid:durableId="415857932">
    <w:abstractNumId w:val="18"/>
  </w:num>
  <w:num w:numId="19" w16cid:durableId="793400604">
    <w:abstractNumId w:val="28"/>
  </w:num>
  <w:num w:numId="20" w16cid:durableId="780683512">
    <w:abstractNumId w:val="5"/>
  </w:num>
  <w:num w:numId="21" w16cid:durableId="886839895">
    <w:abstractNumId w:val="35"/>
  </w:num>
  <w:num w:numId="22" w16cid:durableId="646863756">
    <w:abstractNumId w:val="24"/>
  </w:num>
  <w:num w:numId="23" w16cid:durableId="363099452">
    <w:abstractNumId w:val="37"/>
  </w:num>
  <w:num w:numId="24" w16cid:durableId="1306736478">
    <w:abstractNumId w:val="0"/>
  </w:num>
  <w:num w:numId="25" w16cid:durableId="740130706">
    <w:abstractNumId w:val="3"/>
  </w:num>
  <w:num w:numId="26" w16cid:durableId="1041436232">
    <w:abstractNumId w:val="46"/>
  </w:num>
  <w:num w:numId="27" w16cid:durableId="347803001">
    <w:abstractNumId w:val="33"/>
  </w:num>
  <w:num w:numId="28" w16cid:durableId="36979058">
    <w:abstractNumId w:val="34"/>
  </w:num>
  <w:num w:numId="29" w16cid:durableId="1863124950">
    <w:abstractNumId w:val="29"/>
  </w:num>
  <w:num w:numId="30" w16cid:durableId="2108386707">
    <w:abstractNumId w:val="31"/>
  </w:num>
  <w:num w:numId="31" w16cid:durableId="468936340">
    <w:abstractNumId w:val="25"/>
  </w:num>
  <w:num w:numId="32" w16cid:durableId="1317878260">
    <w:abstractNumId w:val="36"/>
  </w:num>
  <w:num w:numId="33" w16cid:durableId="1248881060">
    <w:abstractNumId w:val="27"/>
  </w:num>
  <w:num w:numId="34" w16cid:durableId="26882080">
    <w:abstractNumId w:val="45"/>
  </w:num>
  <w:num w:numId="35" w16cid:durableId="1246303568">
    <w:abstractNumId w:val="42"/>
  </w:num>
  <w:num w:numId="36" w16cid:durableId="1036779677">
    <w:abstractNumId w:val="16"/>
  </w:num>
  <w:num w:numId="37" w16cid:durableId="120611462">
    <w:abstractNumId w:val="38"/>
  </w:num>
  <w:num w:numId="38" w16cid:durableId="1584953468">
    <w:abstractNumId w:val="43"/>
  </w:num>
  <w:num w:numId="39" w16cid:durableId="895166681">
    <w:abstractNumId w:val="13"/>
  </w:num>
  <w:num w:numId="40" w16cid:durableId="576477084">
    <w:abstractNumId w:val="12"/>
  </w:num>
  <w:num w:numId="41" w16cid:durableId="1976445774">
    <w:abstractNumId w:val="26"/>
  </w:num>
  <w:num w:numId="42" w16cid:durableId="1138454069">
    <w:abstractNumId w:val="6"/>
  </w:num>
  <w:num w:numId="43" w16cid:durableId="24388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0473841">
    <w:abstractNumId w:val="21"/>
  </w:num>
  <w:num w:numId="45" w16cid:durableId="9151706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92119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84172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2AC5"/>
    <w:rsid w:val="00011FC6"/>
    <w:rsid w:val="0001222B"/>
    <w:rsid w:val="00015441"/>
    <w:rsid w:val="00016234"/>
    <w:rsid w:val="00017F45"/>
    <w:rsid w:val="0002231A"/>
    <w:rsid w:val="00024D0A"/>
    <w:rsid w:val="00025A5C"/>
    <w:rsid w:val="00025DE0"/>
    <w:rsid w:val="000300AE"/>
    <w:rsid w:val="00030385"/>
    <w:rsid w:val="0003213D"/>
    <w:rsid w:val="00036B85"/>
    <w:rsid w:val="00037552"/>
    <w:rsid w:val="00037BDB"/>
    <w:rsid w:val="000450C7"/>
    <w:rsid w:val="000501B7"/>
    <w:rsid w:val="00051FF0"/>
    <w:rsid w:val="000524FA"/>
    <w:rsid w:val="00052A67"/>
    <w:rsid w:val="00052B85"/>
    <w:rsid w:val="00053145"/>
    <w:rsid w:val="000550F0"/>
    <w:rsid w:val="00060DA1"/>
    <w:rsid w:val="0006231E"/>
    <w:rsid w:val="00062405"/>
    <w:rsid w:val="00063213"/>
    <w:rsid w:val="00063B7C"/>
    <w:rsid w:val="000660D6"/>
    <w:rsid w:val="00070065"/>
    <w:rsid w:val="0007042D"/>
    <w:rsid w:val="000730AC"/>
    <w:rsid w:val="00077062"/>
    <w:rsid w:val="00077EEC"/>
    <w:rsid w:val="0008047F"/>
    <w:rsid w:val="0008156B"/>
    <w:rsid w:val="00081BFA"/>
    <w:rsid w:val="00081C69"/>
    <w:rsid w:val="00084921"/>
    <w:rsid w:val="000853CB"/>
    <w:rsid w:val="00087DCC"/>
    <w:rsid w:val="00094BC2"/>
    <w:rsid w:val="000963D1"/>
    <w:rsid w:val="000A3542"/>
    <w:rsid w:val="000A638C"/>
    <w:rsid w:val="000A7163"/>
    <w:rsid w:val="000B1301"/>
    <w:rsid w:val="000B34B8"/>
    <w:rsid w:val="000B5939"/>
    <w:rsid w:val="000B5EBE"/>
    <w:rsid w:val="000B7667"/>
    <w:rsid w:val="000C22B9"/>
    <w:rsid w:val="000C4EE8"/>
    <w:rsid w:val="000D1487"/>
    <w:rsid w:val="000D3776"/>
    <w:rsid w:val="000D47F7"/>
    <w:rsid w:val="000E0E0D"/>
    <w:rsid w:val="000E4899"/>
    <w:rsid w:val="000E7E3C"/>
    <w:rsid w:val="000F07CE"/>
    <w:rsid w:val="000F3B49"/>
    <w:rsid w:val="0010341D"/>
    <w:rsid w:val="001043B0"/>
    <w:rsid w:val="00110AD8"/>
    <w:rsid w:val="0011175C"/>
    <w:rsid w:val="00112FAE"/>
    <w:rsid w:val="001131E2"/>
    <w:rsid w:val="001134E7"/>
    <w:rsid w:val="00124CBD"/>
    <w:rsid w:val="001275A3"/>
    <w:rsid w:val="00134FDA"/>
    <w:rsid w:val="00135081"/>
    <w:rsid w:val="001352C4"/>
    <w:rsid w:val="0013650A"/>
    <w:rsid w:val="001368F7"/>
    <w:rsid w:val="001413FC"/>
    <w:rsid w:val="00145CDE"/>
    <w:rsid w:val="00146613"/>
    <w:rsid w:val="001503E8"/>
    <w:rsid w:val="001531EC"/>
    <w:rsid w:val="00154516"/>
    <w:rsid w:val="00156529"/>
    <w:rsid w:val="00157604"/>
    <w:rsid w:val="001579DA"/>
    <w:rsid w:val="00161EBC"/>
    <w:rsid w:val="00165770"/>
    <w:rsid w:val="00165B01"/>
    <w:rsid w:val="00166C1A"/>
    <w:rsid w:val="00167736"/>
    <w:rsid w:val="0017169E"/>
    <w:rsid w:val="0017396B"/>
    <w:rsid w:val="00175BE8"/>
    <w:rsid w:val="00177200"/>
    <w:rsid w:val="00182263"/>
    <w:rsid w:val="0018264E"/>
    <w:rsid w:val="0018281C"/>
    <w:rsid w:val="00185F6B"/>
    <w:rsid w:val="00192188"/>
    <w:rsid w:val="001936A7"/>
    <w:rsid w:val="00193D4B"/>
    <w:rsid w:val="00194E6C"/>
    <w:rsid w:val="00196653"/>
    <w:rsid w:val="001976DA"/>
    <w:rsid w:val="001A056C"/>
    <w:rsid w:val="001A23E4"/>
    <w:rsid w:val="001A281B"/>
    <w:rsid w:val="001A48E7"/>
    <w:rsid w:val="001A5577"/>
    <w:rsid w:val="001A65F4"/>
    <w:rsid w:val="001A73CD"/>
    <w:rsid w:val="001B06E1"/>
    <w:rsid w:val="001B1619"/>
    <w:rsid w:val="001B187B"/>
    <w:rsid w:val="001B3C11"/>
    <w:rsid w:val="001B3FEC"/>
    <w:rsid w:val="001B5300"/>
    <w:rsid w:val="001B5CBD"/>
    <w:rsid w:val="001B65B3"/>
    <w:rsid w:val="001B6DC2"/>
    <w:rsid w:val="001C74F4"/>
    <w:rsid w:val="001D0D90"/>
    <w:rsid w:val="001D20D0"/>
    <w:rsid w:val="001D24D0"/>
    <w:rsid w:val="001D3D36"/>
    <w:rsid w:val="001D6E16"/>
    <w:rsid w:val="001E08E9"/>
    <w:rsid w:val="001E0B63"/>
    <w:rsid w:val="001F1315"/>
    <w:rsid w:val="001F1D2D"/>
    <w:rsid w:val="001F4846"/>
    <w:rsid w:val="001F6AB0"/>
    <w:rsid w:val="00204572"/>
    <w:rsid w:val="00205FBE"/>
    <w:rsid w:val="00210375"/>
    <w:rsid w:val="002128D3"/>
    <w:rsid w:val="002132AF"/>
    <w:rsid w:val="00214A72"/>
    <w:rsid w:val="00215444"/>
    <w:rsid w:val="00220661"/>
    <w:rsid w:val="0022189B"/>
    <w:rsid w:val="002229AD"/>
    <w:rsid w:val="00224AEE"/>
    <w:rsid w:val="00225FF4"/>
    <w:rsid w:val="00230A13"/>
    <w:rsid w:val="002331C6"/>
    <w:rsid w:val="00234FC1"/>
    <w:rsid w:val="0023581C"/>
    <w:rsid w:val="00236B76"/>
    <w:rsid w:val="002408EA"/>
    <w:rsid w:val="00241410"/>
    <w:rsid w:val="00244B6F"/>
    <w:rsid w:val="002563DF"/>
    <w:rsid w:val="00260531"/>
    <w:rsid w:val="0026108E"/>
    <w:rsid w:val="002614ED"/>
    <w:rsid w:val="00265142"/>
    <w:rsid w:val="002658CE"/>
    <w:rsid w:val="00266AA6"/>
    <w:rsid w:val="00266B50"/>
    <w:rsid w:val="00270605"/>
    <w:rsid w:val="00271804"/>
    <w:rsid w:val="00271857"/>
    <w:rsid w:val="00277ED2"/>
    <w:rsid w:val="00280F8A"/>
    <w:rsid w:val="00286537"/>
    <w:rsid w:val="00286C3A"/>
    <w:rsid w:val="00291A5B"/>
    <w:rsid w:val="0029330E"/>
    <w:rsid w:val="00297AF7"/>
    <w:rsid w:val="002A5503"/>
    <w:rsid w:val="002A7339"/>
    <w:rsid w:val="002B365D"/>
    <w:rsid w:val="002B50BC"/>
    <w:rsid w:val="002B71D2"/>
    <w:rsid w:val="002C1A7E"/>
    <w:rsid w:val="002C2893"/>
    <w:rsid w:val="002C292E"/>
    <w:rsid w:val="002C3917"/>
    <w:rsid w:val="002C3F2E"/>
    <w:rsid w:val="002C5955"/>
    <w:rsid w:val="002C5BFD"/>
    <w:rsid w:val="002C7316"/>
    <w:rsid w:val="002C73DF"/>
    <w:rsid w:val="002D110F"/>
    <w:rsid w:val="002D12BB"/>
    <w:rsid w:val="002D20E7"/>
    <w:rsid w:val="002D2BB0"/>
    <w:rsid w:val="002D2C7E"/>
    <w:rsid w:val="002D2CC4"/>
    <w:rsid w:val="002D2D5C"/>
    <w:rsid w:val="002D2FD2"/>
    <w:rsid w:val="002D58EA"/>
    <w:rsid w:val="002D61DB"/>
    <w:rsid w:val="002D7242"/>
    <w:rsid w:val="002E13A4"/>
    <w:rsid w:val="002F2EEF"/>
    <w:rsid w:val="002F3E31"/>
    <w:rsid w:val="002F58D0"/>
    <w:rsid w:val="002F67D9"/>
    <w:rsid w:val="002F69F1"/>
    <w:rsid w:val="0030158E"/>
    <w:rsid w:val="003015B5"/>
    <w:rsid w:val="0030244C"/>
    <w:rsid w:val="003030A7"/>
    <w:rsid w:val="00303C54"/>
    <w:rsid w:val="003052E9"/>
    <w:rsid w:val="00307BCF"/>
    <w:rsid w:val="00311ED0"/>
    <w:rsid w:val="00311FE4"/>
    <w:rsid w:val="0031497D"/>
    <w:rsid w:val="00314B71"/>
    <w:rsid w:val="00314BE3"/>
    <w:rsid w:val="00316D48"/>
    <w:rsid w:val="003246F7"/>
    <w:rsid w:val="00324C60"/>
    <w:rsid w:val="00326131"/>
    <w:rsid w:val="00326482"/>
    <w:rsid w:val="003273A2"/>
    <w:rsid w:val="00330EED"/>
    <w:rsid w:val="003351B7"/>
    <w:rsid w:val="0033612D"/>
    <w:rsid w:val="0033631A"/>
    <w:rsid w:val="00336946"/>
    <w:rsid w:val="00340D15"/>
    <w:rsid w:val="003421F6"/>
    <w:rsid w:val="00351FA4"/>
    <w:rsid w:val="00351FDE"/>
    <w:rsid w:val="003524BA"/>
    <w:rsid w:val="00352FD0"/>
    <w:rsid w:val="00355003"/>
    <w:rsid w:val="00355BED"/>
    <w:rsid w:val="0035645A"/>
    <w:rsid w:val="00357C1E"/>
    <w:rsid w:val="003604C3"/>
    <w:rsid w:val="00362EE3"/>
    <w:rsid w:val="00365698"/>
    <w:rsid w:val="00370ACD"/>
    <w:rsid w:val="00371E29"/>
    <w:rsid w:val="003722FA"/>
    <w:rsid w:val="00373EA4"/>
    <w:rsid w:val="00374EB6"/>
    <w:rsid w:val="00375AE7"/>
    <w:rsid w:val="00376C2A"/>
    <w:rsid w:val="00377277"/>
    <w:rsid w:val="00377304"/>
    <w:rsid w:val="0037760D"/>
    <w:rsid w:val="00380932"/>
    <w:rsid w:val="00381BEA"/>
    <w:rsid w:val="00381FB7"/>
    <w:rsid w:val="00384141"/>
    <w:rsid w:val="003861AC"/>
    <w:rsid w:val="003862A5"/>
    <w:rsid w:val="003953C7"/>
    <w:rsid w:val="00397F7B"/>
    <w:rsid w:val="003A3E2A"/>
    <w:rsid w:val="003A57A5"/>
    <w:rsid w:val="003B0286"/>
    <w:rsid w:val="003B091A"/>
    <w:rsid w:val="003B1C33"/>
    <w:rsid w:val="003B1DA5"/>
    <w:rsid w:val="003B69AA"/>
    <w:rsid w:val="003C3023"/>
    <w:rsid w:val="003C39D1"/>
    <w:rsid w:val="003C7AAF"/>
    <w:rsid w:val="003D0FFD"/>
    <w:rsid w:val="003D238F"/>
    <w:rsid w:val="003D52EA"/>
    <w:rsid w:val="003D58F7"/>
    <w:rsid w:val="003D5D5A"/>
    <w:rsid w:val="003D6018"/>
    <w:rsid w:val="003E12B1"/>
    <w:rsid w:val="003E1787"/>
    <w:rsid w:val="003E22FC"/>
    <w:rsid w:val="003F2EC0"/>
    <w:rsid w:val="003F40D1"/>
    <w:rsid w:val="003F42F7"/>
    <w:rsid w:val="003F540E"/>
    <w:rsid w:val="003F7CE6"/>
    <w:rsid w:val="003F7D78"/>
    <w:rsid w:val="004014E8"/>
    <w:rsid w:val="00405B03"/>
    <w:rsid w:val="004068EA"/>
    <w:rsid w:val="004075B6"/>
    <w:rsid w:val="00410DC1"/>
    <w:rsid w:val="00411C38"/>
    <w:rsid w:val="0041238E"/>
    <w:rsid w:val="004150FB"/>
    <w:rsid w:val="00420590"/>
    <w:rsid w:val="00420952"/>
    <w:rsid w:val="00423C0E"/>
    <w:rsid w:val="00423DB4"/>
    <w:rsid w:val="0042408D"/>
    <w:rsid w:val="0042425C"/>
    <w:rsid w:val="004271A0"/>
    <w:rsid w:val="004304FB"/>
    <w:rsid w:val="004306C0"/>
    <w:rsid w:val="00435570"/>
    <w:rsid w:val="00441B9F"/>
    <w:rsid w:val="00446BEE"/>
    <w:rsid w:val="00450808"/>
    <w:rsid w:val="00450E6D"/>
    <w:rsid w:val="004518F7"/>
    <w:rsid w:val="0045334C"/>
    <w:rsid w:val="00461C01"/>
    <w:rsid w:val="0046325E"/>
    <w:rsid w:val="00466ADB"/>
    <w:rsid w:val="0046709A"/>
    <w:rsid w:val="00472CEC"/>
    <w:rsid w:val="00474FE4"/>
    <w:rsid w:val="00475B14"/>
    <w:rsid w:val="00475C7C"/>
    <w:rsid w:val="00475D8E"/>
    <w:rsid w:val="004772EF"/>
    <w:rsid w:val="0047731B"/>
    <w:rsid w:val="004824B6"/>
    <w:rsid w:val="00482C01"/>
    <w:rsid w:val="00483498"/>
    <w:rsid w:val="0048353B"/>
    <w:rsid w:val="00486953"/>
    <w:rsid w:val="004907E0"/>
    <w:rsid w:val="0049285D"/>
    <w:rsid w:val="00492AC8"/>
    <w:rsid w:val="00492CB6"/>
    <w:rsid w:val="00496B1E"/>
    <w:rsid w:val="00497AD3"/>
    <w:rsid w:val="004A13E2"/>
    <w:rsid w:val="004A237B"/>
    <w:rsid w:val="004A664D"/>
    <w:rsid w:val="004B4360"/>
    <w:rsid w:val="004B4991"/>
    <w:rsid w:val="004B5F89"/>
    <w:rsid w:val="004B686A"/>
    <w:rsid w:val="004B688D"/>
    <w:rsid w:val="004C3670"/>
    <w:rsid w:val="004C3BFD"/>
    <w:rsid w:val="004C534F"/>
    <w:rsid w:val="004D1267"/>
    <w:rsid w:val="004D24AC"/>
    <w:rsid w:val="004D26AD"/>
    <w:rsid w:val="004D2897"/>
    <w:rsid w:val="004D39E2"/>
    <w:rsid w:val="004D478B"/>
    <w:rsid w:val="004D756F"/>
    <w:rsid w:val="004E0A9F"/>
    <w:rsid w:val="004E0E78"/>
    <w:rsid w:val="004E2B4A"/>
    <w:rsid w:val="004E4C4B"/>
    <w:rsid w:val="004E54B6"/>
    <w:rsid w:val="004F15E4"/>
    <w:rsid w:val="004F1B4F"/>
    <w:rsid w:val="004F242D"/>
    <w:rsid w:val="004F3269"/>
    <w:rsid w:val="00500339"/>
    <w:rsid w:val="00501679"/>
    <w:rsid w:val="005025A1"/>
    <w:rsid w:val="00502C4B"/>
    <w:rsid w:val="00503C54"/>
    <w:rsid w:val="0050409D"/>
    <w:rsid w:val="00505407"/>
    <w:rsid w:val="00505DA4"/>
    <w:rsid w:val="00510FAD"/>
    <w:rsid w:val="005127C1"/>
    <w:rsid w:val="005138B7"/>
    <w:rsid w:val="005143BA"/>
    <w:rsid w:val="005243EC"/>
    <w:rsid w:val="005249CF"/>
    <w:rsid w:val="00525DD1"/>
    <w:rsid w:val="00527A29"/>
    <w:rsid w:val="00531401"/>
    <w:rsid w:val="0053191C"/>
    <w:rsid w:val="005324B2"/>
    <w:rsid w:val="00545970"/>
    <w:rsid w:val="005470BE"/>
    <w:rsid w:val="00555CC8"/>
    <w:rsid w:val="00556B58"/>
    <w:rsid w:val="005577FA"/>
    <w:rsid w:val="00560D68"/>
    <w:rsid w:val="0056143D"/>
    <w:rsid w:val="0056425E"/>
    <w:rsid w:val="00565745"/>
    <w:rsid w:val="0056705D"/>
    <w:rsid w:val="00571209"/>
    <w:rsid w:val="00571370"/>
    <w:rsid w:val="00573DAF"/>
    <w:rsid w:val="00575207"/>
    <w:rsid w:val="005806EB"/>
    <w:rsid w:val="00580FF4"/>
    <w:rsid w:val="00583913"/>
    <w:rsid w:val="005842A7"/>
    <w:rsid w:val="00584C95"/>
    <w:rsid w:val="00586210"/>
    <w:rsid w:val="005935C0"/>
    <w:rsid w:val="00596607"/>
    <w:rsid w:val="005A014D"/>
    <w:rsid w:val="005A188D"/>
    <w:rsid w:val="005A27AA"/>
    <w:rsid w:val="005A4AD8"/>
    <w:rsid w:val="005A50D3"/>
    <w:rsid w:val="005A576F"/>
    <w:rsid w:val="005A64F3"/>
    <w:rsid w:val="005A6AB3"/>
    <w:rsid w:val="005B0095"/>
    <w:rsid w:val="005B3FBE"/>
    <w:rsid w:val="005B5C8B"/>
    <w:rsid w:val="005B73E7"/>
    <w:rsid w:val="005C566C"/>
    <w:rsid w:val="005D15B9"/>
    <w:rsid w:val="005D1E0A"/>
    <w:rsid w:val="005E0AC1"/>
    <w:rsid w:val="005E437F"/>
    <w:rsid w:val="005E57B2"/>
    <w:rsid w:val="005F25FD"/>
    <w:rsid w:val="005F3C5C"/>
    <w:rsid w:val="005F5A6C"/>
    <w:rsid w:val="005F5AFD"/>
    <w:rsid w:val="005F6BB8"/>
    <w:rsid w:val="005F6F0A"/>
    <w:rsid w:val="0061221F"/>
    <w:rsid w:val="00614078"/>
    <w:rsid w:val="006142DA"/>
    <w:rsid w:val="006150A0"/>
    <w:rsid w:val="0062228B"/>
    <w:rsid w:val="00624430"/>
    <w:rsid w:val="00625AEE"/>
    <w:rsid w:val="00627687"/>
    <w:rsid w:val="00637F2A"/>
    <w:rsid w:val="00642C45"/>
    <w:rsid w:val="0064313B"/>
    <w:rsid w:val="0064604F"/>
    <w:rsid w:val="00651D20"/>
    <w:rsid w:val="006523CB"/>
    <w:rsid w:val="0065348A"/>
    <w:rsid w:val="00654983"/>
    <w:rsid w:val="006557A6"/>
    <w:rsid w:val="00657C65"/>
    <w:rsid w:val="006635D1"/>
    <w:rsid w:val="00663849"/>
    <w:rsid w:val="006639FD"/>
    <w:rsid w:val="00664F8F"/>
    <w:rsid w:val="00666A4E"/>
    <w:rsid w:val="00667C21"/>
    <w:rsid w:val="00676FF1"/>
    <w:rsid w:val="006814B9"/>
    <w:rsid w:val="0068417E"/>
    <w:rsid w:val="00684913"/>
    <w:rsid w:val="00686D56"/>
    <w:rsid w:val="006921E1"/>
    <w:rsid w:val="00692F13"/>
    <w:rsid w:val="006937D0"/>
    <w:rsid w:val="00693996"/>
    <w:rsid w:val="00696325"/>
    <w:rsid w:val="006966FC"/>
    <w:rsid w:val="00697BA3"/>
    <w:rsid w:val="006A5E06"/>
    <w:rsid w:val="006B0B64"/>
    <w:rsid w:val="006B1C05"/>
    <w:rsid w:val="006C4CFF"/>
    <w:rsid w:val="006D4325"/>
    <w:rsid w:val="006D55A6"/>
    <w:rsid w:val="006D6BD0"/>
    <w:rsid w:val="006E09CB"/>
    <w:rsid w:val="006E2124"/>
    <w:rsid w:val="006E23A2"/>
    <w:rsid w:val="006E303F"/>
    <w:rsid w:val="006E4E37"/>
    <w:rsid w:val="006E5D76"/>
    <w:rsid w:val="006F0E3D"/>
    <w:rsid w:val="006F17D4"/>
    <w:rsid w:val="006F2E97"/>
    <w:rsid w:val="006F6463"/>
    <w:rsid w:val="0070285F"/>
    <w:rsid w:val="0070542C"/>
    <w:rsid w:val="007067D1"/>
    <w:rsid w:val="007139DD"/>
    <w:rsid w:val="007143AC"/>
    <w:rsid w:val="00716007"/>
    <w:rsid w:val="00730AA4"/>
    <w:rsid w:val="007323B9"/>
    <w:rsid w:val="00732C44"/>
    <w:rsid w:val="00734CC7"/>
    <w:rsid w:val="00736348"/>
    <w:rsid w:val="00736448"/>
    <w:rsid w:val="00736D41"/>
    <w:rsid w:val="00737F84"/>
    <w:rsid w:val="00740203"/>
    <w:rsid w:val="007455FA"/>
    <w:rsid w:val="007469C6"/>
    <w:rsid w:val="00746C13"/>
    <w:rsid w:val="00752F55"/>
    <w:rsid w:val="007573F4"/>
    <w:rsid w:val="007574DD"/>
    <w:rsid w:val="00760E09"/>
    <w:rsid w:val="00762D25"/>
    <w:rsid w:val="007646C3"/>
    <w:rsid w:val="0076595B"/>
    <w:rsid w:val="0076743A"/>
    <w:rsid w:val="00770B9A"/>
    <w:rsid w:val="007718E7"/>
    <w:rsid w:val="007736D6"/>
    <w:rsid w:val="00777F1C"/>
    <w:rsid w:val="007825BE"/>
    <w:rsid w:val="007831FB"/>
    <w:rsid w:val="007839C3"/>
    <w:rsid w:val="00785616"/>
    <w:rsid w:val="0079078B"/>
    <w:rsid w:val="007910D0"/>
    <w:rsid w:val="00792D69"/>
    <w:rsid w:val="0079772A"/>
    <w:rsid w:val="007B5378"/>
    <w:rsid w:val="007C3010"/>
    <w:rsid w:val="007C4561"/>
    <w:rsid w:val="007C4814"/>
    <w:rsid w:val="007C516A"/>
    <w:rsid w:val="007C64DC"/>
    <w:rsid w:val="007C6CFD"/>
    <w:rsid w:val="007D28D7"/>
    <w:rsid w:val="007D31FD"/>
    <w:rsid w:val="007D6FEE"/>
    <w:rsid w:val="007E2014"/>
    <w:rsid w:val="007E21F8"/>
    <w:rsid w:val="007E2696"/>
    <w:rsid w:val="007E6A87"/>
    <w:rsid w:val="007E78BD"/>
    <w:rsid w:val="007F14A6"/>
    <w:rsid w:val="007F71A5"/>
    <w:rsid w:val="007F744E"/>
    <w:rsid w:val="007F7F72"/>
    <w:rsid w:val="008010D5"/>
    <w:rsid w:val="008025FD"/>
    <w:rsid w:val="00802828"/>
    <w:rsid w:val="0080288C"/>
    <w:rsid w:val="0080417F"/>
    <w:rsid w:val="00804466"/>
    <w:rsid w:val="00807FF1"/>
    <w:rsid w:val="00810C89"/>
    <w:rsid w:val="008137AD"/>
    <w:rsid w:val="00813C4A"/>
    <w:rsid w:val="00817C3D"/>
    <w:rsid w:val="00820118"/>
    <w:rsid w:val="00822301"/>
    <w:rsid w:val="00822F81"/>
    <w:rsid w:val="00824D44"/>
    <w:rsid w:val="008274B0"/>
    <w:rsid w:val="008318F6"/>
    <w:rsid w:val="0083313E"/>
    <w:rsid w:val="008331BB"/>
    <w:rsid w:val="00833D43"/>
    <w:rsid w:val="00835F0D"/>
    <w:rsid w:val="008373B1"/>
    <w:rsid w:val="00840FF7"/>
    <w:rsid w:val="00841169"/>
    <w:rsid w:val="008426EB"/>
    <w:rsid w:val="00844032"/>
    <w:rsid w:val="008443D8"/>
    <w:rsid w:val="008445E7"/>
    <w:rsid w:val="00847D3A"/>
    <w:rsid w:val="00855549"/>
    <w:rsid w:val="00855D5D"/>
    <w:rsid w:val="00861B3D"/>
    <w:rsid w:val="00865CE7"/>
    <w:rsid w:val="00867262"/>
    <w:rsid w:val="00870BDD"/>
    <w:rsid w:val="008717F1"/>
    <w:rsid w:val="008735EE"/>
    <w:rsid w:val="00876F5C"/>
    <w:rsid w:val="00880ED3"/>
    <w:rsid w:val="008822C7"/>
    <w:rsid w:val="00883721"/>
    <w:rsid w:val="00886755"/>
    <w:rsid w:val="008904D0"/>
    <w:rsid w:val="008905C1"/>
    <w:rsid w:val="008924E3"/>
    <w:rsid w:val="008A1DAE"/>
    <w:rsid w:val="008A247E"/>
    <w:rsid w:val="008A2C2A"/>
    <w:rsid w:val="008A3D62"/>
    <w:rsid w:val="008A434D"/>
    <w:rsid w:val="008A50A5"/>
    <w:rsid w:val="008A6605"/>
    <w:rsid w:val="008B4B98"/>
    <w:rsid w:val="008C183F"/>
    <w:rsid w:val="008C1C95"/>
    <w:rsid w:val="008C4122"/>
    <w:rsid w:val="008C669E"/>
    <w:rsid w:val="008D2D97"/>
    <w:rsid w:val="008D65BD"/>
    <w:rsid w:val="008D6A3E"/>
    <w:rsid w:val="008D6FA9"/>
    <w:rsid w:val="008E010F"/>
    <w:rsid w:val="008E56A4"/>
    <w:rsid w:val="008E5BA8"/>
    <w:rsid w:val="008E664D"/>
    <w:rsid w:val="008E6FCA"/>
    <w:rsid w:val="008E71E8"/>
    <w:rsid w:val="008F09BF"/>
    <w:rsid w:val="008F2FAE"/>
    <w:rsid w:val="008F4E22"/>
    <w:rsid w:val="008F61C4"/>
    <w:rsid w:val="009019A9"/>
    <w:rsid w:val="00907BFE"/>
    <w:rsid w:val="00907C13"/>
    <w:rsid w:val="00907DF5"/>
    <w:rsid w:val="0091391C"/>
    <w:rsid w:val="00915151"/>
    <w:rsid w:val="00916CED"/>
    <w:rsid w:val="00917909"/>
    <w:rsid w:val="00917D07"/>
    <w:rsid w:val="00920F9D"/>
    <w:rsid w:val="0092122F"/>
    <w:rsid w:val="009225D9"/>
    <w:rsid w:val="00925F15"/>
    <w:rsid w:val="0092757A"/>
    <w:rsid w:val="0093101C"/>
    <w:rsid w:val="00931255"/>
    <w:rsid w:val="0093543E"/>
    <w:rsid w:val="00937E8B"/>
    <w:rsid w:val="009460E7"/>
    <w:rsid w:val="00947FDB"/>
    <w:rsid w:val="00952219"/>
    <w:rsid w:val="009543A4"/>
    <w:rsid w:val="0095488B"/>
    <w:rsid w:val="00954BF7"/>
    <w:rsid w:val="009562D0"/>
    <w:rsid w:val="00957F58"/>
    <w:rsid w:val="00960337"/>
    <w:rsid w:val="00960CC3"/>
    <w:rsid w:val="009611C3"/>
    <w:rsid w:val="0096180D"/>
    <w:rsid w:val="00961E3B"/>
    <w:rsid w:val="00962360"/>
    <w:rsid w:val="00963FA8"/>
    <w:rsid w:val="009669AD"/>
    <w:rsid w:val="00970115"/>
    <w:rsid w:val="00972945"/>
    <w:rsid w:val="00973C64"/>
    <w:rsid w:val="00974384"/>
    <w:rsid w:val="00974D81"/>
    <w:rsid w:val="00976903"/>
    <w:rsid w:val="00977F9C"/>
    <w:rsid w:val="00983AF5"/>
    <w:rsid w:val="00985698"/>
    <w:rsid w:val="00986AA9"/>
    <w:rsid w:val="00987E66"/>
    <w:rsid w:val="00990173"/>
    <w:rsid w:val="00992244"/>
    <w:rsid w:val="00992C21"/>
    <w:rsid w:val="00993567"/>
    <w:rsid w:val="00995A38"/>
    <w:rsid w:val="009965E1"/>
    <w:rsid w:val="009A23F7"/>
    <w:rsid w:val="009A2B2A"/>
    <w:rsid w:val="009A38DA"/>
    <w:rsid w:val="009A569F"/>
    <w:rsid w:val="009A75C4"/>
    <w:rsid w:val="009B0897"/>
    <w:rsid w:val="009B276A"/>
    <w:rsid w:val="009B3223"/>
    <w:rsid w:val="009B3D55"/>
    <w:rsid w:val="009B4063"/>
    <w:rsid w:val="009B52E5"/>
    <w:rsid w:val="009C3C0C"/>
    <w:rsid w:val="009C3CDC"/>
    <w:rsid w:val="009C5ADA"/>
    <w:rsid w:val="009C6214"/>
    <w:rsid w:val="009C77BF"/>
    <w:rsid w:val="009D1D56"/>
    <w:rsid w:val="009D49AA"/>
    <w:rsid w:val="009D4FBB"/>
    <w:rsid w:val="009D7602"/>
    <w:rsid w:val="009E31E9"/>
    <w:rsid w:val="009E680B"/>
    <w:rsid w:val="009E7021"/>
    <w:rsid w:val="009F0C59"/>
    <w:rsid w:val="009F1902"/>
    <w:rsid w:val="009F4086"/>
    <w:rsid w:val="009F4F44"/>
    <w:rsid w:val="009F7239"/>
    <w:rsid w:val="00A0249B"/>
    <w:rsid w:val="00A05C88"/>
    <w:rsid w:val="00A07644"/>
    <w:rsid w:val="00A11761"/>
    <w:rsid w:val="00A11ECD"/>
    <w:rsid w:val="00A12BE0"/>
    <w:rsid w:val="00A13473"/>
    <w:rsid w:val="00A144F8"/>
    <w:rsid w:val="00A1592C"/>
    <w:rsid w:val="00A15A1F"/>
    <w:rsid w:val="00A16F4B"/>
    <w:rsid w:val="00A17623"/>
    <w:rsid w:val="00A17B57"/>
    <w:rsid w:val="00A240EE"/>
    <w:rsid w:val="00A3325A"/>
    <w:rsid w:val="00A526EF"/>
    <w:rsid w:val="00A53E97"/>
    <w:rsid w:val="00A60794"/>
    <w:rsid w:val="00A611CE"/>
    <w:rsid w:val="00A70A7A"/>
    <w:rsid w:val="00A71179"/>
    <w:rsid w:val="00A74AE2"/>
    <w:rsid w:val="00A756BB"/>
    <w:rsid w:val="00A77B63"/>
    <w:rsid w:val="00A80F87"/>
    <w:rsid w:val="00A8249A"/>
    <w:rsid w:val="00A85968"/>
    <w:rsid w:val="00A866E2"/>
    <w:rsid w:val="00A879B5"/>
    <w:rsid w:val="00A922F5"/>
    <w:rsid w:val="00A966A6"/>
    <w:rsid w:val="00A9779D"/>
    <w:rsid w:val="00AA14B9"/>
    <w:rsid w:val="00AA276F"/>
    <w:rsid w:val="00AA32D3"/>
    <w:rsid w:val="00AA4327"/>
    <w:rsid w:val="00AA568B"/>
    <w:rsid w:val="00AA7A0F"/>
    <w:rsid w:val="00AB09A9"/>
    <w:rsid w:val="00AB1BBA"/>
    <w:rsid w:val="00AB229F"/>
    <w:rsid w:val="00AB3D08"/>
    <w:rsid w:val="00AB5614"/>
    <w:rsid w:val="00AB744E"/>
    <w:rsid w:val="00AC4E8B"/>
    <w:rsid w:val="00AC7C93"/>
    <w:rsid w:val="00AD0DD4"/>
    <w:rsid w:val="00AD23FF"/>
    <w:rsid w:val="00AD3BCE"/>
    <w:rsid w:val="00AD56B1"/>
    <w:rsid w:val="00AD7CB3"/>
    <w:rsid w:val="00AE0661"/>
    <w:rsid w:val="00AE495F"/>
    <w:rsid w:val="00AE4EBF"/>
    <w:rsid w:val="00AE537D"/>
    <w:rsid w:val="00AE5854"/>
    <w:rsid w:val="00AE76CB"/>
    <w:rsid w:val="00AF108A"/>
    <w:rsid w:val="00AF10F5"/>
    <w:rsid w:val="00AF1393"/>
    <w:rsid w:val="00AF26B9"/>
    <w:rsid w:val="00AF5D31"/>
    <w:rsid w:val="00AF6DD8"/>
    <w:rsid w:val="00B01831"/>
    <w:rsid w:val="00B022D7"/>
    <w:rsid w:val="00B0269C"/>
    <w:rsid w:val="00B02E55"/>
    <w:rsid w:val="00B0366C"/>
    <w:rsid w:val="00B0389A"/>
    <w:rsid w:val="00B0538C"/>
    <w:rsid w:val="00B06D4E"/>
    <w:rsid w:val="00B11A62"/>
    <w:rsid w:val="00B122FA"/>
    <w:rsid w:val="00B126B9"/>
    <w:rsid w:val="00B14C5C"/>
    <w:rsid w:val="00B14DDE"/>
    <w:rsid w:val="00B157D0"/>
    <w:rsid w:val="00B17DE0"/>
    <w:rsid w:val="00B24344"/>
    <w:rsid w:val="00B27031"/>
    <w:rsid w:val="00B307EC"/>
    <w:rsid w:val="00B341DA"/>
    <w:rsid w:val="00B44CE2"/>
    <w:rsid w:val="00B53A23"/>
    <w:rsid w:val="00B54BE5"/>
    <w:rsid w:val="00B570F4"/>
    <w:rsid w:val="00B57BE4"/>
    <w:rsid w:val="00B67460"/>
    <w:rsid w:val="00B70FFB"/>
    <w:rsid w:val="00B72513"/>
    <w:rsid w:val="00B72B32"/>
    <w:rsid w:val="00B73B73"/>
    <w:rsid w:val="00B77084"/>
    <w:rsid w:val="00B80DC7"/>
    <w:rsid w:val="00B80F34"/>
    <w:rsid w:val="00B8205D"/>
    <w:rsid w:val="00B8239B"/>
    <w:rsid w:val="00B8344E"/>
    <w:rsid w:val="00B847E6"/>
    <w:rsid w:val="00B87486"/>
    <w:rsid w:val="00B909E1"/>
    <w:rsid w:val="00B91264"/>
    <w:rsid w:val="00B94316"/>
    <w:rsid w:val="00B956ED"/>
    <w:rsid w:val="00B96E71"/>
    <w:rsid w:val="00B97C95"/>
    <w:rsid w:val="00BA02F9"/>
    <w:rsid w:val="00BA31F9"/>
    <w:rsid w:val="00BA3FDA"/>
    <w:rsid w:val="00BA4313"/>
    <w:rsid w:val="00BA4784"/>
    <w:rsid w:val="00BA49EA"/>
    <w:rsid w:val="00BA4F42"/>
    <w:rsid w:val="00BA513C"/>
    <w:rsid w:val="00BA714E"/>
    <w:rsid w:val="00BA7AA3"/>
    <w:rsid w:val="00BB0A7A"/>
    <w:rsid w:val="00BB1772"/>
    <w:rsid w:val="00BB4FE3"/>
    <w:rsid w:val="00BB4FE5"/>
    <w:rsid w:val="00BB6334"/>
    <w:rsid w:val="00BB6352"/>
    <w:rsid w:val="00BB716A"/>
    <w:rsid w:val="00BC0422"/>
    <w:rsid w:val="00BC2765"/>
    <w:rsid w:val="00BC3D2A"/>
    <w:rsid w:val="00BC4575"/>
    <w:rsid w:val="00BC4CA0"/>
    <w:rsid w:val="00BC6FC8"/>
    <w:rsid w:val="00BC7ABB"/>
    <w:rsid w:val="00BD3051"/>
    <w:rsid w:val="00BD38BB"/>
    <w:rsid w:val="00BD4879"/>
    <w:rsid w:val="00BE10A8"/>
    <w:rsid w:val="00BE17CE"/>
    <w:rsid w:val="00BE5835"/>
    <w:rsid w:val="00BE5D71"/>
    <w:rsid w:val="00BF1474"/>
    <w:rsid w:val="00BF24FE"/>
    <w:rsid w:val="00BF28F7"/>
    <w:rsid w:val="00BF3B0A"/>
    <w:rsid w:val="00BF4B06"/>
    <w:rsid w:val="00BF54C1"/>
    <w:rsid w:val="00BF7FE0"/>
    <w:rsid w:val="00C0050E"/>
    <w:rsid w:val="00C0570D"/>
    <w:rsid w:val="00C06774"/>
    <w:rsid w:val="00C130C8"/>
    <w:rsid w:val="00C13168"/>
    <w:rsid w:val="00C13F60"/>
    <w:rsid w:val="00C203C9"/>
    <w:rsid w:val="00C22E43"/>
    <w:rsid w:val="00C23238"/>
    <w:rsid w:val="00C235DF"/>
    <w:rsid w:val="00C23BD4"/>
    <w:rsid w:val="00C2539E"/>
    <w:rsid w:val="00C278DE"/>
    <w:rsid w:val="00C3004B"/>
    <w:rsid w:val="00C31F4C"/>
    <w:rsid w:val="00C32ADC"/>
    <w:rsid w:val="00C35755"/>
    <w:rsid w:val="00C42E13"/>
    <w:rsid w:val="00C4427F"/>
    <w:rsid w:val="00C47DDE"/>
    <w:rsid w:val="00C50912"/>
    <w:rsid w:val="00C50FF0"/>
    <w:rsid w:val="00C52C0B"/>
    <w:rsid w:val="00C63347"/>
    <w:rsid w:val="00C64D23"/>
    <w:rsid w:val="00C67B74"/>
    <w:rsid w:val="00C7123A"/>
    <w:rsid w:val="00C7128F"/>
    <w:rsid w:val="00C71666"/>
    <w:rsid w:val="00C7331B"/>
    <w:rsid w:val="00C74D07"/>
    <w:rsid w:val="00C76C65"/>
    <w:rsid w:val="00C80EB4"/>
    <w:rsid w:val="00C8596F"/>
    <w:rsid w:val="00C85BBC"/>
    <w:rsid w:val="00C86682"/>
    <w:rsid w:val="00C90846"/>
    <w:rsid w:val="00C94681"/>
    <w:rsid w:val="00CA129E"/>
    <w:rsid w:val="00CA20B5"/>
    <w:rsid w:val="00CA3562"/>
    <w:rsid w:val="00CA371D"/>
    <w:rsid w:val="00CB0A27"/>
    <w:rsid w:val="00CB35D9"/>
    <w:rsid w:val="00CB4A8A"/>
    <w:rsid w:val="00CB5743"/>
    <w:rsid w:val="00CC04DE"/>
    <w:rsid w:val="00CC12E7"/>
    <w:rsid w:val="00CC3774"/>
    <w:rsid w:val="00CC3F84"/>
    <w:rsid w:val="00CC6E2D"/>
    <w:rsid w:val="00CD24A8"/>
    <w:rsid w:val="00CD315A"/>
    <w:rsid w:val="00CD34DC"/>
    <w:rsid w:val="00CD70FF"/>
    <w:rsid w:val="00CE0526"/>
    <w:rsid w:val="00CE1ED9"/>
    <w:rsid w:val="00CE4799"/>
    <w:rsid w:val="00CF0BB4"/>
    <w:rsid w:val="00CF2FF8"/>
    <w:rsid w:val="00CF4851"/>
    <w:rsid w:val="00CF58B7"/>
    <w:rsid w:val="00D0069F"/>
    <w:rsid w:val="00D05493"/>
    <w:rsid w:val="00D13781"/>
    <w:rsid w:val="00D148D5"/>
    <w:rsid w:val="00D16E6A"/>
    <w:rsid w:val="00D224A1"/>
    <w:rsid w:val="00D2279D"/>
    <w:rsid w:val="00D2681A"/>
    <w:rsid w:val="00D3064E"/>
    <w:rsid w:val="00D351C1"/>
    <w:rsid w:val="00D35E64"/>
    <w:rsid w:val="00D36CA3"/>
    <w:rsid w:val="00D41811"/>
    <w:rsid w:val="00D4249C"/>
    <w:rsid w:val="00D428BC"/>
    <w:rsid w:val="00D44776"/>
    <w:rsid w:val="00D44CE7"/>
    <w:rsid w:val="00D45804"/>
    <w:rsid w:val="00D46BC7"/>
    <w:rsid w:val="00D47082"/>
    <w:rsid w:val="00D51245"/>
    <w:rsid w:val="00D54B6F"/>
    <w:rsid w:val="00D54E73"/>
    <w:rsid w:val="00D54E90"/>
    <w:rsid w:val="00D613A6"/>
    <w:rsid w:val="00D61889"/>
    <w:rsid w:val="00D62262"/>
    <w:rsid w:val="00D650EA"/>
    <w:rsid w:val="00D72703"/>
    <w:rsid w:val="00D737C5"/>
    <w:rsid w:val="00D7722A"/>
    <w:rsid w:val="00D80B1B"/>
    <w:rsid w:val="00D82293"/>
    <w:rsid w:val="00D8405B"/>
    <w:rsid w:val="00D86BF0"/>
    <w:rsid w:val="00D948CA"/>
    <w:rsid w:val="00D950D8"/>
    <w:rsid w:val="00D95477"/>
    <w:rsid w:val="00DB0188"/>
    <w:rsid w:val="00DB03BD"/>
    <w:rsid w:val="00DB26A8"/>
    <w:rsid w:val="00DB4F9F"/>
    <w:rsid w:val="00DB5728"/>
    <w:rsid w:val="00DB5AE0"/>
    <w:rsid w:val="00DB6161"/>
    <w:rsid w:val="00DB70FB"/>
    <w:rsid w:val="00DC334D"/>
    <w:rsid w:val="00DC3CB8"/>
    <w:rsid w:val="00DC6AAD"/>
    <w:rsid w:val="00DE165D"/>
    <w:rsid w:val="00DE45A3"/>
    <w:rsid w:val="00DE5EE7"/>
    <w:rsid w:val="00DE6A25"/>
    <w:rsid w:val="00DF67C3"/>
    <w:rsid w:val="00DF6CEB"/>
    <w:rsid w:val="00E009D9"/>
    <w:rsid w:val="00E06ED0"/>
    <w:rsid w:val="00E1082D"/>
    <w:rsid w:val="00E130CB"/>
    <w:rsid w:val="00E14934"/>
    <w:rsid w:val="00E15529"/>
    <w:rsid w:val="00E2160E"/>
    <w:rsid w:val="00E24E02"/>
    <w:rsid w:val="00E25895"/>
    <w:rsid w:val="00E30CA9"/>
    <w:rsid w:val="00E408AB"/>
    <w:rsid w:val="00E41E68"/>
    <w:rsid w:val="00E43B2D"/>
    <w:rsid w:val="00E460A6"/>
    <w:rsid w:val="00E51920"/>
    <w:rsid w:val="00E53A58"/>
    <w:rsid w:val="00E54D26"/>
    <w:rsid w:val="00E63ADD"/>
    <w:rsid w:val="00E64120"/>
    <w:rsid w:val="00E6494F"/>
    <w:rsid w:val="00E6605C"/>
    <w:rsid w:val="00E678CB"/>
    <w:rsid w:val="00E67D1E"/>
    <w:rsid w:val="00E7075D"/>
    <w:rsid w:val="00E707FD"/>
    <w:rsid w:val="00E71657"/>
    <w:rsid w:val="00E71B0C"/>
    <w:rsid w:val="00E745BB"/>
    <w:rsid w:val="00E8010A"/>
    <w:rsid w:val="00E84601"/>
    <w:rsid w:val="00E85E09"/>
    <w:rsid w:val="00E8605D"/>
    <w:rsid w:val="00E92CE2"/>
    <w:rsid w:val="00E93CDD"/>
    <w:rsid w:val="00EA1325"/>
    <w:rsid w:val="00EA22D5"/>
    <w:rsid w:val="00EA2704"/>
    <w:rsid w:val="00EA3E72"/>
    <w:rsid w:val="00EA4221"/>
    <w:rsid w:val="00EA4D2E"/>
    <w:rsid w:val="00EB3CD8"/>
    <w:rsid w:val="00EB6F5F"/>
    <w:rsid w:val="00EC0345"/>
    <w:rsid w:val="00EC364C"/>
    <w:rsid w:val="00ED246E"/>
    <w:rsid w:val="00ED379C"/>
    <w:rsid w:val="00ED5834"/>
    <w:rsid w:val="00ED5E98"/>
    <w:rsid w:val="00ED6AAF"/>
    <w:rsid w:val="00EE065C"/>
    <w:rsid w:val="00EE3926"/>
    <w:rsid w:val="00EE5D34"/>
    <w:rsid w:val="00EF319C"/>
    <w:rsid w:val="00F00846"/>
    <w:rsid w:val="00F02496"/>
    <w:rsid w:val="00F055F1"/>
    <w:rsid w:val="00F05A46"/>
    <w:rsid w:val="00F15458"/>
    <w:rsid w:val="00F31A8E"/>
    <w:rsid w:val="00F32C2D"/>
    <w:rsid w:val="00F33A4C"/>
    <w:rsid w:val="00F34B87"/>
    <w:rsid w:val="00F358BF"/>
    <w:rsid w:val="00F374CD"/>
    <w:rsid w:val="00F41E92"/>
    <w:rsid w:val="00F434FF"/>
    <w:rsid w:val="00F4425B"/>
    <w:rsid w:val="00F47428"/>
    <w:rsid w:val="00F476F3"/>
    <w:rsid w:val="00F50D35"/>
    <w:rsid w:val="00F51024"/>
    <w:rsid w:val="00F5122A"/>
    <w:rsid w:val="00F51940"/>
    <w:rsid w:val="00F523CD"/>
    <w:rsid w:val="00F53495"/>
    <w:rsid w:val="00F542B4"/>
    <w:rsid w:val="00F561EE"/>
    <w:rsid w:val="00F63D66"/>
    <w:rsid w:val="00F64504"/>
    <w:rsid w:val="00F6458C"/>
    <w:rsid w:val="00F6478A"/>
    <w:rsid w:val="00F6661C"/>
    <w:rsid w:val="00F701C7"/>
    <w:rsid w:val="00F715C1"/>
    <w:rsid w:val="00F77823"/>
    <w:rsid w:val="00F77FD4"/>
    <w:rsid w:val="00F82391"/>
    <w:rsid w:val="00F85475"/>
    <w:rsid w:val="00F858CA"/>
    <w:rsid w:val="00F87E9D"/>
    <w:rsid w:val="00F916DC"/>
    <w:rsid w:val="00F91CB8"/>
    <w:rsid w:val="00F94BD6"/>
    <w:rsid w:val="00F958CC"/>
    <w:rsid w:val="00F964F2"/>
    <w:rsid w:val="00FA464E"/>
    <w:rsid w:val="00FA60EE"/>
    <w:rsid w:val="00FA7D13"/>
    <w:rsid w:val="00FA7EA2"/>
    <w:rsid w:val="00FB2379"/>
    <w:rsid w:val="00FB3848"/>
    <w:rsid w:val="00FB5293"/>
    <w:rsid w:val="00FB5446"/>
    <w:rsid w:val="00FC0D46"/>
    <w:rsid w:val="00FC10ED"/>
    <w:rsid w:val="00FC2D11"/>
    <w:rsid w:val="00FC373B"/>
    <w:rsid w:val="00FC3D9C"/>
    <w:rsid w:val="00FC6230"/>
    <w:rsid w:val="00FD0638"/>
    <w:rsid w:val="00FD2A0A"/>
    <w:rsid w:val="00FD3934"/>
    <w:rsid w:val="00FD40F7"/>
    <w:rsid w:val="00FD5913"/>
    <w:rsid w:val="00FE0558"/>
    <w:rsid w:val="00FE0BF6"/>
    <w:rsid w:val="00FE11E8"/>
    <w:rsid w:val="00FE12CE"/>
    <w:rsid w:val="00FE29B5"/>
    <w:rsid w:val="00FE32EB"/>
    <w:rsid w:val="00FE3AFF"/>
    <w:rsid w:val="00FE573C"/>
    <w:rsid w:val="00FE71DA"/>
    <w:rsid w:val="00FE748F"/>
    <w:rsid w:val="00FE7F98"/>
    <w:rsid w:val="00FF065B"/>
    <w:rsid w:val="00FF3F10"/>
    <w:rsid w:val="00FF4275"/>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B6F"/>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2D61DB"/>
    <w:pPr>
      <w:tabs>
        <w:tab w:val="right" w:leader="dot" w:pos="9017"/>
      </w:tabs>
    </w:pPr>
    <w:rPr>
      <w:rFonts w:ascii="Arial" w:hAnsi="Arial"/>
    </w:rPr>
  </w:style>
  <w:style w:type="paragraph" w:styleId="TOC2">
    <w:name w:val="toc 2"/>
    <w:basedOn w:val="Normal"/>
    <w:next w:val="Normal"/>
    <w:autoRedefine/>
    <w:uiPriority w:val="39"/>
    <w:rsid w:val="00F858CA"/>
    <w:pPr>
      <w:ind w:left="240"/>
    </w:pPr>
    <w:rPr>
      <w:rFonts w:ascii="Arial" w:hAnsi="Arial"/>
    </w:rPr>
  </w:style>
  <w:style w:type="paragraph" w:styleId="TOC3">
    <w:name w:val="toc 3"/>
    <w:basedOn w:val="Normal"/>
    <w:next w:val="Normal"/>
    <w:autoRedefine/>
    <w:uiPriority w:val="39"/>
    <w:rsid w:val="002D61DB"/>
    <w:pPr>
      <w:tabs>
        <w:tab w:val="right" w:leader="dot" w:pos="9017"/>
      </w:tabs>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5"/>
      </w:numPr>
    </w:pPr>
  </w:style>
  <w:style w:type="numbering" w:customStyle="1" w:styleId="Tablebulletindented">
    <w:name w:val="Table bullet indented"/>
    <w:basedOn w:val="NoList"/>
    <w:rsid w:val="00ED6AAF"/>
    <w:pPr>
      <w:numPr>
        <w:numId w:val="30"/>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4"/>
      </w:numPr>
      <w:contextualSpacing/>
    </w:pPr>
    <w:rPr>
      <w:rFonts w:ascii="Arial" w:hAnsi="Arial" w:cs="Arial"/>
      <w:spacing w:val="-3"/>
    </w:rPr>
  </w:style>
  <w:style w:type="numbering" w:customStyle="1" w:styleId="Tablebullet">
    <w:name w:val="Table bullet"/>
    <w:basedOn w:val="NoList"/>
    <w:rsid w:val="00ED6AAF"/>
    <w:pPr>
      <w:numPr>
        <w:numId w:val="36"/>
      </w:numPr>
    </w:pPr>
  </w:style>
  <w:style w:type="paragraph" w:styleId="ListParagraph">
    <w:name w:val="List Paragraph"/>
    <w:basedOn w:val="Normal"/>
    <w:uiPriority w:val="34"/>
    <w:semiHidden/>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FA7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17" TargetMode="External"/><Relationship Id="rId13" Type="http://schemas.openxmlformats.org/officeDocument/2006/relationships/header" Target="header1.xml"/><Relationship Id="rId18" Type="http://schemas.openxmlformats.org/officeDocument/2006/relationships/hyperlink" Target="https://www.youngepilepsy.org.uk/dmdocuments/research-reports/research-project-reports/CHESS-report-2014.pdf" TargetMode="External"/><Relationship Id="rId3" Type="http://schemas.openxmlformats.org/officeDocument/2006/relationships/styles" Target="styles.xml"/><Relationship Id="rId21" Type="http://schemas.openxmlformats.org/officeDocument/2006/relationships/hyperlink" Target="https://www.youngepilepsy.org.uk/dmdocuments/Young%20people's%20experiences%20of%20epilepsy%20and%20mental%20wellbeing%20-%20Survey%20findings%20-%20Nov%2021.pdf" TargetMode="External"/><Relationship Id="rId7" Type="http://schemas.openxmlformats.org/officeDocument/2006/relationships/endnotes" Target="endnotes.xml"/><Relationship Id="rId12" Type="http://schemas.openxmlformats.org/officeDocument/2006/relationships/hyperlink" Target="https://www.nice.org.uk/guidance/cg185" TargetMode="External"/><Relationship Id="rId17" Type="http://schemas.openxmlformats.org/officeDocument/2006/relationships/hyperlink" Target="https://www.england.nhs.uk/midlands/wp-content/uploads/sites/46/2021/12/Confidential-Embargoed-Copy-Clive-Treacey-Independent-Review-Final-Report-8.12.2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ks.nice.org.uk/topics/epilepsy/management/routine-epilepsy-review/" TargetMode="External"/><Relationship Id="rId20" Type="http://schemas.openxmlformats.org/officeDocument/2006/relationships/hyperlink" Target="https://onlinelibrary.wiley.com/doi/pdf/10.1111/j.1469-8749.2003.tb0039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cg17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ngepilepsy.org.uk/dmdocuments/NEW%20Young%20people's%20experiences%20of%20epilepsy%20care%20-%20Survey%20findings.pdf" TargetMode="External"/><Relationship Id="rId23" Type="http://schemas.openxmlformats.org/officeDocument/2006/relationships/hyperlink" Target="https://publications.aap.org/pediatrics/article-abstract/128/6/e1532/31141/Psychiatric-and-Medical-Comorbidity-and-Quality-of?redirectedFrom=fulltext" TargetMode="External"/><Relationship Id="rId10" Type="http://schemas.openxmlformats.org/officeDocument/2006/relationships/hyperlink" Target="https://www.nice.org.uk/guidance/ng217" TargetMode="External"/><Relationship Id="rId19" Type="http://schemas.openxmlformats.org/officeDocument/2006/relationships/hyperlink" Target="https://www.epilepsy.org.uk/news/news/study-finds-increased-risk-death-suicide-and-accidents-people-epilepsy-68260" TargetMode="External"/><Relationship Id="rId4" Type="http://schemas.openxmlformats.org/officeDocument/2006/relationships/settings" Target="settings.xml"/><Relationship Id="rId9" Type="http://schemas.openxmlformats.org/officeDocument/2006/relationships/hyperlink" Target="https://www.nice.org.uk/guidance/ng217" TargetMode="External"/><Relationship Id="rId14" Type="http://schemas.openxmlformats.org/officeDocument/2006/relationships/footer" Target="footer1.xml"/><Relationship Id="rId22" Type="http://schemas.openxmlformats.org/officeDocument/2006/relationships/hyperlink" Target="https://www.sciencedirect.com/science/article/abs/pii/S1090379815000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FF7D-79F3-4CFE-A9CB-D7DD060A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8242</Words>
  <Characters>47035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2022-07-05T14:02:00Z</dcterms:created>
  <dcterms:modified xsi:type="dcterms:W3CDTF">2022-08-15T12:15:00Z</dcterms:modified>
</cp:coreProperties>
</file>