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0085D4BE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</w:t>
      </w:r>
      <w:r w:rsidR="009B0EFA">
        <w:rPr>
          <w:rFonts w:ascii="Arial" w:hAnsi="Arial" w:cs="Arial"/>
          <w:b/>
          <w:bCs/>
          <w:kern w:val="28"/>
          <w:sz w:val="32"/>
          <w:szCs w:val="32"/>
        </w:rPr>
        <w:t>GUIDANCE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</w:p>
    <w:p w14:paraId="56308D65" w14:textId="4EED8353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C23644">
        <w:rPr>
          <w:rFonts w:ascii="Arial" w:hAnsi="Arial"/>
          <w:b/>
          <w:kern w:val="28"/>
          <w:sz w:val="32"/>
          <w:szCs w:val="32"/>
          <w:lang w:eastAsia="x-none"/>
        </w:rPr>
        <w:t>NM</w:t>
      </w:r>
      <w:r w:rsidR="00BF55E5">
        <w:rPr>
          <w:rFonts w:ascii="Arial" w:hAnsi="Arial"/>
          <w:b/>
          <w:kern w:val="28"/>
          <w:sz w:val="32"/>
          <w:szCs w:val="32"/>
          <w:lang w:eastAsia="x-none"/>
        </w:rPr>
        <w:t>20</w:t>
      </w:r>
      <w:r w:rsidR="007F68CD">
        <w:rPr>
          <w:rFonts w:ascii="Arial" w:hAnsi="Arial"/>
          <w:b/>
          <w:kern w:val="28"/>
          <w:sz w:val="32"/>
          <w:szCs w:val="32"/>
          <w:lang w:eastAsia="x-none"/>
        </w:rPr>
        <w:t>9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4E44EA78" w:rsidR="000A17BD" w:rsidRDefault="000A17BD" w:rsidP="000A17BD">
      <w:pPr>
        <w:pStyle w:val="NICEnormalsinglespacing"/>
      </w:pPr>
      <w:r w:rsidRPr="009B0EFA">
        <w:rPr>
          <w:b/>
          <w:bCs/>
        </w:rPr>
        <w:t>Date</w:t>
      </w:r>
      <w:r w:rsidR="009B0EFA" w:rsidRPr="009B0EFA">
        <w:rPr>
          <w:b/>
          <w:bCs/>
        </w:rPr>
        <w:t xml:space="preserve"> first published on NICE menu</w:t>
      </w:r>
      <w:r w:rsidRPr="009B0EFA">
        <w:rPr>
          <w:b/>
        </w:rPr>
        <w:t>:</w:t>
      </w:r>
      <w:r w:rsidR="009250C3" w:rsidRPr="009B0EFA">
        <w:rPr>
          <w:b/>
        </w:rPr>
        <w:t xml:space="preserve"> </w:t>
      </w:r>
      <w:r w:rsidR="007F68CD">
        <w:t>August 2022</w:t>
      </w:r>
    </w:p>
    <w:p w14:paraId="141E7EF9" w14:textId="72DAABB7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1061DC8B" w14:textId="2A65DF5D" w:rsidR="00BF55E5" w:rsidRDefault="00BF55E5" w:rsidP="00BF55E5">
      <w:pPr>
        <w:pStyle w:val="Paragraphnonumbers"/>
        <w:spacing w:before="0" w:line="360" w:lineRule="auto"/>
        <w:rPr>
          <w:lang w:val="en-US"/>
        </w:rPr>
      </w:pPr>
      <w:r w:rsidRPr="005F3099">
        <w:rPr>
          <w:b/>
          <w:bCs/>
          <w:lang w:val="en-US"/>
        </w:rPr>
        <w:t>NM20</w:t>
      </w:r>
      <w:r w:rsidR="007F68CD" w:rsidRPr="005F3099">
        <w:rPr>
          <w:b/>
          <w:bCs/>
          <w:lang w:val="en-US"/>
        </w:rPr>
        <w:t>9</w:t>
      </w:r>
      <w:r w:rsidRPr="005F3099">
        <w:rPr>
          <w:b/>
          <w:bCs/>
          <w:lang w:val="en-US"/>
        </w:rPr>
        <w:t>.</w:t>
      </w:r>
      <w:r w:rsidR="007F68CD">
        <w:rPr>
          <w:lang w:val="en-US"/>
        </w:rPr>
        <w:t xml:space="preserve"> </w:t>
      </w:r>
      <w:r w:rsidR="007F68CD" w:rsidRPr="007F68CD">
        <w:rPr>
          <w:lang w:val="en-US"/>
        </w:rPr>
        <w:t>The percentage of adults receiving drug treatment for epilepsy who had a structured review in the preceding 12 months.</w:t>
      </w:r>
    </w:p>
    <w:p w14:paraId="0B0B1079" w14:textId="0CDF1EED" w:rsidR="000F739F" w:rsidRPr="00A82AF0" w:rsidRDefault="00EE4FD8" w:rsidP="00C9179E">
      <w:pPr>
        <w:pStyle w:val="Heading1"/>
        <w:spacing w:after="240"/>
      </w:pPr>
      <w:r>
        <w:rPr>
          <w:lang w:val="en-US"/>
        </w:rPr>
        <w:t>R</w:t>
      </w:r>
      <w:r w:rsidR="000F739F" w:rsidRPr="00A82AF0">
        <w:t>esource impact</w:t>
      </w:r>
    </w:p>
    <w:p w14:paraId="4AF96E77" w14:textId="278FD911" w:rsidR="007F68CD" w:rsidRDefault="007F68CD" w:rsidP="00C9179E">
      <w:pPr>
        <w:pStyle w:val="NICEnormal"/>
        <w:rPr>
          <w:lang w:eastAsia="x-none"/>
        </w:rPr>
      </w:pPr>
      <w:r>
        <w:rPr>
          <w:lang w:eastAsia="x-none"/>
        </w:rPr>
        <w:t>The p</w:t>
      </w:r>
      <w:r w:rsidRPr="007F68CD">
        <w:rPr>
          <w:lang w:eastAsia="x-none"/>
        </w:rPr>
        <w:t>revalence of adults receiving drug treatment for epilepsy</w:t>
      </w:r>
      <w:r>
        <w:rPr>
          <w:lang w:eastAsia="x-none"/>
        </w:rPr>
        <w:t xml:space="preserve"> is </w:t>
      </w:r>
      <w:r w:rsidR="000F1A44">
        <w:rPr>
          <w:lang w:eastAsia="x-none"/>
        </w:rPr>
        <w:t>around 0.8% (</w:t>
      </w:r>
      <w:hyperlink r:id="rId8" w:history="1">
        <w:r w:rsidR="000F1A44" w:rsidRPr="000F1A44">
          <w:rPr>
            <w:rStyle w:val="Hyperlink"/>
            <w:lang w:eastAsia="x-none"/>
          </w:rPr>
          <w:t>Quality and Outcomes Framework, 2020-21</w:t>
        </w:r>
      </w:hyperlink>
      <w:r w:rsidR="000F1A44">
        <w:rPr>
          <w:lang w:eastAsia="x-none"/>
        </w:rPr>
        <w:t>). This is equivalent to around 63 adults per 10,000 population</w:t>
      </w:r>
      <w:r w:rsidR="000412A3">
        <w:rPr>
          <w:lang w:eastAsia="x-none"/>
        </w:rPr>
        <w:t xml:space="preserve"> </w:t>
      </w:r>
      <w:r w:rsidR="000412A3">
        <w:t>(</w:t>
      </w:r>
      <w:hyperlink r:id="rId9" w:history="1">
        <w:r w:rsidR="000412A3">
          <w:rPr>
            <w:rStyle w:val="Hyperlink"/>
            <w:lang w:val="en-GB"/>
          </w:rPr>
          <w:t>Office for National Statistics, 2020</w:t>
        </w:r>
      </w:hyperlink>
      <w:r w:rsidR="000412A3">
        <w:rPr>
          <w:rStyle w:val="Hyperlink"/>
          <w:lang w:val="en-GB"/>
        </w:rPr>
        <w:t>).</w:t>
      </w:r>
    </w:p>
    <w:p w14:paraId="68269A24" w14:textId="3277AE97" w:rsidR="000412A3" w:rsidRDefault="000412A3" w:rsidP="00F75A20">
      <w:pPr>
        <w:pStyle w:val="NICEnormal"/>
        <w:rPr>
          <w:lang w:val="en-GB"/>
        </w:rPr>
      </w:pPr>
      <w:r>
        <w:rPr>
          <w:lang w:val="en-GB"/>
        </w:rPr>
        <w:t xml:space="preserve">Robust data for the number of these people </w:t>
      </w:r>
      <w:r w:rsidR="00692902" w:rsidRPr="00692902">
        <w:rPr>
          <w:lang w:val="en-GB"/>
        </w:rPr>
        <w:t>who had a structured review in the preceding 12 months</w:t>
      </w:r>
      <w:r w:rsidR="00692902">
        <w:rPr>
          <w:lang w:val="en-GB"/>
        </w:rPr>
        <w:t xml:space="preserve"> </w:t>
      </w:r>
      <w:r w:rsidR="002A6807">
        <w:rPr>
          <w:lang w:val="en-GB"/>
        </w:rPr>
        <w:t>are</w:t>
      </w:r>
      <w:r w:rsidR="00692902">
        <w:rPr>
          <w:lang w:val="en-GB"/>
        </w:rPr>
        <w:t xml:space="preserve"> not available. It is estimated</w:t>
      </w:r>
      <w:r w:rsidR="002A6807">
        <w:rPr>
          <w:lang w:val="en-GB"/>
        </w:rPr>
        <w:t xml:space="preserve"> that</w:t>
      </w:r>
      <w:r w:rsidR="00692902">
        <w:rPr>
          <w:lang w:val="en-GB"/>
        </w:rPr>
        <w:t xml:space="preserve"> for every 10% increase in the number of people in this population who have a structured review, an additional 6 people per GP practice will have a structured review (see table 1). </w:t>
      </w:r>
    </w:p>
    <w:p w14:paraId="7403CEA5" w14:textId="7976FB07" w:rsidR="00F75A20" w:rsidRDefault="00F75A20" w:rsidP="00F75A20">
      <w:pPr>
        <w:pStyle w:val="NICEnorma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Table 1 E</w:t>
      </w:r>
      <w:r w:rsidRPr="00C24379">
        <w:rPr>
          <w:rFonts w:cs="Arial"/>
          <w:b/>
          <w:sz w:val="22"/>
          <w:szCs w:val="22"/>
        </w:rPr>
        <w:t>stimated</w:t>
      </w:r>
      <w:r>
        <w:rPr>
          <w:rFonts w:cs="Arial"/>
          <w:b/>
          <w:sz w:val="22"/>
          <w:szCs w:val="22"/>
        </w:rPr>
        <w:t xml:space="preserve"> impact on activity</w:t>
      </w:r>
      <w:r w:rsidRPr="00C24379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for a theoretical 1%, </w:t>
      </w:r>
      <w:r w:rsidR="00692902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 xml:space="preserve">% and </w:t>
      </w:r>
      <w:r w:rsidR="00692902">
        <w:rPr>
          <w:rFonts w:cs="Arial"/>
          <w:b/>
          <w:sz w:val="22"/>
          <w:szCs w:val="22"/>
        </w:rPr>
        <w:t>10</w:t>
      </w:r>
      <w:r>
        <w:rPr>
          <w:rFonts w:cs="Arial"/>
          <w:b/>
          <w:sz w:val="22"/>
          <w:szCs w:val="22"/>
        </w:rPr>
        <w:t xml:space="preserve">% increase in the </w:t>
      </w:r>
      <w:r w:rsidR="00692902">
        <w:rPr>
          <w:rFonts w:cs="Arial"/>
          <w:b/>
          <w:sz w:val="22"/>
          <w:szCs w:val="22"/>
        </w:rPr>
        <w:t xml:space="preserve">proportion of adults </w:t>
      </w:r>
      <w:r w:rsidR="004B2134">
        <w:rPr>
          <w:rFonts w:cs="Arial"/>
          <w:b/>
          <w:sz w:val="22"/>
          <w:szCs w:val="22"/>
        </w:rPr>
        <w:t>having a structured review</w:t>
      </w:r>
      <w:r>
        <w:rPr>
          <w:rFonts w:cs="Arial"/>
          <w:b/>
          <w:sz w:val="22"/>
          <w:szCs w:val="22"/>
        </w:rPr>
        <w:t>.</w:t>
      </w:r>
    </w:p>
    <w:p w14:paraId="648945C9" w14:textId="34A89092" w:rsidR="004B2134" w:rsidRDefault="000A54C8" w:rsidP="00F75A20">
      <w:pPr>
        <w:pStyle w:val="NICEnormal"/>
        <w:rPr>
          <w:rFonts w:cs="Arial"/>
          <w:b/>
          <w:sz w:val="22"/>
          <w:szCs w:val="22"/>
        </w:rPr>
      </w:pPr>
      <w:r w:rsidRPr="000A54C8">
        <w:rPr>
          <w:noProof/>
        </w:rPr>
        <w:drawing>
          <wp:inline distT="0" distB="0" distL="0" distR="0" wp14:anchorId="1E4B5990" wp14:editId="546213FB">
            <wp:extent cx="5274310" cy="963295"/>
            <wp:effectExtent l="0" t="0" r="2540" b="8255"/>
            <wp:docPr id="2" name="Picture 2" descr="Estimated impact on activity for a theoretical 1%, 5% and 10% increase in the proportion of adults having a structured review. This is based on 10,000 registered patients in a GP practic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stimated impact on activity for a theoretical 1%, 5% and 10% increase in the proportion of adults having a structured review. This is based on 10,000 registered patients in a GP practice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744FF" w14:textId="7CF5CFCA" w:rsidR="00F75A20" w:rsidRDefault="00EE7143" w:rsidP="00C9179E">
      <w:pPr>
        <w:pStyle w:val="NICEnormal"/>
        <w:rPr>
          <w:lang w:eastAsia="x-none"/>
        </w:rPr>
      </w:pPr>
      <w:r w:rsidRPr="00EE7143">
        <w:rPr>
          <w:lang w:eastAsia="x-none"/>
        </w:rPr>
        <w:t>This is based on 10,000 registered patients in a GP practice</w:t>
      </w:r>
      <w:r w:rsidR="002A6807">
        <w:rPr>
          <w:lang w:eastAsia="x-none"/>
        </w:rPr>
        <w:t>.</w:t>
      </w:r>
      <w:r w:rsidR="00F75A20" w:rsidRPr="007F3089">
        <w:rPr>
          <w:lang w:eastAsia="x-none"/>
        </w:rPr>
        <w:t xml:space="preserve"> </w:t>
      </w:r>
    </w:p>
    <w:p w14:paraId="03357327" w14:textId="7D317549" w:rsidR="00C9179E" w:rsidRDefault="002C191C" w:rsidP="00C9179E">
      <w:pPr>
        <w:pStyle w:val="NICEnormal"/>
        <w:rPr>
          <w:lang w:eastAsia="x-none"/>
        </w:rPr>
      </w:pPr>
      <w:r>
        <w:rPr>
          <w:lang w:eastAsia="x-none"/>
        </w:rPr>
        <w:lastRenderedPageBreak/>
        <w:t>Due to the small numbers involved, t</w:t>
      </w:r>
      <w:r w:rsidR="009F2137">
        <w:rPr>
          <w:lang w:eastAsia="x-none"/>
        </w:rPr>
        <w:t>he impact on general practice is anticipated to be minimal and the resource impact associated with any increase will not be significant.</w:t>
      </w:r>
    </w:p>
    <w:p w14:paraId="7646D9ED" w14:textId="172362D2" w:rsidR="001472F2" w:rsidRDefault="001472F2" w:rsidP="00FD7079">
      <w:pPr>
        <w:pStyle w:val="NICEnormal"/>
        <w:rPr>
          <w:lang w:eastAsia="x-none"/>
        </w:rPr>
      </w:pPr>
    </w:p>
    <w:p w14:paraId="4392C05F" w14:textId="77777777" w:rsidR="001472F2" w:rsidRPr="00456790" w:rsidRDefault="001472F2" w:rsidP="00FD7079">
      <w:pPr>
        <w:pStyle w:val="NICEnormal"/>
        <w:rPr>
          <w:lang w:eastAsia="x-none"/>
        </w:rPr>
      </w:pPr>
    </w:p>
    <w:sectPr w:rsidR="001472F2" w:rsidRPr="00456790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B2A" w14:textId="465A5705" w:rsidR="007E48A9" w:rsidRDefault="00486690" w:rsidP="00446BEE">
    <w:pPr>
      <w:pStyle w:val="Footer"/>
    </w:pPr>
    <w:r>
      <w:rPr>
        <w:lang w:val="en-GB"/>
      </w:rPr>
      <w:t xml:space="preserve">NICE indicator </w:t>
    </w:r>
    <w:r w:rsidR="001705E8">
      <w:rPr>
        <w:lang w:val="en-GB"/>
      </w:rPr>
      <w:t>resource</w:t>
    </w:r>
    <w:r w:rsidR="007E48A9">
      <w:t xml:space="preserve"> impact statement: </w:t>
    </w:r>
    <w:r w:rsidR="00C23644">
      <w:rPr>
        <w:lang w:val="en-GB"/>
      </w:rPr>
      <w:t>NM</w:t>
    </w:r>
    <w:r w:rsidR="00BF55E5">
      <w:rPr>
        <w:lang w:val="en-GB"/>
      </w:rPr>
      <w:t>2</w:t>
    </w:r>
    <w:r w:rsidR="0040739C">
      <w:rPr>
        <w:lang w:val="en-GB"/>
      </w:rPr>
      <w:t>09</w:t>
    </w:r>
    <w:r w:rsidR="00C23644">
      <w:rPr>
        <w:lang w:val="en-GB"/>
      </w:rPr>
      <w:t xml:space="preserve"> </w:t>
    </w:r>
    <w:r w:rsidR="00E921B6">
      <w:rPr>
        <w:lang w:val="en-GB"/>
      </w:rPr>
      <w:t>(</w:t>
    </w:r>
    <w:r w:rsidR="0040739C">
      <w:rPr>
        <w:lang w:val="en-GB"/>
      </w:rPr>
      <w:t>August 2022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3A4F03">
      <w:rPr>
        <w:lang w:val="en-GB"/>
      </w:rPr>
      <w:t xml:space="preserve">    </w:t>
    </w:r>
    <w:r w:rsidR="00C23644">
      <w:rPr>
        <w:lang w:val="en-GB"/>
      </w:rPr>
      <w:tab/>
    </w:r>
    <w:r w:rsidR="003A4F03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0855">
    <w:abstractNumId w:val="16"/>
  </w:num>
  <w:num w:numId="2" w16cid:durableId="1403865460">
    <w:abstractNumId w:val="18"/>
  </w:num>
  <w:num w:numId="3" w16cid:durableId="817958812">
    <w:abstractNumId w:val="18"/>
    <w:lvlOverride w:ilvl="0">
      <w:startOverride w:val="1"/>
    </w:lvlOverride>
  </w:num>
  <w:num w:numId="4" w16cid:durableId="1284071809">
    <w:abstractNumId w:val="18"/>
    <w:lvlOverride w:ilvl="0">
      <w:startOverride w:val="1"/>
    </w:lvlOverride>
  </w:num>
  <w:num w:numId="5" w16cid:durableId="409472742">
    <w:abstractNumId w:val="18"/>
    <w:lvlOverride w:ilvl="0">
      <w:startOverride w:val="1"/>
    </w:lvlOverride>
  </w:num>
  <w:num w:numId="6" w16cid:durableId="415175104">
    <w:abstractNumId w:val="18"/>
    <w:lvlOverride w:ilvl="0">
      <w:startOverride w:val="1"/>
    </w:lvlOverride>
  </w:num>
  <w:num w:numId="7" w16cid:durableId="1555502767">
    <w:abstractNumId w:val="18"/>
    <w:lvlOverride w:ilvl="0">
      <w:startOverride w:val="1"/>
    </w:lvlOverride>
  </w:num>
  <w:num w:numId="8" w16cid:durableId="1376809358">
    <w:abstractNumId w:val="9"/>
  </w:num>
  <w:num w:numId="9" w16cid:durableId="2018922437">
    <w:abstractNumId w:val="7"/>
  </w:num>
  <w:num w:numId="10" w16cid:durableId="1078861982">
    <w:abstractNumId w:val="6"/>
  </w:num>
  <w:num w:numId="11" w16cid:durableId="1722048789">
    <w:abstractNumId w:val="5"/>
  </w:num>
  <w:num w:numId="12" w16cid:durableId="150948358">
    <w:abstractNumId w:val="4"/>
  </w:num>
  <w:num w:numId="13" w16cid:durableId="463498684">
    <w:abstractNumId w:val="8"/>
  </w:num>
  <w:num w:numId="14" w16cid:durableId="1144932926">
    <w:abstractNumId w:val="3"/>
  </w:num>
  <w:num w:numId="15" w16cid:durableId="693461429">
    <w:abstractNumId w:val="2"/>
  </w:num>
  <w:num w:numId="16" w16cid:durableId="1790658757">
    <w:abstractNumId w:val="1"/>
  </w:num>
  <w:num w:numId="17" w16cid:durableId="448083673">
    <w:abstractNumId w:val="0"/>
  </w:num>
  <w:num w:numId="18" w16cid:durableId="1289625158">
    <w:abstractNumId w:val="12"/>
  </w:num>
  <w:num w:numId="19" w16cid:durableId="2121797122">
    <w:abstractNumId w:val="12"/>
    <w:lvlOverride w:ilvl="0">
      <w:startOverride w:val="1"/>
    </w:lvlOverride>
  </w:num>
  <w:num w:numId="20" w16cid:durableId="1415667806">
    <w:abstractNumId w:val="15"/>
  </w:num>
  <w:num w:numId="21" w16cid:durableId="197662768">
    <w:abstractNumId w:val="17"/>
  </w:num>
  <w:num w:numId="22" w16cid:durableId="2082210505">
    <w:abstractNumId w:val="14"/>
  </w:num>
  <w:num w:numId="23" w16cid:durableId="950016073">
    <w:abstractNumId w:val="11"/>
  </w:num>
  <w:num w:numId="24" w16cid:durableId="669217629">
    <w:abstractNumId w:val="10"/>
  </w:num>
  <w:num w:numId="25" w16cid:durableId="1009600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12A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54C8"/>
    <w:rsid w:val="000A7DD9"/>
    <w:rsid w:val="000B3AD4"/>
    <w:rsid w:val="000B5939"/>
    <w:rsid w:val="000C04E9"/>
    <w:rsid w:val="000D0BB3"/>
    <w:rsid w:val="000D7833"/>
    <w:rsid w:val="000E20F3"/>
    <w:rsid w:val="000E54C3"/>
    <w:rsid w:val="000E77FD"/>
    <w:rsid w:val="000F08BB"/>
    <w:rsid w:val="000F1374"/>
    <w:rsid w:val="000F1A44"/>
    <w:rsid w:val="000F4976"/>
    <w:rsid w:val="000F739F"/>
    <w:rsid w:val="00103118"/>
    <w:rsid w:val="00106738"/>
    <w:rsid w:val="001134E7"/>
    <w:rsid w:val="00117336"/>
    <w:rsid w:val="00120A38"/>
    <w:rsid w:val="001270EC"/>
    <w:rsid w:val="00127A2B"/>
    <w:rsid w:val="00131BB1"/>
    <w:rsid w:val="001327CC"/>
    <w:rsid w:val="00132D4A"/>
    <w:rsid w:val="00134FDA"/>
    <w:rsid w:val="00145AFB"/>
    <w:rsid w:val="001472F2"/>
    <w:rsid w:val="00150E04"/>
    <w:rsid w:val="001576DA"/>
    <w:rsid w:val="001633A1"/>
    <w:rsid w:val="001705E8"/>
    <w:rsid w:val="00171504"/>
    <w:rsid w:val="0017169E"/>
    <w:rsid w:val="001835B9"/>
    <w:rsid w:val="00186DE9"/>
    <w:rsid w:val="001A23E4"/>
    <w:rsid w:val="001A3A86"/>
    <w:rsid w:val="001A4978"/>
    <w:rsid w:val="001A7C77"/>
    <w:rsid w:val="001B18C2"/>
    <w:rsid w:val="001B1E97"/>
    <w:rsid w:val="001B2418"/>
    <w:rsid w:val="001B65B3"/>
    <w:rsid w:val="001C2196"/>
    <w:rsid w:val="001C27DA"/>
    <w:rsid w:val="001C28A5"/>
    <w:rsid w:val="001D0BF4"/>
    <w:rsid w:val="001D7D33"/>
    <w:rsid w:val="001E41B5"/>
    <w:rsid w:val="001E6831"/>
    <w:rsid w:val="001F0E94"/>
    <w:rsid w:val="002014F3"/>
    <w:rsid w:val="00204AAF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55D41"/>
    <w:rsid w:val="00260B25"/>
    <w:rsid w:val="00262E2E"/>
    <w:rsid w:val="00270605"/>
    <w:rsid w:val="00276A6E"/>
    <w:rsid w:val="00290914"/>
    <w:rsid w:val="002A1880"/>
    <w:rsid w:val="002A2A33"/>
    <w:rsid w:val="002A4D02"/>
    <w:rsid w:val="002A6807"/>
    <w:rsid w:val="002A69C4"/>
    <w:rsid w:val="002A7287"/>
    <w:rsid w:val="002B5942"/>
    <w:rsid w:val="002B7C6E"/>
    <w:rsid w:val="002C191C"/>
    <w:rsid w:val="002C1A7E"/>
    <w:rsid w:val="002C4FEA"/>
    <w:rsid w:val="002D4015"/>
    <w:rsid w:val="002D41AE"/>
    <w:rsid w:val="002E2124"/>
    <w:rsid w:val="002F2EEF"/>
    <w:rsid w:val="002F3B2A"/>
    <w:rsid w:val="002F63F9"/>
    <w:rsid w:val="00301C5A"/>
    <w:rsid w:val="00311ED0"/>
    <w:rsid w:val="00320CCD"/>
    <w:rsid w:val="00337200"/>
    <w:rsid w:val="00342E19"/>
    <w:rsid w:val="00345EA6"/>
    <w:rsid w:val="00350177"/>
    <w:rsid w:val="0035287E"/>
    <w:rsid w:val="00361DD0"/>
    <w:rsid w:val="003644E2"/>
    <w:rsid w:val="00365568"/>
    <w:rsid w:val="003666A7"/>
    <w:rsid w:val="00367204"/>
    <w:rsid w:val="003722FA"/>
    <w:rsid w:val="00377277"/>
    <w:rsid w:val="0038251A"/>
    <w:rsid w:val="00387965"/>
    <w:rsid w:val="003974AF"/>
    <w:rsid w:val="003A4F03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3F6059"/>
    <w:rsid w:val="004023ED"/>
    <w:rsid w:val="0040739C"/>
    <w:rsid w:val="004075B6"/>
    <w:rsid w:val="00420952"/>
    <w:rsid w:val="004217C2"/>
    <w:rsid w:val="00424250"/>
    <w:rsid w:val="00427727"/>
    <w:rsid w:val="00435335"/>
    <w:rsid w:val="00446BEE"/>
    <w:rsid w:val="004500D4"/>
    <w:rsid w:val="00456790"/>
    <w:rsid w:val="00457C93"/>
    <w:rsid w:val="00460E2F"/>
    <w:rsid w:val="004710D0"/>
    <w:rsid w:val="0047386F"/>
    <w:rsid w:val="00475DB9"/>
    <w:rsid w:val="00476DCF"/>
    <w:rsid w:val="00481A79"/>
    <w:rsid w:val="004822CD"/>
    <w:rsid w:val="00486690"/>
    <w:rsid w:val="00495A8B"/>
    <w:rsid w:val="00496A95"/>
    <w:rsid w:val="004A2E02"/>
    <w:rsid w:val="004A31E6"/>
    <w:rsid w:val="004A37AD"/>
    <w:rsid w:val="004B2134"/>
    <w:rsid w:val="004C4B1F"/>
    <w:rsid w:val="004D074D"/>
    <w:rsid w:val="004D2A46"/>
    <w:rsid w:val="004D7C52"/>
    <w:rsid w:val="004E5B69"/>
    <w:rsid w:val="004F0DB8"/>
    <w:rsid w:val="004F4F6A"/>
    <w:rsid w:val="004F6113"/>
    <w:rsid w:val="004F780A"/>
    <w:rsid w:val="00502174"/>
    <w:rsid w:val="005025A1"/>
    <w:rsid w:val="00502B56"/>
    <w:rsid w:val="00502C4B"/>
    <w:rsid w:val="00512C30"/>
    <w:rsid w:val="00513C15"/>
    <w:rsid w:val="0051793E"/>
    <w:rsid w:val="005238CB"/>
    <w:rsid w:val="0053285E"/>
    <w:rsid w:val="005358AC"/>
    <w:rsid w:val="00536D74"/>
    <w:rsid w:val="00537D7F"/>
    <w:rsid w:val="00545A0E"/>
    <w:rsid w:val="00545EF3"/>
    <w:rsid w:val="00546349"/>
    <w:rsid w:val="00550807"/>
    <w:rsid w:val="0056031A"/>
    <w:rsid w:val="00563C38"/>
    <w:rsid w:val="00564A5C"/>
    <w:rsid w:val="00567014"/>
    <w:rsid w:val="005745FF"/>
    <w:rsid w:val="00575C88"/>
    <w:rsid w:val="005779D6"/>
    <w:rsid w:val="005831C5"/>
    <w:rsid w:val="00594ABA"/>
    <w:rsid w:val="00595453"/>
    <w:rsid w:val="00595AC6"/>
    <w:rsid w:val="005A017A"/>
    <w:rsid w:val="005A2295"/>
    <w:rsid w:val="005A2763"/>
    <w:rsid w:val="005A3262"/>
    <w:rsid w:val="005B0DCC"/>
    <w:rsid w:val="005B1F9E"/>
    <w:rsid w:val="005B2D03"/>
    <w:rsid w:val="005B2F65"/>
    <w:rsid w:val="005B71E5"/>
    <w:rsid w:val="005B7BEB"/>
    <w:rsid w:val="005C031A"/>
    <w:rsid w:val="005C38D5"/>
    <w:rsid w:val="005C473F"/>
    <w:rsid w:val="005D37A0"/>
    <w:rsid w:val="005D68DB"/>
    <w:rsid w:val="005E510A"/>
    <w:rsid w:val="005E6EE7"/>
    <w:rsid w:val="005F08BF"/>
    <w:rsid w:val="005F08C3"/>
    <w:rsid w:val="005F2E3A"/>
    <w:rsid w:val="005F3099"/>
    <w:rsid w:val="00602091"/>
    <w:rsid w:val="0061116E"/>
    <w:rsid w:val="00611F88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2902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C4A21"/>
    <w:rsid w:val="006C52D7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38E2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91D71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7F3089"/>
    <w:rsid w:val="007F68CD"/>
    <w:rsid w:val="007F6986"/>
    <w:rsid w:val="00810387"/>
    <w:rsid w:val="00816592"/>
    <w:rsid w:val="00820A90"/>
    <w:rsid w:val="00821382"/>
    <w:rsid w:val="008221D5"/>
    <w:rsid w:val="008235AB"/>
    <w:rsid w:val="0082440E"/>
    <w:rsid w:val="008248D0"/>
    <w:rsid w:val="0082656A"/>
    <w:rsid w:val="00827467"/>
    <w:rsid w:val="008325D4"/>
    <w:rsid w:val="008341D9"/>
    <w:rsid w:val="00835610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A7C87"/>
    <w:rsid w:val="008B21D3"/>
    <w:rsid w:val="008C2431"/>
    <w:rsid w:val="008C3E36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17B43"/>
    <w:rsid w:val="0092142D"/>
    <w:rsid w:val="009250C3"/>
    <w:rsid w:val="009256AF"/>
    <w:rsid w:val="00925F15"/>
    <w:rsid w:val="00940ACF"/>
    <w:rsid w:val="00947169"/>
    <w:rsid w:val="00954C5D"/>
    <w:rsid w:val="00956D27"/>
    <w:rsid w:val="00977798"/>
    <w:rsid w:val="0098451C"/>
    <w:rsid w:val="009931D4"/>
    <w:rsid w:val="00996746"/>
    <w:rsid w:val="009A0066"/>
    <w:rsid w:val="009B0EFA"/>
    <w:rsid w:val="009B5502"/>
    <w:rsid w:val="009B683B"/>
    <w:rsid w:val="009C6386"/>
    <w:rsid w:val="009D27F9"/>
    <w:rsid w:val="009E680B"/>
    <w:rsid w:val="009F197C"/>
    <w:rsid w:val="009F2137"/>
    <w:rsid w:val="009F52FD"/>
    <w:rsid w:val="009F7239"/>
    <w:rsid w:val="00A05F83"/>
    <w:rsid w:val="00A0627E"/>
    <w:rsid w:val="00A067CE"/>
    <w:rsid w:val="00A12DE9"/>
    <w:rsid w:val="00A15A1F"/>
    <w:rsid w:val="00A175FF"/>
    <w:rsid w:val="00A24EFD"/>
    <w:rsid w:val="00A24F7E"/>
    <w:rsid w:val="00A319C4"/>
    <w:rsid w:val="00A31EDA"/>
    <w:rsid w:val="00A3228F"/>
    <w:rsid w:val="00A3325A"/>
    <w:rsid w:val="00A44D8B"/>
    <w:rsid w:val="00A451F6"/>
    <w:rsid w:val="00A526B2"/>
    <w:rsid w:val="00A54DD4"/>
    <w:rsid w:val="00A55A82"/>
    <w:rsid w:val="00A61DAF"/>
    <w:rsid w:val="00A64113"/>
    <w:rsid w:val="00A72B11"/>
    <w:rsid w:val="00A734BE"/>
    <w:rsid w:val="00A756BB"/>
    <w:rsid w:val="00A75800"/>
    <w:rsid w:val="00A77ED3"/>
    <w:rsid w:val="00A80390"/>
    <w:rsid w:val="00A82056"/>
    <w:rsid w:val="00A821FC"/>
    <w:rsid w:val="00A82AF0"/>
    <w:rsid w:val="00A845BB"/>
    <w:rsid w:val="00A86ED0"/>
    <w:rsid w:val="00A917D1"/>
    <w:rsid w:val="00AA0DC6"/>
    <w:rsid w:val="00AB00D5"/>
    <w:rsid w:val="00AB14BD"/>
    <w:rsid w:val="00AB1B41"/>
    <w:rsid w:val="00AC38D4"/>
    <w:rsid w:val="00AC43AD"/>
    <w:rsid w:val="00AC5FDE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0102"/>
    <w:rsid w:val="00B42745"/>
    <w:rsid w:val="00B467F6"/>
    <w:rsid w:val="00B47E67"/>
    <w:rsid w:val="00B50556"/>
    <w:rsid w:val="00B50E6B"/>
    <w:rsid w:val="00B513F4"/>
    <w:rsid w:val="00B60EA5"/>
    <w:rsid w:val="00B65B8E"/>
    <w:rsid w:val="00B668F3"/>
    <w:rsid w:val="00B7006F"/>
    <w:rsid w:val="00B70F99"/>
    <w:rsid w:val="00B71B50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C37E7"/>
    <w:rsid w:val="00BC71E1"/>
    <w:rsid w:val="00BD0EDB"/>
    <w:rsid w:val="00BD1202"/>
    <w:rsid w:val="00BD7650"/>
    <w:rsid w:val="00BE5835"/>
    <w:rsid w:val="00BF4AC2"/>
    <w:rsid w:val="00BF55E5"/>
    <w:rsid w:val="00BF7FE0"/>
    <w:rsid w:val="00C01F6D"/>
    <w:rsid w:val="00C23644"/>
    <w:rsid w:val="00C24379"/>
    <w:rsid w:val="00C267EE"/>
    <w:rsid w:val="00C40A34"/>
    <w:rsid w:val="00C42D07"/>
    <w:rsid w:val="00C450FD"/>
    <w:rsid w:val="00C4601C"/>
    <w:rsid w:val="00C47DDE"/>
    <w:rsid w:val="00C6723C"/>
    <w:rsid w:val="00C71204"/>
    <w:rsid w:val="00C763FB"/>
    <w:rsid w:val="00C80834"/>
    <w:rsid w:val="00C813B4"/>
    <w:rsid w:val="00C907E1"/>
    <w:rsid w:val="00C9179E"/>
    <w:rsid w:val="00C94E7A"/>
    <w:rsid w:val="00C9664D"/>
    <w:rsid w:val="00C97742"/>
    <w:rsid w:val="00CA2451"/>
    <w:rsid w:val="00CB1351"/>
    <w:rsid w:val="00CB3B0D"/>
    <w:rsid w:val="00CC07FD"/>
    <w:rsid w:val="00CC318C"/>
    <w:rsid w:val="00CC6472"/>
    <w:rsid w:val="00CD48F8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516A1"/>
    <w:rsid w:val="00D55482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C5D08"/>
    <w:rsid w:val="00DD267D"/>
    <w:rsid w:val="00DD2F44"/>
    <w:rsid w:val="00DE21E5"/>
    <w:rsid w:val="00DF3945"/>
    <w:rsid w:val="00DF466C"/>
    <w:rsid w:val="00DF4DF5"/>
    <w:rsid w:val="00DF77A7"/>
    <w:rsid w:val="00E0408B"/>
    <w:rsid w:val="00E1100D"/>
    <w:rsid w:val="00E13C63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3322"/>
    <w:rsid w:val="00E64120"/>
    <w:rsid w:val="00E65E30"/>
    <w:rsid w:val="00E66FFC"/>
    <w:rsid w:val="00E762DA"/>
    <w:rsid w:val="00E82505"/>
    <w:rsid w:val="00E91F76"/>
    <w:rsid w:val="00E921B6"/>
    <w:rsid w:val="00E94936"/>
    <w:rsid w:val="00EB2C05"/>
    <w:rsid w:val="00EB6889"/>
    <w:rsid w:val="00EC0744"/>
    <w:rsid w:val="00EC30A2"/>
    <w:rsid w:val="00ED6B11"/>
    <w:rsid w:val="00EE01E5"/>
    <w:rsid w:val="00EE2CDD"/>
    <w:rsid w:val="00EE4FD8"/>
    <w:rsid w:val="00EE6A90"/>
    <w:rsid w:val="00EE7143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1C65"/>
    <w:rsid w:val="00F44FC7"/>
    <w:rsid w:val="00F46399"/>
    <w:rsid w:val="00F51756"/>
    <w:rsid w:val="00F51BF6"/>
    <w:rsid w:val="00F571B3"/>
    <w:rsid w:val="00F6644B"/>
    <w:rsid w:val="00F70E9B"/>
    <w:rsid w:val="00F7154E"/>
    <w:rsid w:val="00F72C78"/>
    <w:rsid w:val="00F738BF"/>
    <w:rsid w:val="00F75A20"/>
    <w:rsid w:val="00F83081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3C4"/>
    <w:rsid w:val="00FC49AE"/>
    <w:rsid w:val="00FC6230"/>
    <w:rsid w:val="00FC76B0"/>
    <w:rsid w:val="00FD2636"/>
    <w:rsid w:val="00FD69B8"/>
    <w:rsid w:val="00FD6D87"/>
    <w:rsid w:val="00FD7079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04BD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quality-and-outcomes-framework-achievement-prevalence-and-exceptions-data/2020-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birthsdeathsandmarriages/livebirths/datasets/birthsummary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D9CF-B871-4F5E-BF0A-B8A002E4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2022-08-16T10:18:00Z</dcterms:created>
  <dcterms:modified xsi:type="dcterms:W3CDTF">2022-08-23T10:39:00Z</dcterms:modified>
</cp:coreProperties>
</file>