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730D7823" w:rsidR="009B0E59" w:rsidRPr="009B0E59" w:rsidRDefault="009B0E59" w:rsidP="00363276">
      <w:pPr>
        <w:pStyle w:val="Heading3"/>
        <w:rPr>
          <w:lang w:eastAsia="en-GB"/>
        </w:rPr>
      </w:pPr>
      <w:r w:rsidRPr="009B0E59">
        <w:rPr>
          <w:lang w:eastAsia="en-GB"/>
        </w:rPr>
        <w:t xml:space="preserve">Indicator </w:t>
      </w:r>
      <w:r w:rsidR="004A3EE1">
        <w:rPr>
          <w:lang w:eastAsia="en-GB"/>
        </w:rPr>
        <w:t>NM209</w:t>
      </w:r>
    </w:p>
    <w:p w14:paraId="7021BBFA" w14:textId="77777777" w:rsidR="004A3EE1" w:rsidRDefault="004A3EE1" w:rsidP="00363276">
      <w:pPr>
        <w:pStyle w:val="Heading3"/>
        <w:rPr>
          <w:b w:val="0"/>
          <w:bCs w:val="0"/>
          <w:szCs w:val="24"/>
          <w:lang w:eastAsia="en-GB"/>
        </w:rPr>
      </w:pPr>
      <w:r w:rsidRPr="004A3EE1">
        <w:rPr>
          <w:b w:val="0"/>
          <w:bCs w:val="0"/>
          <w:szCs w:val="24"/>
          <w:lang w:eastAsia="en-GB"/>
        </w:rPr>
        <w:t>The percentage of adults receiving drug treatment for epilepsy who had a structured review in the preceding 12 months</w:t>
      </w:r>
    </w:p>
    <w:p w14:paraId="7C25BFBC" w14:textId="458DE89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4B2A58FE" w14:textId="0691498C" w:rsidR="00C22139" w:rsidRPr="00C22139" w:rsidRDefault="00C22139" w:rsidP="00C22139">
            <w:pPr>
              <w:spacing w:before="120" w:after="120"/>
              <w:rPr>
                <w:rFonts w:ascii="Arial" w:hAnsi="Arial" w:cs="Arial"/>
                <w:sz w:val="22"/>
                <w:szCs w:val="22"/>
              </w:rPr>
            </w:pPr>
            <w:r w:rsidRPr="00C22139">
              <w:rPr>
                <w:rFonts w:ascii="Arial" w:hAnsi="Arial" w:cs="Arial"/>
                <w:sz w:val="22"/>
                <w:szCs w:val="22"/>
              </w:rPr>
              <w:t xml:space="preserve">The </w:t>
            </w:r>
            <w:hyperlink r:id="rId7" w:history="1">
              <w:r w:rsidRPr="00C22139">
                <w:rPr>
                  <w:rStyle w:val="Hyperlink"/>
                  <w:rFonts w:ascii="Arial" w:hAnsi="Arial" w:cs="Arial"/>
                  <w:sz w:val="22"/>
                  <w:szCs w:val="22"/>
                </w:rPr>
                <w:t xml:space="preserve">NHS </w:t>
              </w:r>
              <w:proofErr w:type="spellStart"/>
              <w:r w:rsidRPr="00C22139">
                <w:rPr>
                  <w:rStyle w:val="Hyperlink"/>
                  <w:rFonts w:ascii="Arial" w:hAnsi="Arial" w:cs="Arial"/>
                  <w:sz w:val="22"/>
                  <w:szCs w:val="22"/>
                </w:rPr>
                <w:t>RightCare</w:t>
              </w:r>
              <w:proofErr w:type="spellEnd"/>
              <w:r w:rsidRPr="00C22139">
                <w:rPr>
                  <w:rStyle w:val="Hyperlink"/>
                  <w:rFonts w:ascii="Arial" w:hAnsi="Arial" w:cs="Arial"/>
                  <w:sz w:val="22"/>
                  <w:szCs w:val="22"/>
                </w:rPr>
                <w:t xml:space="preserve"> Epilepsy Toolkit</w:t>
              </w:r>
            </w:hyperlink>
            <w:r w:rsidRPr="00C22139">
              <w:rPr>
                <w:rFonts w:ascii="Arial" w:hAnsi="Arial" w:cs="Arial"/>
                <w:sz w:val="22"/>
                <w:szCs w:val="22"/>
              </w:rPr>
              <w:t xml:space="preserve"> (2020) suggests that there is a lack of optimal management of epilepsy leading to unnecessary emergency care. It indicates that regular reviews are important to allow monitoring and adjustment strategies and improve safety and medicines adherence. Reviews are also important to support personalised care and self-management to encourage shared decision making.</w:t>
            </w:r>
          </w:p>
          <w:p w14:paraId="0824A0B0" w14:textId="77777777" w:rsidR="002338EB" w:rsidRDefault="00C22139" w:rsidP="00C22139">
            <w:pPr>
              <w:pStyle w:val="Paragraph"/>
              <w:spacing w:before="120" w:after="120" w:line="240" w:lineRule="auto"/>
              <w:rPr>
                <w:rFonts w:cs="Arial"/>
                <w:sz w:val="22"/>
                <w:szCs w:val="22"/>
              </w:rPr>
            </w:pPr>
            <w:r w:rsidRPr="00C22139">
              <w:rPr>
                <w:rFonts w:cs="Arial"/>
                <w:sz w:val="22"/>
                <w:szCs w:val="22"/>
              </w:rPr>
              <w:t xml:space="preserve">The report highlights that it is vital to identify patients that have a higher risk of premature mortality, which may also be related to other comorbidities, in order to provide the </w:t>
            </w:r>
            <w:proofErr w:type="gramStart"/>
            <w:r w:rsidRPr="00C22139">
              <w:rPr>
                <w:rFonts w:cs="Arial"/>
                <w:sz w:val="22"/>
                <w:szCs w:val="22"/>
              </w:rPr>
              <w:t>support</w:t>
            </w:r>
            <w:proofErr w:type="gramEnd"/>
            <w:r w:rsidRPr="00C22139">
              <w:rPr>
                <w:rFonts w:cs="Arial"/>
                <w:sz w:val="22"/>
                <w:szCs w:val="22"/>
              </w:rPr>
              <w:t xml:space="preserve"> they need. All people living with epilepsy should have risk communication, management and review as epilepsy risk factors can change to become fatal in as short a time as three months.</w:t>
            </w:r>
          </w:p>
          <w:p w14:paraId="361B6A8B" w14:textId="77777777" w:rsidR="006236E8" w:rsidRDefault="006236E8" w:rsidP="006236E8">
            <w:pPr>
              <w:pStyle w:val="Paragraph"/>
              <w:spacing w:before="120" w:after="120" w:line="240" w:lineRule="auto"/>
              <w:rPr>
                <w:rFonts w:cs="Arial"/>
                <w:sz w:val="22"/>
                <w:szCs w:val="22"/>
              </w:rPr>
            </w:pPr>
            <w:r w:rsidRPr="006236E8">
              <w:rPr>
                <w:rFonts w:cs="Arial"/>
                <w:sz w:val="22"/>
                <w:szCs w:val="22"/>
              </w:rPr>
              <w:t xml:space="preserve">The </w:t>
            </w:r>
            <w:hyperlink r:id="rId8" w:history="1">
              <w:r w:rsidRPr="006236E8">
                <w:rPr>
                  <w:rStyle w:val="Hyperlink"/>
                  <w:rFonts w:cs="Arial"/>
                  <w:sz w:val="22"/>
                  <w:szCs w:val="22"/>
                </w:rPr>
                <w:t>NHS Outcomes Framework</w:t>
              </w:r>
            </w:hyperlink>
            <w:r w:rsidRPr="006236E8">
              <w:rPr>
                <w:rFonts w:cs="Arial"/>
                <w:sz w:val="22"/>
                <w:szCs w:val="22"/>
              </w:rPr>
              <w:t xml:space="preserve"> includes indicators on the proportion of people with long-term conditions who feel supported to manage their condition and unplanned hospitalisation for chronic ambulatory care sensitive conditions.</w:t>
            </w:r>
          </w:p>
          <w:p w14:paraId="6F338971" w14:textId="5BCE6F2A" w:rsidR="00D838FE" w:rsidRPr="002338EB" w:rsidRDefault="00D838FE" w:rsidP="006236E8">
            <w:pPr>
              <w:pStyle w:val="Paragraph"/>
              <w:spacing w:before="120" w:after="120" w:line="240" w:lineRule="auto"/>
              <w:rPr>
                <w:highlight w:val="lightGray"/>
              </w:rPr>
            </w:pPr>
            <w:bookmarkStart w:id="2" w:name="_Hlk109029986"/>
            <w:r w:rsidRPr="00D50932">
              <w:rPr>
                <w:rFonts w:cs="Arial"/>
                <w:sz w:val="22"/>
                <w:szCs w:val="22"/>
              </w:rPr>
              <w:t xml:space="preserve">The </w:t>
            </w:r>
            <w:hyperlink r:id="rId9" w:history="1">
              <w:r w:rsidRPr="00D50932">
                <w:rPr>
                  <w:rStyle w:val="Hyperlink"/>
                  <w:rFonts w:cs="Arial"/>
                  <w:sz w:val="22"/>
                  <w:szCs w:val="22"/>
                </w:rPr>
                <w:t>Medicines and Healthcare Products Regulatory Agency’s Public Assessment Report of antiepileptic drugs: review of safety of use during pregnancy</w:t>
              </w:r>
            </w:hyperlink>
            <w:r w:rsidRPr="00D50932">
              <w:rPr>
                <w:rFonts w:cs="Arial"/>
                <w:sz w:val="22"/>
                <w:szCs w:val="22"/>
              </w:rPr>
              <w:t xml:space="preserve"> indicates that antiseizure medications taken during pregnancy are associated with an increased risk of major congenital malformations (MCMs).</w:t>
            </w:r>
            <w:r>
              <w:rPr>
                <w:rFonts w:cs="Arial"/>
                <w:sz w:val="22"/>
                <w:szCs w:val="22"/>
              </w:rPr>
              <w:t xml:space="preserve"> </w:t>
            </w:r>
            <w:r w:rsidRPr="00D838FE">
              <w:rPr>
                <w:rFonts w:cs="Arial"/>
                <w:sz w:val="22"/>
                <w:szCs w:val="22"/>
              </w:rPr>
              <w:t xml:space="preserve">Valproate must not be used in pregnancy, and it must not be used in girls and women of childbearing potential (including young girls who are likely to need treatment into their childbearing years) unless other options are unsuitable and a pregnancy prevention programme in place, in line with the </w:t>
            </w:r>
            <w:hyperlink r:id="rId10" w:history="1">
              <w:r w:rsidRPr="00D838FE">
                <w:rPr>
                  <w:rStyle w:val="Hyperlink"/>
                  <w:rFonts w:cs="Arial"/>
                  <w:sz w:val="22"/>
                  <w:szCs w:val="22"/>
                </w:rPr>
                <w:t>MHRA safety advice on valproate</w:t>
              </w:r>
            </w:hyperlink>
            <w:r w:rsidRPr="00D838FE">
              <w:rPr>
                <w:rFonts w:cs="Arial"/>
                <w:sz w:val="22"/>
                <w:szCs w:val="22"/>
              </w:rPr>
              <w:t>.</w:t>
            </w:r>
            <w:bookmarkEnd w:id="2"/>
          </w:p>
        </w:tc>
        <w:tc>
          <w:tcPr>
            <w:tcW w:w="3118" w:type="dxa"/>
          </w:tcPr>
          <w:p w14:paraId="062E903B" w14:textId="27647939" w:rsidR="002338EB" w:rsidRDefault="002338EB" w:rsidP="002338EB">
            <w:pPr>
              <w:spacing w:before="120" w:after="120"/>
              <w:rPr>
                <w:rFonts w:ascii="Arial" w:hAnsi="Arial" w:cs="Arial"/>
                <w:color w:val="000000"/>
                <w:kern w:val="24"/>
                <w:sz w:val="22"/>
                <w:szCs w:val="22"/>
                <w:lang w:val="en-US"/>
              </w:rPr>
            </w:pPr>
            <w:r w:rsidRPr="00C22139">
              <w:rPr>
                <w:rFonts w:ascii="Arial" w:hAnsi="Arial" w:cs="Arial"/>
                <w:color w:val="000000"/>
                <w:kern w:val="24"/>
                <w:sz w:val="22"/>
                <w:szCs w:val="22"/>
                <w:lang w:val="en-US"/>
              </w:rPr>
              <w:t>The indicator reflects a specific priority area identified by NHS England.</w:t>
            </w:r>
          </w:p>
          <w:p w14:paraId="548B4803" w14:textId="7E567FCA" w:rsidR="00857CFE" w:rsidRDefault="00857CFE" w:rsidP="002338EB">
            <w:pPr>
              <w:spacing w:before="120" w:after="120"/>
              <w:rPr>
                <w:rFonts w:ascii="Arial" w:hAnsi="Arial" w:cs="Arial"/>
                <w:color w:val="000000"/>
                <w:kern w:val="24"/>
                <w:sz w:val="22"/>
                <w:szCs w:val="22"/>
                <w:lang w:val="en-US"/>
              </w:rPr>
            </w:pPr>
          </w:p>
          <w:p w14:paraId="57716D61" w14:textId="050B3AC0" w:rsidR="00857CFE" w:rsidRPr="00C22139" w:rsidRDefault="00857CFE" w:rsidP="002338EB">
            <w:pPr>
              <w:spacing w:before="120" w:after="120"/>
              <w:rPr>
                <w:rFonts w:ascii="Arial" w:hAnsi="Arial" w:cs="Arial"/>
                <w:color w:val="000000"/>
                <w:kern w:val="24"/>
                <w:sz w:val="22"/>
                <w:szCs w:val="22"/>
                <w:lang w:val="en-US"/>
              </w:rPr>
            </w:pPr>
            <w:r w:rsidRPr="00857CFE">
              <w:rPr>
                <w:rFonts w:ascii="Arial" w:hAnsi="Arial" w:cs="Arial"/>
                <w:color w:val="000000"/>
                <w:kern w:val="24"/>
                <w:sz w:val="22"/>
                <w:szCs w:val="22"/>
                <w:lang w:val="en-US"/>
              </w:rPr>
              <w:t>The indicator will lead to a meaningful improvement in patient outcomes.</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002338EB">
        <w:tc>
          <w:tcPr>
            <w:tcW w:w="5949" w:type="dxa"/>
          </w:tcPr>
          <w:p w14:paraId="378D38FD" w14:textId="03BB3A67" w:rsidR="00735337" w:rsidRPr="007778ED" w:rsidRDefault="007778ED" w:rsidP="00735337">
            <w:pPr>
              <w:pStyle w:val="Paragraph"/>
              <w:spacing w:before="120" w:after="120" w:line="240" w:lineRule="auto"/>
              <w:rPr>
                <w:rFonts w:cs="Arial"/>
                <w:sz w:val="22"/>
                <w:szCs w:val="22"/>
              </w:rPr>
            </w:pPr>
            <w:r w:rsidRPr="007778ED">
              <w:rPr>
                <w:rFonts w:cs="Arial"/>
                <w:sz w:val="22"/>
                <w:szCs w:val="22"/>
              </w:rPr>
              <w:t xml:space="preserve">A </w:t>
            </w:r>
            <w:hyperlink r:id="rId11" w:history="1">
              <w:r w:rsidRPr="007778ED">
                <w:rPr>
                  <w:rStyle w:val="Hyperlink"/>
                  <w:rFonts w:cs="Arial"/>
                  <w:sz w:val="22"/>
                  <w:szCs w:val="22"/>
                </w:rPr>
                <w:t>study of the standard of clinical care for people with epilepsy in general practice</w:t>
              </w:r>
            </w:hyperlink>
            <w:r w:rsidRPr="007778ED">
              <w:rPr>
                <w:rFonts w:cs="Arial"/>
                <w:sz w:val="22"/>
                <w:szCs w:val="22"/>
              </w:rPr>
              <w:t xml:space="preserve"> found that annual review fell significantly from 95% in 2010 to 14% in 2016, following removal of annual review from the QOF in 2014.</w:t>
            </w:r>
          </w:p>
        </w:tc>
        <w:tc>
          <w:tcPr>
            <w:tcW w:w="3118" w:type="dxa"/>
          </w:tcPr>
          <w:p w14:paraId="3FD01E72" w14:textId="74257826" w:rsidR="00735337" w:rsidRPr="002338EB" w:rsidRDefault="00735337" w:rsidP="00D50932">
            <w:pPr>
              <w:spacing w:before="120" w:after="120"/>
              <w:rPr>
                <w:highlight w:val="lightGray"/>
              </w:rPr>
            </w:pPr>
            <w:r w:rsidRPr="00776DC1">
              <w:rPr>
                <w:rFonts w:ascii="Arial" w:hAnsi="Arial" w:cs="Arial"/>
                <w:color w:val="000000"/>
                <w:kern w:val="24"/>
                <w:sz w:val="22"/>
                <w:szCs w:val="22"/>
                <w:lang w:val="en-US"/>
              </w:rPr>
              <w:t>The indicator relates to an area where there is known variation in practice.</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23D0125" w14:textId="77777777" w:rsidR="00DF5A2C" w:rsidRPr="0011541F" w:rsidRDefault="009D4223" w:rsidP="00DF5A2C">
            <w:pPr>
              <w:pStyle w:val="Paragraph"/>
              <w:spacing w:before="120" w:after="120" w:line="240" w:lineRule="auto"/>
              <w:rPr>
                <w:sz w:val="22"/>
                <w:szCs w:val="22"/>
              </w:rPr>
            </w:pPr>
            <w:hyperlink r:id="rId12" w:history="1">
              <w:r w:rsidR="00467370" w:rsidRPr="0011541F">
                <w:rPr>
                  <w:rStyle w:val="Hyperlink"/>
                  <w:sz w:val="22"/>
                  <w:szCs w:val="22"/>
                </w:rPr>
                <w:t>Epilepsies in children, young people and adults. NICE guideline NG217</w:t>
              </w:r>
            </w:hyperlink>
            <w:r w:rsidR="00467370" w:rsidRPr="0011541F">
              <w:rPr>
                <w:sz w:val="22"/>
                <w:szCs w:val="22"/>
              </w:rPr>
              <w:t xml:space="preserve"> (2022) </w:t>
            </w:r>
          </w:p>
          <w:p w14:paraId="24709B61" w14:textId="35517D34" w:rsidR="00467370" w:rsidRPr="0011541F" w:rsidRDefault="00467370" w:rsidP="00DF5A2C">
            <w:pPr>
              <w:pStyle w:val="Paragraph"/>
              <w:spacing w:before="120" w:after="120" w:line="240" w:lineRule="auto"/>
              <w:rPr>
                <w:sz w:val="22"/>
                <w:szCs w:val="22"/>
              </w:rPr>
            </w:pPr>
            <w:r w:rsidRPr="0011541F">
              <w:rPr>
                <w:sz w:val="22"/>
                <w:szCs w:val="22"/>
              </w:rPr>
              <w:t>4.5.1 Arrange regular (at least annual) monitoring reviews for adults with epilepsy and any of the following:</w:t>
            </w:r>
          </w:p>
          <w:p w14:paraId="68511DA7" w14:textId="77777777" w:rsidR="00467370" w:rsidRPr="0011541F" w:rsidRDefault="00467370" w:rsidP="00467370">
            <w:pPr>
              <w:pStyle w:val="Bullets"/>
              <w:rPr>
                <w:sz w:val="22"/>
                <w:szCs w:val="22"/>
              </w:rPr>
            </w:pPr>
            <w:r w:rsidRPr="0011541F">
              <w:rPr>
                <w:sz w:val="22"/>
                <w:szCs w:val="22"/>
              </w:rPr>
              <w:t>a learning disability</w:t>
            </w:r>
          </w:p>
          <w:p w14:paraId="05A2C1BD" w14:textId="77777777" w:rsidR="00467370" w:rsidRPr="0011541F" w:rsidRDefault="00467370" w:rsidP="00467370">
            <w:pPr>
              <w:pStyle w:val="Bullets"/>
              <w:rPr>
                <w:sz w:val="22"/>
                <w:szCs w:val="22"/>
              </w:rPr>
            </w:pPr>
            <w:r w:rsidRPr="0011541F">
              <w:rPr>
                <w:sz w:val="22"/>
                <w:szCs w:val="22"/>
              </w:rPr>
              <w:t>drug-resistant epilepsy</w:t>
            </w:r>
          </w:p>
          <w:p w14:paraId="219D047D" w14:textId="77777777" w:rsidR="00467370" w:rsidRPr="0011541F" w:rsidRDefault="00467370" w:rsidP="00467370">
            <w:pPr>
              <w:pStyle w:val="Bullets"/>
              <w:rPr>
                <w:sz w:val="22"/>
                <w:szCs w:val="22"/>
              </w:rPr>
            </w:pPr>
            <w:r w:rsidRPr="0011541F">
              <w:rPr>
                <w:sz w:val="22"/>
                <w:szCs w:val="22"/>
              </w:rPr>
              <w:t>a high risk of sudden unexpected death in epilepsy (SUDEP; see the section on reducing the risk of epilepsy-related death)</w:t>
            </w:r>
          </w:p>
          <w:p w14:paraId="6D12C5A9" w14:textId="77777777" w:rsidR="00467370" w:rsidRPr="0011541F" w:rsidRDefault="00467370" w:rsidP="00467370">
            <w:pPr>
              <w:pStyle w:val="Bullets"/>
              <w:rPr>
                <w:sz w:val="22"/>
                <w:szCs w:val="22"/>
              </w:rPr>
            </w:pPr>
            <w:r w:rsidRPr="0011541F">
              <w:rPr>
                <w:sz w:val="22"/>
                <w:szCs w:val="22"/>
              </w:rPr>
              <w:t>a serious comorbidity, such as complex psychosocial, cognitive or mental health problems</w:t>
            </w:r>
          </w:p>
          <w:p w14:paraId="1E76629C" w14:textId="77777777" w:rsidR="00467370" w:rsidRPr="0046266F" w:rsidRDefault="00467370" w:rsidP="00AD158F">
            <w:pPr>
              <w:pStyle w:val="Bullets"/>
              <w:rPr>
                <w:sz w:val="22"/>
                <w:szCs w:val="22"/>
              </w:rPr>
            </w:pPr>
            <w:r w:rsidRPr="0011541F">
              <w:rPr>
                <w:sz w:val="22"/>
                <w:szCs w:val="22"/>
              </w:rPr>
              <w:t xml:space="preserve">who are taking antiseizure medications associated </w:t>
            </w:r>
            <w:r w:rsidRPr="0046266F">
              <w:rPr>
                <w:sz w:val="22"/>
                <w:szCs w:val="22"/>
              </w:rPr>
              <w:t>with long-term side effects or drug interactions</w:t>
            </w:r>
          </w:p>
          <w:p w14:paraId="53FBBDC2" w14:textId="77777777" w:rsidR="00AD158F" w:rsidRPr="0046266F" w:rsidRDefault="00467370" w:rsidP="0046266F">
            <w:pPr>
              <w:pStyle w:val="Bullets"/>
            </w:pPr>
            <w:r w:rsidRPr="0046266F">
              <w:rPr>
                <w:sz w:val="22"/>
                <w:szCs w:val="22"/>
              </w:rPr>
              <w:t>who are able to get pregnant and are taking valproate or any other high-risk teratogenic antiseizure medication (see also the MHRA safety advice on antiepileptic drugs in pregnancy)</w:t>
            </w:r>
            <w:r w:rsidR="00AD158F" w:rsidRPr="0046266F">
              <w:rPr>
                <w:sz w:val="22"/>
                <w:szCs w:val="22"/>
              </w:rPr>
              <w:t>.</w:t>
            </w:r>
          </w:p>
          <w:p w14:paraId="1359C26D" w14:textId="5D16EFD6" w:rsidR="0046266F" w:rsidRPr="002338EB" w:rsidRDefault="0046266F" w:rsidP="0046266F">
            <w:pPr>
              <w:pStyle w:val="Bullets"/>
              <w:numPr>
                <w:ilvl w:val="0"/>
                <w:numId w:val="0"/>
              </w:numPr>
              <w:rPr>
                <w:highlight w:val="lightGray"/>
              </w:rPr>
            </w:pPr>
          </w:p>
        </w:tc>
        <w:tc>
          <w:tcPr>
            <w:tcW w:w="3118" w:type="dxa"/>
          </w:tcPr>
          <w:p w14:paraId="75848804" w14:textId="3DDEAA32" w:rsidR="002338EB" w:rsidRPr="002338EB" w:rsidRDefault="006445B6" w:rsidP="002338EB">
            <w:pPr>
              <w:pStyle w:val="Paragraph"/>
              <w:spacing w:before="120" w:after="120" w:line="240" w:lineRule="auto"/>
              <w:rPr>
                <w:highlight w:val="lightGray"/>
              </w:rPr>
            </w:pPr>
            <w:r>
              <w:rPr>
                <w:rFonts w:cs="Arial"/>
                <w:color w:val="000000"/>
                <w:kern w:val="24"/>
                <w:sz w:val="22"/>
                <w:szCs w:val="22"/>
                <w:lang w:val="en-US"/>
              </w:rPr>
              <w:t>The i</w:t>
            </w:r>
            <w:r w:rsidRPr="006445B6">
              <w:rPr>
                <w:rFonts w:cs="Arial"/>
                <w:color w:val="000000"/>
                <w:kern w:val="24"/>
                <w:sz w:val="22"/>
                <w:szCs w:val="22"/>
                <w:lang w:val="en-US"/>
              </w:rPr>
              <w:t xml:space="preserve">ndicator </w:t>
            </w:r>
            <w:r w:rsidR="00E83564">
              <w:rPr>
                <w:rFonts w:cs="Arial"/>
                <w:color w:val="000000"/>
                <w:kern w:val="24"/>
                <w:sz w:val="22"/>
                <w:szCs w:val="22"/>
                <w:lang w:val="en-US"/>
              </w:rPr>
              <w:t xml:space="preserve">denominator </w:t>
            </w:r>
            <w:r w:rsidRPr="006445B6">
              <w:rPr>
                <w:rFonts w:cs="Arial"/>
                <w:color w:val="000000"/>
                <w:kern w:val="24"/>
                <w:sz w:val="22"/>
                <w:szCs w:val="22"/>
                <w:lang w:val="en-US"/>
              </w:rPr>
              <w:t xml:space="preserve">includes people for whom annual review may not be necessary based on the recommendations in the updated NICE epilepsy guideline. </w:t>
            </w:r>
            <w:r>
              <w:rPr>
                <w:rFonts w:cs="Arial"/>
                <w:color w:val="000000"/>
                <w:kern w:val="24"/>
                <w:sz w:val="22"/>
                <w:szCs w:val="22"/>
                <w:lang w:val="en-US"/>
              </w:rPr>
              <w:t>However, f</w:t>
            </w:r>
            <w:r w:rsidRPr="006445B6">
              <w:rPr>
                <w:rFonts w:cs="Arial"/>
                <w:color w:val="000000"/>
                <w:kern w:val="24"/>
                <w:sz w:val="22"/>
                <w:szCs w:val="22"/>
                <w:lang w:val="en-US"/>
              </w:rPr>
              <w:t>eedback from consultation and piloting generally suggest</w:t>
            </w:r>
            <w:r w:rsidR="0011541F">
              <w:rPr>
                <w:rFonts w:cs="Arial"/>
                <w:color w:val="000000"/>
                <w:kern w:val="24"/>
                <w:sz w:val="22"/>
                <w:szCs w:val="22"/>
                <w:lang w:val="en-US"/>
              </w:rPr>
              <w:t>ed</w:t>
            </w:r>
            <w:r w:rsidRPr="006445B6">
              <w:rPr>
                <w:rFonts w:cs="Arial"/>
                <w:color w:val="000000"/>
                <w:kern w:val="24"/>
                <w:sz w:val="22"/>
                <w:szCs w:val="22"/>
                <w:lang w:val="en-US"/>
              </w:rPr>
              <w:t xml:space="preserve"> that </w:t>
            </w:r>
            <w:r w:rsidR="00E83564">
              <w:rPr>
                <w:rFonts w:cs="Arial"/>
                <w:color w:val="000000"/>
                <w:kern w:val="24"/>
                <w:sz w:val="22"/>
                <w:szCs w:val="22"/>
                <w:lang w:val="en-US"/>
              </w:rPr>
              <w:t>focusing on all people receiving anti-seizure medication</w:t>
            </w:r>
            <w:r w:rsidRPr="006445B6">
              <w:rPr>
                <w:rFonts w:cs="Arial"/>
                <w:color w:val="000000"/>
                <w:kern w:val="24"/>
                <w:sz w:val="22"/>
                <w:szCs w:val="22"/>
                <w:lang w:val="en-US"/>
              </w:rPr>
              <w:t xml:space="preserve"> </w:t>
            </w:r>
            <w:r w:rsidR="0011541F">
              <w:rPr>
                <w:rFonts w:cs="Arial"/>
                <w:color w:val="000000"/>
                <w:kern w:val="24"/>
                <w:sz w:val="22"/>
                <w:szCs w:val="22"/>
                <w:lang w:val="en-US"/>
              </w:rPr>
              <w:t>is</w:t>
            </w:r>
            <w:r w:rsidRPr="006445B6">
              <w:rPr>
                <w:rFonts w:cs="Arial"/>
                <w:color w:val="000000"/>
                <w:kern w:val="24"/>
                <w:sz w:val="22"/>
                <w:szCs w:val="22"/>
                <w:lang w:val="en-US"/>
              </w:rPr>
              <w:t xml:space="preserve"> an acceptable pragmatic approach</w:t>
            </w:r>
            <w:r w:rsidR="00E83564">
              <w:rPr>
                <w:rFonts w:cs="Arial"/>
                <w:color w:val="000000"/>
                <w:kern w:val="24"/>
                <w:sz w:val="22"/>
                <w:szCs w:val="22"/>
                <w:lang w:val="en-US"/>
              </w:rPr>
              <w:t xml:space="preserve"> to identify a population</w:t>
            </w:r>
            <w:r w:rsidRPr="006445B6">
              <w:rPr>
                <w:rFonts w:cs="Arial"/>
                <w:color w:val="000000"/>
                <w:kern w:val="24"/>
                <w:sz w:val="22"/>
                <w:szCs w:val="22"/>
                <w:lang w:val="en-US"/>
              </w:rPr>
              <w:t>.</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5E1C2161" w:rsidR="002338EB" w:rsidRPr="002338EB" w:rsidRDefault="002338EB" w:rsidP="002338EB">
            <w:pPr>
              <w:spacing w:before="120" w:after="120"/>
              <w:rPr>
                <w:rFonts w:ascii="Arial" w:hAnsi="Arial" w:cs="Arial"/>
                <w:color w:val="000000"/>
                <w:kern w:val="24"/>
                <w:sz w:val="22"/>
                <w:szCs w:val="22"/>
                <w:highlight w:val="lightGray"/>
              </w:rPr>
            </w:pPr>
            <w:r w:rsidRPr="00E13309">
              <w:rPr>
                <w:rFonts w:ascii="Arial" w:hAnsi="Arial" w:cs="Arial"/>
                <w:color w:val="000000"/>
                <w:kern w:val="24"/>
                <w:sz w:val="22"/>
                <w:szCs w:val="22"/>
              </w:rPr>
              <w:t xml:space="preserve">Numerator: </w:t>
            </w:r>
            <w:r w:rsidR="00E13309" w:rsidRPr="00E13309">
              <w:rPr>
                <w:rFonts w:ascii="Arial" w:hAnsi="Arial" w:cs="Arial"/>
                <w:color w:val="000000"/>
                <w:kern w:val="24"/>
                <w:sz w:val="22"/>
                <w:szCs w:val="22"/>
              </w:rPr>
              <w:t>The number in the denominator who had a structured review in the preceding 12 months.</w:t>
            </w:r>
            <w:r w:rsidRPr="002338EB">
              <w:rPr>
                <w:rFonts w:ascii="Arial" w:hAnsi="Arial" w:cs="Arial"/>
                <w:color w:val="000000"/>
                <w:kern w:val="24"/>
                <w:sz w:val="22"/>
                <w:szCs w:val="22"/>
                <w:highlight w:val="lightGray"/>
              </w:rPr>
              <w:t xml:space="preserve"> </w:t>
            </w:r>
          </w:p>
          <w:p w14:paraId="424261B6" w14:textId="657064AC" w:rsidR="002338EB" w:rsidRPr="00E13309" w:rsidRDefault="002338EB" w:rsidP="002338EB">
            <w:pPr>
              <w:pStyle w:val="Paragraph"/>
              <w:spacing w:before="120" w:after="120" w:line="240" w:lineRule="auto"/>
              <w:rPr>
                <w:rFonts w:cs="Arial"/>
                <w:color w:val="000000"/>
                <w:kern w:val="24"/>
                <w:sz w:val="22"/>
                <w:szCs w:val="22"/>
              </w:rPr>
            </w:pPr>
            <w:r w:rsidRPr="00E13309">
              <w:rPr>
                <w:rFonts w:cs="Arial"/>
                <w:color w:val="000000"/>
                <w:kern w:val="24"/>
                <w:sz w:val="22"/>
                <w:szCs w:val="22"/>
              </w:rPr>
              <w:t xml:space="preserve">Denominator: </w:t>
            </w:r>
            <w:r w:rsidR="00E13309" w:rsidRPr="00E13309">
              <w:rPr>
                <w:rFonts w:cs="Arial"/>
                <w:color w:val="000000"/>
                <w:kern w:val="24"/>
                <w:sz w:val="22"/>
                <w:szCs w:val="22"/>
              </w:rPr>
              <w:t>The number of adults receiving drug therapy for epilepsy</w:t>
            </w:r>
            <w:r w:rsidRPr="00E13309">
              <w:rPr>
                <w:rFonts w:cs="Arial"/>
                <w:color w:val="000000"/>
                <w:kern w:val="24"/>
                <w:sz w:val="22"/>
                <w:szCs w:val="22"/>
              </w:rPr>
              <w:t xml:space="preserve">. </w:t>
            </w:r>
          </w:p>
          <w:p w14:paraId="1A8C1D16" w14:textId="04D56F7C" w:rsidR="00735337" w:rsidRPr="002338EB" w:rsidRDefault="00E83564" w:rsidP="002338EB">
            <w:pPr>
              <w:pStyle w:val="Paragraph"/>
              <w:spacing w:before="120" w:after="120" w:line="240" w:lineRule="auto"/>
              <w:rPr>
                <w:highlight w:val="lightGray"/>
              </w:rPr>
            </w:pPr>
            <w:r w:rsidRPr="00E71965">
              <w:rPr>
                <w:rFonts w:cs="Arial"/>
                <w:color w:val="000000"/>
                <w:kern w:val="24"/>
                <w:sz w:val="22"/>
                <w:szCs w:val="22"/>
              </w:rPr>
              <w:t>Exclusions: None.</w:t>
            </w:r>
          </w:p>
        </w:tc>
        <w:tc>
          <w:tcPr>
            <w:tcW w:w="3118" w:type="dxa"/>
          </w:tcPr>
          <w:p w14:paraId="1439227D" w14:textId="432F6BE6" w:rsidR="002338EB" w:rsidRPr="000C63A7" w:rsidRDefault="002338EB" w:rsidP="002338EB">
            <w:pPr>
              <w:spacing w:before="120" w:after="120"/>
              <w:rPr>
                <w:rFonts w:ascii="Arial" w:hAnsi="Arial" w:cs="Arial"/>
                <w:color w:val="000000"/>
                <w:kern w:val="24"/>
                <w:sz w:val="22"/>
                <w:szCs w:val="22"/>
              </w:rPr>
            </w:pPr>
            <w:r w:rsidRPr="000C63A7">
              <w:rPr>
                <w:rFonts w:ascii="Arial" w:hAnsi="Arial" w:cs="Arial"/>
                <w:color w:val="000000"/>
                <w:kern w:val="24"/>
                <w:sz w:val="22"/>
                <w:szCs w:val="22"/>
              </w:rPr>
              <w:t>The indicator has defined components necessary to construct the indicator</w:t>
            </w:r>
            <w:r w:rsidR="00462D48">
              <w:rPr>
                <w:rFonts w:ascii="Arial" w:hAnsi="Arial" w:cs="Arial"/>
                <w:color w:val="000000"/>
                <w:kern w:val="24"/>
                <w:sz w:val="22"/>
                <w:szCs w:val="22"/>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B4889E2" w14:textId="352A7301" w:rsidR="007D07A2" w:rsidRPr="002338EB" w:rsidRDefault="007D07A2" w:rsidP="007D07A2">
            <w:pPr>
              <w:pStyle w:val="Paragraph"/>
              <w:spacing w:before="120" w:after="120"/>
              <w:rPr>
                <w:highlight w:val="lightGray"/>
              </w:rPr>
            </w:pPr>
            <w:r w:rsidRPr="007D07A2">
              <w:rPr>
                <w:rFonts w:cs="Arial"/>
                <w:color w:val="000000"/>
                <w:kern w:val="24"/>
                <w:sz w:val="22"/>
                <w:szCs w:val="22"/>
              </w:rPr>
              <w:t>The indicator would be appropriate to assess performance at individual general practice level.</w:t>
            </w:r>
            <w:r w:rsidR="005D3400">
              <w:rPr>
                <w:rFonts w:cs="Arial"/>
                <w:color w:val="000000"/>
                <w:kern w:val="24"/>
                <w:sz w:val="22"/>
                <w:szCs w:val="22"/>
              </w:rPr>
              <w:t xml:space="preserve"> </w:t>
            </w:r>
            <w:r w:rsidRPr="007D07A2">
              <w:rPr>
                <w:rFonts w:cs="Arial"/>
                <w:color w:val="000000"/>
                <w:kern w:val="24"/>
                <w:sz w:val="22"/>
                <w:szCs w:val="22"/>
              </w:rPr>
              <w:t xml:space="preserve">To be classified as suitable for use in QOF, there should be an average minimum population of </w:t>
            </w:r>
            <w:r w:rsidR="00955134" w:rsidRPr="00955134">
              <w:rPr>
                <w:rFonts w:cs="Arial"/>
                <w:color w:val="000000"/>
                <w:kern w:val="24"/>
                <w:sz w:val="22"/>
                <w:szCs w:val="22"/>
              </w:rPr>
              <w:t xml:space="preserve">more than 20 patients </w:t>
            </w:r>
            <w:r w:rsidRPr="007D07A2">
              <w:rPr>
                <w:rFonts w:cs="Arial"/>
                <w:color w:val="000000"/>
                <w:kern w:val="24"/>
                <w:sz w:val="22"/>
                <w:szCs w:val="22"/>
              </w:rPr>
              <w:t xml:space="preserve">per practice eligible for inclusion in the denominator prior to application of personalised care adjustments. </w:t>
            </w:r>
            <w:bookmarkStart w:id="3" w:name="_Hlk111102398"/>
            <w:r w:rsidR="005D437A" w:rsidRPr="005D437A">
              <w:rPr>
                <w:rFonts w:cs="Arial"/>
                <w:color w:val="000000"/>
                <w:kern w:val="24"/>
                <w:sz w:val="22"/>
                <w:szCs w:val="22"/>
              </w:rPr>
              <w:t>QOF data for 2020-21 shows that 0.8% of adults in England are receiving drug treatment for epilepsy</w:t>
            </w:r>
            <w:r w:rsidR="005D437A">
              <w:rPr>
                <w:rFonts w:cs="Arial"/>
                <w:color w:val="000000"/>
                <w:kern w:val="24"/>
                <w:sz w:val="22"/>
                <w:szCs w:val="22"/>
              </w:rPr>
              <w:t>. This equates to around</w:t>
            </w:r>
            <w:r w:rsidR="005D437A" w:rsidRPr="005D437A">
              <w:rPr>
                <w:rFonts w:cs="Arial"/>
                <w:color w:val="000000"/>
                <w:kern w:val="24"/>
                <w:sz w:val="22"/>
                <w:szCs w:val="22"/>
              </w:rPr>
              <w:t xml:space="preserve"> 63 patients for an average practice with 10,000 patients</w:t>
            </w:r>
            <w:r w:rsidR="005D437A">
              <w:rPr>
                <w:rFonts w:cs="Arial"/>
                <w:color w:val="000000"/>
                <w:kern w:val="24"/>
                <w:sz w:val="22"/>
                <w:szCs w:val="22"/>
              </w:rPr>
              <w:t xml:space="preserve"> (using ONS population </w:t>
            </w:r>
            <w:r w:rsidR="008018D5">
              <w:rPr>
                <w:rFonts w:cs="Arial"/>
                <w:color w:val="000000"/>
                <w:kern w:val="24"/>
                <w:sz w:val="22"/>
                <w:szCs w:val="22"/>
              </w:rPr>
              <w:t>statistics</w:t>
            </w:r>
            <w:r w:rsidR="005D437A">
              <w:rPr>
                <w:rFonts w:cs="Arial"/>
                <w:color w:val="000000"/>
                <w:kern w:val="24"/>
                <w:sz w:val="22"/>
                <w:szCs w:val="22"/>
              </w:rPr>
              <w:t>)</w:t>
            </w:r>
            <w:bookmarkEnd w:id="3"/>
            <w:r w:rsidR="005D3400" w:rsidRPr="00466D83">
              <w:rPr>
                <w:rFonts w:cs="Arial"/>
                <w:color w:val="000000"/>
                <w:kern w:val="24"/>
                <w:sz w:val="22"/>
                <w:szCs w:val="22"/>
              </w:rPr>
              <w:t>.</w:t>
            </w:r>
          </w:p>
        </w:tc>
        <w:tc>
          <w:tcPr>
            <w:tcW w:w="3118" w:type="dxa"/>
          </w:tcPr>
          <w:p w14:paraId="38DE6D48" w14:textId="4610FDA1" w:rsidR="002338EB" w:rsidRPr="002338EB" w:rsidRDefault="002338EB" w:rsidP="002338EB">
            <w:pPr>
              <w:pStyle w:val="Paragraph"/>
              <w:spacing w:before="120" w:after="120" w:line="240" w:lineRule="auto"/>
              <w:rPr>
                <w:highlight w:val="lightGray"/>
              </w:rPr>
            </w:pPr>
            <w:r w:rsidRPr="00466D83">
              <w:rPr>
                <w:rFonts w:cs="Arial"/>
                <w:color w:val="000000"/>
                <w:kern w:val="24"/>
                <w:sz w:val="22"/>
                <w:szCs w:val="22"/>
              </w:rPr>
              <w:t xml:space="preserve">The indicator </w:t>
            </w:r>
            <w:r w:rsidR="002C1326" w:rsidRPr="00466D83">
              <w:rPr>
                <w:rFonts w:cs="Arial"/>
                <w:color w:val="000000"/>
                <w:kern w:val="24"/>
                <w:sz w:val="22"/>
                <w:szCs w:val="22"/>
              </w:rPr>
              <w:t>does</w:t>
            </w:r>
            <w:r w:rsidRPr="00466D83">
              <w:rPr>
                <w:rFonts w:cs="Arial"/>
                <w:color w:val="000000"/>
                <w:kern w:val="24"/>
                <w:sz w:val="22"/>
                <w:szCs w:val="22"/>
              </w:rPr>
              <w:t xml:space="preserve">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0C4993A" w:rsidR="00735337" w:rsidRPr="00735337" w:rsidRDefault="001A22EE" w:rsidP="00735337">
            <w:pPr>
              <w:pStyle w:val="Paragraph"/>
              <w:spacing w:before="120" w:after="120" w:line="240" w:lineRule="auto"/>
              <w:rPr>
                <w:highlight w:val="lightGray"/>
              </w:rPr>
            </w:pPr>
            <w:r w:rsidRPr="001A22EE">
              <w:rPr>
                <w:rFonts w:cs="Arial"/>
                <w:sz w:val="22"/>
                <w:szCs w:val="22"/>
              </w:rPr>
              <w:t xml:space="preserve">Data can be collected from GP systems using SNOMED coding. </w:t>
            </w:r>
          </w:p>
        </w:tc>
        <w:tc>
          <w:tcPr>
            <w:tcW w:w="3118" w:type="dxa"/>
          </w:tcPr>
          <w:p w14:paraId="7E07F302" w14:textId="5F984164" w:rsidR="00735337" w:rsidRPr="001A22EE" w:rsidRDefault="00735337" w:rsidP="00735337">
            <w:pPr>
              <w:spacing w:before="120" w:after="120"/>
              <w:rPr>
                <w:rFonts w:ascii="Arial" w:hAnsi="Arial" w:cs="Arial"/>
                <w:color w:val="000000"/>
                <w:kern w:val="24"/>
                <w:sz w:val="22"/>
                <w:szCs w:val="22"/>
              </w:rPr>
            </w:pPr>
            <w:r w:rsidRPr="001A22EE">
              <w:rPr>
                <w:rFonts w:ascii="Arial" w:hAnsi="Arial" w:cs="Arial"/>
                <w:color w:val="000000"/>
                <w:kern w:val="24"/>
                <w:sz w:val="22"/>
                <w:szCs w:val="22"/>
              </w:rPr>
              <w:t>The indicator is repeatable.</w:t>
            </w:r>
          </w:p>
          <w:p w14:paraId="3BEFE1B2" w14:textId="77777777" w:rsidR="00735337" w:rsidRPr="00735337" w:rsidRDefault="00735337" w:rsidP="00735337">
            <w:pPr>
              <w:pStyle w:val="Paragraph"/>
              <w:spacing w:before="120" w:after="120" w:line="240" w:lineRule="auto"/>
              <w:rPr>
                <w:highlight w:val="lightGray"/>
              </w:rPr>
            </w:pPr>
          </w:p>
        </w:tc>
      </w:tr>
      <w:tr w:rsidR="00735337" w14:paraId="2FE27CD6" w14:textId="77777777" w:rsidTr="001C517D">
        <w:tc>
          <w:tcPr>
            <w:tcW w:w="5949" w:type="dxa"/>
          </w:tcPr>
          <w:p w14:paraId="788A1250" w14:textId="41C98CFC" w:rsidR="00A07A7E" w:rsidRPr="00A07A7E" w:rsidRDefault="00E83564" w:rsidP="00A07A7E">
            <w:pPr>
              <w:spacing w:before="120" w:after="120"/>
              <w:rPr>
                <w:rFonts w:ascii="Arial" w:hAnsi="Arial" w:cs="Arial"/>
                <w:sz w:val="22"/>
                <w:szCs w:val="22"/>
              </w:rPr>
            </w:pPr>
            <w:r>
              <w:rPr>
                <w:rFonts w:ascii="Arial" w:hAnsi="Arial" w:cs="Arial"/>
                <w:sz w:val="22"/>
                <w:szCs w:val="22"/>
              </w:rPr>
              <w:t>The denominator matches QOF EP00</w:t>
            </w:r>
            <w:r w:rsidR="00EB538C">
              <w:rPr>
                <w:rFonts w:ascii="Arial" w:hAnsi="Arial" w:cs="Arial"/>
                <w:sz w:val="22"/>
                <w:szCs w:val="22"/>
              </w:rPr>
              <w:t>1</w:t>
            </w:r>
            <w:r>
              <w:rPr>
                <w:rFonts w:ascii="Arial" w:hAnsi="Arial" w:cs="Arial"/>
                <w:sz w:val="22"/>
                <w:szCs w:val="22"/>
              </w:rPr>
              <w:t xml:space="preserve">, derived from the </w:t>
            </w:r>
            <w:r w:rsidR="00A07A7E" w:rsidRPr="00A07A7E">
              <w:rPr>
                <w:rFonts w:ascii="Arial" w:hAnsi="Arial" w:cs="Arial"/>
                <w:sz w:val="22"/>
                <w:szCs w:val="22"/>
              </w:rPr>
              <w:t xml:space="preserve">following clusters: </w:t>
            </w:r>
          </w:p>
          <w:p w14:paraId="1AD30FFF" w14:textId="77777777" w:rsidR="00A07A7E" w:rsidRPr="00A07A7E" w:rsidRDefault="00A07A7E" w:rsidP="00A07A7E">
            <w:pPr>
              <w:spacing w:before="120" w:after="120"/>
              <w:rPr>
                <w:rFonts w:ascii="Arial" w:hAnsi="Arial" w:cs="Arial"/>
                <w:sz w:val="22"/>
                <w:szCs w:val="22"/>
              </w:rPr>
            </w:pPr>
            <w:r w:rsidRPr="00A07A7E">
              <w:rPr>
                <w:rFonts w:ascii="Arial" w:hAnsi="Arial" w:cs="Arial"/>
                <w:sz w:val="22"/>
                <w:szCs w:val="22"/>
              </w:rPr>
              <w:t>EPIL_COD</w:t>
            </w:r>
          </w:p>
          <w:p w14:paraId="2E197863" w14:textId="77777777" w:rsidR="00A07A7E" w:rsidRPr="00A07A7E" w:rsidRDefault="00A07A7E" w:rsidP="00A07A7E">
            <w:pPr>
              <w:spacing w:before="120" w:after="120"/>
              <w:rPr>
                <w:rFonts w:ascii="Arial" w:hAnsi="Arial" w:cs="Arial"/>
                <w:sz w:val="22"/>
                <w:szCs w:val="22"/>
              </w:rPr>
            </w:pPr>
            <w:r w:rsidRPr="00A07A7E">
              <w:rPr>
                <w:rFonts w:ascii="Arial" w:hAnsi="Arial" w:cs="Arial"/>
                <w:sz w:val="22"/>
                <w:szCs w:val="22"/>
              </w:rPr>
              <w:t>EPILDRUG_COD</w:t>
            </w:r>
          </w:p>
          <w:p w14:paraId="321A0477" w14:textId="5B2BE970" w:rsidR="0095195B" w:rsidRDefault="00967E1F" w:rsidP="00A07A7E">
            <w:pPr>
              <w:spacing w:before="120" w:after="120"/>
              <w:rPr>
                <w:rFonts w:ascii="Arial" w:hAnsi="Arial" w:cs="Arial"/>
                <w:sz w:val="22"/>
                <w:szCs w:val="22"/>
              </w:rPr>
            </w:pPr>
            <w:r>
              <w:rPr>
                <w:rFonts w:ascii="Arial" w:hAnsi="Arial" w:cs="Arial"/>
                <w:sz w:val="22"/>
                <w:szCs w:val="22"/>
              </w:rPr>
              <w:t xml:space="preserve">There </w:t>
            </w:r>
            <w:r w:rsidR="00460170">
              <w:rPr>
                <w:rFonts w:ascii="Arial" w:hAnsi="Arial" w:cs="Arial"/>
                <w:sz w:val="22"/>
                <w:szCs w:val="22"/>
              </w:rPr>
              <w:t>is an</w:t>
            </w:r>
            <w:r>
              <w:rPr>
                <w:rFonts w:ascii="Arial" w:hAnsi="Arial" w:cs="Arial"/>
                <w:sz w:val="22"/>
                <w:szCs w:val="22"/>
              </w:rPr>
              <w:t xml:space="preserve"> existing </w:t>
            </w:r>
            <w:r w:rsidR="00460170">
              <w:rPr>
                <w:rFonts w:ascii="Arial" w:hAnsi="Arial" w:cs="Arial"/>
                <w:sz w:val="22"/>
                <w:szCs w:val="22"/>
              </w:rPr>
              <w:t xml:space="preserve">SNOMED </w:t>
            </w:r>
            <w:r>
              <w:rPr>
                <w:rFonts w:ascii="Arial" w:hAnsi="Arial" w:cs="Arial"/>
                <w:sz w:val="22"/>
                <w:szCs w:val="22"/>
              </w:rPr>
              <w:t xml:space="preserve">code for </w:t>
            </w:r>
            <w:r w:rsidR="00460170">
              <w:rPr>
                <w:rFonts w:ascii="Arial" w:hAnsi="Arial" w:cs="Arial"/>
                <w:sz w:val="22"/>
                <w:szCs w:val="22"/>
              </w:rPr>
              <w:t xml:space="preserve">epilepsy </w:t>
            </w:r>
            <w:r>
              <w:rPr>
                <w:rFonts w:ascii="Arial" w:hAnsi="Arial" w:cs="Arial"/>
                <w:sz w:val="22"/>
                <w:szCs w:val="22"/>
              </w:rPr>
              <w:t>annual revie</w:t>
            </w:r>
            <w:r w:rsidR="00460170">
              <w:rPr>
                <w:rFonts w:ascii="Arial" w:hAnsi="Arial" w:cs="Arial"/>
                <w:sz w:val="22"/>
                <w:szCs w:val="22"/>
              </w:rPr>
              <w:t>w</w:t>
            </w:r>
            <w:r w:rsidR="0095195B">
              <w:rPr>
                <w:rFonts w:ascii="Arial" w:hAnsi="Arial" w:cs="Arial"/>
                <w:sz w:val="22"/>
                <w:szCs w:val="22"/>
              </w:rPr>
              <w:t>.</w:t>
            </w:r>
          </w:p>
          <w:p w14:paraId="6B3D2BF0" w14:textId="22D1DFC1" w:rsidR="00AA6EED" w:rsidRPr="00A07A7E" w:rsidRDefault="00A07A7E" w:rsidP="0095195B">
            <w:pPr>
              <w:spacing w:before="120" w:after="120"/>
              <w:rPr>
                <w:rFonts w:ascii="Arial" w:hAnsi="Arial" w:cs="Arial"/>
                <w:sz w:val="22"/>
                <w:szCs w:val="22"/>
              </w:rPr>
            </w:pPr>
            <w:r w:rsidRPr="00A07A7E">
              <w:rPr>
                <w:rFonts w:ascii="Arial" w:hAnsi="Arial" w:cs="Arial"/>
                <w:sz w:val="22"/>
                <w:szCs w:val="22"/>
              </w:rPr>
              <w:t xml:space="preserve">A similar logic is </w:t>
            </w:r>
            <w:r w:rsidR="009D4223">
              <w:rPr>
                <w:rFonts w:ascii="Arial" w:hAnsi="Arial" w:cs="Arial"/>
                <w:sz w:val="22"/>
                <w:szCs w:val="22"/>
              </w:rPr>
              <w:t>used</w:t>
            </w:r>
            <w:r w:rsidRPr="00A07A7E">
              <w:rPr>
                <w:rFonts w:ascii="Arial" w:hAnsi="Arial" w:cs="Arial"/>
                <w:sz w:val="22"/>
                <w:szCs w:val="22"/>
              </w:rPr>
              <w:t xml:space="preserve"> in QOF, INLIQ</w:t>
            </w:r>
            <w:r>
              <w:rPr>
                <w:rFonts w:ascii="Arial" w:hAnsi="Arial" w:cs="Arial"/>
                <w:sz w:val="22"/>
                <w:szCs w:val="22"/>
              </w:rPr>
              <w:t xml:space="preserve"> </w:t>
            </w:r>
            <w:r w:rsidRPr="00A07A7E">
              <w:rPr>
                <w:rFonts w:ascii="Arial" w:hAnsi="Arial" w:cs="Arial"/>
                <w:sz w:val="22"/>
                <w:szCs w:val="22"/>
              </w:rPr>
              <w:t xml:space="preserve">and NCD datasets. </w:t>
            </w:r>
          </w:p>
        </w:tc>
        <w:tc>
          <w:tcPr>
            <w:tcW w:w="3118" w:type="dxa"/>
          </w:tcPr>
          <w:p w14:paraId="501A7677" w14:textId="330418F8" w:rsidR="00735337" w:rsidRPr="00A07A7E" w:rsidRDefault="007E30E3" w:rsidP="00735337">
            <w:pPr>
              <w:spacing w:before="120" w:after="120"/>
              <w:rPr>
                <w:rFonts w:ascii="Arial" w:hAnsi="Arial" w:cs="Arial"/>
                <w:color w:val="000000"/>
                <w:kern w:val="24"/>
                <w:sz w:val="22"/>
                <w:szCs w:val="22"/>
              </w:rPr>
            </w:pPr>
            <w:r>
              <w:rPr>
                <w:rFonts w:ascii="Arial" w:hAnsi="Arial" w:cs="Arial"/>
                <w:color w:val="000000"/>
                <w:kern w:val="24"/>
                <w:sz w:val="22"/>
                <w:szCs w:val="22"/>
              </w:rPr>
              <w:t>T</w:t>
            </w:r>
            <w:r w:rsidR="00735337" w:rsidRPr="00A07A7E">
              <w:rPr>
                <w:rFonts w:ascii="Arial" w:hAnsi="Arial" w:cs="Arial"/>
                <w:color w:val="000000"/>
                <w:kern w:val="24"/>
                <w:sz w:val="22"/>
                <w:szCs w:val="22"/>
              </w:rPr>
              <w:t xml:space="preserve">he indicator </w:t>
            </w:r>
            <w:r w:rsidR="003473C6">
              <w:rPr>
                <w:rFonts w:ascii="Arial" w:hAnsi="Arial" w:cs="Arial"/>
                <w:color w:val="000000"/>
                <w:kern w:val="24"/>
                <w:sz w:val="22"/>
                <w:szCs w:val="22"/>
              </w:rPr>
              <w:t xml:space="preserve">will </w:t>
            </w:r>
            <w:r w:rsidR="00735337" w:rsidRPr="00A07A7E">
              <w:rPr>
                <w:rFonts w:ascii="Arial" w:hAnsi="Arial" w:cs="Arial"/>
                <w:color w:val="000000"/>
                <w:kern w:val="24"/>
                <w:sz w:val="22"/>
                <w:szCs w:val="22"/>
              </w:rPr>
              <w:t>measur</w:t>
            </w:r>
            <w:r w:rsidR="003473C6">
              <w:rPr>
                <w:rFonts w:ascii="Arial" w:hAnsi="Arial" w:cs="Arial"/>
                <w:color w:val="000000"/>
                <w:kern w:val="24"/>
                <w:sz w:val="22"/>
                <w:szCs w:val="22"/>
              </w:rPr>
              <w:t>e</w:t>
            </w:r>
            <w:r w:rsidR="00735337" w:rsidRPr="00A07A7E">
              <w:rPr>
                <w:rFonts w:ascii="Arial" w:hAnsi="Arial" w:cs="Arial"/>
                <w:color w:val="000000"/>
                <w:kern w:val="24"/>
                <w:sz w:val="22"/>
                <w:szCs w:val="22"/>
              </w:rPr>
              <w:t xml:space="preserve"> what it is designed to measure. </w:t>
            </w:r>
          </w:p>
          <w:p w14:paraId="24CB8CBA" w14:textId="3912C4EC" w:rsidR="00735337" w:rsidRPr="00735337" w:rsidRDefault="00735337" w:rsidP="00735337">
            <w:pPr>
              <w:spacing w:before="120" w:after="120"/>
              <w:rPr>
                <w:rFonts w:ascii="Arial" w:hAnsi="Arial" w:cs="Arial"/>
                <w:color w:val="000000"/>
                <w:kern w:val="24"/>
                <w:sz w:val="22"/>
                <w:szCs w:val="22"/>
                <w:highlight w:val="lightGray"/>
              </w:rPr>
            </w:pPr>
            <w:r w:rsidRPr="00A07A7E">
              <w:rPr>
                <w:rFonts w:ascii="Arial" w:hAnsi="Arial" w:cs="Arial"/>
                <w:color w:val="000000"/>
                <w:kern w:val="24"/>
                <w:sz w:val="22"/>
                <w:szCs w:val="22"/>
              </w:rPr>
              <w:t xml:space="preserve">The indicator </w:t>
            </w:r>
            <w:r w:rsidR="003473C6">
              <w:rPr>
                <w:rFonts w:ascii="Arial" w:hAnsi="Arial" w:cs="Arial"/>
                <w:color w:val="000000"/>
                <w:kern w:val="24"/>
                <w:sz w:val="22"/>
                <w:szCs w:val="22"/>
              </w:rPr>
              <w:t xml:space="preserve">will </w:t>
            </w:r>
            <w:r w:rsidRPr="00A07A7E">
              <w:rPr>
                <w:rFonts w:ascii="Arial" w:hAnsi="Arial" w:cs="Arial"/>
                <w:color w:val="000000"/>
                <w:kern w:val="24"/>
                <w:sz w:val="22"/>
                <w:szCs w:val="22"/>
              </w:rPr>
              <w:t>use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74DAD698" w:rsidR="00735337" w:rsidRPr="00A47852" w:rsidRDefault="00EF2FD6" w:rsidP="003E4C7E">
            <w:pPr>
              <w:spacing w:before="120" w:after="120"/>
              <w:rPr>
                <w:highlight w:val="lightGray"/>
              </w:rPr>
            </w:pPr>
            <w:r>
              <w:rPr>
                <w:rFonts w:ascii="Arial" w:hAnsi="Arial" w:cs="Arial"/>
                <w:sz w:val="22"/>
                <w:szCs w:val="22"/>
              </w:rPr>
              <w:t xml:space="preserve">Piloting highlighted some concerns regarding potential duplication with reviews conducted in secondary care. This can be mitigated by allowing those already reviewed in secondary care to </w:t>
            </w:r>
            <w:r w:rsidR="00EB538C">
              <w:rPr>
                <w:rFonts w:ascii="Arial" w:hAnsi="Arial" w:cs="Arial"/>
                <w:sz w:val="22"/>
                <w:szCs w:val="22"/>
              </w:rPr>
              <w:t xml:space="preserve">be included in the numerator </w:t>
            </w:r>
            <w:r>
              <w:rPr>
                <w:rFonts w:ascii="Arial" w:hAnsi="Arial" w:cs="Arial"/>
                <w:sz w:val="22"/>
                <w:szCs w:val="22"/>
              </w:rPr>
              <w:t>and for primary care not to have to re-review them.</w:t>
            </w:r>
            <w:r w:rsidR="003E4C7E">
              <w:rPr>
                <w:rFonts w:ascii="Arial" w:hAnsi="Arial" w:cs="Arial"/>
                <w:sz w:val="22"/>
                <w:szCs w:val="22"/>
              </w:rPr>
              <w:t xml:space="preserve"> It was noted that notifications from secondary care about reviews could be delayed or difficult to code. Improved integration of templates and clinical systems between primary and secondary care could resolve this.</w:t>
            </w:r>
          </w:p>
        </w:tc>
        <w:tc>
          <w:tcPr>
            <w:tcW w:w="3118" w:type="dxa"/>
          </w:tcPr>
          <w:p w14:paraId="50C98A36" w14:textId="445E1B1A" w:rsidR="00735337" w:rsidRPr="00A47852" w:rsidRDefault="00735337" w:rsidP="00735337">
            <w:pPr>
              <w:pStyle w:val="Paragraph"/>
              <w:spacing w:before="120" w:after="120" w:line="240" w:lineRule="auto"/>
              <w:rPr>
                <w:highlight w:val="lightGray"/>
              </w:rPr>
            </w:pPr>
            <w:r w:rsidRPr="003E4C7E">
              <w:rPr>
                <w:rFonts w:cs="Arial"/>
                <w:color w:val="000000"/>
                <w:kern w:val="24"/>
                <w:sz w:val="22"/>
                <w:szCs w:val="22"/>
              </w:rPr>
              <w:t>The indicator assesses performance that is attributable to or within the control of the audience</w:t>
            </w:r>
            <w:r w:rsidR="00663ADC">
              <w:rPr>
                <w:rFonts w:cs="Arial"/>
                <w:color w:val="000000"/>
                <w:kern w:val="24"/>
                <w:sz w:val="22"/>
                <w:szCs w:val="22"/>
              </w:rPr>
              <w:t>.</w:t>
            </w:r>
          </w:p>
        </w:tc>
      </w:tr>
      <w:tr w:rsidR="00735337" w14:paraId="7E164FBD" w14:textId="77777777" w:rsidTr="001C517D">
        <w:tc>
          <w:tcPr>
            <w:tcW w:w="5949" w:type="dxa"/>
          </w:tcPr>
          <w:p w14:paraId="3AF0200A" w14:textId="55FB6166" w:rsidR="00735337" w:rsidRPr="00A47852" w:rsidRDefault="00374686" w:rsidP="00455D61">
            <w:pPr>
              <w:pStyle w:val="Paragraph"/>
              <w:spacing w:before="120" w:after="120" w:line="240" w:lineRule="auto"/>
              <w:rPr>
                <w:highlight w:val="lightGray"/>
              </w:rPr>
            </w:pPr>
            <w:r w:rsidRPr="00374686">
              <w:rPr>
                <w:rFonts w:cs="Arial"/>
                <w:sz w:val="22"/>
                <w:szCs w:val="22"/>
              </w:rPr>
              <w:t xml:space="preserve">Results could be used to understand national performance and compare practices. The indicator would be suitable for inclusion in an incentivised performance framework such as the Quality and Outcomes Framework.  </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455D61">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3A882B4E" w:rsidR="00D838FE" w:rsidRPr="009B1935" w:rsidRDefault="001A3ADA" w:rsidP="00953AC1">
            <w:pPr>
              <w:pStyle w:val="Paragraph"/>
              <w:spacing w:before="120" w:after="120" w:line="240" w:lineRule="auto"/>
              <w:rPr>
                <w:rFonts w:cs="Arial"/>
                <w:color w:val="000000"/>
                <w:kern w:val="24"/>
                <w:sz w:val="22"/>
                <w:szCs w:val="22"/>
                <w:lang w:eastAsia="en-GB"/>
              </w:rPr>
            </w:pPr>
            <w:r w:rsidRPr="001A3ADA">
              <w:rPr>
                <w:rFonts w:cs="Arial"/>
                <w:color w:val="000000"/>
                <w:kern w:val="24"/>
                <w:sz w:val="22"/>
                <w:szCs w:val="22"/>
                <w:lang w:eastAsia="en-GB"/>
              </w:rPr>
              <w:t xml:space="preserve">Piloting indicated </w:t>
            </w:r>
            <w:r>
              <w:rPr>
                <w:rFonts w:cs="Arial"/>
                <w:color w:val="000000"/>
                <w:kern w:val="24"/>
                <w:sz w:val="22"/>
                <w:szCs w:val="22"/>
                <w:lang w:eastAsia="en-GB"/>
              </w:rPr>
              <w:t>a risk that the indicator could become a ‘tick-box exercise’ without more guidance on what the review should include.</w:t>
            </w:r>
            <w:r w:rsidR="00953AC1">
              <w:rPr>
                <w:rFonts w:cs="Arial"/>
                <w:color w:val="000000"/>
                <w:kern w:val="24"/>
                <w:sz w:val="22"/>
                <w:szCs w:val="22"/>
                <w:lang w:eastAsia="en-GB"/>
              </w:rPr>
              <w:t xml:space="preserve"> Detailed guidance including standardised templates detailing the content of the review can mitigate this risk. </w:t>
            </w:r>
            <w:bookmarkStart w:id="4" w:name="_Hlk109029669"/>
            <w:r w:rsidR="0022093F">
              <w:rPr>
                <w:rFonts w:cs="Arial"/>
                <w:color w:val="000000"/>
                <w:kern w:val="24"/>
                <w:sz w:val="22"/>
                <w:szCs w:val="22"/>
                <w:lang w:eastAsia="en-GB"/>
              </w:rPr>
              <w:t xml:space="preserve">The committee noted that </w:t>
            </w:r>
            <w:hyperlink r:id="rId13" w:history="1">
              <w:r w:rsidR="00362468" w:rsidRPr="009B1935">
                <w:rPr>
                  <w:rStyle w:val="Hyperlink"/>
                  <w:rFonts w:cs="Arial"/>
                  <w:kern w:val="24"/>
                  <w:sz w:val="22"/>
                  <w:szCs w:val="22"/>
                  <w:lang w:eastAsia="en-GB"/>
                </w:rPr>
                <w:t>SIGN guideline 143</w:t>
              </w:r>
            </w:hyperlink>
            <w:r w:rsidR="00362468">
              <w:rPr>
                <w:rFonts w:cs="Arial"/>
                <w:color w:val="000000"/>
                <w:kern w:val="24"/>
                <w:sz w:val="22"/>
                <w:szCs w:val="22"/>
                <w:lang w:eastAsia="en-GB"/>
              </w:rPr>
              <w:t xml:space="preserve"> </w:t>
            </w:r>
            <w:r w:rsidR="009B1935">
              <w:rPr>
                <w:rFonts w:cs="Arial"/>
                <w:color w:val="000000"/>
                <w:kern w:val="24"/>
                <w:sz w:val="22"/>
                <w:szCs w:val="22"/>
                <w:lang w:eastAsia="en-GB"/>
              </w:rPr>
              <w:t xml:space="preserve">indicates the annual </w:t>
            </w:r>
            <w:r w:rsidR="0022093F">
              <w:rPr>
                <w:rFonts w:cs="Arial"/>
                <w:color w:val="000000"/>
                <w:kern w:val="24"/>
                <w:sz w:val="22"/>
                <w:szCs w:val="22"/>
                <w:lang w:eastAsia="en-GB"/>
              </w:rPr>
              <w:t xml:space="preserve">review should encompass </w:t>
            </w:r>
            <w:r w:rsidR="00362468" w:rsidRPr="00362468">
              <w:rPr>
                <w:rFonts w:cs="Arial"/>
                <w:color w:val="000000"/>
                <w:kern w:val="24"/>
                <w:sz w:val="22"/>
                <w:szCs w:val="22"/>
                <w:lang w:eastAsia="en-GB"/>
              </w:rPr>
              <w:t xml:space="preserve">seizure control, seizure frequency and date of </w:t>
            </w:r>
            <w:r w:rsidR="00362468" w:rsidRPr="00362468">
              <w:rPr>
                <w:rFonts w:cs="Arial"/>
                <w:color w:val="000000"/>
                <w:kern w:val="24"/>
                <w:sz w:val="22"/>
                <w:szCs w:val="22"/>
                <w:lang w:eastAsia="en-GB"/>
              </w:rPr>
              <w:lastRenderedPageBreak/>
              <w:t>last seizure, antiepileptic drug dose, adherence and adverse effects, mood and anxiety, diet and lifestyle advice to reduce osteoporosis risk and alcohol consumption</w:t>
            </w:r>
            <w:bookmarkEnd w:id="4"/>
            <w:r w:rsidR="0022093F">
              <w:rPr>
                <w:rFonts w:cs="Arial"/>
                <w:color w:val="000000"/>
                <w:kern w:val="24"/>
                <w:sz w:val="22"/>
                <w:szCs w:val="22"/>
                <w:lang w:eastAsia="en-GB"/>
              </w:rPr>
              <w:t xml:space="preserve">. </w:t>
            </w:r>
            <w:r w:rsidR="00306F50">
              <w:rPr>
                <w:rFonts w:cs="Arial"/>
                <w:color w:val="000000"/>
                <w:kern w:val="24"/>
                <w:sz w:val="22"/>
                <w:szCs w:val="22"/>
                <w:lang w:eastAsia="en-GB"/>
              </w:rPr>
              <w:t xml:space="preserve">Epilepsy action </w:t>
            </w:r>
            <w:r w:rsidR="0022093F">
              <w:rPr>
                <w:rFonts w:cs="Arial"/>
                <w:color w:val="000000"/>
                <w:kern w:val="24"/>
                <w:sz w:val="22"/>
                <w:szCs w:val="22"/>
                <w:lang w:eastAsia="en-GB"/>
              </w:rPr>
              <w:t xml:space="preserve">have developed a </w:t>
            </w:r>
            <w:hyperlink r:id="rId14" w:history="1">
              <w:r w:rsidR="0022093F" w:rsidRPr="0022093F">
                <w:rPr>
                  <w:rStyle w:val="Hyperlink"/>
                  <w:rFonts w:cs="Arial"/>
                  <w:kern w:val="24"/>
                  <w:sz w:val="22"/>
                  <w:szCs w:val="22"/>
                  <w:lang w:eastAsia="en-GB"/>
                </w:rPr>
                <w:t>care planning and review template</w:t>
              </w:r>
            </w:hyperlink>
            <w:r w:rsidR="0022093F">
              <w:rPr>
                <w:rFonts w:cs="Arial"/>
                <w:color w:val="000000"/>
                <w:kern w:val="24"/>
                <w:sz w:val="22"/>
                <w:szCs w:val="22"/>
                <w:lang w:eastAsia="en-GB"/>
              </w:rPr>
              <w:t>.</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953AC1">
              <w:rPr>
                <w:rFonts w:cs="Arial"/>
                <w:color w:val="000000"/>
                <w:kern w:val="24"/>
                <w:sz w:val="22"/>
                <w:szCs w:val="22"/>
              </w:rPr>
              <w:lastRenderedPageBreak/>
              <w:t>The indicator has an acceptable risk of unintended consequences</w:t>
            </w:r>
            <w:r w:rsidRPr="00C62BC3">
              <w:rPr>
                <w:rFonts w:cs="Arial"/>
                <w:color w:val="000000"/>
                <w:kern w:val="24"/>
                <w:sz w:val="22"/>
                <w:szCs w:val="22"/>
              </w:rPr>
              <w:t>.</w:t>
            </w:r>
          </w:p>
        </w:tc>
      </w:tr>
    </w:tbl>
    <w:p w14:paraId="123085F8" w14:textId="46F76CC2" w:rsidR="00D73835" w:rsidRDefault="00D73835" w:rsidP="00F67791">
      <w:pPr>
        <w:pStyle w:val="Heading1"/>
      </w:pPr>
    </w:p>
    <w:sectPr w:rsidR="00D73835" w:rsidSect="00192B09">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C120315" w:rsidR="00BB14CA" w:rsidRPr="008C1C95" w:rsidRDefault="0029799B" w:rsidP="008C1C95">
    <w:pPr>
      <w:pStyle w:val="Footer"/>
      <w:jc w:val="right"/>
    </w:pPr>
    <w:r>
      <w:t>NM209</w:t>
    </w:r>
    <w:r w:rsidR="009B0E59">
      <w:t xml:space="preserve">: Validity assessment </w:t>
    </w:r>
    <w:r w:rsidR="005E2508">
      <w:t>[</w:t>
    </w:r>
    <w:r>
      <w:t>August 2022</w:t>
    </w:r>
    <w:r w:rsidR="005E2508">
      <w:t>]</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num w:numId="1" w16cid:durableId="38405403">
    <w:abstractNumId w:val="31"/>
  </w:num>
  <w:num w:numId="2" w16cid:durableId="1670719450">
    <w:abstractNumId w:val="11"/>
  </w:num>
  <w:num w:numId="3" w16cid:durableId="1835684733">
    <w:abstractNumId w:val="27"/>
  </w:num>
  <w:num w:numId="4" w16cid:durableId="1277298513">
    <w:abstractNumId w:val="12"/>
  </w:num>
  <w:num w:numId="5" w16cid:durableId="121769982">
    <w:abstractNumId w:val="24"/>
  </w:num>
  <w:num w:numId="6" w16cid:durableId="1911847043">
    <w:abstractNumId w:val="1"/>
  </w:num>
  <w:num w:numId="7" w16cid:durableId="652565342">
    <w:abstractNumId w:val="10"/>
  </w:num>
  <w:num w:numId="8" w16cid:durableId="247739639">
    <w:abstractNumId w:val="22"/>
  </w:num>
  <w:num w:numId="9" w16cid:durableId="1697148249">
    <w:abstractNumId w:val="23"/>
  </w:num>
  <w:num w:numId="10" w16cid:durableId="1665665945">
    <w:abstractNumId w:val="5"/>
  </w:num>
  <w:num w:numId="11" w16cid:durableId="679281091">
    <w:abstractNumId w:val="7"/>
  </w:num>
  <w:num w:numId="12" w16cid:durableId="236400794">
    <w:abstractNumId w:val="2"/>
  </w:num>
  <w:num w:numId="13" w16cid:durableId="298415747">
    <w:abstractNumId w:val="30"/>
  </w:num>
  <w:num w:numId="14" w16cid:durableId="1736852266">
    <w:abstractNumId w:val="14"/>
  </w:num>
  <w:num w:numId="15" w16cid:durableId="989090386">
    <w:abstractNumId w:val="9"/>
  </w:num>
  <w:num w:numId="16" w16cid:durableId="27337486">
    <w:abstractNumId w:val="19"/>
  </w:num>
  <w:num w:numId="17" w16cid:durableId="1873760129">
    <w:abstractNumId w:val="16"/>
  </w:num>
  <w:num w:numId="18" w16cid:durableId="324169440">
    <w:abstractNumId w:val="21"/>
  </w:num>
  <w:num w:numId="19" w16cid:durableId="31736222">
    <w:abstractNumId w:val="25"/>
  </w:num>
  <w:num w:numId="20" w16cid:durableId="1400440038">
    <w:abstractNumId w:val="6"/>
  </w:num>
  <w:num w:numId="21" w16cid:durableId="1651206940">
    <w:abstractNumId w:val="28"/>
  </w:num>
  <w:num w:numId="22" w16cid:durableId="1316685767">
    <w:abstractNumId w:val="0"/>
  </w:num>
  <w:num w:numId="23" w16cid:durableId="1998683634">
    <w:abstractNumId w:val="4"/>
  </w:num>
  <w:num w:numId="24" w16cid:durableId="827864607">
    <w:abstractNumId w:val="26"/>
  </w:num>
  <w:num w:numId="25" w16cid:durableId="438598252">
    <w:abstractNumId w:val="18"/>
  </w:num>
  <w:num w:numId="26" w16cid:durableId="354624934">
    <w:abstractNumId w:val="17"/>
  </w:num>
  <w:num w:numId="27" w16cid:durableId="99904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9302767">
    <w:abstractNumId w:val="8"/>
  </w:num>
  <w:num w:numId="29" w16cid:durableId="2051606863">
    <w:abstractNumId w:val="5"/>
  </w:num>
  <w:num w:numId="30" w16cid:durableId="842207774">
    <w:abstractNumId w:val="13"/>
  </w:num>
  <w:num w:numId="31" w16cid:durableId="1101880243">
    <w:abstractNumId w:val="5"/>
  </w:num>
  <w:num w:numId="32" w16cid:durableId="1380401510">
    <w:abstractNumId w:val="5"/>
  </w:num>
  <w:num w:numId="33" w16cid:durableId="1881087297">
    <w:abstractNumId w:val="5"/>
  </w:num>
  <w:num w:numId="34" w16cid:durableId="123866215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3664563">
    <w:abstractNumId w:val="5"/>
  </w:num>
  <w:num w:numId="36" w16cid:durableId="1804421442">
    <w:abstractNumId w:val="5"/>
  </w:num>
  <w:num w:numId="37" w16cid:durableId="935553812">
    <w:abstractNumId w:val="5"/>
  </w:num>
  <w:num w:numId="38" w16cid:durableId="1071347251">
    <w:abstractNumId w:val="29"/>
  </w:num>
  <w:num w:numId="39" w16cid:durableId="156966608">
    <w:abstractNumId w:val="20"/>
  </w:num>
  <w:num w:numId="40" w16cid:durableId="71172737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63A7"/>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1541F"/>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2EE"/>
    <w:rsid w:val="001A23E4"/>
    <w:rsid w:val="001A281B"/>
    <w:rsid w:val="001A3011"/>
    <w:rsid w:val="001A3ADA"/>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07375"/>
    <w:rsid w:val="00210375"/>
    <w:rsid w:val="002128D3"/>
    <w:rsid w:val="002132AF"/>
    <w:rsid w:val="00214828"/>
    <w:rsid w:val="00214A72"/>
    <w:rsid w:val="00215444"/>
    <w:rsid w:val="00215C91"/>
    <w:rsid w:val="00220661"/>
    <w:rsid w:val="0022093F"/>
    <w:rsid w:val="002213B0"/>
    <w:rsid w:val="0022189B"/>
    <w:rsid w:val="002229AD"/>
    <w:rsid w:val="002240A3"/>
    <w:rsid w:val="00224AEE"/>
    <w:rsid w:val="00225FF4"/>
    <w:rsid w:val="00230A13"/>
    <w:rsid w:val="002331C6"/>
    <w:rsid w:val="002338EB"/>
    <w:rsid w:val="00236B76"/>
    <w:rsid w:val="002408EA"/>
    <w:rsid w:val="00241410"/>
    <w:rsid w:val="00242041"/>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9799B"/>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06F50"/>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3C6"/>
    <w:rsid w:val="00347EDE"/>
    <w:rsid w:val="00351FA4"/>
    <w:rsid w:val="00351FDE"/>
    <w:rsid w:val="003524BA"/>
    <w:rsid w:val="00352FD0"/>
    <w:rsid w:val="00353546"/>
    <w:rsid w:val="00354D09"/>
    <w:rsid w:val="00355BED"/>
    <w:rsid w:val="0035645A"/>
    <w:rsid w:val="00357C1E"/>
    <w:rsid w:val="003604C3"/>
    <w:rsid w:val="003605D5"/>
    <w:rsid w:val="00361432"/>
    <w:rsid w:val="00362468"/>
    <w:rsid w:val="00362EE3"/>
    <w:rsid w:val="00363276"/>
    <w:rsid w:val="00365698"/>
    <w:rsid w:val="00367685"/>
    <w:rsid w:val="00367A82"/>
    <w:rsid w:val="00370ACD"/>
    <w:rsid w:val="00371E29"/>
    <w:rsid w:val="003722FA"/>
    <w:rsid w:val="003731E6"/>
    <w:rsid w:val="00373EA4"/>
    <w:rsid w:val="00374686"/>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C7E"/>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5D61"/>
    <w:rsid w:val="00456B1D"/>
    <w:rsid w:val="00460170"/>
    <w:rsid w:val="00461C01"/>
    <w:rsid w:val="0046266F"/>
    <w:rsid w:val="00462AFA"/>
    <w:rsid w:val="00462D48"/>
    <w:rsid w:val="0046325E"/>
    <w:rsid w:val="0046445C"/>
    <w:rsid w:val="00466D83"/>
    <w:rsid w:val="0046709A"/>
    <w:rsid w:val="00467370"/>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3EE1"/>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C1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400"/>
    <w:rsid w:val="005D352A"/>
    <w:rsid w:val="005D437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36E8"/>
    <w:rsid w:val="00624430"/>
    <w:rsid w:val="00625AEE"/>
    <w:rsid w:val="00627687"/>
    <w:rsid w:val="006276D1"/>
    <w:rsid w:val="006279C2"/>
    <w:rsid w:val="00637F2A"/>
    <w:rsid w:val="00642C45"/>
    <w:rsid w:val="0064313B"/>
    <w:rsid w:val="0064319B"/>
    <w:rsid w:val="006434DF"/>
    <w:rsid w:val="006445B6"/>
    <w:rsid w:val="0064604F"/>
    <w:rsid w:val="00651D20"/>
    <w:rsid w:val="006523CB"/>
    <w:rsid w:val="0065348A"/>
    <w:rsid w:val="006557A6"/>
    <w:rsid w:val="00657C65"/>
    <w:rsid w:val="006635D1"/>
    <w:rsid w:val="006639FD"/>
    <w:rsid w:val="00663ADC"/>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6DC1"/>
    <w:rsid w:val="007778E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07A2"/>
    <w:rsid w:val="007D28D7"/>
    <w:rsid w:val="007D31FD"/>
    <w:rsid w:val="007E1B11"/>
    <w:rsid w:val="007E2014"/>
    <w:rsid w:val="007E21F8"/>
    <w:rsid w:val="007E2696"/>
    <w:rsid w:val="007E30E3"/>
    <w:rsid w:val="007E3374"/>
    <w:rsid w:val="007E4F40"/>
    <w:rsid w:val="007E6A87"/>
    <w:rsid w:val="007E78BD"/>
    <w:rsid w:val="007F14A6"/>
    <w:rsid w:val="007F71A5"/>
    <w:rsid w:val="007F744E"/>
    <w:rsid w:val="007F7F72"/>
    <w:rsid w:val="008010D5"/>
    <w:rsid w:val="008018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57CFE"/>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195B"/>
    <w:rsid w:val="00952219"/>
    <w:rsid w:val="009539B0"/>
    <w:rsid w:val="00953AC1"/>
    <w:rsid w:val="009543A4"/>
    <w:rsid w:val="00955134"/>
    <w:rsid w:val="00955F17"/>
    <w:rsid w:val="009562D0"/>
    <w:rsid w:val="00957124"/>
    <w:rsid w:val="00960B9B"/>
    <w:rsid w:val="00960CC3"/>
    <w:rsid w:val="0096180D"/>
    <w:rsid w:val="00961E3B"/>
    <w:rsid w:val="00962360"/>
    <w:rsid w:val="009669AD"/>
    <w:rsid w:val="00966EB0"/>
    <w:rsid w:val="00967E1F"/>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1935"/>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223"/>
    <w:rsid w:val="009D49AA"/>
    <w:rsid w:val="009D4FBB"/>
    <w:rsid w:val="009D7602"/>
    <w:rsid w:val="009E3151"/>
    <w:rsid w:val="009E680B"/>
    <w:rsid w:val="009F1902"/>
    <w:rsid w:val="009F4086"/>
    <w:rsid w:val="009F4F44"/>
    <w:rsid w:val="009F7239"/>
    <w:rsid w:val="00A0249B"/>
    <w:rsid w:val="00A0479E"/>
    <w:rsid w:val="00A05C88"/>
    <w:rsid w:val="00A07644"/>
    <w:rsid w:val="00A07A7E"/>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18B6"/>
    <w:rsid w:val="00A32C40"/>
    <w:rsid w:val="00A3325A"/>
    <w:rsid w:val="00A4094A"/>
    <w:rsid w:val="00A426BE"/>
    <w:rsid w:val="00A47852"/>
    <w:rsid w:val="00A51780"/>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090F"/>
    <w:rsid w:val="00AA276F"/>
    <w:rsid w:val="00AA32D3"/>
    <w:rsid w:val="00AA4327"/>
    <w:rsid w:val="00AA5CBC"/>
    <w:rsid w:val="00AA6EED"/>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158F"/>
    <w:rsid w:val="00AD23FF"/>
    <w:rsid w:val="00AD337E"/>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0F"/>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5055"/>
    <w:rsid w:val="00C17D6A"/>
    <w:rsid w:val="00C203C9"/>
    <w:rsid w:val="00C22139"/>
    <w:rsid w:val="00C22E43"/>
    <w:rsid w:val="00C23238"/>
    <w:rsid w:val="00C235DF"/>
    <w:rsid w:val="00C2539E"/>
    <w:rsid w:val="00C278DE"/>
    <w:rsid w:val="00C2796B"/>
    <w:rsid w:val="00C3004B"/>
    <w:rsid w:val="00C31F4C"/>
    <w:rsid w:val="00C3209A"/>
    <w:rsid w:val="00C32ADC"/>
    <w:rsid w:val="00C35755"/>
    <w:rsid w:val="00C42E13"/>
    <w:rsid w:val="00C43037"/>
    <w:rsid w:val="00C4427F"/>
    <w:rsid w:val="00C47DDE"/>
    <w:rsid w:val="00C50912"/>
    <w:rsid w:val="00C50FF0"/>
    <w:rsid w:val="00C56073"/>
    <w:rsid w:val="00C578C1"/>
    <w:rsid w:val="00C57E04"/>
    <w:rsid w:val="00C62BC3"/>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3A59"/>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0932"/>
    <w:rsid w:val="00D51245"/>
    <w:rsid w:val="00D532B8"/>
    <w:rsid w:val="00D54B6F"/>
    <w:rsid w:val="00D54E73"/>
    <w:rsid w:val="00D575A3"/>
    <w:rsid w:val="00D60781"/>
    <w:rsid w:val="00D613A6"/>
    <w:rsid w:val="00D617A6"/>
    <w:rsid w:val="00D650EA"/>
    <w:rsid w:val="00D72C40"/>
    <w:rsid w:val="00D737C5"/>
    <w:rsid w:val="00D73835"/>
    <w:rsid w:val="00D76F5A"/>
    <w:rsid w:val="00D7722A"/>
    <w:rsid w:val="00D80B1B"/>
    <w:rsid w:val="00D82293"/>
    <w:rsid w:val="00D838FE"/>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5A2C"/>
    <w:rsid w:val="00DF67C3"/>
    <w:rsid w:val="00DF6CEB"/>
    <w:rsid w:val="00E0098A"/>
    <w:rsid w:val="00E009D9"/>
    <w:rsid w:val="00E015C5"/>
    <w:rsid w:val="00E03F71"/>
    <w:rsid w:val="00E045EE"/>
    <w:rsid w:val="00E06ED0"/>
    <w:rsid w:val="00E1082D"/>
    <w:rsid w:val="00E130CB"/>
    <w:rsid w:val="00E13309"/>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1965"/>
    <w:rsid w:val="00E745BB"/>
    <w:rsid w:val="00E8010A"/>
    <w:rsid w:val="00E8229C"/>
    <w:rsid w:val="00E83564"/>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538C"/>
    <w:rsid w:val="00EB6F5F"/>
    <w:rsid w:val="00ED07B2"/>
    <w:rsid w:val="00ED246E"/>
    <w:rsid w:val="00ED379C"/>
    <w:rsid w:val="00ED4D08"/>
    <w:rsid w:val="00ED5834"/>
    <w:rsid w:val="00ED6AAF"/>
    <w:rsid w:val="00EE065C"/>
    <w:rsid w:val="00EE3926"/>
    <w:rsid w:val="00EE5D34"/>
    <w:rsid w:val="00EE776F"/>
    <w:rsid w:val="00EF2FD6"/>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67791"/>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nhs-outcomes-framework" TargetMode="External"/><Relationship Id="rId13" Type="http://schemas.openxmlformats.org/officeDocument/2006/relationships/hyperlink" Target="https://www.sign.ac.uk/our-guidelines/diagnosis-and-management-of-epilepsy-in-adul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rightcare/products/pathways/epilepsy-toolkit/" TargetMode="External"/><Relationship Id="rId12" Type="http://schemas.openxmlformats.org/officeDocument/2006/relationships/hyperlink" Target="https://www.nice.org.uk/guidance/ng2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46280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uidance/valproate-use-by-women-and-girls" TargetMode="External"/><Relationship Id="rId4" Type="http://schemas.openxmlformats.org/officeDocument/2006/relationships/webSettings" Target="webSettings.xml"/><Relationship Id="rId9" Type="http://schemas.openxmlformats.org/officeDocument/2006/relationships/hyperlink" Target="https://www.gov.uk/government/publications/public-assesment-report-of-antiepileptic-drugs-review-of-safety-of-use-during-pregnancy" TargetMode="External"/><Relationship Id="rId14" Type="http://schemas.openxmlformats.org/officeDocument/2006/relationships/hyperlink" Target="https://www.epilepsy.org.uk/professional/primary-care/care-plan-and-review-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2022-07-25T10:06:00Z</dcterms:created>
  <dcterms:modified xsi:type="dcterms:W3CDTF">2022-08-16T08:19:00Z</dcterms:modified>
</cp:coreProperties>
</file>